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
          <w:color w:val="auto"/>
          <w:spacing w:val="-20"/>
          <w:szCs w:val="21"/>
          <w:highlight w:val="none"/>
        </w:rPr>
      </w:pPr>
      <w:r>
        <w:rPr>
          <w:rFonts w:hint="eastAsia" w:ascii="黑体" w:hAnsi="黑体" w:eastAsia="黑体" w:cs="黑体"/>
          <w:b/>
          <w:color w:val="auto"/>
          <w:spacing w:val="-20"/>
          <w:szCs w:val="21"/>
          <w:highlight w:val="none"/>
        </w:rPr>
        <w:t>版本号：2015-1</w:t>
      </w:r>
    </w:p>
    <w:p>
      <w:pPr>
        <w:jc w:val="left"/>
        <w:rPr>
          <w:rFonts w:ascii="黑体" w:hAnsi="黑体" w:eastAsia="黑体" w:cs="黑体"/>
          <w:b/>
          <w:color w:val="auto"/>
          <w:spacing w:val="-20"/>
          <w:szCs w:val="21"/>
          <w:highlight w:val="none"/>
        </w:rPr>
      </w:pPr>
    </w:p>
    <w:p>
      <w:pPr>
        <w:jc w:val="left"/>
        <w:rPr>
          <w:rFonts w:ascii="黑体" w:hAnsi="黑体" w:eastAsia="黑体" w:cs="黑体"/>
          <w:b/>
          <w:color w:val="auto"/>
          <w:spacing w:val="-20"/>
          <w:szCs w:val="21"/>
          <w:highlight w:val="none"/>
        </w:rPr>
      </w:pPr>
    </w:p>
    <w:p>
      <w:pPr>
        <w:jc w:val="center"/>
        <w:rPr>
          <w:rFonts w:ascii="宋体" w:hAnsi="宋体"/>
          <w:b/>
          <w:color w:val="auto"/>
          <w:sz w:val="36"/>
          <w:szCs w:val="36"/>
          <w:highlight w:val="none"/>
        </w:rPr>
      </w:pPr>
      <w:r>
        <w:rPr>
          <w:rFonts w:hint="eastAsia" w:ascii="宋体" w:hAnsi="宋体"/>
          <w:b/>
          <w:color w:val="auto"/>
          <w:spacing w:val="-20"/>
          <w:sz w:val="36"/>
          <w:szCs w:val="36"/>
          <w:highlight w:val="none"/>
          <w:lang w:val="en-US" w:eastAsia="zh-CN"/>
        </w:rPr>
        <w:t xml:space="preserve">   </w:t>
      </w:r>
      <w:r>
        <w:rPr>
          <w:rFonts w:hint="eastAsia" w:ascii="宋体" w:hAnsi="宋体"/>
          <w:b/>
          <w:color w:val="auto"/>
          <w:spacing w:val="-20"/>
          <w:sz w:val="36"/>
          <w:szCs w:val="36"/>
          <w:highlight w:val="none"/>
          <w:lang w:eastAsia="zh-CN"/>
        </w:rPr>
        <w:t>城维计划-桥梁中修专项经费-八条重要市政道路及开创立交独柱墩桥梁加固工程勘察设计项目</w:t>
      </w: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pStyle w:val="28"/>
        <w:ind w:left="0" w:leftChars="0" w:firstLine="0" w:firstLineChars="0"/>
        <w:rPr>
          <w:rFonts w:hint="eastAsia" w:ascii="宋体" w:hAnsi="宋体"/>
          <w:color w:val="auto"/>
          <w:highlight w:val="none"/>
        </w:rPr>
      </w:pPr>
    </w:p>
    <w:p>
      <w:pPr>
        <w:pStyle w:val="28"/>
        <w:rPr>
          <w:rFonts w:hint="eastAsia" w:ascii="宋体" w:hAnsi="宋体"/>
          <w:color w:val="auto"/>
          <w:highlight w:val="none"/>
        </w:rPr>
      </w:pPr>
    </w:p>
    <w:p>
      <w:pPr>
        <w:pStyle w:val="28"/>
        <w:rPr>
          <w:rFonts w:hint="eastAsia" w:ascii="宋体" w:hAnsi="宋体"/>
          <w:color w:val="auto"/>
          <w:highlight w:val="none"/>
        </w:rPr>
      </w:pPr>
    </w:p>
    <w:p>
      <w:pPr>
        <w:pStyle w:val="28"/>
        <w:rPr>
          <w:rFonts w:hint="eastAsia" w:ascii="宋体" w:hAnsi="宋体"/>
          <w:color w:val="auto"/>
          <w:highlight w:val="none"/>
        </w:rPr>
      </w:pPr>
    </w:p>
    <w:p>
      <w:pPr>
        <w:jc w:val="center"/>
        <w:rPr>
          <w:rFonts w:ascii="宋体" w:hAnsi="宋体"/>
          <w:color w:val="auto"/>
          <w:highlight w:val="none"/>
        </w:rPr>
      </w:pPr>
      <w:r>
        <w:rPr>
          <w:rFonts w:hint="eastAsia" w:ascii="宋体" w:hAnsi="宋体"/>
          <w:color w:val="auto"/>
          <w:highlight w:val="none"/>
        </w:rPr>
        <w:t xml:space="preserve"> </w:t>
      </w:r>
    </w:p>
    <w:p>
      <w:pPr>
        <w:rPr>
          <w:rFonts w:ascii="宋体" w:hAnsi="宋体"/>
          <w:color w:val="auto"/>
          <w:highlight w:val="none"/>
        </w:rPr>
      </w:pPr>
    </w:p>
    <w:p>
      <w:pPr>
        <w:jc w:val="center"/>
        <w:rPr>
          <w:rFonts w:ascii="宋体" w:hAnsi="宋体"/>
          <w:color w:val="auto"/>
          <w:sz w:val="24"/>
          <w:highlight w:val="none"/>
        </w:rPr>
      </w:pPr>
      <w:r>
        <w:rPr>
          <w:rFonts w:hint="eastAsia" w:ascii="宋体" w:hAnsi="宋体"/>
          <w:b/>
          <w:color w:val="auto"/>
          <w:sz w:val="84"/>
          <w:szCs w:val="84"/>
          <w:highlight w:val="none"/>
        </w:rPr>
        <w:t>招标文件</w:t>
      </w:r>
    </w:p>
    <w:p>
      <w:pPr>
        <w:rPr>
          <w:rFonts w:ascii="宋体" w:hAnsi="宋体"/>
          <w:color w:val="auto"/>
          <w:sz w:val="24"/>
          <w:highlight w:val="none"/>
        </w:rPr>
      </w:pPr>
      <w:r>
        <w:rPr>
          <w:rFonts w:hint="eastAsia" w:ascii="宋体" w:hAnsi="宋体"/>
          <w:color w:val="auto"/>
          <w:sz w:val="24"/>
          <w:highlight w:val="none"/>
        </w:rPr>
        <w:t>---------------------------------------------------------------------</w:t>
      </w:r>
    </w:p>
    <w:p>
      <w:pPr>
        <w:rPr>
          <w:rFonts w:ascii="宋体" w:hAnsi="宋体"/>
          <w:color w:val="auto"/>
          <w:sz w:val="24"/>
          <w:highlight w:val="none"/>
        </w:rPr>
      </w:pPr>
    </w:p>
    <w:p>
      <w:pPr>
        <w:pStyle w:val="28"/>
        <w:rPr>
          <w:rFonts w:ascii="宋体" w:hAnsi="宋体"/>
          <w:color w:val="auto"/>
          <w:sz w:val="24"/>
          <w:highlight w:val="none"/>
        </w:rPr>
      </w:pPr>
    </w:p>
    <w:p>
      <w:pPr>
        <w:pStyle w:val="28"/>
        <w:rPr>
          <w:rFonts w:ascii="宋体" w:hAnsi="宋体"/>
          <w:color w:val="auto"/>
          <w:sz w:val="24"/>
          <w:highlight w:val="none"/>
        </w:rPr>
      </w:pPr>
    </w:p>
    <w:p>
      <w:pPr>
        <w:rPr>
          <w:rFonts w:ascii="宋体" w:hAnsi="宋体"/>
          <w:color w:val="auto"/>
          <w:sz w:val="24"/>
          <w:highlight w:val="none"/>
        </w:rPr>
      </w:pPr>
    </w:p>
    <w:p>
      <w:pPr>
        <w:spacing w:line="360" w:lineRule="auto"/>
        <w:ind w:left="1560" w:hanging="1560" w:hangingChars="650"/>
        <w:rPr>
          <w:rFonts w:ascii="宋体" w:hAnsi="宋体"/>
          <w:color w:val="auto"/>
          <w:sz w:val="24"/>
          <w:highlight w:val="none"/>
        </w:rPr>
        <w:sectPr>
          <w:headerReference r:id="rId4" w:type="first"/>
          <w:footerReference r:id="rId6" w:type="first"/>
          <w:headerReference r:id="rId3" w:type="default"/>
          <w:footerReference r:id="rId5" w:type="default"/>
          <w:type w:val="nextColumn"/>
          <w:pgSz w:w="11906" w:h="16838"/>
          <w:pgMar w:top="1418" w:right="1418" w:bottom="1418" w:left="1418" w:header="851" w:footer="992" w:gutter="0"/>
          <w:pgNumType w:fmt="decimal" w:start="1"/>
          <w:cols w:space="720" w:num="1"/>
          <w:titlePg/>
          <w:docGrid w:linePitch="312" w:charSpace="0"/>
        </w:sectPr>
      </w:pPr>
    </w:p>
    <w:p>
      <w:pPr>
        <w:spacing w:line="360" w:lineRule="auto"/>
        <w:ind w:left="0" w:firstLine="0" w:firstLineChars="0"/>
        <w:rPr>
          <w:rFonts w:ascii="宋体" w:hAnsi="宋体"/>
          <w:color w:val="auto"/>
          <w:sz w:val="24"/>
          <w:highlight w:val="none"/>
        </w:rPr>
      </w:pPr>
      <w:r>
        <w:rPr>
          <w:rFonts w:hint="eastAsia" w:ascii="宋体" w:hAnsi="宋体"/>
          <w:color w:val="auto"/>
          <w:sz w:val="24"/>
          <w:highlight w:val="none"/>
        </w:rPr>
        <w:t>招标人（章）：</w:t>
      </w:r>
      <w:r>
        <w:rPr>
          <w:rFonts w:hint="eastAsia" w:ascii="宋体" w:hAnsi="宋体"/>
          <w:color w:val="auto"/>
          <w:sz w:val="24"/>
          <w:highlight w:val="none"/>
          <w:u w:val="single"/>
        </w:rPr>
        <w:t>广州市道路事务中心</w:t>
      </w:r>
    </w:p>
    <w:p>
      <w:pPr>
        <w:spacing w:line="360" w:lineRule="auto"/>
        <w:ind w:left="1560" w:hanging="1560" w:hangingChars="650"/>
        <w:rPr>
          <w:rFonts w:ascii="宋体" w:hAnsi="宋体"/>
          <w:color w:val="auto"/>
          <w:sz w:val="24"/>
          <w:highlight w:val="none"/>
          <w:u w:val="single"/>
        </w:rPr>
      </w:pPr>
      <w:r>
        <w:rPr>
          <w:rFonts w:hint="eastAsia" w:ascii="宋体" w:hAnsi="宋体"/>
          <w:color w:val="auto"/>
          <w:sz w:val="24"/>
          <w:highlight w:val="none"/>
        </w:rPr>
        <w:t>授权代表：</w:t>
      </w:r>
      <w:r>
        <w:rPr>
          <w:rFonts w:hint="eastAsia" w:ascii="宋体" w:hAnsi="宋体"/>
          <w:color w:val="auto"/>
          <w:sz w:val="24"/>
          <w:highlight w:val="none"/>
          <w:u w:val="single"/>
        </w:rPr>
        <w:t>宁工</w:t>
      </w:r>
    </w:p>
    <w:p>
      <w:pPr>
        <w:spacing w:line="360" w:lineRule="auto"/>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广州市天河区天润路87号</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邮政编码：</w:t>
      </w:r>
      <w:r>
        <w:rPr>
          <w:rFonts w:hint="eastAsia" w:ascii="宋体" w:hAnsi="宋体"/>
          <w:color w:val="auto"/>
          <w:sz w:val="24"/>
          <w:highlight w:val="none"/>
          <w:u w:val="single"/>
        </w:rPr>
        <w:t>51063</w:t>
      </w:r>
      <w:r>
        <w:rPr>
          <w:rFonts w:hint="eastAsia" w:ascii="宋体" w:hAnsi="宋体"/>
          <w:color w:val="auto"/>
          <w:sz w:val="24"/>
          <w:highlight w:val="none"/>
          <w:u w:val="single"/>
          <w:lang w:val="en-US" w:eastAsia="zh-CN"/>
        </w:rPr>
        <w:t>5</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 xml:space="preserve">85200284  </w:t>
      </w:r>
    </w:p>
    <w:p>
      <w:pPr>
        <w:spacing w:line="360" w:lineRule="auto"/>
        <w:rPr>
          <w:rFonts w:ascii="宋体" w:hAnsi="宋体"/>
          <w:color w:val="auto"/>
          <w:sz w:val="24"/>
          <w:highlight w:val="none"/>
        </w:rPr>
      </w:pPr>
      <w:r>
        <w:rPr>
          <w:rFonts w:hint="eastAsia" w:ascii="宋体" w:hAnsi="宋体"/>
          <w:color w:val="auto"/>
          <w:sz w:val="24"/>
          <w:highlight w:val="none"/>
        </w:rPr>
        <w:t>传真：</w:t>
      </w:r>
      <w:r>
        <w:rPr>
          <w:rFonts w:ascii="宋体" w:hAnsi="宋体"/>
          <w:color w:val="auto"/>
          <w:sz w:val="24"/>
          <w:highlight w:val="none"/>
          <w:u w:val="single"/>
        </w:rPr>
        <w:t xml:space="preserve">   /   </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eastAsia="宋体"/>
          <w:color w:val="auto"/>
          <w:sz w:val="24"/>
          <w:highlight w:val="none"/>
          <w:lang w:eastAsia="zh-CN"/>
        </w:rPr>
      </w:pPr>
      <w:bookmarkStart w:id="44" w:name="_GoBack"/>
      <w:bookmarkEnd w:id="44"/>
      <w:r>
        <w:rPr>
          <w:rFonts w:hint="eastAsia" w:ascii="宋体" w:hAnsi="宋体"/>
          <w:color w:val="auto"/>
          <w:sz w:val="24"/>
          <w:highlight w:val="none"/>
        </w:rPr>
        <w:t>招标代理（章）：</w:t>
      </w:r>
      <w:r>
        <w:rPr>
          <w:rFonts w:hint="eastAsia" w:ascii="宋体" w:hAnsi="宋体"/>
          <w:color w:val="auto"/>
          <w:sz w:val="24"/>
          <w:highlight w:val="none"/>
          <w:u w:val="single"/>
          <w:lang w:eastAsia="zh-CN"/>
        </w:rPr>
        <w:t>广州诚信公路建设监理咨询有限公司</w:t>
      </w:r>
    </w:p>
    <w:p>
      <w:pPr>
        <w:spacing w:line="360" w:lineRule="auto"/>
        <w:rPr>
          <w:rFonts w:ascii="宋体" w:hAnsi="宋体"/>
          <w:color w:val="auto"/>
          <w:sz w:val="24"/>
          <w:highlight w:val="none"/>
          <w:u w:val="single"/>
        </w:rPr>
      </w:pPr>
      <w:r>
        <w:rPr>
          <w:rFonts w:hint="eastAsia" w:ascii="宋体" w:hAnsi="宋体"/>
          <w:color w:val="auto"/>
          <w:sz w:val="24"/>
          <w:highlight w:val="none"/>
        </w:rPr>
        <w:t>授权代表：</w:t>
      </w:r>
      <w:r>
        <w:rPr>
          <w:rFonts w:hint="eastAsia" w:ascii="宋体" w:hAnsi="宋体"/>
          <w:color w:val="auto"/>
          <w:sz w:val="24"/>
          <w:highlight w:val="none"/>
          <w:u w:val="single"/>
          <w:lang w:val="en-US" w:eastAsia="zh-CN"/>
        </w:rPr>
        <w:t>黄</w:t>
      </w:r>
      <w:r>
        <w:rPr>
          <w:rFonts w:hint="eastAsia" w:ascii="宋体" w:hAnsi="宋体"/>
          <w:color w:val="auto"/>
          <w:sz w:val="24"/>
          <w:highlight w:val="none"/>
          <w:u w:val="single"/>
        </w:rPr>
        <w:t>工</w:t>
      </w:r>
    </w:p>
    <w:p>
      <w:pPr>
        <w:spacing w:line="360" w:lineRule="auto"/>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广州市番禺区洛溪康宁西路118号2号楼二楼2210室</w:t>
      </w:r>
    </w:p>
    <w:p>
      <w:pPr>
        <w:spacing w:line="360" w:lineRule="auto"/>
        <w:rPr>
          <w:rFonts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511431</w:t>
      </w:r>
    </w:p>
    <w:p>
      <w:pPr>
        <w:spacing w:line="360" w:lineRule="auto"/>
        <w:rPr>
          <w:rFonts w:ascii="宋体" w:hAnsi="宋体"/>
          <w:color w:val="auto"/>
          <w:sz w:val="24"/>
          <w:highlight w:val="none"/>
          <w:u w:val="single"/>
        </w:rPr>
      </w:pPr>
      <w:r>
        <w:rPr>
          <w:rFonts w:hint="eastAsia" w:ascii="宋体" w:hAnsi="宋体"/>
          <w:color w:val="auto"/>
          <w:sz w:val="24"/>
          <w:highlight w:val="none"/>
        </w:rPr>
        <w:t>电话：</w:t>
      </w:r>
      <w:r>
        <w:rPr>
          <w:rFonts w:hint="eastAsia" w:ascii="宋体" w:hAnsi="宋体"/>
          <w:color w:val="auto"/>
          <w:sz w:val="24"/>
          <w:highlight w:val="none"/>
          <w:u w:val="single"/>
        </w:rPr>
        <w:t>020-36173451</w:t>
      </w:r>
    </w:p>
    <w:p>
      <w:pPr>
        <w:spacing w:line="360" w:lineRule="auto"/>
        <w:rPr>
          <w:rFonts w:ascii="宋体" w:hAnsi="宋体"/>
          <w:color w:val="auto"/>
          <w:sz w:val="24"/>
          <w:highlight w:val="none"/>
          <w:u w:val="single"/>
        </w:rPr>
      </w:pPr>
      <w:r>
        <w:rPr>
          <w:rFonts w:hint="eastAsia" w:ascii="宋体" w:hAnsi="宋体"/>
          <w:color w:val="auto"/>
          <w:sz w:val="24"/>
          <w:highlight w:val="none"/>
        </w:rPr>
        <w:t>传真：</w:t>
      </w:r>
      <w:r>
        <w:rPr>
          <w:rFonts w:ascii="宋体" w:hAnsi="宋体"/>
          <w:color w:val="auto"/>
          <w:sz w:val="24"/>
          <w:highlight w:val="none"/>
          <w:u w:val="single"/>
        </w:rPr>
        <w:t xml:space="preserve">   /   </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single"/>
          <w:lang w:eastAsia="zh-CN"/>
        </w:rPr>
        <w:t>gzcxdl@163.com</w:t>
      </w:r>
    </w:p>
    <w:p>
      <w:pPr>
        <w:rPr>
          <w:rFonts w:ascii="宋体" w:hAnsi="宋体"/>
          <w:color w:val="auto"/>
          <w:sz w:val="24"/>
          <w:highlight w:val="none"/>
        </w:rPr>
        <w:sectPr>
          <w:type w:val="continuous"/>
          <w:pgSz w:w="11906" w:h="16838"/>
          <w:pgMar w:top="1418" w:right="1418" w:bottom="1418" w:left="1418" w:header="851" w:footer="992" w:gutter="0"/>
          <w:pgNumType w:fmt="decimal"/>
          <w:cols w:space="425" w:num="2"/>
          <w:titlePg/>
          <w:docGrid w:linePitch="312" w:charSpace="0"/>
        </w:sectPr>
      </w:pPr>
    </w:p>
    <w:p>
      <w:pPr>
        <w:pStyle w:val="25"/>
        <w:spacing w:before="0" w:after="0" w:line="360" w:lineRule="auto"/>
        <w:rPr>
          <w:b w:val="0"/>
          <w:color w:val="auto"/>
          <w:highlight w:val="none"/>
        </w:rPr>
      </w:pPr>
      <w:r>
        <w:rPr>
          <w:rFonts w:hint="eastAsia"/>
          <w:color w:val="auto"/>
          <w:highlight w:val="none"/>
        </w:rPr>
        <w:t>招标文件修改申报表</w:t>
      </w:r>
    </w:p>
    <w:p>
      <w:pPr>
        <w:pStyle w:val="35"/>
        <w:rPr>
          <w:color w:val="auto"/>
          <w:highlight w:val="none"/>
        </w:rPr>
      </w:pPr>
    </w:p>
    <w:p>
      <w:pPr>
        <w:spacing w:line="360" w:lineRule="auto"/>
        <w:ind w:firstLine="485"/>
        <w:rPr>
          <w:rFonts w:ascii="宋体" w:hAnsi="宋体"/>
          <w:color w:val="auto"/>
          <w:sz w:val="24"/>
          <w:highlight w:val="none"/>
        </w:rPr>
      </w:pPr>
      <w:r>
        <w:rPr>
          <w:rFonts w:hint="eastAsia" w:ascii="宋体" w:hAnsi="宋体"/>
          <w:color w:val="auto"/>
          <w:sz w:val="24"/>
          <w:highlight w:val="none"/>
        </w:rPr>
        <w:t>招标人（或招标代理机构）按照</w:t>
      </w:r>
      <w:r>
        <w:rPr>
          <w:rFonts w:hint="eastAsia" w:ascii="宋体" w:hAnsi="宋体"/>
          <w:color w:val="auto"/>
          <w:sz w:val="24"/>
          <w:highlight w:val="none"/>
          <w:lang w:eastAsia="zh-CN"/>
        </w:rPr>
        <w:t>《广州地区市政工程勘察设计招标文件示范文本》（</w:t>
      </w:r>
      <w:r>
        <w:rPr>
          <w:rFonts w:hint="eastAsia" w:ascii="宋体" w:hAnsi="宋体"/>
          <w:color w:val="auto"/>
          <w:sz w:val="24"/>
          <w:highlight w:val="none"/>
          <w:lang w:val="en-US" w:eastAsia="zh-CN"/>
        </w:rPr>
        <w:t>2015-1</w:t>
      </w:r>
      <w:r>
        <w:rPr>
          <w:rFonts w:hint="eastAsia" w:ascii="宋体" w:hAnsi="宋体"/>
          <w:color w:val="auto"/>
          <w:sz w:val="24"/>
          <w:highlight w:val="none"/>
          <w:lang w:eastAsia="zh-CN"/>
        </w:rPr>
        <w:t>）</w:t>
      </w:r>
      <w:r>
        <w:rPr>
          <w:rFonts w:hint="eastAsia" w:ascii="宋体" w:hAnsi="宋体"/>
          <w:color w:val="auto"/>
          <w:sz w:val="24"/>
          <w:highlight w:val="none"/>
        </w:rPr>
        <w:t>范本格式编制</w:t>
      </w:r>
      <w:r>
        <w:rPr>
          <w:rFonts w:hint="eastAsia" w:ascii="宋体" w:hAnsi="宋体"/>
          <w:color w:val="auto"/>
          <w:sz w:val="24"/>
          <w:highlight w:val="none"/>
          <w:lang w:eastAsia="zh-CN"/>
        </w:rPr>
        <w:t>本</w:t>
      </w:r>
      <w:r>
        <w:rPr>
          <w:rFonts w:hint="eastAsia" w:ascii="宋体" w:hAnsi="宋体"/>
          <w:color w:val="auto"/>
          <w:sz w:val="24"/>
          <w:highlight w:val="none"/>
        </w:rPr>
        <w:t>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w:t>
      </w:r>
      <w:r>
        <w:rPr>
          <w:rFonts w:hint="eastAsia" w:ascii="宋体" w:hAnsi="宋体"/>
          <w:color w:val="auto"/>
          <w:sz w:val="24"/>
          <w:highlight w:val="none"/>
          <w:u w:val="single"/>
        </w:rPr>
        <w:t>广州市建设工程招投标监督管理综合平台网站下载查阅</w:t>
      </w:r>
      <w:r>
        <w:rPr>
          <w:rFonts w:hint="eastAsia" w:ascii="宋体" w:hAnsi="宋体"/>
          <w:color w:val="auto"/>
          <w:sz w:val="24"/>
          <w:highlight w:val="none"/>
        </w:rPr>
        <w:t>。</w:t>
      </w:r>
    </w:p>
    <w:tbl>
      <w:tblPr>
        <w:tblStyle w:val="29"/>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
        <w:gridCol w:w="1571"/>
        <w:gridCol w:w="20"/>
        <w:gridCol w:w="3629"/>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章节、条目</w:t>
            </w:r>
          </w:p>
        </w:tc>
        <w:tc>
          <w:tcPr>
            <w:tcW w:w="362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范本原文</w:t>
            </w:r>
          </w:p>
        </w:tc>
        <w:tc>
          <w:tcPr>
            <w:tcW w:w="340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1" w:type="dxa"/>
            <w:gridSpan w:val="2"/>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w:t>
            </w:r>
          </w:p>
        </w:tc>
        <w:tc>
          <w:tcPr>
            <w:tcW w:w="362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招标公告</w:t>
            </w:r>
          </w:p>
        </w:tc>
        <w:tc>
          <w:tcPr>
            <w:tcW w:w="340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3629" w:type="dxa"/>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招标文件在招标管理机构备案。</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招标人安排投标人代表对工程现场进行考察，目的是使每个投标人查看现场并获得编制投标文件所需要的一切资料</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u w:val="single"/>
              </w:rPr>
              <w:t>不</w:t>
            </w:r>
            <w:r>
              <w:rPr>
                <w:rFonts w:hint="eastAsia" w:ascii="宋体" w:hAnsi="宋体" w:eastAsia="宋体" w:cs="宋体"/>
                <w:color w:val="auto"/>
                <w:szCs w:val="21"/>
                <w:highlight w:val="none"/>
              </w:rPr>
              <w:t>安排投标人代表对工程现场进行考察。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每个投标人参加现场考察的人数不宜超过3人，外国投标人代表应自带中文翻译。</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现场考察期间招标人将召开一次会议，接受投标人代表的提问。</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现场考察集合时间：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现场考察集合地点：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vAlign w:val="center"/>
          </w:tcPr>
          <w:p>
            <w:pPr>
              <w:wordWrap w:val="0"/>
              <w:topLinePunc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color w:val="auto"/>
                <w:szCs w:val="21"/>
                <w:highlight w:val="none"/>
              </w:rPr>
            </w:pPr>
            <w:r>
              <w:rPr>
                <w:rFonts w:hint="eastAsia" w:ascii="宋体" w:hAnsi="宋体" w:cs="宋体"/>
                <w:color w:val="auto"/>
                <w:szCs w:val="21"/>
                <w:highlight w:val="none"/>
              </w:rPr>
              <w:t>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岀答复、发布招标文件澄清或者修改文件的，应当通过电子交易系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1" w:type="dxa"/>
            <w:gridSpan w:val="2"/>
            <w:vAlign w:val="center"/>
          </w:tcPr>
          <w:p>
            <w:pPr>
              <w:widowControl/>
              <w:wordWrap w:val="0"/>
              <w:spacing w:before="100" w:beforeAutospacing="1" w:after="100" w:afterAutospacing="1"/>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2.4.3</w:t>
            </w:r>
          </w:p>
        </w:tc>
        <w:tc>
          <w:tcPr>
            <w:tcW w:w="3629" w:type="dxa"/>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"https://mail.qq.com/cgi-bin/mail_spam?action=check_link&amp;spam=0&amp;spam_src=1&amp;mailid=&amp;url=http%3A%2F%2Fwww%2Egzzb%2Egd%2Ecn%2Ft05wz%2Ft0206zbdy%2Futil%2Findex_dyyz%2Ejsp"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21"/>
                <w:highlight w:val="none"/>
                <w:u w:val="single"/>
              </w:rPr>
              <w:t>招标答疑</w:t>
            </w:r>
            <w:r>
              <w:rPr>
                <w:rFonts w:hint="eastAsia" w:ascii="宋体" w:hAnsi="宋体" w:eastAsia="宋体" w:cs="宋体"/>
                <w:color w:val="auto"/>
                <w:kern w:val="0"/>
                <w:szCs w:val="21"/>
                <w:highlight w:val="none"/>
                <w:u w:val="single"/>
              </w:rPr>
              <w:fldChar w:fldCharType="end"/>
            </w:r>
            <w:r>
              <w:rPr>
                <w:rFonts w:hint="eastAsia" w:ascii="宋体" w:hAnsi="宋体" w:eastAsia="宋体" w:cs="宋体"/>
                <w:color w:val="auto"/>
                <w:kern w:val="0"/>
                <w:szCs w:val="21"/>
                <w:highlight w:val="none"/>
              </w:rPr>
              <w:t>”中公开登载（或以书面形式通知所有招标文件收受人）。补充材料是招标文件的组成部分，对投标人起约束作用。补充材料如与原招标文件不符，以最新的修改为准。</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wordWrap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投标人应在投标截止时间18日前将需要澄清的一切问题上传到广州公共资源交易中心网站进行网上答疑。招标人对已发出的招标文件进行必要的澄清或者修改的，招标人应当在投标截止时间至少15日前，将统一整理为按时序编号的补充材料，在交易中心网站“项目查询（日程安排、答疑纪要）”中公开登载；不足15日的，招标人应当顺延投标文件的截止时间。</w:t>
            </w:r>
            <w:r>
              <w:rPr>
                <w:rFonts w:hint="eastAsia" w:ascii="宋体" w:hAnsi="宋体" w:eastAsia="宋体" w:cs="宋体"/>
                <w:color w:val="auto"/>
                <w:kern w:val="0"/>
                <w:szCs w:val="21"/>
                <w:highlight w:val="none"/>
              </w:rPr>
              <w:t>补充材料是招标文件的组成部分，对投标人起约束作用。补充材料如与原招标文件不符，以最新的修改为准。</w:t>
            </w:r>
            <w:r>
              <w:rPr>
                <w:rFonts w:hint="eastAsia" w:ascii="宋体" w:hAnsi="宋体" w:eastAsia="宋体" w:cs="宋体"/>
                <w:color w:val="auto"/>
                <w:kern w:val="0"/>
                <w:szCs w:val="21"/>
                <w:highlight w:val="none"/>
                <w:u w:val="single"/>
              </w:rPr>
              <w:t>澄清或答疑纪要是招标文件的组成部分，对投标人起约束作用。若招标答疑纪要或澄清与招标文件有矛盾时，以交易平台网站最后发布的答疑纪要或澄清为准。招标文件的澄清或修改一经在交易平台网站发布，视作已发放给所有投标人。网上答疑的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投标人收到书面补充材料后，应该在首页上签名盖章，并立即传真给招标人或者代理机构，说明收到有关资料。</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投标时间和地点</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p>
        </w:tc>
        <w:tc>
          <w:tcPr>
            <w:tcW w:w="3629" w:type="dxa"/>
            <w:vAlign w:val="center"/>
          </w:tcPr>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投标截止时间为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分，投标地点为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vAlign w:val="center"/>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具体投标截止时间以招标人（招标代理机构）的最新通知为准，请各投标人留意交易平台网站发布的本工程相关信息。</w:t>
            </w:r>
            <w:r>
              <w:rPr>
                <w:rFonts w:hint="eastAsia" w:ascii="宋体" w:hAnsi="宋体" w:cs="宋体"/>
                <w:color w:val="auto"/>
                <w:szCs w:val="21"/>
                <w:highlight w:val="none"/>
                <w:u w:val="single"/>
                <w:lang w:eastAsia="zh-CN"/>
              </w:rPr>
              <w:t>截止至</w:t>
            </w:r>
            <w:r>
              <w:rPr>
                <w:rFonts w:hint="eastAsia" w:ascii="宋体" w:hAnsi="宋体" w:eastAsia="宋体" w:cs="宋体"/>
                <w:color w:val="auto"/>
                <w:szCs w:val="21"/>
                <w:highlight w:val="none"/>
                <w:u w:val="single"/>
              </w:rPr>
              <w:t>投标截止时间，</w:t>
            </w:r>
            <w:r>
              <w:rPr>
                <w:rFonts w:hint="eastAsia" w:ascii="宋体" w:hAnsi="宋体" w:cs="宋体"/>
                <w:color w:val="auto"/>
                <w:szCs w:val="21"/>
                <w:highlight w:val="none"/>
                <w:u w:val="single"/>
                <w:lang w:eastAsia="zh-CN"/>
              </w:rPr>
              <w:t>如</w:t>
            </w:r>
            <w:r>
              <w:rPr>
                <w:rFonts w:hint="eastAsia" w:ascii="宋体" w:hAnsi="宋体" w:eastAsia="宋体" w:cs="宋体"/>
                <w:color w:val="auto"/>
                <w:szCs w:val="21"/>
                <w:highlight w:val="none"/>
                <w:u w:val="single"/>
              </w:rPr>
              <w:t>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投标人应在投标截止时间前递交投标文件，逾期概不受理。</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投标人递交投标文件后应自行离开投标地点，不得逗留及影响他人递交投标文件。</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u w:val="single"/>
              </w:rPr>
              <w:t>逾期送达的投标文件，交易平台将予以拒收。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2.6.6</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拒绝接收投标文件光盘（备用）的情况：</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（1）逾期或未在指定地点递交投标文件光盘（备用）；</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（2）投标人递交的投标文件光盘（备用）未按招标文件要求密封或未在密封处盖章的；</w:t>
            </w:r>
          </w:p>
          <w:p>
            <w:pPr>
              <w:widowControl/>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u w:val="single"/>
              </w:rPr>
              <w:t>（3）投标人代表未凭法定代表人证明书原件（格式见招标文件附录）、法定代表人授权委托书原件（非法定代表人递交投标文件光盘时提供，格式见招标文件附录）、本人身份证</w:t>
            </w:r>
            <w:r>
              <w:rPr>
                <w:rFonts w:hint="eastAsia" w:ascii="宋体" w:hAnsi="宋体" w:cs="宋体"/>
                <w:color w:val="auto"/>
                <w:kern w:val="0"/>
                <w:szCs w:val="21"/>
                <w:highlight w:val="none"/>
                <w:u w:val="single"/>
                <w:lang w:eastAsia="zh-CN"/>
              </w:rPr>
              <w:t>扫描件</w:t>
            </w:r>
            <w:r>
              <w:rPr>
                <w:rFonts w:hint="eastAsia" w:ascii="宋体" w:hAnsi="宋体" w:eastAsia="宋体" w:cs="宋体"/>
                <w:color w:val="auto"/>
                <w:kern w:val="0"/>
                <w:szCs w:val="21"/>
                <w:highlight w:val="none"/>
                <w:u w:val="single"/>
              </w:rPr>
              <w:t>（提供原件核对）、递交投标文件光盘（备用）的。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投标文件编号</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如果实行网上投标，投标文件由远程招标投标服务系统随机编号</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591" w:type="dxa"/>
            <w:gridSpan w:val="2"/>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2.7.3</w:t>
            </w:r>
          </w:p>
        </w:tc>
        <w:tc>
          <w:tcPr>
            <w:tcW w:w="3629" w:type="dxa"/>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技术文件的正本、副本、展示图纸、模型、计算机文件的编号应当一致。</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wordWrap w:val="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w:t>
            </w:r>
          </w:p>
        </w:tc>
        <w:tc>
          <w:tcPr>
            <w:tcW w:w="3629" w:type="dxa"/>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wordWrap w:val="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3649" w:type="dxa"/>
            <w:gridSpan w:val="2"/>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按招标文件规定获得补偿的投标文件，评标后不予退回。</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wordWrap w:val="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按招标文件规定</w:t>
            </w:r>
            <w:r>
              <w:rPr>
                <w:rFonts w:hint="eastAsia" w:ascii="宋体" w:hAnsi="宋体" w:eastAsia="宋体" w:cs="宋体"/>
                <w:strike/>
                <w:color w:val="auto"/>
                <w:kern w:val="0"/>
                <w:szCs w:val="21"/>
                <w:highlight w:val="none"/>
              </w:rPr>
              <w:t>获得补偿</w:t>
            </w:r>
            <w:r>
              <w:rPr>
                <w:rFonts w:hint="eastAsia" w:ascii="宋体" w:hAnsi="宋体" w:eastAsia="宋体" w:cs="宋体"/>
                <w:color w:val="auto"/>
                <w:kern w:val="0"/>
                <w:szCs w:val="21"/>
                <w:highlight w:val="none"/>
                <w:u w:val="single"/>
              </w:rPr>
              <w:t>提交</w:t>
            </w:r>
            <w:r>
              <w:rPr>
                <w:rFonts w:hint="eastAsia" w:ascii="宋体" w:hAnsi="宋体" w:eastAsia="宋体" w:cs="宋体"/>
                <w:color w:val="auto"/>
                <w:kern w:val="0"/>
                <w:szCs w:val="21"/>
                <w:highlight w:val="none"/>
              </w:rPr>
              <w:t>的投标文件，评标后不予退回。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w:t>
            </w:r>
          </w:p>
        </w:tc>
        <w:tc>
          <w:tcPr>
            <w:tcW w:w="3649" w:type="dxa"/>
            <w:gridSpan w:val="2"/>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招标人有权在评标结束后公开展示获得补偿费用的所有投标方案成果，并通过传播媒介、杂志、书刊或其它形式介绍、展示及评价该方案成果，所有展示、推介、广告均不再向投标人支付费用。</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招标人有权在评标结束后公开展示</w:t>
            </w:r>
            <w:r>
              <w:rPr>
                <w:rFonts w:hint="eastAsia" w:ascii="宋体" w:hAnsi="宋体" w:eastAsia="宋体" w:cs="宋体"/>
                <w:strike/>
                <w:color w:val="auto"/>
                <w:kern w:val="0"/>
                <w:szCs w:val="21"/>
                <w:highlight w:val="none"/>
              </w:rPr>
              <w:t>获得补偿费用的</w:t>
            </w:r>
            <w:r>
              <w:rPr>
                <w:rFonts w:hint="eastAsia" w:ascii="宋体" w:hAnsi="宋体" w:eastAsia="宋体" w:cs="宋体"/>
                <w:color w:val="auto"/>
                <w:kern w:val="0"/>
                <w:szCs w:val="21"/>
                <w:highlight w:val="none"/>
              </w:rPr>
              <w:t>所有投标方案成果，并通过传播媒介、杂志、书刊或其它形式介绍、展示及评价该方案成果，所有展示、推介、广告均不再向投标人支付费用。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3649"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授予合同并支付定金后，中标方案的一次性使用权归招标人所有（署名权除外）。</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授予合同并支付定金后，中标方案的一次性使用权、</w:t>
            </w:r>
            <w:r>
              <w:rPr>
                <w:rFonts w:hint="eastAsia" w:ascii="宋体" w:hAnsi="宋体" w:eastAsia="宋体" w:cs="宋体"/>
                <w:color w:val="auto"/>
                <w:szCs w:val="21"/>
                <w:highlight w:val="none"/>
                <w:u w:val="single"/>
              </w:rPr>
              <w:t>知识产权、发表权、展览权</w:t>
            </w:r>
            <w:r>
              <w:rPr>
                <w:rFonts w:hint="eastAsia" w:ascii="宋体" w:hAnsi="宋体" w:eastAsia="宋体" w:cs="宋体"/>
                <w:color w:val="auto"/>
                <w:szCs w:val="21"/>
                <w:highlight w:val="none"/>
              </w:rPr>
              <w:t>归招标人所有（署名权除外）。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3649"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招标人、中标人使用中标方案作为本项目实施方案，招标人向提交方案的投标人付给招标文件规定的补偿后，该方案的著作权、版权、专利权和使用权归招标人所有（署名权除外），招标人、中标人可以在本工程使用该方案。</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2.10.1</w:t>
            </w:r>
          </w:p>
        </w:tc>
        <w:tc>
          <w:tcPr>
            <w:tcW w:w="3649"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除特殊情况外，招标人有权在工程建设中根据需要对选定的实施方案进行调整和修改。招标人有权在实施方案中参考使用</w:t>
            </w:r>
            <w:r>
              <w:rPr>
                <w:rFonts w:hint="eastAsia" w:ascii="宋体" w:hAnsi="宋体" w:eastAsia="宋体" w:cs="宋体"/>
                <w:strike/>
                <w:color w:val="auto"/>
                <w:kern w:val="0"/>
                <w:szCs w:val="21"/>
                <w:highlight w:val="none"/>
              </w:rPr>
              <w:t>获得补偿费用的</w:t>
            </w:r>
            <w:r>
              <w:rPr>
                <w:rFonts w:hint="eastAsia" w:ascii="宋体" w:hAnsi="宋体" w:eastAsia="宋体" w:cs="宋体"/>
                <w:color w:val="auto"/>
                <w:kern w:val="0"/>
                <w:szCs w:val="21"/>
                <w:highlight w:val="none"/>
              </w:rPr>
              <w:t>所有投标方案成果的部分内容，被使用部分的方案使用费按招标文件规定执行。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3649" w:type="dxa"/>
            <w:gridSpan w:val="2"/>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提交投标文件光盘备用</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可制作非加密的电子投标文件刻入光盘（1份），在招标公告规定的时间、地点提交备用。1份投标文件光盘（备用）包括“开标文件光盘”“资格审查文件光盘”“商务文件光盘”“技术文件（设计方案）光盘”“保密文件光盘”共5只光盘。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2.11.2.1</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2.11.2.2</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2.11.2.3</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投标文件由商务文件和技术文件两部分组成。各部分投标文件应分别编制，各自独立包装。商务文件和技术文件两部分组成的总页数建议不超过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投标文件由下列部分组成：（1）开标文件；（2）资格审查文件；（3）商务文件；（4）技术文件（设计方案）；（5）投标文件光盘（备用）。注：投标人也可不提交投标文件光盘（备用）。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w:t>
            </w:r>
          </w:p>
        </w:tc>
        <w:tc>
          <w:tcPr>
            <w:tcW w:w="3629" w:type="dxa"/>
            <w:vAlign w:val="center"/>
          </w:tcPr>
          <w:p>
            <w:pPr>
              <w:wordWrap w:val="0"/>
              <w:topLinePun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全部采用电子文档，投标文件所附证书证件均为原件清晰扫描件或电子证书，并采用单位数字证书，按招标文件要求在相应位置加盖电子印章，投标文件中需个人签字或盖章的，应手签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做到清晰、完整，文本、图纸规格应当尽量统一。除非另有规定，否则投标文件的计量单位宜采用国际标准计量单位，尺寸齐全、准确，所有文字说明和文字标注以中文为准，报价均为人民币，时间均为北京时间。</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投标文件应做到清晰、完整，文本、图纸</w:t>
            </w:r>
            <w:r>
              <w:rPr>
                <w:rFonts w:hint="eastAsia" w:ascii="宋体" w:hAnsi="宋体" w:eastAsia="宋体" w:cs="宋体"/>
                <w:color w:val="auto"/>
                <w:szCs w:val="21"/>
                <w:highlight w:val="none"/>
                <w:u w:val="single"/>
              </w:rPr>
              <w:t>文件大小应满足交易平台的要求</w:t>
            </w:r>
            <w:r>
              <w:rPr>
                <w:rFonts w:hint="eastAsia" w:ascii="宋体" w:hAnsi="宋体" w:eastAsia="宋体" w:cs="宋体"/>
                <w:color w:val="auto"/>
                <w:szCs w:val="21"/>
                <w:highlight w:val="none"/>
              </w:rPr>
              <w:t>。除非另有规定，否则投标文件的计量单位宜采用国际标准计量单位，尺寸齐全、准确，所有文字说明和文字标注以中文为准，报价均为人民币，时间均为北京时间。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3629" w:type="dxa"/>
            <w:vAlign w:val="center"/>
          </w:tcPr>
          <w:p>
            <w:pPr>
              <w:wordWrap w:val="0"/>
              <w:topLinePunct/>
              <w:rPr>
                <w:rFonts w:hint="eastAsia" w:ascii="宋体" w:hAnsi="宋体" w:eastAsia="宋体" w:cs="宋体"/>
                <w:color w:val="auto"/>
                <w:szCs w:val="21"/>
                <w:highlight w:val="none"/>
              </w:rPr>
            </w:pP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wordWrap w:val="0"/>
              <w:topLinePun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商务文件（含资格审查文件）编制要求</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商务文件编制要求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3629" w:type="dxa"/>
            <w:vAlign w:val="center"/>
          </w:tcPr>
          <w:p>
            <w:pPr>
              <w:pStyle w:val="18"/>
              <w:ind w:left="46" w:leftChars="2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商务文件由下列资料组成：</w:t>
            </w:r>
          </w:p>
          <w:p>
            <w:pPr>
              <w:ind w:left="571" w:leftChars="22" w:hanging="525" w:hanging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（1）封面：写明项目名称、商务文件、投标人单位及年月日；加盖投标人公章。</w:t>
            </w:r>
          </w:p>
          <w:p>
            <w:pPr>
              <w:ind w:left="571" w:leftChars="22" w:hanging="525" w:hanging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（2）目录。</w:t>
            </w:r>
          </w:p>
          <w:p>
            <w:pPr>
              <w:ind w:left="46" w:leftChars="2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（3）投标书（格式见附录7）；设计费报价表（格式见附录）。</w:t>
            </w:r>
          </w:p>
          <w:p>
            <w:pPr>
              <w:ind w:left="46" w:leftChars="2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（4）填妥并盖章的《投标申请表》（格式见附录1、2、3）。</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（5）企业营业执照副本复印件。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（6）企业资质证书副本复印件。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（7）项目负责人注册证书或职称证书复印件。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（8）各专业负责人注册证书或职称证书复印件。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（9）企业类似工程业绩证明材料复印件。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（10）项目负责人类似工程业绩证明材料复印件。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（11）为本项目拟投入的技术力量。主要包括项目负责人及各专业负责人的资格、设计经历及业务能力，主要设计人员的资格、设计经历及业务能力，工程</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员的资格、业务能力和工程经验，参加本项目人员配置情况等，对资格、获奖及经历等内容必须附上有关的证明材料，并能保证材料的真实性；（格式见附录）。</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（12）提供勘察、设计优质服务的保证措施和设计周期以及保证设计进度的措施，与各相关部门及当地政府协调措施，代办设计报建的措施；提出工程施工期间设计配合措施。</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（13）满足第一章第1.2条（资格审查合格条件）评审要求的资料。</w:t>
            </w:r>
          </w:p>
        </w:tc>
        <w:tc>
          <w:tcPr>
            <w:tcW w:w="3400" w:type="dxa"/>
          </w:tcPr>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书》（格式见附录7，填妥并签名盖章。本项资料要求投标人在“开标文件”和“商务文件”中同时提供，但评标委员会应根据“开标文件”中的《投标书》进行评审。如两者不一致，以“开标文件”中的《投标书》为准。）</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（3）填妥并盖章的《投标申请表》（格式见附录1，3）。</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（4）项目负责人注册证书或职称证书。</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（5）各专业负责人注册证书或职称证书。</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（6）企业类似工程业绩证明材料。</w:t>
            </w:r>
          </w:p>
          <w:p>
            <w:pPr>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（7）项目负责人类似工程业绩证明材料。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如有</w:t>
            </w:r>
            <w:r>
              <w:rPr>
                <w:rFonts w:hint="eastAsia" w:ascii="宋体" w:hAnsi="宋体" w:cs="宋体"/>
                <w:color w:val="auto"/>
                <w:szCs w:val="21"/>
                <w:highlight w:val="none"/>
                <w:u w:val="single"/>
                <w:lang w:eastAsia="zh-CN"/>
              </w:rPr>
              <w:t>）</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为本项目拟投入的技术力量。主要包括项目负责人及各专业负责人的资格、设计经历及业务能力，主要设计人员的资格、设计经历及业务能力，参加本项目人员配置情况等，对资格、获奖及经历等内容必须附上有关的证明材料，并能保证材料的真实性；（格式见附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（9）企业信誉证明资料（如有）。</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（10）提供</w:t>
            </w:r>
            <w:r>
              <w:rPr>
                <w:rFonts w:hint="eastAsia" w:ascii="宋体" w:hAnsi="宋体" w:eastAsia="宋体" w:cs="宋体"/>
                <w:color w:val="auto"/>
                <w:szCs w:val="21"/>
                <w:highlight w:val="none"/>
              </w:rPr>
              <w:t>勘察、</w:t>
            </w:r>
            <w:r>
              <w:rPr>
                <w:rFonts w:hint="eastAsia" w:ascii="宋体" w:hAnsi="宋体" w:eastAsia="宋体" w:cs="宋体"/>
                <w:color w:val="auto"/>
                <w:szCs w:val="21"/>
                <w:highlight w:val="none"/>
                <w:u w:val="single"/>
              </w:rPr>
              <w:t>设计优质服务的保证措施和设计周期以及保证设计进度的措施，与各相关部门及当地政府协调措施，代办设计报建的措施；提出工程施工期间设计配合措施。</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w:t>
            </w:r>
            <w:r>
              <w:rPr>
                <w:rFonts w:hint="eastAsia" w:ascii="宋体" w:hAnsi="宋体" w:cs="宋体"/>
                <w:color w:val="auto"/>
                <w:szCs w:val="21"/>
                <w:highlight w:val="none"/>
                <w:u w:val="single"/>
              </w:rPr>
              <w:t>勘察设计费报价汇总表、</w:t>
            </w:r>
            <w:r>
              <w:rPr>
                <w:rFonts w:hint="eastAsia" w:ascii="宋体" w:hAnsi="宋体" w:cs="宋体"/>
                <w:color w:val="auto"/>
                <w:szCs w:val="21"/>
                <w:highlight w:val="none"/>
                <w:u w:val="single"/>
                <w:lang w:eastAsia="zh-CN"/>
              </w:rPr>
              <w:t>工程设计费报价表</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工程勘察费报价明细表</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测量费报价表</w:t>
            </w:r>
            <w:r>
              <w:rPr>
                <w:rFonts w:hint="eastAsia" w:ascii="宋体" w:hAnsi="宋体" w:cs="宋体"/>
                <w:color w:val="auto"/>
                <w:szCs w:val="21"/>
                <w:highlight w:val="none"/>
                <w:u w:val="single"/>
              </w:rPr>
              <w:t>、地下管线探测费用计算表</w:t>
            </w:r>
            <w:r>
              <w:rPr>
                <w:rFonts w:hint="eastAsia" w:ascii="宋体" w:hAnsi="宋体" w:eastAsia="宋体" w:cs="宋体"/>
                <w:color w:val="auto"/>
                <w:szCs w:val="21"/>
                <w:highlight w:val="none"/>
                <w:u w:val="single"/>
              </w:rPr>
              <w:t>（格式见附录）。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（12）投标人认为有必要提供的其他资料。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接收投标文件时，如果包封上没有按上述规定密封或加写标志，招标人予以拒绝，并退还给投标人。</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3629"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技术文件编制要求</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技术文件</w:t>
            </w:r>
            <w:r>
              <w:rPr>
                <w:rFonts w:hint="eastAsia" w:ascii="宋体" w:hAnsi="宋体" w:eastAsia="宋体" w:cs="宋体"/>
                <w:b/>
                <w:color w:val="auto"/>
                <w:szCs w:val="21"/>
                <w:highlight w:val="none"/>
                <w:u w:val="single"/>
              </w:rPr>
              <w:t>（设计方案）编制要求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3629"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技术文件由下列资料组成：</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 保密信封。</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 设计方案。</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 计算机文件。</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 展示图纸。</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tcPr>
          <w:p>
            <w:pPr>
              <w:spacing w:line="400" w:lineRule="exact"/>
              <w:ind w:left="721" w:hanging="721" w:hangingChars="34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spacing w:line="400" w:lineRule="exact"/>
              <w:ind w:left="1"/>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技术文件</w:t>
            </w:r>
            <w:r>
              <w:rPr>
                <w:rFonts w:hint="eastAsia" w:ascii="宋体" w:hAnsi="宋体" w:eastAsia="宋体" w:cs="宋体"/>
                <w:b/>
                <w:color w:val="auto"/>
                <w:szCs w:val="21"/>
                <w:highlight w:val="none"/>
                <w:u w:val="single"/>
              </w:rPr>
              <w:t>（设计方案）</w:t>
            </w:r>
            <w:r>
              <w:rPr>
                <w:rFonts w:hint="eastAsia" w:ascii="宋体" w:hAnsi="宋体" w:eastAsia="宋体" w:cs="宋体"/>
                <w:b/>
                <w:color w:val="auto"/>
                <w:szCs w:val="21"/>
                <w:highlight w:val="none"/>
              </w:rPr>
              <w:t>由下列资料组成：</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w:t>
            </w:r>
            <w:r>
              <w:rPr>
                <w:rFonts w:hint="eastAsia" w:ascii="宋体" w:hAnsi="宋体" w:cs="宋体"/>
                <w:color w:val="auto"/>
                <w:szCs w:val="21"/>
                <w:highlight w:val="none"/>
                <w:u w:val="single"/>
                <w:lang w:val="en-US" w:eastAsia="zh-CN"/>
              </w:rPr>
              <w:t>勘察</w:t>
            </w:r>
            <w:r>
              <w:rPr>
                <w:rFonts w:hint="eastAsia" w:ascii="宋体" w:hAnsi="宋体" w:eastAsia="宋体" w:cs="宋体"/>
                <w:color w:val="auto"/>
                <w:szCs w:val="21"/>
                <w:highlight w:val="none"/>
                <w:u w:val="single"/>
              </w:rPr>
              <w:t>设计方案</w:t>
            </w:r>
            <w:r>
              <w:rPr>
                <w:rFonts w:hint="eastAsia" w:ascii="宋体" w:hAnsi="宋体" w:eastAsia="宋体" w:cs="宋体"/>
                <w:color w:val="auto"/>
                <w:szCs w:val="21"/>
                <w:highlight w:val="none"/>
              </w:rPr>
              <w:t>。</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保密要求</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3400" w:type="dxa"/>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保密要求</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技术文件</w:t>
            </w:r>
            <w:r>
              <w:rPr>
                <w:rFonts w:hint="eastAsia" w:ascii="宋体" w:hAnsi="宋体" w:eastAsia="宋体" w:cs="宋体"/>
                <w:bCs/>
                <w:color w:val="auto"/>
                <w:szCs w:val="21"/>
                <w:highlight w:val="none"/>
                <w:u w:val="single"/>
              </w:rPr>
              <w:t>（设计方案）</w:t>
            </w:r>
            <w:r>
              <w:rPr>
                <w:rFonts w:hint="eastAsia" w:ascii="宋体" w:hAnsi="宋体" w:eastAsia="宋体" w:cs="宋体"/>
                <w:color w:val="auto"/>
                <w:szCs w:val="21"/>
                <w:highlight w:val="none"/>
              </w:rPr>
              <w:t>必须隐匿投标人及专业技术人员的名称</w:t>
            </w:r>
            <w:r>
              <w:rPr>
                <w:rFonts w:hint="eastAsia" w:ascii="宋体" w:hAnsi="宋体" w:eastAsia="宋体" w:cs="宋体"/>
                <w:color w:val="auto"/>
                <w:szCs w:val="21"/>
                <w:highlight w:val="none"/>
                <w:u w:val="single"/>
              </w:rPr>
              <w:t>及投标报价信息</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u w:val="single"/>
              </w:rPr>
              <w:t>“保密文件光盘”</w:t>
            </w:r>
            <w:r>
              <w:rPr>
                <w:rFonts w:hint="eastAsia" w:ascii="宋体" w:hAnsi="宋体" w:eastAsia="宋体" w:cs="宋体"/>
                <w:color w:val="auto"/>
                <w:szCs w:val="21"/>
                <w:highlight w:val="none"/>
              </w:rPr>
              <w:t>内的分辨投标人身份的文件外，投标人不得在</w:t>
            </w:r>
            <w:r>
              <w:rPr>
                <w:rFonts w:hint="eastAsia" w:ascii="宋体" w:hAnsi="宋体" w:eastAsia="宋体" w:cs="宋体"/>
                <w:color w:val="auto"/>
                <w:szCs w:val="21"/>
                <w:highlight w:val="none"/>
                <w:u w:val="single"/>
              </w:rPr>
              <w:t>技术文件</w:t>
            </w:r>
            <w:r>
              <w:rPr>
                <w:rFonts w:hint="eastAsia" w:ascii="宋体" w:hAnsi="宋体" w:eastAsia="宋体" w:cs="宋体"/>
                <w:bCs/>
                <w:color w:val="auto"/>
                <w:szCs w:val="21"/>
                <w:highlight w:val="none"/>
                <w:u w:val="single"/>
              </w:rPr>
              <w:t>（设计方案）</w:t>
            </w:r>
            <w:r>
              <w:rPr>
                <w:rFonts w:hint="eastAsia" w:ascii="宋体" w:hAnsi="宋体" w:eastAsia="宋体" w:cs="宋体"/>
                <w:color w:val="auto"/>
                <w:szCs w:val="21"/>
                <w:highlight w:val="none"/>
              </w:rPr>
              <w:t>上标注或做任何可以辨认投标人及专业技术人员身份的名称、印章、商标</w:t>
            </w:r>
            <w:r>
              <w:rPr>
                <w:rFonts w:hint="eastAsia" w:ascii="宋体" w:hAnsi="宋体" w:eastAsia="宋体" w:cs="宋体"/>
                <w:color w:val="auto"/>
                <w:szCs w:val="21"/>
                <w:highlight w:val="none"/>
                <w:u w:val="single"/>
              </w:rPr>
              <w:t>，也不得显示投标报价信息</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w:t>
            </w:r>
          </w:p>
        </w:tc>
        <w:tc>
          <w:tcPr>
            <w:tcW w:w="3629" w:type="dxa"/>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保密信封</w:t>
            </w:r>
          </w:p>
          <w:p>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（2）保密信封用不透明信封独立密封，外面标注“项目名称”及“保密信封”字样。</w:t>
            </w:r>
          </w:p>
        </w:tc>
        <w:tc>
          <w:tcPr>
            <w:tcW w:w="3400" w:type="dxa"/>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修改：</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技术文件（设计方案）光盘和保密文件光盘</w:t>
            </w:r>
          </w:p>
          <w:p>
            <w:pPr>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公章，项目负责人署名。表现图内容应与设计方案一致（并注明表现图在设计方案中的页码或图号），用于分辨投标文件对应的投标人身份。</w:t>
            </w:r>
          </w:p>
          <w:p>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2）技术文件（设计方案）光盘、保密文件光盘接收时不得启封，当符合上款条件需要对技术文件（设计方案）进行评审时，由交易服务机构见证人对技术文件（设计方案）光盘启封密封袋并编号，参与开标、评标的其他人员应当回避，完成编号后送交评标委员会进行评审。评标结果揭晓前，负责编号的工作人员不得向他人透露投标文件编号的情况。在完成技术文件（设计方案）评审后，由交易服务机构见证人和评标委员会共同开启保密文件光盘密封袋揭晓投标人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设计方案</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（1）设计方案以A3(297mm×420mm) 规格编排装订成册  （含封面及封底建议不超过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（2）设计方案文本文件内容：</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封面：写明项目名称、设计作品主题（不宜超过20个字）、编制年月；（白色封面）</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(b) 目录。</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(c) 设计说明书（含本项目的难点、建议和工程创新）。</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(d) 设计图纸。</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(e) 《工期计划表》（方案修改、初步设计、施工图设计的总工时和工期）。</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(f) 投标人认为有必要提供的其他资料。</w:t>
            </w:r>
          </w:p>
          <w:p>
            <w:pPr>
              <w:pStyle w:val="16"/>
              <w:ind w:left="49" w:leftChars="23" w:hanging="1" w:firstLineChars="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如本项目含勘察，则需增加如下内容：</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针对项目场地及工程性质采用的勘察方案及建议，本次勘察的重点、难点及建议。</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(b) 勘察工作流程和相应的工期进度计划。</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(c) 勘察报告综合评价深度，勘察成果文件内容目录。</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(d) 投标人掌握的勘察工作有关的法律法规、标准、规范一览表。</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(e) 需要建设单位配合的事项。</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(f) 投标人参与施工验槽，解决工程设计和施工中与勘察工作有关问题的服务承诺、响应时间。</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（3）设计方案与计算机文件一起用不透明包装物包装密封，外面标注“项目名称”及“设计方案”字样。</w:t>
            </w:r>
          </w:p>
        </w:tc>
        <w:tc>
          <w:tcPr>
            <w:tcW w:w="3400" w:type="dxa"/>
            <w:vAlign w:val="center"/>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技术文件（设计方案）</w:t>
            </w:r>
          </w:p>
          <w:p>
            <w:pPr>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lang w:val="en-US" w:eastAsia="zh-CN"/>
              </w:rPr>
              <w:t>勘察</w:t>
            </w:r>
            <w:r>
              <w:rPr>
                <w:rFonts w:hint="eastAsia" w:ascii="宋体" w:hAnsi="宋体" w:eastAsia="宋体" w:cs="宋体"/>
                <w:color w:val="auto"/>
                <w:szCs w:val="21"/>
                <w:highlight w:val="none"/>
                <w:u w:val="single"/>
              </w:rPr>
              <w:t>设计方案由下列资料组成：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 设计方案文本文件：</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首页：写明项目名称、设计作品主题（不宜超过20个字）、编制年月。</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(c) 设计说明书（含本项目的难点、建议和工程创新）。</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(d) 设计图纸。</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(e) 《工期计划表》（方案修改、初步设计、施工图设计的总工时和工期）。</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(f) 投标人认为有必要提供的其他资料。</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（2）勘察方案文本文件：</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针对项目场地及工程性质采用的勘察方案及建议，本次勘察的重点、难点及建议。</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勘察工作流程和相应的工期进度计划。</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(c) 勘察报告综合评价深度，勘察成果文件内容目录。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(d) 投标人掌握的勘察工作有关的法律法规、标准、规范一览表。</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(e) 需要建设单位配合的事项。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(f) 投标人参与施工验槽，解决工程设计和施工中与勘察工作有关问题的服务承诺、响应时间。</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注：技术文件（勘察设计方案）文件大小不宜超过500M。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计算机文件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（1）计算机文件包括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内容：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一张用于识别投标方案的JPG格式的图型文件。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(b) 一套PDF格式或PPT格式制作的电子版文本文件。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(c) 一套WORD格式的电子版文本文件。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(d) 一套AutoCAD格式的设计图形文件。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（2）计算机文件应从网上投递到勘察设计远程招标投标服务系统。同时还要刻录光盘1套，随纸质文本文件一起提交。</w:t>
            </w:r>
          </w:p>
        </w:tc>
        <w:tc>
          <w:tcPr>
            <w:tcW w:w="3400" w:type="dxa"/>
            <w:vAlign w:val="center"/>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w:t>
            </w:r>
          </w:p>
        </w:tc>
        <w:tc>
          <w:tcPr>
            <w:tcW w:w="3629" w:type="dxa"/>
            <w:vAlign w:val="center"/>
          </w:tcPr>
          <w:p>
            <w:pPr>
              <w:ind w:left="1" w:hanging="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展示图纸</w:t>
            </w:r>
          </w:p>
          <w:p>
            <w:pPr>
              <w:ind w:left="1"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（1）设计方案展示图纸制作一套，不宜超过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幅，内容为表现图、分析示意图、总平面图等，可以水平或垂直展示，图纸规格不宜大于A0（约1189mm×841mm），图纸比例由投标人根据视觉效果自行决定，展示图纸宜裱在轻质板上。</w:t>
            </w:r>
          </w:p>
          <w:p>
            <w:pPr>
              <w:ind w:left="1"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（2）展示图纸用不透明包装物包装密封，外面标注“项目名称”及“展示图纸”字样。</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投标人□需要/</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不需要提交投标保证金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元，投标保证金于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日前交到</w:t>
            </w:r>
            <w:r>
              <w:rPr>
                <w:rFonts w:hint="eastAsia" w:ascii="宋体" w:hAnsi="宋体" w:eastAsia="宋体" w:cs="宋体"/>
                <w:color w:val="auto"/>
                <w:szCs w:val="21"/>
                <w:highlight w:val="none"/>
                <w:u w:val="single"/>
              </w:rPr>
              <w:t xml:space="preserve">                       </w:t>
            </w:r>
          </w:p>
        </w:tc>
        <w:tc>
          <w:tcPr>
            <w:tcW w:w="3400"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是否要求投标人递交投标保证金：</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要求，投标保证金的金额：人民币</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万元 </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投标保证金可采用的其他形式：汇票、信用证、保险、银行保函、银行本票、电子保函或其他合法形式。</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招标人指定的开户银行及账号如下：</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账户名称：广州交易集团有限公司</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开户银行：建行天润路支行</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账号：44001583404059333333</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财务联系人及电话：020-28866000-4-0</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具体操作详见《广州公共资源交易中心关于投标项目保证金操作指引的说明》。</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采用现金或支票方式：由投标人的基本账户转入招标人指定的账户，投标保证金到达招标人指定账户时间为递交投标文件截止时间前；</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采用银行保函，必须由投标人的基本账户开具，若基本账户银行不能开具，可由上级银行出具并附相关证明材料，否则视为无效，其彩色复印按规定放在投标文件中；</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采用汇票或建设工程投标保证保险（保险合同或保险单）或银行本票时，其彩色复印按规定放在投标文件中；</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采用由保险公司出具的建设工程投标保证保险（保险合同或保险单）时：应符合《广东省住房和城乡建设厅 广东省发展和改革委员会 广东省人力资源和社会保障厅 广东省交通运输厅 广东省水利厅 中国保险监督管理委员会 广东监管局关于开展建设工程保证保险有关工作的通知》（粤建规范〔2018〕2号）文件规定。</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采用其他金融机构开具的保函时：保函格式应满足招标文件格式中关于银行保函的格式要求。</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采用信用证或电子保函或电子保险时，其彩色复印件或打印件在递交投标文件时单独密封递交并按规定放在投标文件中。</w:t>
            </w:r>
          </w:p>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投标有效期90天，</w:t>
            </w:r>
            <w:r>
              <w:rPr>
                <w:rFonts w:hint="eastAsia" w:ascii="宋体" w:hAnsi="宋体" w:eastAsia="宋体" w:cs="宋体"/>
                <w:color w:val="auto"/>
                <w:sz w:val="21"/>
                <w:szCs w:val="21"/>
                <w:highlight w:val="none"/>
              </w:rPr>
              <w:t>从提交投标文件截止日起计算。在提交投标文件截止时间后到招标文件规定的投标有效期终止之前，投标人不得补充、修改或者</w:t>
            </w:r>
            <w:r>
              <w:rPr>
                <w:rFonts w:hint="eastAsia" w:ascii="宋体" w:hAnsi="宋体" w:eastAsia="宋体" w:cs="宋体"/>
                <w:color w:val="auto"/>
                <w:sz w:val="21"/>
                <w:szCs w:val="21"/>
                <w:highlight w:val="none"/>
                <w:u w:val="single"/>
              </w:rPr>
              <w:t>撤回</w:t>
            </w:r>
            <w:r>
              <w:rPr>
                <w:rFonts w:hint="eastAsia" w:ascii="宋体" w:hAnsi="宋体" w:eastAsia="宋体" w:cs="宋体"/>
                <w:color w:val="auto"/>
                <w:sz w:val="21"/>
                <w:szCs w:val="21"/>
                <w:highlight w:val="none"/>
              </w:rPr>
              <w:t>其投标文件。</w:t>
            </w: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color w:val="auto"/>
                <w:kern w:val="0"/>
                <w:sz w:val="21"/>
                <w:szCs w:val="21"/>
                <w:highlight w:val="none"/>
              </w:rPr>
              <w:t>投标有效期90天，</w:t>
            </w:r>
            <w:r>
              <w:rPr>
                <w:rFonts w:hint="eastAsia" w:ascii="宋体" w:hAnsi="宋体" w:eastAsia="宋体" w:cs="宋体"/>
                <w:color w:val="auto"/>
                <w:sz w:val="21"/>
                <w:szCs w:val="21"/>
                <w:highlight w:val="none"/>
              </w:rPr>
              <w:t>从提交投标文件截止日起计算。在提交投标文件截止时间后到招标文件规定的投标有效期终止之前，投标人不得补充、修改或者修改或者</w:t>
            </w:r>
            <w:r>
              <w:rPr>
                <w:rFonts w:hint="eastAsia" w:ascii="宋体" w:hAnsi="宋体" w:eastAsia="宋体" w:cs="宋体"/>
                <w:strike/>
                <w:color w:val="auto"/>
                <w:sz w:val="21"/>
                <w:szCs w:val="21"/>
                <w:highlight w:val="none"/>
                <w:u w:val="single"/>
              </w:rPr>
              <w:t>撤回</w:t>
            </w:r>
            <w:r>
              <w:rPr>
                <w:rFonts w:hint="eastAsia" w:ascii="宋体" w:hAnsi="宋体" w:eastAsia="宋体" w:cs="宋体"/>
                <w:color w:val="auto"/>
                <w:sz w:val="21"/>
                <w:szCs w:val="21"/>
                <w:highlight w:val="none"/>
              </w:rPr>
              <w:t>更换其投标文件。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3629" w:type="dxa"/>
            <w:vAlign w:val="center"/>
          </w:tcPr>
          <w:p>
            <w:pPr>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开标文件编制要求</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3.5.1开标文件由下列资料组成：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（1）《投标书》（格式见附录7，填妥并签名盖章）。</w:t>
            </w:r>
          </w:p>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3629" w:type="dxa"/>
            <w:vAlign w:val="center"/>
          </w:tcPr>
          <w:p>
            <w:pPr>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资格审查文件编制要求</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3.6.1资格审查文件由下列资料组成：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（2）法定代表人证明书及法定代表人授权委托书（如果有）（格式见附录）。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（3）企业营业执照副本。</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（4）企业资质证书副本。</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（5）资格审查前，申请人及项目负责人已在广州公共资源交易中心办理企业信息登记，及拟担任本工程项目负责人须是本企业在广州公共资源交易中心企业信息登记中的在册人员。</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（6）项目负责人职称证书。</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（7）满足招标公告第1.2.6及1.2.1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条（资格审查合格条件）评审要求的资料。</w:t>
            </w:r>
          </w:p>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3629" w:type="dxa"/>
            <w:vAlign w:val="center"/>
          </w:tcPr>
          <w:p>
            <w:pPr>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投标文件光盘（备用）</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3.7.1投标文件光盘（备用）1份包括“开标文件光盘”“资格审查文件光盘”“商务文件光盘”“技术文件（设计方案）光盘”“保密文件光盘”共5只光盘。</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（1）开标文件光盘包括下列内容：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一套PDF格式制作的电子版开标</w:t>
            </w:r>
            <w:r>
              <w:rPr>
                <w:rFonts w:hint="eastAsia" w:ascii="宋体" w:hAnsi="宋体" w:eastAsia="宋体" w:cs="宋体"/>
                <w:strike/>
                <w:color w:val="auto"/>
                <w:szCs w:val="21"/>
                <w:highlight w:val="none"/>
                <w:u w:val="single"/>
              </w:rPr>
              <w:t>信封</w:t>
            </w:r>
            <w:r>
              <w:rPr>
                <w:rFonts w:hint="eastAsia" w:ascii="宋体" w:hAnsi="宋体" w:eastAsia="宋体" w:cs="宋体"/>
                <w:color w:val="auto"/>
                <w:szCs w:val="21"/>
                <w:highlight w:val="none"/>
                <w:u w:val="single"/>
              </w:rPr>
              <w:t>文本文件。</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(b) 一套WORD格式的电子版开标</w:t>
            </w:r>
            <w:r>
              <w:rPr>
                <w:rFonts w:hint="eastAsia" w:ascii="宋体" w:hAnsi="宋体" w:eastAsia="宋体" w:cs="宋体"/>
                <w:strike/>
                <w:color w:val="auto"/>
                <w:szCs w:val="21"/>
                <w:highlight w:val="none"/>
                <w:u w:val="single"/>
              </w:rPr>
              <w:t>信封</w:t>
            </w:r>
            <w:r>
              <w:rPr>
                <w:rFonts w:hint="eastAsia" w:ascii="宋体" w:hAnsi="宋体" w:eastAsia="宋体" w:cs="宋体"/>
                <w:color w:val="auto"/>
                <w:szCs w:val="21"/>
                <w:highlight w:val="none"/>
                <w:u w:val="single"/>
              </w:rPr>
              <w:t>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（2）资格审查文件光盘包括下列内容：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一套PDF格式制作的电子版资格审查文件文本文件。</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(b) 一套WORD格式的电子版资格审查文件文本文件。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（3）商务文件光盘包括下列内容：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一套PDF格式制作的电子版商务文件文本文件。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一套WORD格式的电子版商务文件文本文件。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（4）技术文件（设计方案）光盘包括下列内容：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一套PDF格式制作的电子版技术文件（设计方案）文本文件。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一套WORD格式的电子版技术文件（设计方案）文本文件（不须包含设计图形部分内容）。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(c) 一套AutoCAD格式的设计图形文件。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（5）保密文件光盘包括下列内容：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3.7.2投标文件光盘（备用）的封装要求详见招标文件第二章第2.11.1款的规定。投标人可自主选择是否递交投标文件光盘（备用）。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投标人有下列情况之一的，招标人将拒绝接收投标人的投标文件：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在投标截止期后逾期或未在指定地点递交投标文件的。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投标文件未按招标文件要求密封的。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(c) 项目负责人未携本人身份证原件准时出席收标会或未按要求签到的。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(d) 在投标截止时，投标人代表未同时凭法定代表人证明书原件、法定代表人授权委托书原件（非法定代表人参加时提供）、本人身份证原件递交投标文件的。</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投标人有下列情况之一的，招标人将拒绝接收投标人的投标文件</w:t>
            </w:r>
            <w:r>
              <w:rPr>
                <w:rFonts w:hint="eastAsia" w:ascii="宋体" w:hAnsi="宋体" w:eastAsia="宋体" w:cs="宋体"/>
                <w:color w:val="auto"/>
                <w:szCs w:val="21"/>
                <w:highlight w:val="none"/>
                <w:u w:val="single"/>
              </w:rPr>
              <w:t>或投标文件光盘（备用）</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在投标截止期后逾期或未在指定</w:t>
            </w:r>
            <w:r>
              <w:rPr>
                <w:rFonts w:hint="eastAsia" w:ascii="宋体" w:hAnsi="宋体" w:eastAsia="宋体" w:cs="宋体"/>
                <w:color w:val="auto"/>
                <w:szCs w:val="21"/>
                <w:highlight w:val="none"/>
                <w:u w:val="single"/>
              </w:rPr>
              <w:t>交易平台</w:t>
            </w:r>
            <w:r>
              <w:rPr>
                <w:rFonts w:hint="eastAsia" w:ascii="宋体" w:hAnsi="宋体" w:eastAsia="宋体" w:cs="宋体"/>
                <w:color w:val="auto"/>
                <w:szCs w:val="21"/>
                <w:highlight w:val="none"/>
              </w:rPr>
              <w:t>递交</w:t>
            </w:r>
            <w:r>
              <w:rPr>
                <w:rFonts w:hint="eastAsia" w:ascii="宋体" w:hAnsi="宋体" w:eastAsia="宋体" w:cs="宋体"/>
                <w:color w:val="auto"/>
                <w:szCs w:val="21"/>
                <w:highlight w:val="none"/>
                <w:u w:val="single"/>
              </w:rPr>
              <w:t>电子</w:t>
            </w:r>
            <w:r>
              <w:rPr>
                <w:rFonts w:hint="eastAsia" w:ascii="宋体" w:hAnsi="宋体" w:eastAsia="宋体" w:cs="宋体"/>
                <w:color w:val="auto"/>
                <w:szCs w:val="21"/>
                <w:highlight w:val="none"/>
              </w:rPr>
              <w:t>投标文件的</w:t>
            </w:r>
            <w:r>
              <w:rPr>
                <w:rFonts w:hint="eastAsia" w:ascii="宋体" w:hAnsi="宋体" w:eastAsia="宋体" w:cs="宋体"/>
                <w:color w:val="auto"/>
                <w:szCs w:val="21"/>
                <w:highlight w:val="none"/>
                <w:u w:val="single"/>
              </w:rPr>
              <w:t>，招标人（或招标代理）拒绝接收其电子投标文件</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r>
              <w:rPr>
                <w:rFonts w:hint="eastAsia" w:ascii="宋体" w:hAnsi="宋体" w:eastAsia="宋体" w:cs="宋体"/>
                <w:color w:val="auto"/>
                <w:szCs w:val="21"/>
                <w:highlight w:val="none"/>
                <w:u w:val="single"/>
              </w:rPr>
              <w:t>投标人代表未凭法定代表人证明书原件（格式见招标文件附录）、法定代表人授权委托书原件（非法定代表人递交投标文件光盘时提供，格式见招标文件附录）、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商务文件封面未盖投标人公章。</w:t>
            </w: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投标人与其他投标人加密打包投标文件电脑机器特征码一致的</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（k）</w:t>
            </w:r>
          </w:p>
        </w:tc>
        <w:tc>
          <w:tcPr>
            <w:tcW w:w="3629" w:type="dxa"/>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未按照招标文件要求进行投标报价的。</w:t>
            </w: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未按照招标文件要求填报设计费报价汇总表的。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w:t>
            </w:r>
          </w:p>
        </w:tc>
        <w:tc>
          <w:tcPr>
            <w:tcW w:w="3629" w:type="dxa"/>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技术投标文件有下列情况之一的，由评标委员会确定其为废标：</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（a）投标人在设计方案内标注名称、印章、商标等记认符号，使人辨认出投标人或其专业技术人员的身份。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（b）有互相雷同或串通投标的。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（c）有明显抄袭行为。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（d）侵犯他人著作权和特许权。</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（e）不按第三章投标文件编制要求编制投标文件。 </w:t>
            </w:r>
          </w:p>
          <w:p>
            <w:pPr>
              <w:rPr>
                <w:rFonts w:hint="eastAsia" w:ascii="宋体" w:hAnsi="宋体" w:eastAsia="宋体" w:cs="宋体"/>
                <w:color w:val="auto"/>
                <w:szCs w:val="21"/>
                <w:highlight w:val="none"/>
              </w:rPr>
            </w:pPr>
          </w:p>
        </w:tc>
        <w:tc>
          <w:tcPr>
            <w:tcW w:w="3400" w:type="dxa"/>
          </w:tcPr>
          <w:p>
            <w:pPr>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技术文件（设计方案）有下列情况之一的，由评标委员会确定其为废标：</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（a）投标人在</w:t>
            </w:r>
            <w:r>
              <w:rPr>
                <w:rFonts w:hint="eastAsia" w:ascii="宋体" w:hAnsi="宋体" w:eastAsia="宋体" w:cs="宋体"/>
                <w:color w:val="auto"/>
                <w:szCs w:val="21"/>
                <w:highlight w:val="none"/>
                <w:u w:val="single"/>
              </w:rPr>
              <w:t>技术文件（设计方案）</w:t>
            </w:r>
            <w:r>
              <w:rPr>
                <w:rFonts w:hint="eastAsia" w:ascii="宋体" w:hAnsi="宋体" w:eastAsia="宋体" w:cs="宋体"/>
                <w:color w:val="auto"/>
                <w:szCs w:val="21"/>
                <w:highlight w:val="none"/>
              </w:rPr>
              <w:t>上标注名称、印章、商标等记认符号</w:t>
            </w:r>
            <w:r>
              <w:rPr>
                <w:rFonts w:hint="eastAsia" w:ascii="宋体" w:hAnsi="宋体" w:eastAsia="宋体" w:cs="宋体"/>
                <w:color w:val="auto"/>
                <w:szCs w:val="21"/>
                <w:highlight w:val="none"/>
                <w:u w:val="single"/>
              </w:rPr>
              <w:t>或显示投标报价信息</w:t>
            </w:r>
            <w:r>
              <w:rPr>
                <w:rFonts w:hint="eastAsia" w:ascii="宋体" w:hAnsi="宋体" w:eastAsia="宋体" w:cs="宋体"/>
                <w:color w:val="auto"/>
                <w:szCs w:val="21"/>
                <w:highlight w:val="none"/>
              </w:rPr>
              <w:t>，使人辨认出投标人或其专业技术人员的身份。</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（b）有互相雷同或串通投标的。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（c）有明显抄袭行为。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（d）侵犯他人著作权和特许权。</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（e）不按第三章投标文件编制要求编制投标文件。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w:t>
            </w:r>
          </w:p>
        </w:tc>
        <w:tc>
          <w:tcPr>
            <w:tcW w:w="3629" w:type="dxa"/>
            <w:vAlign w:val="center"/>
          </w:tcPr>
          <w:p>
            <w:pPr>
              <w:widowControl/>
              <w:jc w:val="left"/>
              <w:rPr>
                <w:rFonts w:hint="eastAsia" w:ascii="宋体" w:hAnsi="宋体" w:eastAsia="宋体" w:cs="宋体"/>
                <w:color w:val="auto"/>
                <w:kern w:val="0"/>
                <w:szCs w:val="21"/>
                <w:highlight w:val="none"/>
              </w:rPr>
            </w:pP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投标人有下列情况之一的，视为串通投标：</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递交投标文件前，投标人私下向招标人或其雇员出示或告知投标文件内容；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评标表决结束前，投标人私下向评标委员会成员出示或告知投标文件内容；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(c) 评标结果揭晓前，投标人与招标人就投标价格、投标方案等实质性内容进行谈判。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评标委员会由广州建设工程交易中心专家库随机抽取的专家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名和业主代表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名组成，共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评标委员会由</w:t>
            </w:r>
            <w:r>
              <w:rPr>
                <w:rFonts w:hint="eastAsia" w:ascii="宋体" w:hAnsi="宋体" w:eastAsia="宋体" w:cs="宋体"/>
                <w:color w:val="auto"/>
                <w:szCs w:val="21"/>
                <w:highlight w:val="none"/>
                <w:u w:val="single"/>
              </w:rPr>
              <w:t>招标人依法组建，其中招标人代表不超过总人数的1/3</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3629" w:type="dxa"/>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评标办法 采用  </w:t>
            </w:r>
            <w:r>
              <w:rPr>
                <w:rFonts w:hint="eastAsia" w:ascii="宋体" w:hAnsi="宋体" w:eastAsia="宋体" w:cs="宋体"/>
                <w:color w:val="auto"/>
                <w:szCs w:val="21"/>
                <w:highlight w:val="none"/>
                <w:u w:val="single"/>
              </w:rPr>
              <w:t xml:space="preserve">            </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 采用</w:t>
            </w:r>
            <w:r>
              <w:rPr>
                <w:rFonts w:hint="eastAsia" w:ascii="宋体" w:hAnsi="宋体" w:eastAsia="宋体" w:cs="宋体"/>
                <w:color w:val="auto"/>
                <w:szCs w:val="21"/>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办法一</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w:t>
            </w:r>
          </w:p>
        </w:tc>
        <w:tc>
          <w:tcPr>
            <w:tcW w:w="3629" w:type="dxa"/>
            <w:vAlign w:val="center"/>
          </w:tcPr>
          <w:p>
            <w:pP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办法一   采用综合评分法评标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  开标评标程序</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（1）投标人递交投标文件。</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（2）对商务文件公开开标（技术文件不予开封）。</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（3）对投标人进行资格审查，编写资格审查报告。</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（4）对商务文件进行有效性审查，并对通过有效性审查的商务文件进行综合评分。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（5）对技术文件编号，之后先进行有效性审查，然后对通过有效性审查的技术文件进行综合评分。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（6）揭晓技术文件评审结果。</w:t>
            </w:r>
          </w:p>
          <w:p>
            <w:pPr>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（7）汇总投标人的综合得分，推荐中标候选人并编写评审报告。</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　</w:t>
            </w:r>
            <w:r>
              <w:rPr>
                <w:rFonts w:hint="eastAsia" w:ascii="宋体" w:hAnsi="宋体" w:eastAsia="宋体" w:cs="宋体"/>
                <w:color w:val="auto"/>
                <w:szCs w:val="21"/>
                <w:highlight w:val="none"/>
                <w:u w:val="single"/>
              </w:rPr>
              <w:t>开标及投标文件编号</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资格审查文件和商务文件。未在规定时间内解密的投标文件不参与开标、评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5.3.1.2截标后，开标开始时间因故推迟的，相关评标信息仍以原定的开标开始时间的信息为准。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5.3.1.3备用光盘的读取按2.11.2的规定执行。</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5.3.1.5开标方式采用电子开标和现场开标两种模式，投标人可选择在开标室参与开标或准时在线参加开标，也可不参加开标。参加电子开标的投标人登录交易平台实时查看开标、唱标情况。交易平台生成开标记录并向社会公众公布。</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5.3.1.6参加现场开标的投标人对开标结果有异议的，应当在开标现场提出，招标人应当当场作出答复，并制作记录。</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5.3.1.7参加电子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5.3.1.8投标人未参加开标或在规定的时间内未提出异议的，视为对开标无异议。</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5.3.1.9开标时，两个（含两个）以上的投标人加密打包投标文件电脑机器特征码一致的，由评标委员会确定其为废标。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5.3.1.10技术文件（设计方案）开标时不得开启，在评标时由交易平台随机编号后开启，交由评标委员会进行评审。编号所对应的投标人在投票结束前不得告知评标委员会、交易平台工作人员、招标人或招标代理机构。</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5.3.1.11开标时，出现下列情形之一的投标人，不参与下一程序，其投标文件作无效处理：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（1）未成功递交或因投标人原因未成功导入投标文件的；</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（2）因投标人原因造成投标文件未解密的。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办法一</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  招标人（或招标代理机构）在不透露投标人身份的前提下将技术文件交给评标委员会，不需要投标人派代表介绍投标方案。评审采用综合评分法。每个项目的权重分值详见“综合评分表”（格式见附录14、16）。评委必须严格按照“综合评分表”对投标文件进行评议、打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 评标委员会专家按附录14《商务文件综合评分表》对各投标单位的商务文件进行综合评分。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 评标委员会专家按附录16《技术文件综合评分表》对各投标单位的技术文件（设计方案）进行综合评分。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(g) 招标人（或招标代理机构）和交易中心工作人员开启保密信封，找出各编号技术文件所对应的投标人。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 计算各投标人的综合得分，投标人的综合得分（满分100分）＝商务文件得分×30％（招标人确定）+技术文件得分×70％</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(j) 招标人（或招标代理机构）提前将揭晓评标结果的会议时间和地点通知所有投标人，并邀请投标人出席。公开展示所有投标文件及其评审名次，并根据请求告知已投标但未出席会议的投标人。</w:t>
            </w:r>
          </w:p>
          <w:p>
            <w:pPr>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(k ) 评标委员会向招标人提交书面评标报告后即告解散，评标过程中使用的文件、表格以及其他资料应当即时归还招标人（或招标代理机构）。</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5.3.2  </w:t>
            </w:r>
            <w:r>
              <w:rPr>
                <w:rFonts w:hint="eastAsia" w:ascii="宋体" w:hAnsi="宋体" w:eastAsia="宋体" w:cs="宋体"/>
                <w:color w:val="auto"/>
                <w:szCs w:val="21"/>
                <w:highlight w:val="none"/>
                <w:u w:val="single"/>
              </w:rPr>
              <w:t>技术文件（设计方案）开标时不得开启，在评标时由交易平台随机编号后开启，交由评标委员会以暗标形式进行评审</w:t>
            </w:r>
            <w:r>
              <w:rPr>
                <w:rFonts w:hint="eastAsia" w:ascii="宋体" w:hAnsi="宋体" w:eastAsia="宋体" w:cs="宋体"/>
                <w:color w:val="auto"/>
                <w:szCs w:val="21"/>
                <w:highlight w:val="none"/>
              </w:rPr>
              <w:t>，不需要投标人派代表介绍投标方案。评审采用综合评分法。每个项目的权重分值详见“综合评分表”（格式见附录14、16）。评委必须严格按照“综合评分表”对投标文件进行评议、打分。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 评标委员会专家首先按附录12《资格审查表》对各投标文件进行</w:t>
            </w:r>
            <w:r>
              <w:rPr>
                <w:rFonts w:hint="eastAsia" w:ascii="宋体" w:hAnsi="宋体" w:eastAsia="宋体" w:cs="宋体"/>
                <w:color w:val="auto"/>
                <w:szCs w:val="21"/>
                <w:highlight w:val="none"/>
                <w:u w:val="single"/>
              </w:rPr>
              <w:t>资格</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u w:val="single"/>
              </w:rPr>
              <w:t>，编写资格审查报告。</w:t>
            </w:r>
            <w:r>
              <w:rPr>
                <w:rFonts w:hint="eastAsia" w:ascii="宋体" w:hAnsi="宋体" w:eastAsia="宋体" w:cs="宋体"/>
                <w:color w:val="auto"/>
                <w:szCs w:val="21"/>
                <w:highlight w:val="none"/>
              </w:rPr>
              <w:t>只有通过资格审查的投标文件方可进入下一阶段的评审。如果有废标提议，则评标委员会成员共同表决，按照少数服从多数的原则决定是否废标。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 评标委员会专家按附录14《商务文件综合评分表》对各投标单位的商务文件进行综合评分。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 评标委员会专家按附录16《技术文件综合评分表》对各投标单位的技术文件进行综合评分。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(g)</w:t>
            </w:r>
            <w:r>
              <w:rPr>
                <w:rFonts w:hint="eastAsia" w:ascii="宋体" w:hAnsi="宋体" w:eastAsia="宋体" w:cs="宋体"/>
                <w:color w:val="auto"/>
                <w:szCs w:val="21"/>
                <w:highlight w:val="none"/>
                <w:u w:val="single"/>
              </w:rPr>
              <w:t>评标委员会揭晓各技术文件对应的投标人身份。</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w:t>
            </w:r>
            <w:r>
              <w:rPr>
                <w:rFonts w:hint="eastAsia" w:ascii="宋体" w:hAnsi="宋体" w:eastAsia="宋体" w:cs="宋体"/>
                <w:color w:val="auto"/>
                <w:szCs w:val="21"/>
                <w:highlight w:val="none"/>
                <w:u w:val="single"/>
              </w:rPr>
              <w:t>按只有通过资格审查及有效性审查的投标人的投标文件方可进入下一阶段评审的评审原则，评标委员会汇总计算各有效投标人的综合得分，投标人的综合得分（满分100分）＝商务文件得分×30％+技术文件得分×70％，然后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(i)</w:t>
            </w:r>
            <w:r>
              <w:rPr>
                <w:rFonts w:hint="eastAsia" w:ascii="宋体" w:hAnsi="宋体" w:eastAsia="宋体" w:cs="宋体"/>
                <w:color w:val="auto"/>
                <w:szCs w:val="21"/>
                <w:highlight w:val="none"/>
              </w:rPr>
              <w:t xml:space="preserve">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(j)</w:t>
            </w:r>
            <w:r>
              <w:rPr>
                <w:rFonts w:hint="eastAsia" w:ascii="宋体" w:hAnsi="宋体" w:eastAsia="宋体" w:cs="宋体"/>
                <w:color w:val="auto"/>
                <w:szCs w:val="21"/>
                <w:highlight w:val="none"/>
              </w:rPr>
              <w:t xml:space="preserve"> 招标人（或招标代理机构）提前将揭晓</w:t>
            </w:r>
            <w:r>
              <w:rPr>
                <w:rFonts w:hint="eastAsia" w:ascii="宋体" w:hAnsi="宋体" w:eastAsia="宋体" w:cs="宋体"/>
                <w:color w:val="auto"/>
                <w:szCs w:val="21"/>
                <w:highlight w:val="none"/>
                <w:u w:val="single"/>
              </w:rPr>
              <w:t>技术文件（设计方案）</w:t>
            </w:r>
            <w:r>
              <w:rPr>
                <w:rFonts w:hint="eastAsia" w:ascii="宋体" w:hAnsi="宋体" w:eastAsia="宋体" w:cs="宋体"/>
                <w:color w:val="auto"/>
                <w:szCs w:val="21"/>
                <w:highlight w:val="none"/>
              </w:rPr>
              <w:t>评标结果的会议时间和地点通知所有投标人，并邀请投标人出席。公开所有</w:t>
            </w:r>
            <w:r>
              <w:rPr>
                <w:rFonts w:hint="eastAsia" w:ascii="宋体" w:hAnsi="宋体" w:eastAsia="宋体" w:cs="宋体"/>
                <w:color w:val="auto"/>
                <w:szCs w:val="21"/>
                <w:highlight w:val="none"/>
                <w:u w:val="single"/>
              </w:rPr>
              <w:t>技术文件（设计方案）</w:t>
            </w:r>
            <w:r>
              <w:rPr>
                <w:rFonts w:hint="eastAsia" w:ascii="宋体" w:hAnsi="宋体" w:eastAsia="宋体" w:cs="宋体"/>
                <w:color w:val="auto"/>
                <w:szCs w:val="21"/>
                <w:highlight w:val="none"/>
              </w:rPr>
              <w:t>评审名次，并根据请求告知已投标但未出席会议的投标人。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(k)</w:t>
            </w:r>
            <w:r>
              <w:rPr>
                <w:rFonts w:hint="eastAsia" w:ascii="宋体" w:hAnsi="宋体" w:eastAsia="宋体" w:cs="宋体"/>
                <w:color w:val="auto"/>
                <w:szCs w:val="21"/>
                <w:highlight w:val="none"/>
              </w:rPr>
              <w:t xml:space="preserve"> 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办法二</w:t>
            </w:r>
          </w:p>
        </w:tc>
        <w:tc>
          <w:tcPr>
            <w:tcW w:w="3629" w:type="dxa"/>
            <w:vAlign w:val="center"/>
          </w:tcPr>
          <w:p>
            <w:pP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采用投票法评标</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5.4.2</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招标人采用下面方法确定中标人：</w:t>
            </w:r>
          </w:p>
          <w:p>
            <w:pPr>
              <w:ind w:left="48" w:leftChars="2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□（a）招标人委托评标委员会直接确定中标人；</w:t>
            </w:r>
          </w:p>
          <w:p>
            <w:pPr>
              <w:ind w:left="48" w:leftChars="2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招标人采用下面方法确定中标人：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□（a）招标人委托评标委员会直接确定中标人；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确定评标委员会推荐的排名第一的中标候选人为中标人。排名第一的中标候选人放弃中标、因不可抗力提出不能履行合同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5.4.3</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ind w:left="21" w:hanging="21" w:hangingChars="1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在产生中标候选人后，招标人将中标候选人的投标文件商务部分（包括人员、业绩、奖项等资料）等在交易平台和广东省招标投标监管网公开，</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公示期不得少于3日。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发生下列情形之一的，招标人将重新组织招标：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递交投标文件或通过资格审查的投标人不足五人；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所有投标被否决，或者经评议有效投标的投标人不足三人；</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发生下列情形之一的，招标人将重新组织招标：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递交投标文件或通过资格审查的投标人不足</w:t>
            </w:r>
            <w:r>
              <w:rPr>
                <w:rFonts w:hint="eastAsia" w:ascii="宋体" w:hAnsi="宋体" w:eastAsia="宋体" w:cs="宋体"/>
                <w:color w:val="auto"/>
                <w:szCs w:val="21"/>
                <w:highlight w:val="none"/>
                <w:u w:val="single"/>
              </w:rPr>
              <w:t>三</w:t>
            </w:r>
            <w:r>
              <w:rPr>
                <w:rFonts w:hint="eastAsia" w:ascii="宋体" w:hAnsi="宋体" w:eastAsia="宋体" w:cs="宋体"/>
                <w:color w:val="auto"/>
                <w:szCs w:val="21"/>
                <w:highlight w:val="none"/>
              </w:rPr>
              <w:t>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所有投标被否决，或者经评议有效投标的投标人不足三人；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color w:val="auto"/>
                <w:szCs w:val="21"/>
                <w:highlight w:val="none"/>
              </w:rPr>
              <w:t>66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color w:val="auto"/>
                <w:szCs w:val="21"/>
                <w:highlight w:val="none"/>
              </w:rPr>
              <w:t>5.6.2</w:t>
            </w:r>
          </w:p>
        </w:tc>
        <w:tc>
          <w:tcPr>
            <w:tcW w:w="3629" w:type="dxa"/>
            <w:vAlign w:val="center"/>
          </w:tcPr>
          <w:p>
            <w:pPr>
              <w:rPr>
                <w:rFonts w:hint="eastAsia" w:ascii="宋体" w:hAnsi="宋体" w:eastAsia="宋体" w:cs="宋体"/>
                <w:color w:val="auto"/>
                <w:szCs w:val="21"/>
                <w:highlight w:val="none"/>
              </w:rPr>
            </w:pPr>
            <w:r>
              <w:rPr>
                <w:rFonts w:hint="eastAsia" w:ascii="宋体" w:hAnsi="宋体"/>
                <w:color w:val="auto"/>
                <w:szCs w:val="21"/>
                <w:highlight w:val="none"/>
              </w:rPr>
              <w:t>联合体中标的，由所有联合体成员法定代表人签署授权委托书，指定牵头人或代表，授权其代表所有联合体成员与招标人签订合同，负责整个合同实施阶段的协调工作。</w:t>
            </w:r>
          </w:p>
        </w:tc>
        <w:tc>
          <w:tcPr>
            <w:tcW w:w="3400" w:type="dxa"/>
            <w:vAlign w:val="center"/>
          </w:tcPr>
          <w:p>
            <w:pPr>
              <w:jc w:val="left"/>
              <w:rPr>
                <w:rFonts w:hint="eastAsia" w:ascii="宋体" w:hAnsi="宋体" w:eastAsia="宋体" w:cs="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联合体中标的，由所有联合体成员法定代表人签署授权委托书，指定牵头人或代表，授权其代表所有联合体成员与招标人签订合同，</w:t>
            </w:r>
            <w:r>
              <w:rPr>
                <w:rFonts w:hint="eastAsia" w:ascii="宋体" w:hAnsi="宋体"/>
                <w:color w:val="auto"/>
                <w:szCs w:val="21"/>
                <w:highlight w:val="none"/>
                <w:lang w:val="en-US" w:eastAsia="zh-CN"/>
              </w:rPr>
              <w:t>并</w:t>
            </w:r>
            <w:r>
              <w:rPr>
                <w:rFonts w:hint="eastAsia" w:ascii="宋体" w:hAnsi="宋体"/>
                <w:color w:val="auto"/>
                <w:szCs w:val="21"/>
                <w:highlight w:val="none"/>
              </w:rPr>
              <w:t>负责整个合同实施阶段的协调工作。如招标人要求中标人联合体成员共同签订合同的，则中标人应按招标人要求执行。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5.6.6</w:t>
            </w:r>
          </w:p>
        </w:tc>
        <w:tc>
          <w:tcPr>
            <w:tcW w:w="3629" w:type="dxa"/>
            <w:vAlign w:val="center"/>
          </w:tcPr>
          <w:p>
            <w:pPr>
              <w:ind w:left="97" w:leftChars="46"/>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中标人缴纳交易服务费，其费用包含在中标人投标报价中。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5.7</w:t>
            </w:r>
          </w:p>
        </w:tc>
        <w:tc>
          <w:tcPr>
            <w:tcW w:w="3629" w:type="dxa"/>
            <w:vAlign w:val="center"/>
          </w:tcPr>
          <w:p>
            <w:pPr>
              <w:ind w:left="97" w:leftChars="46"/>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5.7.1  凡是以他人名义投标，或者投标人允许其他单位或者个人以投标人的名义投标承揽业务的，均属违法行为，招标人对这些单位或个人的损失概不负责，对这些单位或个人的投诉概不受理。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5.7.2  本次招标由交易服务机构对各投标人提交的成果和评标过程、评标结果予以见证，若有纠纷，将按现行法律、法规通过友好协商或诉讼程序解决。</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  腐败与欺诈行为</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在招标和合同实施期间，招标人要求投标人和承包人遵守最高的道德标准。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5.7.3.1对本条款的规定，特定义如下词汇：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1）、“腐败行为”是指在招标或合同执行期间，通过提供、给予、接受或索要任何有价值的东西，从而影响招标人有关人员工作的行为；</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5.7.3.2如果投标人被认定在本招标的竞争中有腐败或欺诈行为，则会被取消投标资格。</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5.7.3.3投标人如在本项目中存在串通投标、弄虚作假、行贿情形的，中标无效，行政监督部门将对其违法行为进行政处罚并通报。该投标人将被招标人列入黑名单并限制其参与招标人后续项目的投标。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jc w:val="lef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u w:val="single"/>
              </w:rPr>
              <w:t>5.7.5 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9" w:type="dxa"/>
            <w:gridSpan w:val="2"/>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投标申请表（申请人、资质、机构简介）</w:t>
            </w:r>
          </w:p>
        </w:tc>
        <w:tc>
          <w:tcPr>
            <w:tcW w:w="3400"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0</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投标申请表（投标人的业绩）</w:t>
            </w:r>
          </w:p>
        </w:tc>
        <w:tc>
          <w:tcPr>
            <w:tcW w:w="3400" w:type="dxa"/>
            <w:vAlign w:val="center"/>
          </w:tcPr>
          <w:p>
            <w:pPr>
              <w:wordWrap w:val="0"/>
              <w:topLinePun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1</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附录3</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投标申请表（关键人员配备）</w:t>
            </w:r>
          </w:p>
        </w:tc>
        <w:tc>
          <w:tcPr>
            <w:tcW w:w="3400"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2</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附录4</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正式投标人名单</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附录7</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投标书</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9" w:type="dxa"/>
            <w:gridSpan w:val="2"/>
            <w:vAlign w:val="center"/>
          </w:tcPr>
          <w:p>
            <w:pPr>
              <w:jc w:val="center"/>
              <w:rPr>
                <w:rFonts w:hint="eastAsia" w:ascii="宋体" w:hAnsi="宋体" w:eastAsia="宋体" w:cs="宋体"/>
                <w:strike w:val="0"/>
                <w:color w:val="auto"/>
                <w:szCs w:val="21"/>
                <w:highlight w:val="none"/>
                <w:lang w:eastAsia="zh-CN"/>
              </w:rPr>
            </w:pPr>
            <w:r>
              <w:rPr>
                <w:rFonts w:hint="eastAsia" w:ascii="宋体" w:hAnsi="宋体"/>
                <w:strike w:val="0"/>
                <w:color w:val="auto"/>
                <w:szCs w:val="21"/>
                <w:highlight w:val="none"/>
              </w:rPr>
              <w:t>7</w:t>
            </w:r>
            <w:r>
              <w:rPr>
                <w:rFonts w:hint="eastAsia" w:ascii="宋体" w:hAnsi="宋体"/>
                <w:strike w:val="0"/>
                <w:color w:val="auto"/>
                <w:szCs w:val="21"/>
                <w:highlight w:val="none"/>
                <w:lang w:val="en-US" w:eastAsia="zh-CN"/>
              </w:rPr>
              <w:t>4</w:t>
            </w:r>
          </w:p>
        </w:tc>
        <w:tc>
          <w:tcPr>
            <w:tcW w:w="1591" w:type="dxa"/>
            <w:gridSpan w:val="2"/>
            <w:vAlign w:val="center"/>
          </w:tcPr>
          <w:p>
            <w:pPr>
              <w:jc w:val="center"/>
              <w:rPr>
                <w:rFonts w:hint="eastAsia" w:ascii="宋体" w:hAnsi="宋体" w:eastAsia="宋体" w:cs="宋体"/>
                <w:strike w:val="0"/>
                <w:color w:val="auto"/>
                <w:szCs w:val="21"/>
                <w:highlight w:val="none"/>
              </w:rPr>
            </w:pPr>
            <w:r>
              <w:rPr>
                <w:rFonts w:hint="eastAsia" w:ascii="宋体" w:hAnsi="宋体"/>
                <w:strike w:val="0"/>
                <w:color w:val="auto"/>
                <w:szCs w:val="21"/>
                <w:highlight w:val="none"/>
              </w:rPr>
              <w:t>附录8</w:t>
            </w:r>
          </w:p>
        </w:tc>
        <w:tc>
          <w:tcPr>
            <w:tcW w:w="3629" w:type="dxa"/>
            <w:vAlign w:val="center"/>
          </w:tcPr>
          <w:p>
            <w:pPr>
              <w:pStyle w:val="18"/>
              <w:jc w:val="left"/>
              <w:rPr>
                <w:rFonts w:hint="eastAsia" w:ascii="宋体" w:hAnsi="宋体" w:eastAsia="宋体" w:cs="宋体"/>
                <w:strike w:val="0"/>
                <w:color w:val="auto"/>
                <w:kern w:val="2"/>
                <w:sz w:val="21"/>
                <w:szCs w:val="21"/>
                <w:highlight w:val="none"/>
              </w:rPr>
            </w:pPr>
            <w:r>
              <w:rPr>
                <w:rFonts w:hint="eastAsia" w:hAnsi="宋体"/>
                <w:strike w:val="0"/>
                <w:color w:val="auto"/>
                <w:kern w:val="2"/>
                <w:sz w:val="21"/>
                <w:szCs w:val="21"/>
                <w:highlight w:val="none"/>
              </w:rPr>
              <w:t>联合体共同投标协议</w:t>
            </w:r>
          </w:p>
        </w:tc>
        <w:tc>
          <w:tcPr>
            <w:tcW w:w="3400" w:type="dxa"/>
            <w:vAlign w:val="center"/>
          </w:tcPr>
          <w:p>
            <w:pPr>
              <w:ind w:left="721" w:leftChars="0" w:hanging="721" w:hangingChars="342"/>
              <w:jc w:val="left"/>
              <w:rPr>
                <w:rFonts w:hint="eastAsia" w:ascii="宋体" w:hAnsi="宋体" w:eastAsia="宋体" w:cs="宋体"/>
                <w:b/>
                <w:strike w:val="0"/>
                <w:color w:val="auto"/>
                <w:szCs w:val="21"/>
                <w:highlight w:val="none"/>
              </w:rPr>
            </w:pPr>
            <w:r>
              <w:rPr>
                <w:rFonts w:hint="eastAsia" w:ascii="宋体" w:hAnsi="宋体"/>
                <w:b/>
                <w:strike w:val="0"/>
                <w:color w:val="auto"/>
                <w:szCs w:val="21"/>
                <w:highlight w:val="none"/>
              </w:rPr>
              <w:t>修改：</w:t>
            </w:r>
            <w:r>
              <w:rPr>
                <w:rFonts w:hint="eastAsia" w:ascii="宋体" w:hAnsi="宋体" w:eastAsia="宋体" w:cs="宋体"/>
                <w:color w:val="auto"/>
                <w:szCs w:val="21"/>
                <w:highlight w:val="none"/>
              </w:rPr>
              <w:t>详见附录</w:t>
            </w:r>
            <w:r>
              <w:rPr>
                <w:rFonts w:hint="eastAsia" w:ascii="宋体" w:hAnsi="宋体" w:cs="宋体"/>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法人证明书或法人授权委托书格式</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附录9</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投标人已完成项目情况</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9" w:type="dxa"/>
            <w:gridSpan w:val="2"/>
            <w:vAlign w:val="center"/>
          </w:tcPr>
          <w:p>
            <w:pPr>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附录10</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本项目拟投入的人员基本情况表</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附录11</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投标文件接收记录表格</w:t>
            </w:r>
          </w:p>
        </w:tc>
        <w:tc>
          <w:tcPr>
            <w:tcW w:w="3400" w:type="dxa"/>
            <w:vAlign w:val="center"/>
          </w:tcPr>
          <w:p>
            <w:pPr>
              <w:ind w:left="1"/>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ind w:left="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投标文件光盘（备用）接收记录表格</w:t>
            </w:r>
          </w:p>
          <w:p>
            <w:pPr>
              <w:ind w:left="1"/>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详见附录11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9" w:type="dxa"/>
            <w:gridSpan w:val="2"/>
            <w:vAlign w:val="center"/>
          </w:tcPr>
          <w:p>
            <w:pPr>
              <w:jc w:val="center"/>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79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附录12</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资格审查表</w:t>
            </w:r>
          </w:p>
        </w:tc>
        <w:tc>
          <w:tcPr>
            <w:tcW w:w="3400" w:type="dxa"/>
            <w:vAlign w:val="center"/>
          </w:tcPr>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49" w:type="dxa"/>
            <w:gridSpan w:val="2"/>
            <w:vAlign w:val="center"/>
          </w:tcPr>
          <w:p>
            <w:pPr>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附录13</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商务文件有效性审查表</w:t>
            </w:r>
          </w:p>
        </w:tc>
        <w:tc>
          <w:tcPr>
            <w:tcW w:w="3400" w:type="dxa"/>
            <w:vAlign w:val="center"/>
          </w:tcPr>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附录14</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商务文件综合评分表</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附录15</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技术文件有效性审查表</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附录16</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技术文件综合评分表</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附录17</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投票汇总表格</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附录18</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市政工程设计方案评审记录表</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附录19</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投票表格</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附录20</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基础资料和</w:t>
            </w:r>
            <w:r>
              <w:rPr>
                <w:rFonts w:hint="eastAsia" w:ascii="宋体" w:hAnsi="宋体" w:cs="宋体"/>
                <w:color w:val="auto"/>
                <w:szCs w:val="21"/>
                <w:highlight w:val="none"/>
                <w:lang w:val="en-US" w:eastAsia="zh-CN"/>
              </w:rPr>
              <w:t>勘察</w:t>
            </w:r>
            <w:r>
              <w:rPr>
                <w:rFonts w:hint="eastAsia" w:ascii="宋体" w:hAnsi="宋体" w:eastAsia="宋体" w:cs="宋体"/>
                <w:color w:val="auto"/>
                <w:szCs w:val="21"/>
                <w:highlight w:val="none"/>
              </w:rPr>
              <w:t>设计任务书</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附录21</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修改，详见附录21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9" w:type="dxa"/>
            <w:gridSpan w:val="2"/>
            <w:vAlign w:val="center"/>
          </w:tcPr>
          <w:p>
            <w:pPr>
              <w:jc w:val="center"/>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89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附录22</w:t>
            </w:r>
          </w:p>
        </w:tc>
        <w:tc>
          <w:tcPr>
            <w:tcW w:w="3629" w:type="dxa"/>
            <w:vAlign w:val="center"/>
          </w:tcPr>
          <w:p>
            <w:pPr>
              <w:jc w:val="left"/>
              <w:rPr>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投标人声明</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详见附录22</w:t>
            </w:r>
          </w:p>
        </w:tc>
      </w:tr>
    </w:tbl>
    <w:p>
      <w:pPr>
        <w:jc w:val="center"/>
        <w:rPr>
          <w:rFonts w:ascii="宋体" w:hAnsi="宋体"/>
          <w:b/>
          <w:color w:val="auto"/>
          <w:sz w:val="32"/>
          <w:highlight w:val="none"/>
        </w:rPr>
      </w:pPr>
      <w:r>
        <w:rPr>
          <w:rFonts w:ascii="宋体" w:hAnsi="宋体"/>
          <w:color w:val="auto"/>
          <w:highlight w:val="none"/>
        </w:rPr>
        <w:br w:type="page"/>
      </w:r>
      <w:r>
        <w:rPr>
          <w:rFonts w:hint="eastAsia" w:ascii="宋体" w:hAnsi="宋体"/>
          <w:b/>
          <w:color w:val="auto"/>
          <w:sz w:val="32"/>
          <w:highlight w:val="none"/>
        </w:rPr>
        <w:t>目  录</w:t>
      </w:r>
    </w:p>
    <w:p>
      <w:pPr>
        <w:rPr>
          <w:rFonts w:ascii="宋体" w:hAnsi="宋体"/>
          <w:color w:val="auto"/>
          <w:highlight w:val="none"/>
        </w:rPr>
      </w:pPr>
    </w:p>
    <w:p>
      <w:pPr>
        <w:pStyle w:val="23"/>
        <w:tabs>
          <w:tab w:val="right" w:leader="dot" w:pos="906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TOC \o "1-1" \h \z \u </w:instrText>
      </w:r>
      <w:r>
        <w:rPr>
          <w:rFonts w:asciiTheme="minorEastAsia" w:hAnsiTheme="minorEastAsia" w:eastAsiaTheme="minorEastAsia"/>
          <w:color w:val="auto"/>
          <w:sz w:val="24"/>
          <w:highlight w:val="none"/>
        </w:rPr>
        <w:fldChar w:fldCharType="separate"/>
      </w:r>
      <w:r>
        <w:rPr>
          <w:color w:val="auto"/>
          <w:highlight w:val="none"/>
        </w:rPr>
        <w:fldChar w:fldCharType="begin"/>
      </w:r>
      <w:r>
        <w:rPr>
          <w:color w:val="auto"/>
          <w:highlight w:val="none"/>
        </w:rPr>
        <w:instrText xml:space="preserve"> HYPERLINK \l "第一章招标公告"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第一章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招标公告（另册）</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23</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"招标说明"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第二章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招标说明</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w:t>
      </w:r>
      <w:r>
        <w:rPr>
          <w:rStyle w:val="33"/>
          <w:rFonts w:asciiTheme="minorEastAsia" w:hAnsiTheme="minorEastAsia" w:eastAsiaTheme="minorEastAsia"/>
          <w:color w:val="auto"/>
          <w:sz w:val="24"/>
          <w:highlight w:val="none"/>
        </w:rPr>
        <w:fldChar w:fldCharType="end"/>
      </w:r>
      <w:r>
        <w:rPr>
          <w:color w:val="auto"/>
          <w:highlight w:val="none"/>
        </w:rPr>
        <w:t xml:space="preserve"> </w:t>
      </w:r>
      <w:r>
        <w:rPr>
          <w:rStyle w:val="33"/>
          <w:rFonts w:asciiTheme="minorEastAsia" w:hAnsiTheme="minorEastAsia" w:eastAsiaTheme="minorEastAsia"/>
          <w:color w:val="auto"/>
          <w:sz w:val="24"/>
          <w:highlight w:val="none"/>
          <w:u w:val="none"/>
        </w:rPr>
        <w:t>2</w:t>
      </w:r>
      <w:r>
        <w:rPr>
          <w:rStyle w:val="33"/>
          <w:rFonts w:hint="eastAsia" w:asciiTheme="minorEastAsia" w:hAnsiTheme="minorEastAsia" w:eastAsiaTheme="minorEastAsia"/>
          <w:color w:val="auto"/>
          <w:sz w:val="24"/>
          <w:highlight w:val="none"/>
          <w:u w:val="none"/>
        </w:rPr>
        <w:t>4</w:t>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"第三章编制要求"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第三章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投标文件编制要求</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29</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"第四章废标条款"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第四章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废标条款</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3</w:t>
      </w:r>
      <w:r>
        <w:rPr>
          <w:rStyle w:val="33"/>
          <w:rFonts w:hint="eastAsia" w:asciiTheme="minorEastAsia" w:hAnsiTheme="minorEastAsia" w:eastAsiaTheme="minorEastAsia"/>
          <w:color w:val="auto"/>
          <w:sz w:val="24"/>
          <w:highlight w:val="none"/>
        </w:rPr>
        <w:t>5</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"第五章开标评标定标"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第五章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开标评标定标</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3</w:t>
      </w:r>
      <w:r>
        <w:rPr>
          <w:rStyle w:val="33"/>
          <w:rFonts w:hint="eastAsia" w:asciiTheme="minorEastAsia" w:hAnsiTheme="minorEastAsia" w:eastAsiaTheme="minorEastAsia"/>
          <w:color w:val="auto"/>
          <w:sz w:val="24"/>
          <w:highlight w:val="none"/>
        </w:rPr>
        <w:t>7</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"第六章合同主要条款"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第六章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合同主要条款</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43</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"_Toc44943443"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"投标申请表（申请人、资质、机构简介）"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投标申请表（申请人、资质、机构简介）</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54</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strike/>
          <w:color w:val="auto"/>
          <w:sz w:val="24"/>
          <w:highlight w:val="none"/>
        </w:rPr>
      </w:pPr>
      <w:r>
        <w:rPr>
          <w:color w:val="auto"/>
          <w:highlight w:val="none"/>
        </w:rPr>
        <w:fldChar w:fldCharType="begin"/>
      </w:r>
      <w:r>
        <w:rPr>
          <w:color w:val="auto"/>
          <w:highlight w:val="none"/>
        </w:rPr>
        <w:instrText xml:space="preserve"> HYPERLINK \l "_Toc44943445"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2</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"投标申请表（投标人的业绩）"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投标申请表</w:t>
      </w:r>
      <w:r>
        <w:rPr>
          <w:rStyle w:val="33"/>
          <w:rFonts w:hint="eastAsia" w:asciiTheme="minorEastAsia" w:hAnsiTheme="minorEastAsia" w:eastAsiaTheme="minorEastAsia"/>
          <w:b/>
          <w:bCs/>
          <w:strike/>
          <w:color w:val="auto"/>
          <w:sz w:val="24"/>
          <w:highlight w:val="none"/>
        </w:rPr>
        <w:t>（投标人的业绩）</w:t>
      </w:r>
      <w:r>
        <w:rPr>
          <w:rStyle w:val="33"/>
          <w:rFonts w:asciiTheme="minorEastAsia" w:hAnsiTheme="minorEastAsia" w:eastAsiaTheme="minorEastAsia"/>
          <w:strike/>
          <w:color w:val="auto"/>
          <w:sz w:val="24"/>
          <w:highlight w:val="none"/>
        </w:rPr>
        <w:tab/>
      </w:r>
      <w:r>
        <w:rPr>
          <w:rStyle w:val="33"/>
          <w:rFonts w:hint="eastAsia" w:asciiTheme="minorEastAsia" w:hAnsiTheme="minorEastAsia" w:eastAsiaTheme="minorEastAsia"/>
          <w:strike/>
          <w:color w:val="auto"/>
          <w:sz w:val="24"/>
          <w:highlight w:val="none"/>
        </w:rPr>
        <w:t>55</w:t>
      </w:r>
      <w:r>
        <w:rPr>
          <w:rStyle w:val="33"/>
          <w:rFonts w:hint="eastAsia" w:asciiTheme="minorEastAsia" w:hAnsiTheme="minorEastAsia" w:eastAsiaTheme="minorEastAsia"/>
          <w:strike/>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"_Toc44943447"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3</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"投标申请表（关键人员配备）"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投标申请表（关键人员配备）</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56</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"_Toc44943449"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4</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"正式投标人名单"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正式投标人名单</w:t>
      </w:r>
      <w:r>
        <w:rPr>
          <w:rStyle w:val="33"/>
          <w:rFonts w:asciiTheme="minorEastAsia" w:hAnsiTheme="minorEastAsia" w:eastAsiaTheme="minorEastAsia"/>
          <w:strike/>
          <w:color w:val="auto"/>
          <w:sz w:val="24"/>
          <w:highlight w:val="none"/>
        </w:rPr>
        <w:tab/>
      </w:r>
      <w:r>
        <w:rPr>
          <w:rStyle w:val="33"/>
          <w:rFonts w:hint="eastAsia" w:asciiTheme="minorEastAsia" w:hAnsiTheme="minorEastAsia" w:eastAsiaTheme="minorEastAsia"/>
          <w:strike/>
          <w:color w:val="auto"/>
          <w:sz w:val="24"/>
          <w:highlight w:val="none"/>
        </w:rPr>
        <w:t>57</w:t>
      </w:r>
      <w:r>
        <w:rPr>
          <w:rStyle w:val="33"/>
          <w:rFonts w:hint="eastAsia" w:asciiTheme="minorEastAsia" w:hAnsiTheme="minorEastAsia" w:eastAsiaTheme="minorEastAsia"/>
          <w:strike/>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"_Toc44943451"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5</w:t>
      </w:r>
      <w:r>
        <w:rPr>
          <w:rStyle w:val="33"/>
          <w:rFonts w:asciiTheme="minorEastAsia" w:hAnsiTheme="minorEastAsia" w:eastAsiaTheme="minorEastAsia"/>
          <w:b/>
          <w:bCs/>
          <w:color w:val="auto"/>
          <w:sz w:val="24"/>
          <w:highlight w:val="none"/>
        </w:rPr>
        <w:fldChar w:fldCharType="end"/>
      </w:r>
      <w:r>
        <w:rPr>
          <w:strike w:val="0"/>
          <w:color w:val="auto"/>
          <w:highlight w:val="none"/>
        </w:rPr>
        <w:fldChar w:fldCharType="begin"/>
      </w:r>
      <w:r>
        <w:rPr>
          <w:strike w:val="0"/>
          <w:color w:val="auto"/>
          <w:highlight w:val="none"/>
        </w:rPr>
        <w:instrText xml:space="preserve"> HYPERLINK \l "勘察设计费报价表" </w:instrText>
      </w:r>
      <w:r>
        <w:rPr>
          <w:strike w:val="0"/>
          <w:color w:val="auto"/>
          <w:highlight w:val="none"/>
        </w:rPr>
        <w:fldChar w:fldCharType="separate"/>
      </w:r>
      <w:r>
        <w:rPr>
          <w:rStyle w:val="33"/>
          <w:rFonts w:hint="eastAsia" w:asciiTheme="minorEastAsia" w:hAnsiTheme="minorEastAsia" w:eastAsiaTheme="minorEastAsia"/>
          <w:b/>
          <w:strike w:val="0"/>
          <w:color w:val="auto"/>
          <w:sz w:val="24"/>
          <w:highlight w:val="none"/>
        </w:rPr>
        <w:t>勘察设计报价表</w:t>
      </w:r>
      <w:r>
        <w:rPr>
          <w:rStyle w:val="33"/>
          <w:rFonts w:asciiTheme="minorEastAsia" w:hAnsiTheme="minorEastAsia" w:eastAsiaTheme="minorEastAsia"/>
          <w:strike w:val="0"/>
          <w:color w:val="auto"/>
          <w:sz w:val="24"/>
          <w:highlight w:val="none"/>
        </w:rPr>
        <w:tab/>
      </w:r>
      <w:r>
        <w:rPr>
          <w:rStyle w:val="33"/>
          <w:rFonts w:hint="eastAsia" w:asciiTheme="minorEastAsia" w:hAnsiTheme="minorEastAsia" w:eastAsiaTheme="minorEastAsia"/>
          <w:strike w:val="0"/>
          <w:color w:val="auto"/>
          <w:sz w:val="24"/>
          <w:highlight w:val="none"/>
        </w:rPr>
        <w:t>58</w:t>
      </w:r>
      <w:r>
        <w:rPr>
          <w:rStyle w:val="33"/>
          <w:rFonts w:hint="eastAsia" w:asciiTheme="minorEastAsia" w:hAnsiTheme="minorEastAsia" w:eastAsiaTheme="minorEastAsia"/>
          <w:strike w:val="0"/>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"_Toc44943458"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7</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"投标书"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投标书</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61</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strike w:val="0"/>
          <w:color w:val="auto"/>
          <w:sz w:val="24"/>
          <w:highlight w:val="none"/>
        </w:rPr>
      </w:pPr>
      <w:r>
        <w:rPr>
          <w:strike w:val="0"/>
          <w:color w:val="auto"/>
          <w:highlight w:val="none"/>
        </w:rPr>
        <w:fldChar w:fldCharType="begin"/>
      </w:r>
      <w:r>
        <w:rPr>
          <w:strike w:val="0"/>
          <w:color w:val="auto"/>
          <w:highlight w:val="none"/>
        </w:rPr>
        <w:instrText xml:space="preserve"> HYPERLINK \l "_Toc44943460" </w:instrText>
      </w:r>
      <w:r>
        <w:rPr>
          <w:strike w:val="0"/>
          <w:color w:val="auto"/>
          <w:highlight w:val="none"/>
        </w:rPr>
        <w:fldChar w:fldCharType="separate"/>
      </w:r>
      <w:r>
        <w:rPr>
          <w:rStyle w:val="33"/>
          <w:rFonts w:hint="eastAsia" w:asciiTheme="minorEastAsia" w:hAnsiTheme="minorEastAsia" w:eastAsiaTheme="minorEastAsia"/>
          <w:b/>
          <w:bCs/>
          <w:strike w:val="0"/>
          <w:color w:val="auto"/>
          <w:sz w:val="24"/>
          <w:highlight w:val="none"/>
        </w:rPr>
        <w:t>附录</w:t>
      </w:r>
      <w:r>
        <w:rPr>
          <w:rStyle w:val="33"/>
          <w:rFonts w:asciiTheme="minorEastAsia" w:hAnsiTheme="minorEastAsia" w:eastAsiaTheme="minorEastAsia"/>
          <w:b/>
          <w:bCs/>
          <w:strike w:val="0"/>
          <w:color w:val="auto"/>
          <w:sz w:val="24"/>
          <w:highlight w:val="none"/>
        </w:rPr>
        <w:t>8</w:t>
      </w:r>
      <w:r>
        <w:rPr>
          <w:rStyle w:val="33"/>
          <w:rFonts w:asciiTheme="minorEastAsia" w:hAnsiTheme="minorEastAsia" w:eastAsiaTheme="minorEastAsia"/>
          <w:b/>
          <w:bCs/>
          <w:strike w:val="0"/>
          <w:color w:val="auto"/>
          <w:sz w:val="24"/>
          <w:highlight w:val="none"/>
        </w:rPr>
        <w:fldChar w:fldCharType="end"/>
      </w:r>
      <w:r>
        <w:rPr>
          <w:strike w:val="0"/>
          <w:color w:val="auto"/>
          <w:highlight w:val="none"/>
        </w:rPr>
        <w:fldChar w:fldCharType="begin"/>
      </w:r>
      <w:r>
        <w:rPr>
          <w:strike w:val="0"/>
          <w:color w:val="auto"/>
          <w:highlight w:val="none"/>
        </w:rPr>
        <w:instrText xml:space="preserve"> HYPERLINK \l "联合体共同投标协议" </w:instrText>
      </w:r>
      <w:r>
        <w:rPr>
          <w:strike w:val="0"/>
          <w:color w:val="auto"/>
          <w:highlight w:val="none"/>
        </w:rPr>
        <w:fldChar w:fldCharType="separate"/>
      </w:r>
      <w:r>
        <w:rPr>
          <w:rStyle w:val="33"/>
          <w:rFonts w:hint="eastAsia" w:asciiTheme="minorEastAsia" w:hAnsiTheme="minorEastAsia" w:eastAsiaTheme="minorEastAsia"/>
          <w:b/>
          <w:bCs/>
          <w:strike w:val="0"/>
          <w:color w:val="auto"/>
          <w:sz w:val="24"/>
          <w:highlight w:val="none"/>
        </w:rPr>
        <w:t>联合体共同投标协议</w:t>
      </w:r>
      <w:r>
        <w:rPr>
          <w:rStyle w:val="33"/>
          <w:rFonts w:asciiTheme="minorEastAsia" w:hAnsiTheme="minorEastAsia" w:eastAsiaTheme="minorEastAsia"/>
          <w:strike w:val="0"/>
          <w:color w:val="auto"/>
          <w:sz w:val="24"/>
          <w:highlight w:val="none"/>
        </w:rPr>
        <w:tab/>
      </w:r>
      <w:r>
        <w:rPr>
          <w:rStyle w:val="33"/>
          <w:rFonts w:hint="eastAsia" w:asciiTheme="minorEastAsia" w:hAnsiTheme="minorEastAsia" w:eastAsiaTheme="minorEastAsia"/>
          <w:strike w:val="0"/>
          <w:color w:val="auto"/>
          <w:sz w:val="24"/>
          <w:highlight w:val="none"/>
        </w:rPr>
        <w:t>62</w:t>
      </w:r>
      <w:r>
        <w:rPr>
          <w:rStyle w:val="33"/>
          <w:rFonts w:hint="eastAsia" w:asciiTheme="minorEastAsia" w:hAnsiTheme="minorEastAsia" w:eastAsiaTheme="minorEastAsia"/>
          <w:strike w:val="0"/>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"_Toc44943462" </w:instrText>
      </w:r>
      <w:r>
        <w:rPr>
          <w:color w:val="auto"/>
          <w:highlight w:val="none"/>
        </w:rPr>
        <w:fldChar w:fldCharType="separate"/>
      </w:r>
      <w:r>
        <w:rPr>
          <w:rStyle w:val="33"/>
          <w:rFonts w:hint="eastAsia" w:asciiTheme="minorEastAsia" w:hAnsiTheme="minorEastAsia" w:eastAsiaTheme="minorEastAsia"/>
          <w:b/>
          <w:color w:val="auto"/>
          <w:sz w:val="24"/>
          <w:highlight w:val="none"/>
        </w:rPr>
        <w:t>附录9</w:t>
      </w:r>
      <w:r>
        <w:rPr>
          <w:rStyle w:val="33"/>
          <w:rFonts w:hint="eastAsia" w:asciiTheme="minorEastAsia" w:hAnsiTheme="minorEastAsia" w:eastAsiaTheme="minorEastAsia"/>
          <w:b/>
          <w:color w:val="auto"/>
          <w:sz w:val="24"/>
          <w:highlight w:val="none"/>
        </w:rPr>
        <w:fldChar w:fldCharType="end"/>
      </w:r>
      <w:r>
        <w:rPr>
          <w:color w:val="auto"/>
          <w:highlight w:val="none"/>
        </w:rPr>
        <w:fldChar w:fldCharType="begin"/>
      </w:r>
      <w:r>
        <w:rPr>
          <w:color w:val="auto"/>
          <w:highlight w:val="none"/>
        </w:rPr>
        <w:instrText xml:space="preserve"> HYPERLINK \l "投标人已完成项目情况"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投标人已完成项目情况</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64</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"_Toc44943465" </w:instrText>
      </w:r>
      <w:r>
        <w:rPr>
          <w:color w:val="auto"/>
          <w:highlight w:val="none"/>
        </w:rPr>
        <w:fldChar w:fldCharType="separate"/>
      </w:r>
      <w:r>
        <w:rPr>
          <w:rStyle w:val="33"/>
          <w:rFonts w:hint="eastAsia" w:asciiTheme="minorEastAsia" w:hAnsiTheme="minorEastAsia" w:eastAsiaTheme="minorEastAsia"/>
          <w:b/>
          <w:color w:val="auto"/>
          <w:sz w:val="24"/>
          <w:highlight w:val="none"/>
        </w:rPr>
        <w:t>附录10</w:t>
      </w:r>
      <w:r>
        <w:rPr>
          <w:rStyle w:val="33"/>
          <w:rFonts w:hint="eastAsia" w:asciiTheme="minorEastAsia" w:hAnsiTheme="minorEastAsia" w:eastAsiaTheme="minorEastAsia"/>
          <w:b/>
          <w:color w:val="auto"/>
          <w:sz w:val="24"/>
          <w:highlight w:val="none"/>
        </w:rPr>
        <w:fldChar w:fldCharType="end"/>
      </w:r>
      <w:r>
        <w:rPr>
          <w:color w:val="auto"/>
          <w:highlight w:val="none"/>
        </w:rPr>
        <w:fldChar w:fldCharType="begin"/>
      </w:r>
      <w:r>
        <w:rPr>
          <w:color w:val="auto"/>
          <w:highlight w:val="none"/>
        </w:rPr>
        <w:instrText xml:space="preserve"> HYPERLINK \l "本项目拟投入的人员基本情况表"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本项目拟投入的人员基本情况表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65</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"_Toc44943467"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11</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"投标文件光盘（备用）接收记录表格" </w:instrText>
      </w:r>
      <w:r>
        <w:rPr>
          <w:color w:val="auto"/>
          <w:highlight w:val="none"/>
        </w:rPr>
        <w:fldChar w:fldCharType="separate"/>
      </w:r>
      <w:r>
        <w:rPr>
          <w:rStyle w:val="33"/>
          <w:rFonts w:asciiTheme="minorEastAsia" w:hAnsiTheme="minorEastAsia" w:eastAsiaTheme="minorEastAsia"/>
          <w:b/>
          <w:bCs/>
          <w:color w:val="auto"/>
          <w:sz w:val="24"/>
          <w:highlight w:val="none"/>
        </w:rPr>
        <w:t>投标文件光盘（备用）接收记录</w:t>
      </w:r>
      <w:r>
        <w:rPr>
          <w:rStyle w:val="33"/>
          <w:rFonts w:hint="eastAsia" w:asciiTheme="minorEastAsia" w:hAnsiTheme="minorEastAsia" w:eastAsiaTheme="minorEastAsia"/>
          <w:b/>
          <w:bCs/>
          <w:color w:val="auto"/>
          <w:sz w:val="24"/>
          <w:highlight w:val="none"/>
        </w:rPr>
        <w:t>表格</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66</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"_Toc44943469"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12</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"资格审查表"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资格审查表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67</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"_Toc44943471"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13</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"商务文件有效性审查表"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商务文件有效性审查表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68</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"_Toc44943473"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14</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"商务文件综合评分表"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商务文件综合评分表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70</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"_Toc44943475"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15</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"技术文件有效性审查表"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技术文件有效性审查表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73</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"_Toc44943477"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16</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"技术文件综合评分表"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技术文件综合评分表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74</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"_Toc44943479"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17</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"投票汇总表格"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投票汇总表格</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76</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"_Toc44943481"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18</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"市政工程设计方案评审记录表"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市政工程设计方案评审记录表</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strike/>
          <w:color w:val="auto"/>
          <w:sz w:val="24"/>
          <w:highlight w:val="none"/>
        </w:rPr>
        <w:t>77</w:t>
      </w:r>
      <w:r>
        <w:rPr>
          <w:rStyle w:val="33"/>
          <w:rFonts w:asciiTheme="minorEastAsia" w:hAnsiTheme="minorEastAsia" w:eastAsiaTheme="minorEastAsia"/>
          <w:strike/>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"_Toc44943483"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19</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"投票表格"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投票表格</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7</w:t>
      </w:r>
      <w:r>
        <w:rPr>
          <w:rStyle w:val="33"/>
          <w:rFonts w:asciiTheme="minorEastAsia" w:hAnsiTheme="minorEastAsia" w:eastAsiaTheme="minorEastAsia"/>
          <w:color w:val="auto"/>
          <w:sz w:val="24"/>
          <w:highlight w:val="none"/>
        </w:rPr>
        <w:fldChar w:fldCharType="end"/>
      </w:r>
      <w:r>
        <w:rPr>
          <w:rStyle w:val="33"/>
          <w:rFonts w:hint="eastAsia" w:asciiTheme="minorEastAsia" w:hAnsiTheme="minorEastAsia" w:eastAsiaTheme="minorEastAsia"/>
          <w:color w:val="auto"/>
          <w:sz w:val="24"/>
          <w:highlight w:val="none"/>
        </w:rPr>
        <w:t>9</w:t>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"_Toc44943485"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20</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"基础资料和勘察设计任务书" </w:instrText>
      </w:r>
      <w:r>
        <w:rPr>
          <w:color w:val="auto"/>
          <w:highlight w:val="none"/>
        </w:rPr>
        <w:fldChar w:fldCharType="separate"/>
      </w:r>
      <w:r>
        <w:rPr>
          <w:rStyle w:val="33"/>
          <w:rFonts w:hint="eastAsia" w:asciiTheme="minorEastAsia" w:hAnsiTheme="minorEastAsia" w:eastAsiaTheme="minorEastAsia"/>
          <w:b/>
          <w:color w:val="auto"/>
          <w:sz w:val="24"/>
          <w:highlight w:val="none"/>
        </w:rPr>
        <w:t>基础资料和</w:t>
      </w:r>
      <w:r>
        <w:rPr>
          <w:rStyle w:val="33"/>
          <w:rFonts w:hint="eastAsia" w:asciiTheme="minorEastAsia" w:hAnsiTheme="minorEastAsia" w:eastAsiaTheme="minorEastAsia"/>
          <w:b/>
          <w:strike/>
          <w:color w:val="auto"/>
          <w:sz w:val="24"/>
          <w:highlight w:val="none"/>
        </w:rPr>
        <w:t>勘察</w:t>
      </w:r>
      <w:r>
        <w:rPr>
          <w:rStyle w:val="33"/>
          <w:rFonts w:hint="eastAsia" w:asciiTheme="minorEastAsia" w:hAnsiTheme="minorEastAsia" w:eastAsiaTheme="minorEastAsia"/>
          <w:b/>
          <w:color w:val="auto"/>
          <w:sz w:val="24"/>
          <w:highlight w:val="none"/>
        </w:rPr>
        <w:t>设计任务书</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80</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"_Toc44943513"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21</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"投标保证金"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投标保证金</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82</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"_Toc44943515"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22</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"投标人声明"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投标人声明</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83</w:t>
      </w:r>
      <w:r>
        <w:rPr>
          <w:rStyle w:val="33"/>
          <w:rFonts w:hint="eastAsia" w:asciiTheme="minorEastAsia" w:hAnsiTheme="minorEastAsia" w:eastAsiaTheme="minorEastAsia"/>
          <w:color w:val="auto"/>
          <w:sz w:val="24"/>
          <w:highlight w:val="none"/>
        </w:rPr>
        <w:fldChar w:fldCharType="end"/>
      </w:r>
    </w:p>
    <w:p>
      <w:pPr>
        <w:spacing w:line="360" w:lineRule="auto"/>
        <w:jc w:val="center"/>
        <w:rPr>
          <w:rFonts w:ascii="宋体" w:hAnsi="宋体"/>
          <w:b/>
          <w:color w:val="auto"/>
          <w:sz w:val="36"/>
          <w:szCs w:val="36"/>
          <w:highlight w:val="none"/>
        </w:rPr>
      </w:pP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br w:type="page"/>
      </w:r>
      <w:r>
        <w:rPr>
          <w:rFonts w:hint="eastAsia" w:ascii="宋体" w:hAnsi="宋体"/>
          <w:b/>
          <w:color w:val="auto"/>
          <w:sz w:val="36"/>
          <w:szCs w:val="36"/>
          <w:highlight w:val="none"/>
        </w:rPr>
        <w:t>第一章  招标公告（另册）</w:t>
      </w:r>
      <w:bookmarkStart w:id="0" w:name="第一章招标公告"/>
      <w:bookmarkEnd w:id="0"/>
    </w:p>
    <w:p>
      <w:pPr>
        <w:spacing w:line="400" w:lineRule="exact"/>
        <w:rPr>
          <w:rFonts w:ascii="宋体" w:hAnsi="宋体"/>
          <w:color w:val="auto"/>
          <w:sz w:val="24"/>
          <w:highlight w:val="none"/>
        </w:rPr>
      </w:pPr>
    </w:p>
    <w:p>
      <w:pPr>
        <w:pStyle w:val="25"/>
        <w:spacing w:before="0" w:after="0" w:line="360" w:lineRule="auto"/>
        <w:rPr>
          <w:rFonts w:ascii="宋体" w:hAnsi="宋体"/>
          <w:color w:val="auto"/>
          <w:sz w:val="36"/>
          <w:szCs w:val="36"/>
          <w:highlight w:val="none"/>
        </w:rPr>
      </w:pPr>
      <w:r>
        <w:rPr>
          <w:rFonts w:hint="eastAsia" w:ascii="宋体" w:hAnsi="宋体"/>
          <w:color w:val="auto"/>
          <w:sz w:val="24"/>
          <w:highlight w:val="none"/>
        </w:rPr>
        <w:br w:type="page"/>
      </w:r>
      <w:r>
        <w:rPr>
          <w:rFonts w:hint="eastAsia"/>
          <w:color w:val="auto"/>
          <w:highlight w:val="none"/>
        </w:rPr>
        <w:t>第二章</w:t>
      </w:r>
      <w:bookmarkStart w:id="1" w:name="招标说明"/>
      <w:bookmarkEnd w:id="1"/>
      <w:r>
        <w:rPr>
          <w:rFonts w:hint="eastAsia"/>
          <w:color w:val="auto"/>
          <w:highlight w:val="none"/>
        </w:rPr>
        <w:t>招标说明</w:t>
      </w:r>
    </w:p>
    <w:p>
      <w:pPr>
        <w:spacing w:line="400" w:lineRule="exact"/>
        <w:jc w:val="left"/>
        <w:rPr>
          <w:rFonts w:ascii="宋体" w:hAnsi="宋体"/>
          <w:b/>
          <w:bCs/>
          <w:color w:val="auto"/>
          <w:sz w:val="24"/>
          <w:highlight w:val="none"/>
        </w:rPr>
      </w:pPr>
      <w:r>
        <w:rPr>
          <w:rFonts w:hint="eastAsia" w:ascii="宋体" w:hAnsi="宋体"/>
          <w:b/>
          <w:bCs/>
          <w:color w:val="auto"/>
          <w:sz w:val="24"/>
          <w:highlight w:val="none"/>
        </w:rPr>
        <w:t>2.1    免责条款</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2.1.1  招标文件的解释权归招标人所有，招标人有权在法律允许范围内调整本次招标活动的细节及保留最终解释权。</w:t>
      </w:r>
    </w:p>
    <w:p>
      <w:pPr>
        <w:tabs>
          <w:tab w:val="left" w:pos="840"/>
        </w:tabs>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2.1.2  招标人不受将合同授予任何投标人的约束，招标人有权接受任何一份投标文件的全部或部分内容。</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2.1.3  招标人向投标人提供的资料和数据，是招标人现有的能使投标人利用的资料，招标人对投标人由此而作出的推论、理解和结论概不负责。</w:t>
      </w:r>
    </w:p>
    <w:p>
      <w:pPr>
        <w:pStyle w:val="18"/>
        <w:spacing w:line="400" w:lineRule="exact"/>
        <w:ind w:left="840" w:hanging="840" w:hangingChars="350"/>
        <w:jc w:val="left"/>
        <w:rPr>
          <w:rFonts w:hAnsi="宋体"/>
          <w:color w:val="auto"/>
          <w:sz w:val="24"/>
          <w:szCs w:val="24"/>
          <w:highlight w:val="none"/>
        </w:rPr>
      </w:pPr>
      <w:r>
        <w:rPr>
          <w:rFonts w:hint="eastAsia" w:hAnsi="宋体"/>
          <w:color w:val="auto"/>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2.1.5  招标人（或招标代理机构）对投标人的失误不负任何责任，投标人应指定一名投标事务负责人，专门负责跟踪、接收、阅读和理解招标文件及随后收到的有关资料，向招标人（或招标代理机构）发出质疑，检查投标文件，协助有关人员尽力克服各种投标失误。</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2.1.6  评标委员会成员应承担其参加评标有关的一切费用、损害和人身伤亡事故责任，招标人（或招标代理机构）除提供评标酬金和因请外地专家而发生的差旅费用外，对其他费用不负任何责任。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2.2    招标文件效力</w:t>
      </w:r>
    </w:p>
    <w:p>
      <w:pPr>
        <w:spacing w:line="400" w:lineRule="exact"/>
        <w:ind w:left="840" w:hanging="840" w:hangingChars="350"/>
        <w:rPr>
          <w:rFonts w:ascii="宋体" w:hAnsi="宋体"/>
          <w:strike/>
          <w:color w:val="auto"/>
          <w:sz w:val="24"/>
          <w:highlight w:val="none"/>
        </w:rPr>
      </w:pPr>
      <w:r>
        <w:rPr>
          <w:rFonts w:hint="eastAsia" w:ascii="宋体" w:hAnsi="宋体"/>
          <w:strike/>
          <w:color w:val="auto"/>
          <w:sz w:val="24"/>
          <w:highlight w:val="none"/>
        </w:rPr>
        <w:t>2.2.1  招标文件在招标管理机构备案。</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2.2.2  招标文件是招标人发出的</w:t>
      </w:r>
      <w:r>
        <w:rPr>
          <w:rFonts w:ascii="宋体" w:hAnsi="宋体"/>
          <w:color w:val="auto"/>
          <w:sz w:val="24"/>
          <w:highlight w:val="none"/>
        </w:rPr>
        <w:t>要约</w:t>
      </w:r>
      <w:r>
        <w:rPr>
          <w:rFonts w:hint="eastAsia" w:ascii="宋体" w:hAnsi="宋体"/>
          <w:color w:val="auto"/>
          <w:sz w:val="24"/>
          <w:highlight w:val="none"/>
        </w:rPr>
        <w:t>邀请，投标人参加投标均视为承认招标公告、招标文件及附件的所有条款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2.2.3  招标人（或招标代理机构）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2.2.4  招标人（或招标代理机构）通过交易服务机构公开登载的文件，与盖章发出的文件一样具有同等效力。</w:t>
      </w:r>
    </w:p>
    <w:p>
      <w:pPr>
        <w:spacing w:line="400" w:lineRule="exact"/>
        <w:jc w:val="left"/>
        <w:rPr>
          <w:rFonts w:ascii="宋体" w:hAnsi="宋体"/>
          <w:b/>
          <w:color w:val="auto"/>
          <w:sz w:val="24"/>
          <w:highlight w:val="none"/>
        </w:rPr>
      </w:pPr>
    </w:p>
    <w:p>
      <w:pPr>
        <w:spacing w:line="400" w:lineRule="exact"/>
        <w:jc w:val="left"/>
        <w:rPr>
          <w:rFonts w:ascii="宋体" w:hAnsi="宋体"/>
          <w:b/>
          <w:color w:val="auto"/>
          <w:sz w:val="24"/>
          <w:highlight w:val="none"/>
        </w:rPr>
      </w:pPr>
      <w:r>
        <w:rPr>
          <w:rFonts w:hint="eastAsia" w:ascii="宋体" w:hAnsi="宋体"/>
          <w:b/>
          <w:color w:val="auto"/>
          <w:sz w:val="24"/>
          <w:highlight w:val="none"/>
        </w:rPr>
        <w:t>2.3    现场考察</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2.3.1  招标人</w:t>
      </w:r>
      <w:r>
        <w:rPr>
          <w:rFonts w:hint="eastAsia" w:ascii="宋体" w:hAnsi="宋体"/>
          <w:color w:val="auto"/>
          <w:sz w:val="24"/>
          <w:highlight w:val="none"/>
          <w:u w:val="single"/>
        </w:rPr>
        <w:t>不</w:t>
      </w:r>
      <w:r>
        <w:rPr>
          <w:rFonts w:hint="eastAsia" w:ascii="宋体" w:hAnsi="宋体"/>
          <w:color w:val="auto"/>
          <w:sz w:val="24"/>
          <w:highlight w:val="none"/>
        </w:rPr>
        <w:t>安排投标人代表对工程现场进行考察。</w:t>
      </w:r>
    </w:p>
    <w:p>
      <w:pPr>
        <w:wordWrap w:val="0"/>
        <w:topLinePunct/>
        <w:spacing w:line="400" w:lineRule="exact"/>
        <w:ind w:left="821" w:hanging="820" w:hangingChars="342"/>
        <w:jc w:val="left"/>
        <w:rPr>
          <w:rFonts w:ascii="宋体" w:hAnsi="宋体"/>
          <w:strike/>
          <w:color w:val="auto"/>
          <w:sz w:val="24"/>
          <w:highlight w:val="none"/>
        </w:rPr>
      </w:pPr>
      <w:r>
        <w:rPr>
          <w:rFonts w:hint="eastAsia" w:ascii="宋体" w:hAnsi="宋体"/>
          <w:strike/>
          <w:color w:val="auto"/>
          <w:sz w:val="24"/>
          <w:highlight w:val="none"/>
        </w:rPr>
        <w:t>2.3.2  每个投标人参加现场考察的人数不宜超过3人，外国投标人代表应自带中文翻译。</w:t>
      </w:r>
    </w:p>
    <w:p>
      <w:pPr>
        <w:wordWrap w:val="0"/>
        <w:topLinePunct/>
        <w:spacing w:line="400" w:lineRule="exact"/>
        <w:jc w:val="left"/>
        <w:rPr>
          <w:rFonts w:ascii="宋体" w:hAnsi="宋体"/>
          <w:strike/>
          <w:color w:val="auto"/>
          <w:sz w:val="24"/>
          <w:highlight w:val="none"/>
        </w:rPr>
      </w:pPr>
      <w:r>
        <w:rPr>
          <w:rFonts w:hint="eastAsia" w:ascii="宋体" w:hAnsi="宋体"/>
          <w:strike/>
          <w:color w:val="auto"/>
          <w:sz w:val="24"/>
          <w:highlight w:val="none"/>
        </w:rPr>
        <w:t>2.3.3  现场考察期间招标人将召开一次会议，接受投标人代表的提问。</w:t>
      </w:r>
    </w:p>
    <w:p>
      <w:pPr>
        <w:spacing w:line="400" w:lineRule="exact"/>
        <w:jc w:val="left"/>
        <w:rPr>
          <w:rFonts w:ascii="宋体" w:hAnsi="宋体"/>
          <w:strike/>
          <w:color w:val="auto"/>
          <w:sz w:val="24"/>
          <w:highlight w:val="none"/>
        </w:rPr>
      </w:pPr>
      <w:r>
        <w:rPr>
          <w:rFonts w:ascii="宋体" w:hAnsi="宋体"/>
          <w:strike/>
          <w:color w:val="auto"/>
          <w:sz w:val="24"/>
          <w:highlight w:val="none"/>
        </w:rPr>
        <w:t xml:space="preserve">2.3.4  </w:t>
      </w:r>
      <w:r>
        <w:rPr>
          <w:rFonts w:hint="eastAsia" w:ascii="宋体" w:hAnsi="宋体"/>
          <w:strike/>
          <w:color w:val="auto"/>
          <w:sz w:val="24"/>
          <w:highlight w:val="none"/>
        </w:rPr>
        <w:t>现场考察集合时间：</w:t>
      </w:r>
      <w:r>
        <w:rPr>
          <w:rFonts w:ascii="宋体" w:hAnsi="宋体"/>
          <w:strike/>
          <w:color w:val="auto"/>
          <w:sz w:val="24"/>
          <w:highlight w:val="none"/>
        </w:rPr>
        <w:t xml:space="preserve">              </w:t>
      </w:r>
      <w:r>
        <w:rPr>
          <w:rFonts w:hint="eastAsia" w:ascii="宋体" w:hAnsi="宋体"/>
          <w:strike/>
          <w:color w:val="auto"/>
          <w:sz w:val="24"/>
          <w:highlight w:val="none"/>
        </w:rPr>
        <w:t>。</w:t>
      </w:r>
    </w:p>
    <w:p>
      <w:pPr>
        <w:spacing w:line="400" w:lineRule="exact"/>
        <w:ind w:left="821" w:hanging="820" w:hangingChars="342"/>
        <w:jc w:val="left"/>
        <w:rPr>
          <w:rFonts w:ascii="宋体" w:hAnsi="宋体"/>
          <w:strike/>
          <w:color w:val="auto"/>
          <w:sz w:val="24"/>
          <w:highlight w:val="none"/>
        </w:rPr>
      </w:pPr>
      <w:r>
        <w:rPr>
          <w:rFonts w:ascii="宋体" w:hAnsi="宋体"/>
          <w:strike/>
          <w:color w:val="auto"/>
          <w:sz w:val="24"/>
          <w:highlight w:val="none"/>
        </w:rPr>
        <w:t xml:space="preserve">2.3.5  </w:t>
      </w:r>
      <w:r>
        <w:rPr>
          <w:rFonts w:hint="eastAsia" w:ascii="宋体" w:hAnsi="宋体"/>
          <w:strike/>
          <w:color w:val="auto"/>
          <w:sz w:val="24"/>
          <w:highlight w:val="none"/>
        </w:rPr>
        <w:t>现场考察集合地点：</w:t>
      </w:r>
      <w:r>
        <w:rPr>
          <w:rFonts w:ascii="宋体" w:hAnsi="宋体"/>
          <w:strike/>
          <w:color w:val="auto"/>
          <w:sz w:val="24"/>
          <w:highlight w:val="none"/>
        </w:rPr>
        <w:t xml:space="preserve">              </w:t>
      </w:r>
      <w:r>
        <w:rPr>
          <w:rFonts w:hint="eastAsia" w:ascii="宋体" w:hAnsi="宋体"/>
          <w:strike/>
          <w:color w:val="auto"/>
          <w:sz w:val="24"/>
          <w:highlight w:val="none"/>
        </w:rPr>
        <w:t>。</w:t>
      </w:r>
    </w:p>
    <w:p>
      <w:pPr>
        <w:spacing w:line="400" w:lineRule="exact"/>
        <w:jc w:val="left"/>
        <w:rPr>
          <w:rFonts w:ascii="宋体" w:hAnsi="宋体"/>
          <w:color w:val="auto"/>
          <w:sz w:val="24"/>
          <w:highlight w:val="none"/>
        </w:rPr>
      </w:pPr>
    </w:p>
    <w:p>
      <w:pPr>
        <w:adjustRightInd w:val="0"/>
        <w:spacing w:line="400" w:lineRule="exact"/>
        <w:ind w:hanging="843" w:hangingChars="350"/>
        <w:rPr>
          <w:rFonts w:ascii="宋体" w:hAnsi="宋体"/>
          <w:color w:val="auto"/>
          <w:sz w:val="24"/>
          <w:highlight w:val="none"/>
        </w:rPr>
      </w:pPr>
      <w:r>
        <w:rPr>
          <w:rFonts w:hint="eastAsia" w:ascii="宋体" w:hAnsi="宋体"/>
          <w:b/>
          <w:bCs/>
          <w:color w:val="auto"/>
          <w:sz w:val="24"/>
          <w:highlight w:val="none"/>
        </w:rPr>
        <w:t>2.4    质疑和澄清</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2.4.1  投标人应认真审阅招标文件和有关资料，</w:t>
      </w:r>
      <w:r>
        <w:rPr>
          <w:rFonts w:ascii="宋体" w:hAnsi="宋体"/>
          <w:color w:val="auto"/>
          <w:sz w:val="24"/>
          <w:highlight w:val="none"/>
        </w:rPr>
        <w:t>尽力澄清一切疑点</w:t>
      </w:r>
      <w:r>
        <w:rPr>
          <w:rFonts w:hint="eastAsia" w:ascii="宋体" w:hAnsi="宋体"/>
          <w:color w:val="auto"/>
          <w:sz w:val="24"/>
          <w:highlight w:val="none"/>
        </w:rPr>
        <w:t>，对工程现场和周围环境进行勘察，以获取编制投标文件和签署合同所需的所有资料。</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2.4.2  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岀答复、发布招标文件澄清或者修改文件的，应当通过电子交易系统进行。</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 xml:space="preserve">2.4.3  </w:t>
      </w:r>
      <w:r>
        <w:rPr>
          <w:rFonts w:hint="eastAsia" w:ascii="宋体" w:hAnsi="宋体"/>
          <w:color w:val="auto"/>
          <w:sz w:val="24"/>
          <w:highlight w:val="none"/>
          <w:u w:val="single"/>
        </w:rPr>
        <w:t>投标人应在投标截止时间18日前将需要澄清的一切问题上传到广州公共资源交易中心网站进行网上答疑。招标人对已发出的招标文件进行必要的澄清或者修改的，招标人应当在投标截止时间至少15日前，将统一整理为按时序编号的补充材料，在交易平台网站“项目查询（日程安排、答疑纪要）”中公开登载；不足15日的，招标人应当顺延投标文件的截止时间。</w:t>
      </w:r>
      <w:r>
        <w:rPr>
          <w:rFonts w:hint="eastAsia" w:ascii="宋体" w:hAnsi="宋体"/>
          <w:color w:val="auto"/>
          <w:sz w:val="24"/>
          <w:highlight w:val="none"/>
        </w:rPr>
        <w:t>补充材料是招标文件的组成部分，对投标人起约束作用。补充材料如与原招标文件不符，以最新的修改为准。</w:t>
      </w:r>
      <w:r>
        <w:rPr>
          <w:rFonts w:hint="eastAsia" w:ascii="宋体" w:hAnsi="宋体"/>
          <w:color w:val="auto"/>
          <w:sz w:val="24"/>
          <w:highlight w:val="none"/>
          <w:u w:val="single"/>
        </w:rPr>
        <w:t>澄清或答疑纪要是招标文件的组成部分，对投标人起约束作用。若招标答疑纪要或澄清与招标文件有矛盾时，以交易平台网站最后发布的答疑纪要或澄清为准。招标文件的澄清或修改一经在交易平台网站发布，视作已发放给所有投标人。网上答疑的具体操作详见交易平台发布的相关操作指引。</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 xml:space="preserve">2.4.4  </w:t>
      </w:r>
      <w:r>
        <w:rPr>
          <w:rFonts w:hint="eastAsia" w:ascii="宋体" w:hAnsi="宋体"/>
          <w:color w:val="auto"/>
          <w:sz w:val="24"/>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pStyle w:val="18"/>
        <w:adjustRightInd w:val="0"/>
        <w:spacing w:line="400" w:lineRule="exact"/>
        <w:ind w:left="840" w:hanging="843" w:hangingChars="350"/>
        <w:rPr>
          <w:rFonts w:hAnsi="宋体"/>
          <w:b/>
          <w:bCs/>
          <w:color w:val="auto"/>
          <w:sz w:val="24"/>
          <w:highlight w:val="none"/>
        </w:rPr>
      </w:pPr>
    </w:p>
    <w:p>
      <w:pPr>
        <w:pStyle w:val="18"/>
        <w:adjustRightInd w:val="0"/>
        <w:spacing w:line="400" w:lineRule="exact"/>
        <w:ind w:left="840" w:hanging="843" w:hangingChars="350"/>
        <w:rPr>
          <w:rFonts w:hAnsi="宋体"/>
          <w:b/>
          <w:color w:val="auto"/>
          <w:sz w:val="24"/>
          <w:szCs w:val="24"/>
          <w:highlight w:val="none"/>
        </w:rPr>
      </w:pPr>
      <w:r>
        <w:rPr>
          <w:rFonts w:hint="eastAsia" w:hAnsi="宋体"/>
          <w:b/>
          <w:bCs/>
          <w:color w:val="auto"/>
          <w:sz w:val="24"/>
          <w:highlight w:val="none"/>
        </w:rPr>
        <w:t>2</w:t>
      </w:r>
      <w:r>
        <w:rPr>
          <w:rFonts w:hint="eastAsia" w:hAnsi="宋体"/>
          <w:b/>
          <w:color w:val="auto"/>
          <w:sz w:val="24"/>
          <w:szCs w:val="24"/>
          <w:highlight w:val="none"/>
        </w:rPr>
        <w:t>.5    延期</w:t>
      </w:r>
    </w:p>
    <w:p>
      <w:pPr>
        <w:pStyle w:val="18"/>
        <w:adjustRightInd w:val="0"/>
        <w:spacing w:line="400" w:lineRule="exact"/>
        <w:ind w:left="840" w:hanging="840" w:hangingChars="350"/>
        <w:rPr>
          <w:rFonts w:hAnsi="宋体"/>
          <w:color w:val="auto"/>
          <w:sz w:val="24"/>
          <w:szCs w:val="24"/>
          <w:highlight w:val="none"/>
        </w:rPr>
      </w:pPr>
      <w:r>
        <w:rPr>
          <w:rFonts w:hint="eastAsia" w:hAnsi="宋体"/>
          <w:color w:val="auto"/>
          <w:sz w:val="24"/>
          <w:szCs w:val="24"/>
          <w:highlight w:val="none"/>
        </w:rPr>
        <w:t>2.5.1  如果招标过程出现招标管理机构要求暂停、重新评标等意外情形，招标投标各项期限相应延长</w:t>
      </w:r>
      <w:r>
        <w:rPr>
          <w:rFonts w:hAnsi="宋体"/>
          <w:color w:val="auto"/>
          <w:sz w:val="24"/>
          <w:szCs w:val="24"/>
          <w:highlight w:val="none"/>
        </w:rPr>
        <w:t>。</w:t>
      </w:r>
    </w:p>
    <w:p>
      <w:pPr>
        <w:adjustRightInd w:val="0"/>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2.5.2  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pPr>
        <w:adjustRightInd w:val="0"/>
        <w:spacing w:line="400" w:lineRule="exact"/>
        <w:ind w:hanging="843" w:hangingChars="350"/>
        <w:rPr>
          <w:rFonts w:ascii="宋体" w:hAnsi="宋体"/>
          <w:b/>
          <w:color w:val="auto"/>
          <w:sz w:val="24"/>
          <w:highlight w:val="none"/>
        </w:rPr>
      </w:pPr>
    </w:p>
    <w:p>
      <w:pPr>
        <w:adjustRightInd w:val="0"/>
        <w:spacing w:line="400" w:lineRule="exact"/>
        <w:ind w:hanging="843" w:hangingChars="350"/>
        <w:rPr>
          <w:rFonts w:ascii="宋体" w:hAnsi="宋体"/>
          <w:b/>
          <w:color w:val="auto"/>
          <w:sz w:val="24"/>
          <w:highlight w:val="none"/>
        </w:rPr>
      </w:pPr>
      <w:r>
        <w:rPr>
          <w:rFonts w:hint="eastAsia" w:ascii="宋体" w:hAnsi="宋体"/>
          <w:b/>
          <w:color w:val="auto"/>
          <w:sz w:val="24"/>
          <w:highlight w:val="none"/>
        </w:rPr>
        <w:t xml:space="preserve">2.6    </w:t>
      </w:r>
      <w:r>
        <w:rPr>
          <w:rFonts w:hint="eastAsia" w:ascii="宋体" w:hAnsi="宋体"/>
          <w:b/>
          <w:color w:val="auto"/>
          <w:sz w:val="24"/>
          <w:highlight w:val="none"/>
          <w:u w:val="single"/>
        </w:rPr>
        <w:t>投标时间、投标文件的递交和接收</w:t>
      </w:r>
    </w:p>
    <w:p>
      <w:pPr>
        <w:adjustRightInd w:val="0"/>
        <w:spacing w:line="400" w:lineRule="exact"/>
        <w:ind w:left="821" w:hanging="840" w:hangingChars="350"/>
        <w:jc w:val="left"/>
        <w:rPr>
          <w:rFonts w:ascii="宋体" w:hAnsi="宋体"/>
          <w:color w:val="auto"/>
          <w:sz w:val="24"/>
          <w:highlight w:val="none"/>
          <w:u w:val="single"/>
        </w:rPr>
      </w:pPr>
      <w:r>
        <w:rPr>
          <w:rFonts w:hint="eastAsia" w:ascii="宋体" w:hAnsi="宋体"/>
          <w:color w:val="auto"/>
          <w:sz w:val="24"/>
          <w:highlight w:val="none"/>
        </w:rPr>
        <w:t xml:space="preserve">2.6.1  </w:t>
      </w:r>
      <w:r>
        <w:rPr>
          <w:rFonts w:hint="eastAsia" w:ascii="宋体" w:hAnsi="宋体"/>
          <w:color w:val="auto"/>
          <w:sz w:val="24"/>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2.6.2  </w:t>
      </w:r>
      <w:r>
        <w:rPr>
          <w:rFonts w:ascii="宋体" w:hAnsi="宋体"/>
          <w:color w:val="auto"/>
          <w:sz w:val="24"/>
          <w:highlight w:val="none"/>
          <w:u w:val="single"/>
        </w:rPr>
        <w:t>投标人通过下载招标文件的交易平台递交电子投标文件</w:t>
      </w:r>
      <w:r>
        <w:rPr>
          <w:rFonts w:hint="eastAsia" w:ascii="宋体" w:hAnsi="宋体"/>
          <w:color w:val="auto"/>
          <w:sz w:val="24"/>
          <w:highlight w:val="none"/>
          <w:u w:val="single"/>
        </w:rPr>
        <w:t>。</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2.6.3  </w:t>
      </w:r>
      <w:r>
        <w:rPr>
          <w:rFonts w:ascii="宋体" w:hAnsi="宋体"/>
          <w:color w:val="auto"/>
          <w:sz w:val="24"/>
          <w:highlight w:val="none"/>
          <w:u w:val="single"/>
        </w:rPr>
        <w:t>投标人完成电子投标文件上传后，交易平台即时向投标人发出递交回执通知。递交时间以递交回执通知载明的传输完成时间为准。</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2.6.4  如按招标公告要求需要提交投标文件光盘（备用），备用光盘不得加密。如使用投标文件光盘（备用）时无法读取或导入的，则视为未提交投标文件。</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 xml:space="preserve">2.6.5  </w:t>
      </w:r>
      <w:r>
        <w:rPr>
          <w:rFonts w:ascii="宋体" w:hAnsi="宋体"/>
          <w:color w:val="auto"/>
          <w:sz w:val="24"/>
          <w:highlight w:val="none"/>
          <w:u w:val="single"/>
        </w:rPr>
        <w:t>逾期送达的投标文件，交易平台将予以拒收。</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2.6.6  拒绝接收投标文件光盘（备用）的情况：</w:t>
      </w:r>
    </w:p>
    <w:p>
      <w:pPr>
        <w:adjustRightInd w:val="0"/>
        <w:spacing w:line="400" w:lineRule="exact"/>
        <w:ind w:left="819" w:leftChars="390" w:firstLine="0" w:firstLineChars="0"/>
        <w:rPr>
          <w:rFonts w:ascii="宋体" w:hAnsi="宋体"/>
          <w:color w:val="auto"/>
          <w:sz w:val="24"/>
          <w:highlight w:val="none"/>
          <w:u w:val="single"/>
        </w:rPr>
      </w:pPr>
      <w:r>
        <w:rPr>
          <w:rFonts w:hint="eastAsia" w:ascii="宋体" w:hAnsi="宋体"/>
          <w:color w:val="auto"/>
          <w:sz w:val="24"/>
          <w:highlight w:val="none"/>
          <w:u w:val="single"/>
        </w:rPr>
        <w:t>（1）逾期或未在指定地点递交投标文件光盘（备用）；</w:t>
      </w:r>
    </w:p>
    <w:p>
      <w:pPr>
        <w:adjustRightInd w:val="0"/>
        <w:spacing w:line="400" w:lineRule="exact"/>
        <w:ind w:left="819" w:leftChars="390" w:firstLine="0" w:firstLineChars="0"/>
        <w:rPr>
          <w:rFonts w:ascii="宋体" w:hAnsi="宋体"/>
          <w:color w:val="auto"/>
          <w:sz w:val="24"/>
          <w:highlight w:val="none"/>
          <w:u w:val="single"/>
        </w:rPr>
      </w:pPr>
      <w:r>
        <w:rPr>
          <w:rFonts w:hint="eastAsia" w:ascii="宋体" w:hAnsi="宋体"/>
          <w:color w:val="auto"/>
          <w:sz w:val="24"/>
          <w:highlight w:val="none"/>
          <w:u w:val="single"/>
        </w:rPr>
        <w:t>（2）投标人递交的投标文件光盘（备用）未按招标文件要求密封或未在密封处盖章的；</w:t>
      </w:r>
    </w:p>
    <w:p>
      <w:pPr>
        <w:adjustRightInd w:val="0"/>
        <w:spacing w:line="400" w:lineRule="exact"/>
        <w:ind w:left="819" w:leftChars="390" w:firstLine="0" w:firstLineChars="0"/>
        <w:rPr>
          <w:rFonts w:ascii="宋体" w:hAnsi="宋体"/>
          <w:color w:val="auto"/>
          <w:sz w:val="24"/>
          <w:highlight w:val="none"/>
        </w:rPr>
      </w:pPr>
      <w:r>
        <w:rPr>
          <w:rFonts w:hint="eastAsia" w:ascii="宋体" w:hAnsi="宋体"/>
          <w:color w:val="auto"/>
          <w:sz w:val="24"/>
          <w:highlight w:val="none"/>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p>
      <w:pPr>
        <w:adjustRightInd w:val="0"/>
        <w:spacing w:line="400" w:lineRule="exact"/>
        <w:ind w:hanging="843" w:hangingChars="350"/>
        <w:rPr>
          <w:rFonts w:ascii="宋体" w:hAnsi="宋体"/>
          <w:b/>
          <w:bCs/>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 xml:space="preserve">2.7    </w:t>
      </w:r>
      <w:r>
        <w:rPr>
          <w:rFonts w:hint="eastAsia" w:ascii="宋体" w:hAnsi="宋体"/>
          <w:b/>
          <w:bCs/>
          <w:color w:val="auto"/>
          <w:sz w:val="24"/>
          <w:highlight w:val="none"/>
          <w:u w:val="single"/>
        </w:rPr>
        <w:t>投标文件的修改与撤回</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2.7.1  </w:t>
      </w:r>
      <w:r>
        <w:rPr>
          <w:rFonts w:ascii="宋体" w:hAnsi="宋体" w:cs="宋体"/>
          <w:color w:val="auto"/>
          <w:sz w:val="24"/>
          <w:highlight w:val="none"/>
          <w:u w:val="single"/>
        </w:rPr>
        <w:t>在规定的投标截止时间前，投标人可以修改或撤回已递交的投标文件。</w:t>
      </w:r>
    </w:p>
    <w:p>
      <w:pPr>
        <w:wordWrap w:val="0"/>
        <w:topLinePunct/>
        <w:adjustRightInd w:val="0"/>
        <w:spacing w:line="400" w:lineRule="exact"/>
        <w:ind w:left="850" w:hanging="840" w:hangingChars="350"/>
        <w:rPr>
          <w:rFonts w:ascii="宋体" w:hAnsi="宋体"/>
          <w:color w:val="auto"/>
          <w:sz w:val="24"/>
          <w:highlight w:val="none"/>
        </w:rPr>
      </w:pPr>
      <w:r>
        <w:rPr>
          <w:rFonts w:hint="eastAsia" w:ascii="宋体" w:hAnsi="宋体"/>
          <w:color w:val="auto"/>
          <w:sz w:val="24"/>
          <w:highlight w:val="none"/>
        </w:rPr>
        <w:t xml:space="preserve">2.7.2  </w:t>
      </w:r>
      <w:r>
        <w:rPr>
          <w:rFonts w:hint="eastAsia" w:ascii="宋体" w:hAnsi="宋体"/>
          <w:color w:val="auto"/>
          <w:sz w:val="24"/>
          <w:highlight w:val="none"/>
          <w:u w:val="single"/>
        </w:rPr>
        <w:t>投标人修改或撤回已递交的投标文件，需在交易平台发出撤回通知，并按要求加盖电子印章。电子招标投标交易平台收到通知后，即时向投标人发布确认回执通知。</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2.7.3  </w:t>
      </w:r>
      <w:r>
        <w:rPr>
          <w:rFonts w:hint="eastAsia" w:ascii="宋体" w:hAnsi="宋体"/>
          <w:color w:val="auto"/>
          <w:sz w:val="24"/>
          <w:highlight w:val="none"/>
          <w:u w:val="single"/>
        </w:rPr>
        <w:t>修改后再次递交的，按2.6的规定执行。</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u w:val="single"/>
        </w:rPr>
        <w:t>2.7.4  在投标截止时间后，投标人不得补充、修改或更换投标文件。</w:t>
      </w:r>
    </w:p>
    <w:p>
      <w:pPr>
        <w:pStyle w:val="18"/>
        <w:adjustRightInd w:val="0"/>
        <w:ind w:hanging="700" w:hangingChars="350"/>
        <w:rPr>
          <w:rFonts w:hAnsi="宋体"/>
          <w:color w:val="auto"/>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2.8    公开展示</w:t>
      </w:r>
    </w:p>
    <w:p>
      <w:pPr>
        <w:adjustRightInd w:val="0"/>
        <w:spacing w:line="400" w:lineRule="exact"/>
        <w:ind w:left="821" w:hanging="840" w:hangingChars="350"/>
        <w:rPr>
          <w:rFonts w:ascii="宋体" w:hAnsi="宋体"/>
          <w:color w:val="auto"/>
          <w:sz w:val="24"/>
          <w:highlight w:val="none"/>
        </w:rPr>
      </w:pPr>
      <w:r>
        <w:rPr>
          <w:rFonts w:hint="eastAsia" w:ascii="宋体" w:hAnsi="宋体"/>
          <w:bCs/>
          <w:color w:val="auto"/>
          <w:sz w:val="24"/>
          <w:highlight w:val="none"/>
        </w:rPr>
        <w:t>2.8</w:t>
      </w:r>
      <w:r>
        <w:rPr>
          <w:rFonts w:hint="eastAsia" w:ascii="宋体" w:hAnsi="宋体"/>
          <w:color w:val="auto"/>
          <w:sz w:val="24"/>
          <w:highlight w:val="none"/>
        </w:rPr>
        <w:t>.1  按招标文件规定</w:t>
      </w:r>
      <w:r>
        <w:rPr>
          <w:rFonts w:hint="eastAsia" w:ascii="宋体" w:hAnsi="宋体"/>
          <w:strike/>
          <w:color w:val="auto"/>
          <w:sz w:val="24"/>
          <w:highlight w:val="none"/>
        </w:rPr>
        <w:t>获得补偿</w:t>
      </w:r>
      <w:r>
        <w:rPr>
          <w:rFonts w:hint="eastAsia" w:ascii="宋体" w:hAnsi="宋体"/>
          <w:color w:val="auto"/>
          <w:sz w:val="24"/>
          <w:highlight w:val="none"/>
        </w:rPr>
        <w:t>提交的投标文件，评标后不予退回。</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bCs/>
          <w:color w:val="auto"/>
          <w:sz w:val="24"/>
          <w:highlight w:val="none"/>
        </w:rPr>
        <w:t>2.8</w:t>
      </w:r>
      <w:r>
        <w:rPr>
          <w:rFonts w:hint="eastAsia" w:ascii="宋体" w:hAnsi="宋体"/>
          <w:color w:val="auto"/>
          <w:sz w:val="24"/>
          <w:highlight w:val="none"/>
        </w:rPr>
        <w:t>.2  招标人有权在评标结束后公开展示</w:t>
      </w:r>
      <w:r>
        <w:rPr>
          <w:rFonts w:hint="eastAsia" w:ascii="宋体" w:hAnsi="宋体"/>
          <w:strike/>
          <w:color w:val="auto"/>
          <w:sz w:val="24"/>
          <w:highlight w:val="none"/>
        </w:rPr>
        <w:t>获得补偿费用</w:t>
      </w:r>
      <w:r>
        <w:rPr>
          <w:rFonts w:hint="eastAsia" w:ascii="宋体" w:hAnsi="宋体"/>
          <w:color w:val="auto"/>
          <w:sz w:val="24"/>
          <w:highlight w:val="none"/>
        </w:rPr>
        <w:t>的所有投标方案成果，并通过传播媒介、杂志、书刊或其它形式介绍、展示及评价该方案成果，所有展示、推介、广告均不再向投标人支付费用。</w:t>
      </w:r>
    </w:p>
    <w:p>
      <w:pPr>
        <w:adjustRightInd w:val="0"/>
        <w:spacing w:line="400" w:lineRule="exact"/>
        <w:ind w:left="821" w:hanging="840" w:hangingChars="350"/>
        <w:jc w:val="left"/>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2.9    知识产权转移</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2.9.1  授予合同并支付定金后，中标方案的一次性使用权、</w:t>
      </w:r>
      <w:r>
        <w:rPr>
          <w:rFonts w:hint="eastAsia" w:ascii="宋体" w:hAnsi="宋体"/>
          <w:color w:val="auto"/>
          <w:sz w:val="24"/>
          <w:highlight w:val="none"/>
          <w:u w:val="single"/>
        </w:rPr>
        <w:t>知识产权、发表权、展览权</w:t>
      </w:r>
      <w:r>
        <w:rPr>
          <w:rFonts w:hint="eastAsia" w:ascii="宋体" w:hAnsi="宋体"/>
          <w:color w:val="auto"/>
          <w:sz w:val="24"/>
          <w:highlight w:val="none"/>
        </w:rPr>
        <w:t>归招标人所有（署名权除外）。</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2.9.2  </w:t>
      </w:r>
      <w:r>
        <w:rPr>
          <w:rFonts w:hint="eastAsia" w:ascii="宋体" w:hAnsi="宋体"/>
          <w:strike/>
          <w:color w:val="auto"/>
          <w:sz w:val="24"/>
          <w:highlight w:val="none"/>
        </w:rPr>
        <w:t>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adjustRightInd w:val="0"/>
        <w:spacing w:line="400" w:lineRule="exact"/>
        <w:ind w:left="821" w:hanging="840" w:hangingChars="350"/>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2.10   其他</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2.10.1 除特殊情况外，招标人有权在工程建设中根据需要对选定的实施方案进行调整和修改。招标人有权在实施方案中参考使用</w:t>
      </w:r>
      <w:r>
        <w:rPr>
          <w:rFonts w:hint="eastAsia" w:ascii="宋体" w:hAnsi="宋体"/>
          <w:strike/>
          <w:color w:val="auto"/>
          <w:sz w:val="24"/>
          <w:highlight w:val="none"/>
        </w:rPr>
        <w:t>获得补偿费用</w:t>
      </w:r>
      <w:r>
        <w:rPr>
          <w:rFonts w:hint="eastAsia" w:ascii="宋体" w:hAnsi="宋体"/>
          <w:color w:val="auto"/>
          <w:sz w:val="24"/>
          <w:highlight w:val="none"/>
        </w:rPr>
        <w:t>的所有投标方案成果的部分内容，被使用部分的方案使用费按招标文件规定执行。</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2.10.2 投标人保证投标文件及资料均未侵犯他人的知识产权，否则必须承担全部责任。若投标人使用了他人的专利、专有技术，涉及的费用由投标人负责。</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2.10.3 招标人有权无须事先征求中标人的同意而披露关于中标人的名称、地址、合同条款。</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2.10.4</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本次招标由交易服务机构对各投标人提交的成果和评标过程、评标结果予以见证，若有纠纷，将按现行法律、法规通过友好协商或诉讼程序解决。</w:t>
      </w:r>
    </w:p>
    <w:p>
      <w:pPr>
        <w:adjustRightInd w:val="0"/>
        <w:spacing w:line="0" w:lineRule="atLeast"/>
        <w:ind w:left="960" w:hanging="840" w:hangingChars="350"/>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u w:val="single"/>
        </w:rPr>
      </w:pPr>
      <w:r>
        <w:rPr>
          <w:rFonts w:hint="eastAsia" w:ascii="宋体" w:hAnsi="宋体"/>
          <w:b/>
          <w:bCs/>
          <w:color w:val="auto"/>
          <w:sz w:val="24"/>
          <w:highlight w:val="none"/>
          <w:u w:val="single"/>
        </w:rPr>
        <w:t>2.11   电子招标投标解密失败及突发状况的补救</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u w:val="single"/>
        </w:rPr>
        <w:t>2.11.1 提交投标文件光盘备用</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投标人可制作非加密的电子投标文件刻入光盘（1份），在招标公告规定的时间、地点提交备用。1份投标文件光盘（备用）包括“开标文件光盘”“资格审查文件光盘”“商务文件光盘”“技术文件（设计方案）光盘”“保密文件光盘”共5只光盘。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adjustRightInd w:val="0"/>
        <w:spacing w:line="400" w:lineRule="exact"/>
        <w:ind w:left="0" w:hanging="840" w:hangingChars="350"/>
        <w:rPr>
          <w:rFonts w:ascii="宋体" w:hAnsi="宋体"/>
          <w:color w:val="auto"/>
          <w:sz w:val="24"/>
          <w:highlight w:val="none"/>
          <w:u w:val="single"/>
        </w:rPr>
      </w:pPr>
      <w:r>
        <w:rPr>
          <w:rFonts w:hint="eastAsia" w:ascii="宋体" w:hAnsi="宋体"/>
          <w:color w:val="auto"/>
          <w:sz w:val="24"/>
          <w:highlight w:val="none"/>
          <w:u w:val="single"/>
        </w:rPr>
        <w:t>2.11.2 补救方案</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pacing w:line="400" w:lineRule="exact"/>
        <w:ind w:left="960" w:hanging="840" w:hangingChars="350"/>
        <w:rPr>
          <w:rFonts w:ascii="宋体" w:hAnsi="宋体"/>
          <w:color w:val="auto"/>
          <w:sz w:val="24"/>
          <w:highlight w:val="none"/>
          <w:u w:val="single"/>
        </w:rPr>
      </w:pPr>
      <w:r>
        <w:rPr>
          <w:rFonts w:hint="eastAsia" w:ascii="宋体" w:hAnsi="宋体"/>
          <w:color w:val="auto"/>
          <w:sz w:val="24"/>
          <w:highlight w:val="none"/>
          <w:u w:val="single"/>
        </w:rPr>
        <w:t>2.11.2.2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adjustRightInd w:val="0"/>
        <w:spacing w:line="400" w:lineRule="exact"/>
        <w:ind w:left="960" w:hanging="840" w:hangingChars="350"/>
        <w:rPr>
          <w:rFonts w:ascii="宋体" w:hAnsi="宋体"/>
          <w:color w:val="auto"/>
          <w:sz w:val="24"/>
          <w:highlight w:val="none"/>
          <w:u w:val="single"/>
        </w:rPr>
      </w:pPr>
      <w:r>
        <w:rPr>
          <w:rFonts w:hint="eastAsia" w:ascii="宋体" w:hAnsi="宋体"/>
          <w:color w:val="auto"/>
          <w:sz w:val="24"/>
          <w:highlight w:val="none"/>
          <w:u w:val="single"/>
        </w:rPr>
        <w:t>2.11.2.3除发生上述情况外，开标评标均以投标人通过交易平台网上递交的电子投标文件为准。</w:t>
      </w:r>
    </w:p>
    <w:p>
      <w:pPr>
        <w:pStyle w:val="25"/>
        <w:adjustRightInd w:val="0"/>
        <w:spacing w:before="0" w:after="0" w:line="360" w:lineRule="auto"/>
        <w:ind w:hanging="1124" w:hangingChars="350"/>
        <w:rPr>
          <w:rFonts w:ascii="宋体" w:hAnsi="宋体"/>
          <w:color w:val="auto"/>
          <w:sz w:val="36"/>
          <w:szCs w:val="36"/>
          <w:highlight w:val="none"/>
        </w:rPr>
      </w:pPr>
      <w:r>
        <w:rPr>
          <w:rFonts w:ascii="宋体" w:hAnsi="宋体"/>
          <w:color w:val="auto"/>
          <w:highlight w:val="none"/>
        </w:rPr>
        <w:br w:type="page"/>
      </w:r>
      <w:r>
        <w:rPr>
          <w:rFonts w:hint="eastAsia"/>
          <w:color w:val="auto"/>
          <w:highlight w:val="none"/>
        </w:rPr>
        <w:t>第三章</w:t>
      </w:r>
      <w:r>
        <w:rPr>
          <w:color w:val="auto"/>
          <w:highlight w:val="none"/>
        </w:rPr>
        <w:t xml:space="preserve">  </w:t>
      </w:r>
      <w:r>
        <w:rPr>
          <w:rFonts w:hint="eastAsia"/>
          <w:color w:val="auto"/>
          <w:highlight w:val="none"/>
        </w:rPr>
        <w:t>投标文件编制要求</w:t>
      </w:r>
      <w:bookmarkStart w:id="2" w:name="第三章编制要求"/>
      <w:bookmarkEnd w:id="2"/>
    </w:p>
    <w:p>
      <w:pPr>
        <w:adjustRightInd w:val="0"/>
        <w:ind w:hanging="735" w:hangingChars="350"/>
        <w:jc w:val="center"/>
        <w:rPr>
          <w:rFonts w:ascii="宋体" w:hAnsi="宋体"/>
          <w:color w:val="auto"/>
          <w:highlight w:val="none"/>
        </w:rPr>
      </w:pPr>
    </w:p>
    <w:p>
      <w:pPr>
        <w:adjustRightInd w:val="0"/>
        <w:snapToGrid w:val="0"/>
        <w:spacing w:line="360" w:lineRule="auto"/>
        <w:ind w:left="824" w:hanging="843" w:hangingChars="350"/>
        <w:jc w:val="left"/>
        <w:rPr>
          <w:rFonts w:ascii="宋体" w:hAnsi="宋体"/>
          <w:color w:val="auto"/>
          <w:sz w:val="24"/>
          <w:highlight w:val="none"/>
        </w:rPr>
      </w:pPr>
      <w:r>
        <w:rPr>
          <w:rFonts w:hint="eastAsia" w:ascii="宋体" w:hAnsi="宋体"/>
          <w:b/>
          <w:bCs/>
          <w:color w:val="auto"/>
          <w:sz w:val="24"/>
          <w:highlight w:val="none"/>
        </w:rPr>
        <w:t xml:space="preserve">3.1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投标文件</w:t>
      </w:r>
    </w:p>
    <w:p>
      <w:pPr>
        <w:adjustRightInd w:val="0"/>
        <w:snapToGrid w:val="0"/>
        <w:spacing w:line="400" w:lineRule="exact"/>
        <w:ind w:left="0" w:hanging="840" w:hangingChars="350"/>
        <w:jc w:val="left"/>
        <w:rPr>
          <w:rFonts w:ascii="宋体" w:hAnsi="宋体"/>
          <w:color w:val="auto"/>
          <w:sz w:val="24"/>
          <w:highlight w:val="none"/>
        </w:rPr>
      </w:pPr>
      <w:r>
        <w:rPr>
          <w:rFonts w:hint="eastAsia" w:ascii="宋体" w:hAnsi="宋体"/>
          <w:color w:val="auto"/>
          <w:sz w:val="24"/>
          <w:highlight w:val="none"/>
        </w:rPr>
        <w:t xml:space="preserve">3.1.1 </w:t>
      </w:r>
      <w:r>
        <w:rPr>
          <w:rFonts w:hint="eastAsia" w:ascii="宋体" w:hAnsi="宋体"/>
          <w:color w:val="auto"/>
          <w:sz w:val="24"/>
          <w:highlight w:val="none"/>
          <w:lang w:val="en-US" w:eastAsia="zh-CN"/>
        </w:rPr>
        <w:t xml:space="preserve"> </w:t>
      </w:r>
      <w:r>
        <w:rPr>
          <w:rFonts w:hint="eastAsia" w:ascii="宋体" w:hAnsi="宋体"/>
          <w:bCs/>
          <w:color w:val="auto"/>
          <w:sz w:val="24"/>
          <w:highlight w:val="none"/>
        </w:rPr>
        <w:t>设计深度要求</w:t>
      </w:r>
    </w:p>
    <w:p>
      <w:pPr>
        <w:adjustRightInd w:val="0"/>
        <w:snapToGrid w:val="0"/>
        <w:spacing w:line="400" w:lineRule="exact"/>
        <w:ind w:left="0" w:hanging="840" w:hangingChars="350"/>
        <w:jc w:val="left"/>
        <w:rPr>
          <w:rFonts w:ascii="宋体" w:hAnsi="宋体"/>
          <w:color w:val="auto"/>
          <w:sz w:val="24"/>
          <w:highlight w:val="none"/>
        </w:rPr>
      </w:pPr>
      <w:r>
        <w:rPr>
          <w:rFonts w:hint="eastAsia" w:ascii="宋体" w:hAnsi="宋体"/>
          <w:color w:val="auto"/>
          <w:sz w:val="24"/>
          <w:highlight w:val="none"/>
        </w:rPr>
        <w:t>3.1.1.1市政工程勘察设计投标文件应达到建设部《市政公用工程设计文件编制深度规定》相应设计阶段的要求。</w:t>
      </w:r>
    </w:p>
    <w:p>
      <w:pPr>
        <w:adjustRightInd w:val="0"/>
        <w:snapToGrid w:val="0"/>
        <w:spacing w:line="400" w:lineRule="exact"/>
        <w:ind w:left="0" w:hanging="840" w:hangingChars="350"/>
        <w:jc w:val="left"/>
        <w:rPr>
          <w:rFonts w:ascii="宋体" w:hAnsi="宋体"/>
          <w:color w:val="auto"/>
          <w:sz w:val="24"/>
          <w:highlight w:val="none"/>
        </w:rPr>
      </w:pPr>
      <w:r>
        <w:rPr>
          <w:rFonts w:hint="eastAsia" w:ascii="宋体" w:hAnsi="宋体"/>
          <w:color w:val="auto"/>
          <w:sz w:val="24"/>
          <w:highlight w:val="none"/>
        </w:rPr>
        <w:t>3.1.1.2设计独特具有独创性的节点位置，应该提供示意图。</w:t>
      </w:r>
    </w:p>
    <w:p>
      <w:pPr>
        <w:pStyle w:val="16"/>
        <w:adjustRightInd w:val="0"/>
        <w:snapToGrid w:val="0"/>
        <w:spacing w:line="400" w:lineRule="exact"/>
        <w:ind w:left="0" w:hanging="840" w:hangingChars="350"/>
        <w:jc w:val="left"/>
        <w:rPr>
          <w:rFonts w:hAnsi="宋体"/>
          <w:color w:val="auto"/>
          <w:sz w:val="24"/>
          <w:highlight w:val="none"/>
          <w:u w:val="single"/>
        </w:rPr>
      </w:pPr>
      <w:r>
        <w:rPr>
          <w:rFonts w:hint="eastAsia" w:hAnsi="宋体"/>
          <w:color w:val="auto"/>
          <w:sz w:val="24"/>
          <w:highlight w:val="none"/>
        </w:rPr>
        <w:t xml:space="preserve">3.1.2  </w:t>
      </w:r>
      <w:r>
        <w:rPr>
          <w:rFonts w:hint="eastAsia" w:hAnsi="宋体"/>
          <w:color w:val="auto"/>
          <w:sz w:val="24"/>
          <w:highlight w:val="none"/>
          <w:u w:val="single"/>
        </w:rPr>
        <w:t>投标文件由下列部分组成：（1）开标文件；（2）资格审查文件；（3）商务文件；（4）技术文件（设计方案）；（5）投标文件光盘（备用）。投标人也可不提交投标文件光盘（备用）。</w:t>
      </w:r>
    </w:p>
    <w:p>
      <w:pPr>
        <w:pStyle w:val="16"/>
        <w:adjustRightInd w:val="0"/>
        <w:snapToGrid w:val="0"/>
        <w:spacing w:line="400" w:lineRule="exact"/>
        <w:ind w:left="0" w:hanging="840" w:hangingChars="350"/>
        <w:jc w:val="left"/>
        <w:rPr>
          <w:rFonts w:hAnsi="宋体"/>
          <w:color w:val="auto"/>
          <w:sz w:val="24"/>
          <w:highlight w:val="none"/>
        </w:rPr>
      </w:pPr>
      <w:r>
        <w:rPr>
          <w:rFonts w:hint="eastAsia" w:hAnsi="宋体"/>
          <w:color w:val="auto"/>
          <w:sz w:val="24"/>
          <w:highlight w:val="none"/>
        </w:rPr>
        <w:t>3.1.3　</w:t>
      </w:r>
      <w:r>
        <w:rPr>
          <w:rFonts w:hint="eastAsia" w:hAnsi="宋体"/>
          <w:color w:val="auto"/>
          <w:sz w:val="24"/>
          <w:highlight w:val="none"/>
          <w:u w:val="single"/>
        </w:rPr>
        <w:t>投标文件全部采用电子文档，投标文件所附证书证件均为原件清晰扫描件或</w:t>
      </w:r>
      <w:r>
        <w:rPr>
          <w:rFonts w:hAnsi="宋体"/>
          <w:color w:val="auto"/>
          <w:sz w:val="24"/>
          <w:highlight w:val="none"/>
          <w:u w:val="single"/>
        </w:rPr>
        <w:t>电子证书</w:t>
      </w:r>
      <w:r>
        <w:rPr>
          <w:rFonts w:hint="eastAsia" w:hAnsi="宋体"/>
          <w:color w:val="auto"/>
          <w:sz w:val="24"/>
          <w:highlight w:val="none"/>
          <w:u w:val="single"/>
        </w:rPr>
        <w:t>，并采用单位数字证书，按招标文件要求在相应位置加盖电子印章，投标文件中需个人签字或盖章的，应手签后扫描上传，具体操作详见交易平台发布的相关操作指引。</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3.1.4  投标文件应做到清晰、完整，文本、图纸</w:t>
      </w:r>
      <w:r>
        <w:rPr>
          <w:rFonts w:hint="eastAsia" w:ascii="宋体" w:hAnsi="宋体"/>
          <w:color w:val="auto"/>
          <w:sz w:val="24"/>
          <w:highlight w:val="none"/>
          <w:u w:val="single"/>
        </w:rPr>
        <w:t>文件</w:t>
      </w:r>
      <w:r>
        <w:rPr>
          <w:rFonts w:ascii="宋体" w:hAnsi="宋体"/>
          <w:color w:val="auto"/>
          <w:sz w:val="24"/>
          <w:highlight w:val="none"/>
          <w:u w:val="single"/>
        </w:rPr>
        <w:t>大小应满足交易平台</w:t>
      </w:r>
      <w:r>
        <w:rPr>
          <w:rFonts w:hint="eastAsia" w:ascii="宋体" w:hAnsi="宋体"/>
          <w:color w:val="auto"/>
          <w:sz w:val="24"/>
          <w:highlight w:val="none"/>
          <w:u w:val="single"/>
        </w:rPr>
        <w:t>的</w:t>
      </w:r>
      <w:r>
        <w:rPr>
          <w:rFonts w:ascii="宋体" w:hAnsi="宋体"/>
          <w:color w:val="auto"/>
          <w:sz w:val="24"/>
          <w:highlight w:val="none"/>
          <w:u w:val="single"/>
        </w:rPr>
        <w:t>要求</w:t>
      </w:r>
      <w:r>
        <w:rPr>
          <w:rFonts w:hint="eastAsia" w:ascii="宋体" w:hAnsi="宋体"/>
          <w:color w:val="auto"/>
          <w:sz w:val="24"/>
          <w:highlight w:val="none"/>
        </w:rPr>
        <w:t>。除非另有规定，否则投标文件的计量单位宜采用国际标准计量单位，尺寸齐全、准确，所有文字说明和文字标注以中文为准，报价均为人民币，时间均为北京时间。</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3.1.5  每个投标人报送一个投标方案，投标文件应达到招标文件规定的深度，满足评审需要。不响应招标文件要求的投标文件可能被拒绝，责任由投标人自负。</w:t>
      </w: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 xml:space="preserve">3.1.6 </w:t>
      </w:r>
      <w:r>
        <w:rPr>
          <w:rFonts w:ascii="宋体" w:hAnsi="宋体"/>
          <w:color w:val="auto"/>
          <w:sz w:val="24"/>
          <w:highlight w:val="none"/>
          <w:u w:val="single"/>
        </w:rPr>
        <w:t xml:space="preserve"> </w:t>
      </w:r>
      <w:r>
        <w:rPr>
          <w:rFonts w:hint="eastAsia" w:ascii="宋体" w:hAnsi="宋体"/>
          <w:color w:val="auto"/>
          <w:sz w:val="24"/>
          <w:highlight w:val="none"/>
          <w:u w:val="single"/>
        </w:rPr>
        <w:t>投标文件加密要求：递交的电子投标文件必须进行加密</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具体操作详见交易平台发布的相关操作指引。未按要求加密的投标文件，交易平台将予以拒收。</w:t>
      </w:r>
    </w:p>
    <w:p>
      <w:pPr>
        <w:adjustRightInd w:val="0"/>
        <w:snapToGrid w:val="0"/>
        <w:spacing w:line="360" w:lineRule="auto"/>
        <w:ind w:left="824" w:hanging="843" w:hangingChars="350"/>
        <w:jc w:val="left"/>
        <w:rPr>
          <w:rFonts w:ascii="宋体" w:hAnsi="宋体"/>
          <w:b/>
          <w:color w:val="auto"/>
          <w:sz w:val="24"/>
          <w:highlight w:val="none"/>
        </w:rPr>
      </w:pPr>
    </w:p>
    <w:p>
      <w:pPr>
        <w:adjustRightInd w:val="0"/>
        <w:snapToGrid w:val="0"/>
        <w:spacing w:line="360" w:lineRule="auto"/>
        <w:ind w:left="824" w:hanging="843" w:hangingChars="350"/>
        <w:jc w:val="left"/>
        <w:rPr>
          <w:rFonts w:ascii="宋体" w:hAnsi="宋体"/>
          <w:color w:val="auto"/>
          <w:sz w:val="24"/>
          <w:highlight w:val="none"/>
        </w:rPr>
      </w:pPr>
      <w:r>
        <w:rPr>
          <w:rFonts w:hint="eastAsia" w:ascii="宋体" w:hAnsi="宋体"/>
          <w:b/>
          <w:color w:val="auto"/>
          <w:sz w:val="24"/>
          <w:highlight w:val="none"/>
        </w:rPr>
        <w:t>3</w:t>
      </w:r>
      <w:r>
        <w:rPr>
          <w:rFonts w:hint="eastAsia" w:ascii="宋体" w:hAnsi="宋体"/>
          <w:b/>
          <w:bCs/>
          <w:color w:val="auto"/>
          <w:sz w:val="24"/>
          <w:highlight w:val="none"/>
        </w:rPr>
        <w:t>.2</w:t>
      </w:r>
      <w:r>
        <w:rPr>
          <w:rFonts w:hint="eastAsia" w:ascii="宋体" w:hAnsi="宋体"/>
          <w:bCs/>
          <w:color w:val="auto"/>
          <w:sz w:val="24"/>
          <w:highlight w:val="none"/>
        </w:rPr>
        <w:t xml:space="preserve"> </w:t>
      </w:r>
      <w:r>
        <w:rPr>
          <w:rFonts w:hint="eastAsia" w:ascii="宋体" w:hAnsi="宋体"/>
          <w:b/>
          <w:bCs/>
          <w:color w:val="auto"/>
          <w:sz w:val="24"/>
          <w:highlight w:val="none"/>
        </w:rPr>
        <w:t xml:space="preserve">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u w:val="single"/>
        </w:rPr>
        <w:t>商务文件编制要求</w:t>
      </w:r>
    </w:p>
    <w:p>
      <w:pPr>
        <w:adjustRightInd w:val="0"/>
        <w:snapToGrid w:val="0"/>
        <w:spacing w:line="360" w:lineRule="auto"/>
        <w:ind w:left="824" w:hanging="840" w:hangingChars="350"/>
        <w:jc w:val="left"/>
        <w:rPr>
          <w:rFonts w:ascii="宋体" w:hAnsi="宋体"/>
          <w:color w:val="auto"/>
          <w:sz w:val="24"/>
          <w:highlight w:val="none"/>
        </w:rPr>
      </w:pPr>
      <w:r>
        <w:rPr>
          <w:rFonts w:hint="eastAsia" w:ascii="宋体" w:hAnsi="宋体"/>
          <w:color w:val="auto"/>
          <w:sz w:val="24"/>
          <w:highlight w:val="none"/>
        </w:rPr>
        <w:t>3.2.1</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商务文件由下列资料组成：</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（1）目录。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2）《投标书》（格式见附录7，填妥并签名盖章。本项资料要求投标人在“开标文件”和“商务文件”中同时提供，但评标委员会应根据“开标文件”中的《投标书》进行评审。如两者不一致，以“开标文件”中的《投标书》为准。）</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（3）填妥并盖章的《投标申请表》（格式见附录1</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3）。</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（4）项目负责人注册证书或职称证书。</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（5）各专业负责人注册证书或职称证书。</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（6）企业类似工程业绩证明材料。</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（7）项目负责人类似工程业绩证明材料。</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8）为本项目拟投入的技术力量。主要包括项目负责人及各专业负责人的资格、设计经历及业务能力，主要设计人员的资格、设计经历及业务能力，参加本项目人员配置情况等，对资格、获奖及经历等内容必须附上有关的证明材料，并能保证材料的真实性（格式见附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（9）企业信誉证明资料（如有）。</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（10）提供设计优质服务的保证措施和设计周期以及保证设计进度的措施，与各相关部门及当地政府协调措施，代办设计报建的措施；提出工程施工期间设计配合措施。</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（11）勘察设计费报价汇总表、</w:t>
      </w:r>
      <w:r>
        <w:rPr>
          <w:rFonts w:hint="eastAsia" w:ascii="宋体" w:hAnsi="宋体"/>
          <w:color w:val="auto"/>
          <w:sz w:val="24"/>
          <w:highlight w:val="none"/>
          <w:u w:val="single"/>
          <w:lang w:eastAsia="zh-CN"/>
        </w:rPr>
        <w:t>工程设计费报价表</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工程勘察费报价明细表</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测量费报价表</w:t>
      </w:r>
      <w:r>
        <w:rPr>
          <w:rFonts w:hint="eastAsia" w:ascii="宋体" w:hAnsi="宋体"/>
          <w:color w:val="auto"/>
          <w:sz w:val="24"/>
          <w:highlight w:val="none"/>
          <w:u w:val="single"/>
        </w:rPr>
        <w:t>、地下管线探测费用计算表（格式见附录）。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（12）投标人认为有必要提供的其他资料。</w:t>
      </w:r>
    </w:p>
    <w:p>
      <w:pPr>
        <w:adjustRightInd w:val="0"/>
        <w:snapToGrid w:val="0"/>
        <w:spacing w:line="360" w:lineRule="auto"/>
        <w:ind w:left="824" w:hanging="840" w:hangingChars="350"/>
        <w:jc w:val="left"/>
        <w:rPr>
          <w:rFonts w:ascii="宋体" w:hAnsi="宋体"/>
          <w:color w:val="auto"/>
          <w:sz w:val="24"/>
          <w:highlight w:val="none"/>
          <w:u w:val="single"/>
        </w:rPr>
      </w:pPr>
      <w:r>
        <w:rPr>
          <w:rFonts w:hint="eastAsia" w:ascii="宋体" w:hAnsi="宋体"/>
          <w:strike w:val="0"/>
          <w:color w:val="auto"/>
          <w:sz w:val="24"/>
          <w:highlight w:val="none"/>
        </w:rPr>
        <w:t xml:space="preserve">3.2.2 </w:t>
      </w:r>
      <w:r>
        <w:rPr>
          <w:rFonts w:hint="eastAsia" w:ascii="宋体" w:hAnsi="宋体"/>
          <w:strike w:val="0"/>
          <w:color w:val="auto"/>
          <w:sz w:val="24"/>
          <w:highlight w:val="none"/>
          <w:lang w:val="en-US" w:eastAsia="zh-CN"/>
        </w:rPr>
        <w:t xml:space="preserve"> </w:t>
      </w:r>
      <w:r>
        <w:rPr>
          <w:rFonts w:hint="eastAsia" w:ascii="宋体" w:hAnsi="宋体"/>
          <w:strike w:val="0"/>
          <w:color w:val="auto"/>
          <w:sz w:val="24"/>
          <w:highlight w:val="none"/>
        </w:rPr>
        <w:t>商务投标文件的签署要求：对于联合体投标人，文件落款中的“投标人”应填写联合体各方的单位全称【格式为：（主）XXXX公司（成）XXXXX公司】。商务投标文件需要盖章或签字的部分可仅由联合体牵头人盖章或签字，视作符合要求。</w:t>
      </w:r>
    </w:p>
    <w:p>
      <w:pPr>
        <w:adjustRightInd w:val="0"/>
        <w:snapToGrid w:val="0"/>
        <w:spacing w:line="360" w:lineRule="auto"/>
        <w:ind w:left="824" w:hanging="840" w:hangingChars="350"/>
        <w:jc w:val="left"/>
        <w:rPr>
          <w:rFonts w:ascii="宋体" w:hAnsi="宋体"/>
          <w:strike/>
          <w:color w:val="auto"/>
          <w:sz w:val="24"/>
          <w:highlight w:val="none"/>
        </w:rPr>
      </w:pPr>
      <w:r>
        <w:rPr>
          <w:rFonts w:ascii="宋体" w:hAnsi="宋体"/>
          <w:strike/>
          <w:color w:val="auto"/>
          <w:sz w:val="24"/>
          <w:highlight w:val="none"/>
        </w:rPr>
        <w:t>3.2.3</w:t>
      </w:r>
      <w:r>
        <w:rPr>
          <w:rFonts w:hint="eastAsia" w:ascii="宋体" w:hAnsi="宋体"/>
          <w:strike/>
          <w:color w:val="auto"/>
          <w:sz w:val="24"/>
          <w:highlight w:val="none"/>
          <w:lang w:val="en-US" w:eastAsia="zh-CN"/>
        </w:rPr>
        <w:t xml:space="preserve">  </w:t>
      </w:r>
      <w:r>
        <w:rPr>
          <w:rFonts w:hint="eastAsia" w:ascii="宋体" w:hAnsi="宋体"/>
          <w:strike/>
          <w:color w:val="auto"/>
          <w:sz w:val="24"/>
          <w:highlight w:val="none"/>
        </w:rPr>
        <w:t>接收投标文件时，如果包封上没有按上述规定密封或加写标志，招标人予以拒绝，并退还给投标人。</w:t>
      </w:r>
    </w:p>
    <w:p>
      <w:pPr>
        <w:adjustRightInd w:val="0"/>
        <w:snapToGrid w:val="0"/>
        <w:spacing w:line="360" w:lineRule="auto"/>
        <w:ind w:left="824" w:hanging="843" w:hangingChars="350"/>
        <w:jc w:val="left"/>
        <w:rPr>
          <w:rFonts w:ascii="宋体" w:hAnsi="宋体"/>
          <w:b/>
          <w:bCs/>
          <w:color w:val="auto"/>
          <w:sz w:val="24"/>
          <w:highlight w:val="none"/>
        </w:rPr>
      </w:pPr>
      <w:r>
        <w:rPr>
          <w:rFonts w:hint="eastAsia" w:ascii="宋体" w:hAnsi="宋体"/>
          <w:b/>
          <w:bCs/>
          <w:color w:val="auto"/>
          <w:sz w:val="24"/>
          <w:highlight w:val="none"/>
        </w:rPr>
        <w:t xml:space="preserve">3.3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技术文件</w:t>
      </w:r>
      <w:r>
        <w:rPr>
          <w:rFonts w:hint="eastAsia" w:ascii="宋体" w:hAnsi="宋体"/>
          <w:b/>
          <w:bCs/>
          <w:color w:val="auto"/>
          <w:sz w:val="24"/>
          <w:highlight w:val="none"/>
          <w:u w:val="single"/>
        </w:rPr>
        <w:t>（设计方案）编制要求</w:t>
      </w:r>
    </w:p>
    <w:p>
      <w:pPr>
        <w:adjustRightInd w:val="0"/>
        <w:snapToGrid w:val="0"/>
        <w:spacing w:line="360" w:lineRule="auto"/>
        <w:ind w:left="824" w:hanging="840" w:hangingChars="350"/>
        <w:jc w:val="left"/>
        <w:rPr>
          <w:rFonts w:ascii="宋体" w:hAnsi="宋体"/>
          <w:color w:val="auto"/>
          <w:sz w:val="24"/>
          <w:highlight w:val="none"/>
        </w:rPr>
      </w:pPr>
      <w:r>
        <w:rPr>
          <w:rFonts w:ascii="宋体" w:hAnsi="宋体"/>
          <w:color w:val="auto"/>
          <w:sz w:val="24"/>
          <w:highlight w:val="none"/>
        </w:rPr>
        <w:t xml:space="preserve">3.3.1 </w:t>
      </w:r>
      <w:r>
        <w:rPr>
          <w:rFonts w:hint="eastAsia" w:ascii="宋体" w:hAnsi="宋体"/>
          <w:color w:val="auto"/>
          <w:sz w:val="24"/>
          <w:highlight w:val="none"/>
          <w:lang w:val="en-US" w:eastAsia="zh-CN"/>
        </w:rPr>
        <w:t xml:space="preserve"> </w:t>
      </w:r>
      <w:r>
        <w:rPr>
          <w:rFonts w:hint="eastAsia" w:ascii="宋体" w:hAnsi="宋体"/>
          <w:b/>
          <w:color w:val="auto"/>
          <w:sz w:val="24"/>
          <w:highlight w:val="none"/>
        </w:rPr>
        <w:t>技术文件</w:t>
      </w:r>
      <w:r>
        <w:rPr>
          <w:rFonts w:hint="eastAsia" w:ascii="宋体" w:hAnsi="宋体"/>
          <w:b/>
          <w:bCs/>
          <w:color w:val="auto"/>
          <w:sz w:val="24"/>
          <w:highlight w:val="none"/>
          <w:u w:val="single"/>
        </w:rPr>
        <w:t>（设计方案）</w:t>
      </w:r>
      <w:r>
        <w:rPr>
          <w:rFonts w:hint="eastAsia" w:ascii="宋体" w:hAnsi="宋体"/>
          <w:b/>
          <w:color w:val="auto"/>
          <w:sz w:val="24"/>
          <w:highlight w:val="none"/>
        </w:rPr>
        <w:t>由下列资料组成：</w:t>
      </w:r>
    </w:p>
    <w:p>
      <w:pPr>
        <w:adjustRightInd w:val="0"/>
        <w:snapToGrid w:val="0"/>
        <w:spacing w:line="360" w:lineRule="auto"/>
        <w:ind w:left="824" w:hanging="840" w:hangingChars="350"/>
        <w:jc w:val="lef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(a) </w:t>
      </w:r>
      <w:r>
        <w:rPr>
          <w:rFonts w:hint="eastAsia" w:ascii="宋体" w:hAnsi="宋体"/>
          <w:color w:val="auto"/>
          <w:sz w:val="24"/>
          <w:highlight w:val="none"/>
          <w:lang w:eastAsia="zh-CN"/>
        </w:rPr>
        <w:t>勘察</w:t>
      </w:r>
      <w:r>
        <w:rPr>
          <w:rFonts w:hint="eastAsia" w:ascii="宋体" w:hAnsi="宋体"/>
          <w:color w:val="auto"/>
          <w:sz w:val="24"/>
          <w:highlight w:val="none"/>
          <w:u w:val="single"/>
        </w:rPr>
        <w:t>设计方案</w:t>
      </w:r>
      <w:r>
        <w:rPr>
          <w:rFonts w:hint="eastAsia" w:ascii="宋体" w:hAnsi="宋体"/>
          <w:color w:val="auto"/>
          <w:sz w:val="24"/>
          <w:highlight w:val="none"/>
        </w:rPr>
        <w:t>。</w:t>
      </w:r>
    </w:p>
    <w:p>
      <w:pPr>
        <w:wordWrap/>
        <w:topLinePunct w:val="0"/>
        <w:adjustRightInd w:val="0"/>
        <w:snapToGrid w:val="0"/>
        <w:spacing w:line="360" w:lineRule="auto"/>
        <w:ind w:left="840" w:leftChars="0" w:hanging="840" w:hangingChars="350"/>
        <w:jc w:val="left"/>
        <w:rPr>
          <w:rFonts w:ascii="宋体" w:hAnsi="宋体"/>
          <w:color w:val="auto"/>
          <w:sz w:val="24"/>
          <w:highlight w:val="none"/>
        </w:rPr>
      </w:pPr>
      <w:r>
        <w:rPr>
          <w:rFonts w:hint="eastAsia" w:ascii="宋体" w:hAnsi="宋体"/>
          <w:color w:val="auto"/>
          <w:sz w:val="24"/>
          <w:highlight w:val="none"/>
        </w:rPr>
        <w:t xml:space="preserve">3.3.2 </w:t>
      </w:r>
      <w:r>
        <w:rPr>
          <w:rFonts w:hint="eastAsia" w:ascii="宋体" w:hAnsi="宋体"/>
          <w:color w:val="auto"/>
          <w:sz w:val="24"/>
          <w:highlight w:val="none"/>
          <w:lang w:val="en-US" w:eastAsia="zh-CN"/>
        </w:rPr>
        <w:t xml:space="preserve"> </w:t>
      </w:r>
      <w:r>
        <w:rPr>
          <w:rFonts w:hint="eastAsia" w:ascii="宋体" w:hAnsi="宋体"/>
          <w:b/>
          <w:bCs/>
          <w:color w:val="auto"/>
          <w:sz w:val="24"/>
          <w:highlight w:val="none"/>
        </w:rPr>
        <w:t>保密要求</w:t>
      </w:r>
      <w:r>
        <w:rPr>
          <w:rFonts w:hint="eastAsia" w:ascii="宋体" w:hAnsi="宋体"/>
          <w:b/>
          <w:bCs/>
          <w:color w:val="auto"/>
          <w:sz w:val="24"/>
          <w:highlight w:val="none"/>
          <w:lang w:eastAsia="zh-CN"/>
        </w:rPr>
        <w:t>：</w:t>
      </w:r>
      <w:r>
        <w:rPr>
          <w:rFonts w:hint="eastAsia" w:ascii="宋体" w:hAnsi="宋体"/>
          <w:color w:val="auto"/>
          <w:sz w:val="24"/>
          <w:highlight w:val="none"/>
          <w:u w:val="single"/>
        </w:rPr>
        <w:t>技术文件</w:t>
      </w:r>
      <w:r>
        <w:rPr>
          <w:rFonts w:hint="eastAsia" w:ascii="宋体" w:hAnsi="宋体"/>
          <w:bCs/>
          <w:color w:val="auto"/>
          <w:sz w:val="24"/>
          <w:highlight w:val="none"/>
          <w:u w:val="single"/>
        </w:rPr>
        <w:t>（设计方案）</w:t>
      </w:r>
      <w:r>
        <w:rPr>
          <w:rFonts w:hint="eastAsia" w:ascii="宋体" w:hAnsi="宋体"/>
          <w:color w:val="auto"/>
          <w:sz w:val="24"/>
          <w:highlight w:val="none"/>
        </w:rPr>
        <w:t>必须隐匿投标人及专业技术人员的名称</w:t>
      </w:r>
      <w:r>
        <w:rPr>
          <w:rFonts w:hint="eastAsia" w:ascii="宋体" w:hAnsi="宋体"/>
          <w:color w:val="auto"/>
          <w:sz w:val="24"/>
          <w:highlight w:val="none"/>
          <w:u w:val="single"/>
        </w:rPr>
        <w:t>及投标报价信息</w:t>
      </w:r>
      <w:r>
        <w:rPr>
          <w:rFonts w:hint="eastAsia" w:ascii="宋体" w:hAnsi="宋体"/>
          <w:color w:val="auto"/>
          <w:sz w:val="24"/>
          <w:highlight w:val="none"/>
        </w:rPr>
        <w:t>，除</w:t>
      </w:r>
      <w:r>
        <w:rPr>
          <w:rFonts w:hint="eastAsia" w:ascii="宋体" w:hAnsi="宋体"/>
          <w:color w:val="auto"/>
          <w:sz w:val="24"/>
          <w:highlight w:val="none"/>
          <w:u w:val="single"/>
        </w:rPr>
        <w:t>“保密文件光盘”</w:t>
      </w:r>
      <w:r>
        <w:rPr>
          <w:rFonts w:hint="eastAsia" w:ascii="宋体" w:hAnsi="宋体"/>
          <w:color w:val="auto"/>
          <w:sz w:val="24"/>
          <w:highlight w:val="none"/>
        </w:rPr>
        <w:t>内的分辨投标人身份的文件外，投标人不得在</w:t>
      </w:r>
      <w:r>
        <w:rPr>
          <w:rFonts w:hint="eastAsia" w:ascii="宋体" w:hAnsi="宋体"/>
          <w:color w:val="auto"/>
          <w:sz w:val="24"/>
          <w:highlight w:val="none"/>
          <w:u w:val="single"/>
        </w:rPr>
        <w:t>技术文件</w:t>
      </w:r>
      <w:r>
        <w:rPr>
          <w:rFonts w:hint="eastAsia" w:ascii="宋体" w:hAnsi="宋体"/>
          <w:bCs/>
          <w:color w:val="auto"/>
          <w:sz w:val="24"/>
          <w:highlight w:val="none"/>
          <w:u w:val="single"/>
        </w:rPr>
        <w:t>（设计方案）</w:t>
      </w:r>
      <w:r>
        <w:rPr>
          <w:rFonts w:hint="eastAsia" w:ascii="宋体" w:hAnsi="宋体"/>
          <w:color w:val="auto"/>
          <w:sz w:val="24"/>
          <w:highlight w:val="none"/>
        </w:rPr>
        <w:t>上标注或做任何可以辨认投标人及专业技术人员身份的名称、印章、商标</w:t>
      </w:r>
      <w:r>
        <w:rPr>
          <w:rFonts w:hint="eastAsia" w:ascii="宋体" w:hAnsi="宋体"/>
          <w:color w:val="auto"/>
          <w:sz w:val="24"/>
          <w:highlight w:val="none"/>
          <w:u w:val="single"/>
        </w:rPr>
        <w:t>，也不得显示投标报价信息</w:t>
      </w:r>
      <w:r>
        <w:rPr>
          <w:rFonts w:hint="eastAsia" w:ascii="宋体" w:hAnsi="宋体"/>
          <w:color w:val="auto"/>
          <w:sz w:val="24"/>
          <w:highlight w:val="none"/>
        </w:rPr>
        <w:t>。</w:t>
      </w:r>
    </w:p>
    <w:p>
      <w:pPr>
        <w:adjustRightInd w:val="0"/>
        <w:snapToGrid w:val="0"/>
        <w:spacing w:line="360" w:lineRule="auto"/>
        <w:ind w:left="824" w:hanging="840" w:hangingChars="350"/>
        <w:jc w:val="left"/>
        <w:rPr>
          <w:rFonts w:ascii="宋体" w:hAnsi="宋体"/>
          <w:b/>
          <w:color w:val="auto"/>
          <w:sz w:val="24"/>
          <w:highlight w:val="none"/>
        </w:rPr>
      </w:pPr>
      <w:r>
        <w:rPr>
          <w:rFonts w:hint="eastAsia" w:ascii="宋体" w:hAnsi="宋体"/>
          <w:color w:val="auto"/>
          <w:sz w:val="24"/>
          <w:highlight w:val="none"/>
        </w:rPr>
        <w:t>3.3.3</w:t>
      </w:r>
      <w:r>
        <w:rPr>
          <w:rFonts w:hint="eastAsia" w:ascii="宋体" w:hAnsi="宋体"/>
          <w:color w:val="auto"/>
          <w:sz w:val="24"/>
          <w:highlight w:val="none"/>
          <w:lang w:val="en-US" w:eastAsia="zh-CN"/>
        </w:rPr>
        <w:t xml:space="preserve">  </w:t>
      </w:r>
      <w:r>
        <w:rPr>
          <w:rFonts w:hint="eastAsia" w:ascii="宋体" w:hAnsi="宋体"/>
          <w:b/>
          <w:color w:val="auto"/>
          <w:sz w:val="24"/>
          <w:highlight w:val="none"/>
          <w:u w:val="single"/>
        </w:rPr>
        <w:t>技术文件（设计方案）光盘和保密文件光盘</w:t>
      </w:r>
    </w:p>
    <w:p>
      <w:pPr>
        <w:adjustRightInd w:val="0"/>
        <w:snapToGrid w:val="0"/>
        <w:spacing w:line="360" w:lineRule="auto"/>
        <w:ind w:left="834" w:leftChars="397" w:firstLine="6" w:firstLineChars="0"/>
        <w:jc w:val="left"/>
        <w:rPr>
          <w:rFonts w:hint="eastAsia" w:ascii="宋体" w:hAnsi="宋体"/>
          <w:color w:val="auto"/>
          <w:sz w:val="24"/>
          <w:highlight w:val="none"/>
          <w:u w:val="single"/>
        </w:rPr>
      </w:pPr>
      <w:r>
        <w:rPr>
          <w:rFonts w:hint="eastAsia" w:ascii="宋体" w:hAnsi="宋体"/>
          <w:color w:val="auto"/>
          <w:sz w:val="24"/>
          <w:highlight w:val="none"/>
          <w:u w:val="single"/>
        </w:rPr>
        <w:t>（1）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公章，项目负责人署名。表现图内容应与设计方案一致（并注明表现图在设计方案中的页码或图号），用于分辨投标文件对应的投标人身份。</w:t>
      </w:r>
    </w:p>
    <w:p>
      <w:pPr>
        <w:adjustRightInd w:val="0"/>
        <w:snapToGrid w:val="0"/>
        <w:spacing w:line="360" w:lineRule="auto"/>
        <w:ind w:left="834" w:leftChars="397" w:firstLine="6" w:firstLineChars="0"/>
        <w:jc w:val="left"/>
        <w:rPr>
          <w:rFonts w:ascii="宋体" w:hAnsi="宋体"/>
          <w:color w:val="auto"/>
          <w:sz w:val="24"/>
          <w:highlight w:val="none"/>
        </w:rPr>
      </w:pPr>
      <w:r>
        <w:rPr>
          <w:rFonts w:hint="eastAsia" w:ascii="宋体" w:hAnsi="宋体"/>
          <w:color w:val="auto"/>
          <w:sz w:val="24"/>
          <w:highlight w:val="none"/>
          <w:u w:val="single"/>
        </w:rPr>
        <w:t>（2）技术文件（设计方案）光盘、保密文件光盘接收时不得启封，当符合上款条件需要对技术文件（设计方案）进行评审时，由交易服务机构见证人对技术文件（设计方案）光盘启封密封袋并编号，参与开标、评标的其他人员应当回避，完成编号后送交评标委员会进行评审。评标结果揭晓前，负责编号的工作人员不得向他人透露投标文件编号的情况。在完成技术文件</w:t>
      </w:r>
      <w:r>
        <w:rPr>
          <w:rFonts w:hint="eastAsia" w:ascii="宋体" w:hAnsi="宋体"/>
          <w:bCs w:val="0"/>
          <w:color w:val="auto"/>
          <w:sz w:val="24"/>
          <w:highlight w:val="none"/>
          <w:u w:val="single"/>
        </w:rPr>
        <w:t>（设计方案）评审后</w:t>
      </w:r>
      <w:r>
        <w:rPr>
          <w:rFonts w:hint="eastAsia" w:ascii="宋体" w:hAnsi="宋体"/>
          <w:color w:val="auto"/>
          <w:sz w:val="24"/>
          <w:highlight w:val="none"/>
          <w:u w:val="single"/>
        </w:rPr>
        <w:t>，由交易服务机构见证人和评标委员会共同开启保密文件光盘密封袋揭晓投标人身份。</w:t>
      </w:r>
    </w:p>
    <w:p>
      <w:pPr>
        <w:tabs>
          <w:tab w:val="left" w:pos="630"/>
        </w:tabs>
        <w:adjustRightInd w:val="0"/>
        <w:snapToGrid w:val="0"/>
        <w:spacing w:line="360" w:lineRule="auto"/>
        <w:ind w:left="824" w:hanging="840" w:hangingChars="350"/>
        <w:jc w:val="left"/>
        <w:rPr>
          <w:rFonts w:ascii="宋体" w:hAnsi="宋体"/>
          <w:b/>
          <w:color w:val="auto"/>
          <w:sz w:val="24"/>
          <w:highlight w:val="none"/>
        </w:rPr>
      </w:pPr>
      <w:r>
        <w:rPr>
          <w:rFonts w:hint="eastAsia" w:ascii="宋体" w:hAnsi="宋体"/>
          <w:color w:val="auto"/>
          <w:sz w:val="24"/>
          <w:highlight w:val="none"/>
        </w:rPr>
        <w:t>3.3.4</w:t>
      </w:r>
      <w:r>
        <w:rPr>
          <w:rFonts w:hint="eastAsia" w:ascii="宋体" w:hAnsi="宋体"/>
          <w:color w:val="auto"/>
          <w:sz w:val="24"/>
          <w:highlight w:val="none"/>
          <w:lang w:val="en-US" w:eastAsia="zh-CN"/>
        </w:rPr>
        <w:t xml:space="preserve">  </w:t>
      </w:r>
      <w:r>
        <w:rPr>
          <w:rFonts w:hint="eastAsia" w:ascii="宋体" w:hAnsi="宋体"/>
          <w:b/>
          <w:color w:val="auto"/>
          <w:sz w:val="24"/>
          <w:highlight w:val="none"/>
          <w:u w:val="single"/>
        </w:rPr>
        <w:t>技术文件（设计方案）</w:t>
      </w:r>
    </w:p>
    <w:p>
      <w:pPr>
        <w:adjustRightInd w:val="0"/>
        <w:snapToGrid w:val="0"/>
        <w:spacing w:line="360" w:lineRule="auto"/>
        <w:ind w:left="840" w:leftChars="400" w:firstLine="0" w:firstLineChars="0"/>
        <w:jc w:val="left"/>
        <w:rPr>
          <w:rFonts w:hint="eastAsia" w:ascii="宋体" w:hAnsi="宋体"/>
          <w:color w:val="auto"/>
          <w:sz w:val="24"/>
          <w:highlight w:val="none"/>
          <w:u w:val="single"/>
        </w:rPr>
      </w:pPr>
      <w:r>
        <w:rPr>
          <w:rFonts w:hint="eastAsia" w:ascii="宋体" w:hAnsi="宋体"/>
          <w:color w:val="auto"/>
          <w:sz w:val="24"/>
          <w:highlight w:val="none"/>
          <w:u w:val="single"/>
          <w:lang w:eastAsia="zh-CN"/>
        </w:rPr>
        <w:t>勘察</w:t>
      </w:r>
      <w:r>
        <w:rPr>
          <w:rFonts w:hint="eastAsia" w:ascii="宋体" w:hAnsi="宋体"/>
          <w:color w:val="auto"/>
          <w:sz w:val="24"/>
          <w:highlight w:val="none"/>
          <w:u w:val="single"/>
        </w:rPr>
        <w:t>设计方案由下列资料组成：</w:t>
      </w:r>
    </w:p>
    <w:p>
      <w:pPr>
        <w:adjustRightInd w:val="0"/>
        <w:snapToGrid w:val="0"/>
        <w:spacing w:line="360" w:lineRule="auto"/>
        <w:ind w:left="840" w:leftChars="400" w:firstLine="0" w:firstLineChars="0"/>
        <w:jc w:val="left"/>
        <w:rPr>
          <w:color w:val="auto"/>
          <w:sz w:val="24"/>
          <w:highlight w:val="none"/>
        </w:rPr>
      </w:pPr>
      <w:r>
        <w:rPr>
          <w:rFonts w:hint="eastAsia" w:ascii="宋体" w:hAnsi="宋体"/>
          <w:b/>
          <w:color w:val="auto"/>
          <w:sz w:val="24"/>
          <w:highlight w:val="none"/>
          <w:u w:val="single"/>
        </w:rPr>
        <w:t>（1）设计方案文本文件：</w:t>
      </w:r>
    </w:p>
    <w:p>
      <w:pPr>
        <w:adjustRightInd w:val="0"/>
        <w:snapToGrid w:val="0"/>
        <w:spacing w:line="360" w:lineRule="auto"/>
        <w:ind w:left="840" w:leftChars="40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 xml:space="preserve">(a) </w:t>
      </w:r>
      <w:r>
        <w:rPr>
          <w:rFonts w:hint="eastAsia" w:ascii="宋体" w:hAnsi="宋体"/>
          <w:color w:val="auto"/>
          <w:sz w:val="24"/>
          <w:highlight w:val="none"/>
          <w:u w:val="single"/>
        </w:rPr>
        <w:t>首页：写明项目名称、设计作品主题（不宜超过20个字）、编制年月</w:t>
      </w:r>
      <w:r>
        <w:rPr>
          <w:rFonts w:hint="eastAsia" w:ascii="宋体" w:hAnsi="宋体"/>
          <w:color w:val="auto"/>
          <w:sz w:val="24"/>
          <w:highlight w:val="none"/>
          <w:u w:val="single"/>
          <w:lang w:eastAsia="zh-CN"/>
        </w:rPr>
        <w:t>。</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(b) 目录。</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(c) 设计说明书（含本项目的难点、建议和</w:t>
      </w:r>
      <w:r>
        <w:rPr>
          <w:rFonts w:ascii="宋体" w:hAnsi="宋体"/>
          <w:color w:val="auto"/>
          <w:sz w:val="24"/>
          <w:highlight w:val="none"/>
        </w:rPr>
        <w:t>工程创新</w:t>
      </w:r>
      <w:r>
        <w:rPr>
          <w:rFonts w:hint="eastAsia" w:ascii="宋体" w:hAnsi="宋体"/>
          <w:color w:val="auto"/>
          <w:sz w:val="24"/>
          <w:highlight w:val="none"/>
        </w:rPr>
        <w:t>）。</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(d) 设计图纸。</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(e) 《工期计划表》（方案修改、初步设计、施工图设计的总工时和工期）。</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(f) 投标人认为有必要提供的其他资料。</w:t>
      </w:r>
    </w:p>
    <w:p>
      <w:pPr>
        <w:adjustRightInd w:val="0"/>
        <w:snapToGrid w:val="0"/>
        <w:spacing w:line="360" w:lineRule="auto"/>
        <w:ind w:left="840" w:leftChars="400" w:firstLine="0" w:firstLineChars="0"/>
        <w:jc w:val="left"/>
        <w:rPr>
          <w:rFonts w:hint="eastAsia" w:ascii="宋体" w:hAnsi="宋体" w:eastAsia="宋体" w:cs="Times New Roman"/>
          <w:b/>
          <w:color w:val="auto"/>
          <w:sz w:val="24"/>
          <w:szCs w:val="24"/>
          <w:highlight w:val="none"/>
          <w:u w:val="single"/>
        </w:rPr>
      </w:pPr>
      <w:r>
        <w:rPr>
          <w:rFonts w:hint="eastAsia" w:ascii="宋体" w:hAnsi="宋体" w:eastAsia="宋体" w:cs="Times New Roman"/>
          <w:b/>
          <w:color w:val="auto"/>
          <w:sz w:val="24"/>
          <w:szCs w:val="24"/>
          <w:highlight w:val="none"/>
          <w:u w:val="single"/>
          <w:lang w:eastAsia="zh-CN"/>
        </w:rPr>
        <w:t>（2）</w:t>
      </w:r>
      <w:r>
        <w:rPr>
          <w:rFonts w:hint="eastAsia" w:ascii="宋体" w:hAnsi="宋体" w:eastAsia="宋体" w:cs="Times New Roman"/>
          <w:b/>
          <w:color w:val="auto"/>
          <w:sz w:val="24"/>
          <w:szCs w:val="24"/>
          <w:highlight w:val="none"/>
          <w:u w:val="single"/>
        </w:rPr>
        <w:t>勘察方案</w:t>
      </w:r>
      <w:r>
        <w:rPr>
          <w:rFonts w:hint="eastAsia" w:ascii="宋体" w:hAnsi="宋体" w:eastAsia="宋体" w:cs="Times New Roman"/>
          <w:b/>
          <w:color w:val="auto"/>
          <w:sz w:val="24"/>
          <w:szCs w:val="24"/>
          <w:highlight w:val="none"/>
          <w:u w:val="single"/>
          <w:lang w:eastAsia="zh-CN"/>
        </w:rPr>
        <w:t>文本文件</w:t>
      </w:r>
      <w:r>
        <w:rPr>
          <w:rFonts w:hint="eastAsia" w:ascii="宋体" w:hAnsi="宋体" w:eastAsia="宋体" w:cs="Times New Roman"/>
          <w:b/>
          <w:color w:val="auto"/>
          <w:sz w:val="24"/>
          <w:szCs w:val="24"/>
          <w:highlight w:val="none"/>
          <w:u w:val="single"/>
          <w:lang w:val="en-US"/>
        </w:rPr>
        <w:t>：</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(a) 针对项目场地及工程性质采用的勘察方案及建议，本次勘察的重点、难点及建议。</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(b) 勘察工作流程和相应的工期进度计划。</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(c) 勘察报告综合评价深度，勘察成果文件内容目录。</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(d) 投标人掌握的勘察工作有关的法律法规、标准、规范一览表。</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(e) 需要建设单位配合的事项。</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(f) 投标人</w:t>
      </w:r>
      <w:r>
        <w:rPr>
          <w:rFonts w:hint="eastAsia" w:ascii="宋体" w:hAnsi="宋体"/>
          <w:strike/>
          <w:color w:val="auto"/>
          <w:sz w:val="24"/>
          <w:szCs w:val="24"/>
          <w:highlight w:val="none"/>
          <w:u w:val="none"/>
        </w:rPr>
        <w:t>参与施工验槽，</w:t>
      </w:r>
      <w:r>
        <w:rPr>
          <w:rFonts w:hint="eastAsia" w:ascii="宋体" w:hAnsi="宋体"/>
          <w:color w:val="auto"/>
          <w:sz w:val="24"/>
          <w:szCs w:val="24"/>
          <w:highlight w:val="none"/>
          <w:u w:val="none"/>
        </w:rPr>
        <w:t>解决工程设计和施工中与勘察工作有关问题的服务承诺、响应时间。</w:t>
      </w:r>
    </w:p>
    <w:p>
      <w:pPr>
        <w:adjustRightInd w:val="0"/>
        <w:snapToGrid w:val="0"/>
        <w:spacing w:line="360" w:lineRule="auto"/>
        <w:ind w:left="840" w:leftChars="400"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u w:val="none"/>
        </w:rPr>
        <w:t>注：技术文件（勘察设计方案）文件大小不宜超过500M。</w:t>
      </w:r>
    </w:p>
    <w:p>
      <w:pPr>
        <w:adjustRightInd w:val="0"/>
        <w:snapToGrid w:val="0"/>
        <w:spacing w:line="360" w:lineRule="auto"/>
        <w:ind w:left="824" w:hanging="840" w:hangingChars="350"/>
        <w:jc w:val="left"/>
        <w:rPr>
          <w:rFonts w:ascii="宋体" w:hAnsi="宋体"/>
          <w:color w:val="auto"/>
          <w:sz w:val="24"/>
          <w:highlight w:val="none"/>
        </w:rPr>
      </w:pPr>
    </w:p>
    <w:p>
      <w:pPr>
        <w:adjustRightInd w:val="0"/>
        <w:snapToGrid w:val="0"/>
        <w:spacing w:line="360" w:lineRule="auto"/>
        <w:ind w:left="824" w:hanging="843" w:hangingChars="350"/>
        <w:jc w:val="left"/>
        <w:rPr>
          <w:rFonts w:ascii="宋体" w:hAnsi="宋体"/>
          <w:b/>
          <w:strike/>
          <w:color w:val="auto"/>
          <w:sz w:val="24"/>
          <w:highlight w:val="none"/>
        </w:rPr>
      </w:pPr>
      <w:r>
        <w:rPr>
          <w:rFonts w:hint="eastAsia" w:ascii="宋体" w:hAnsi="宋体"/>
          <w:b/>
          <w:strike/>
          <w:color w:val="auto"/>
          <w:sz w:val="24"/>
          <w:highlight w:val="none"/>
        </w:rPr>
        <w:t>3.3.5</w:t>
      </w:r>
      <w:r>
        <w:rPr>
          <w:rFonts w:hint="eastAsia" w:ascii="宋体" w:hAnsi="宋体"/>
          <w:b/>
          <w:strike/>
          <w:color w:val="auto"/>
          <w:sz w:val="24"/>
          <w:highlight w:val="none"/>
          <w:lang w:val="en-US" w:eastAsia="zh-CN"/>
        </w:rPr>
        <w:t xml:space="preserve">   </w:t>
      </w:r>
      <w:r>
        <w:rPr>
          <w:rFonts w:hint="eastAsia" w:ascii="宋体" w:hAnsi="宋体"/>
          <w:b/>
          <w:strike/>
          <w:color w:val="auto"/>
          <w:sz w:val="24"/>
          <w:highlight w:val="none"/>
        </w:rPr>
        <w:t>计算机文件</w:t>
      </w:r>
    </w:p>
    <w:p>
      <w:pPr>
        <w:adjustRightInd w:val="0"/>
        <w:snapToGrid w:val="0"/>
        <w:spacing w:line="360" w:lineRule="auto"/>
        <w:ind w:left="1680" w:leftChars="400" w:hanging="840" w:hangingChars="350"/>
        <w:jc w:val="left"/>
        <w:rPr>
          <w:rFonts w:ascii="宋体" w:hAnsi="宋体"/>
          <w:strike/>
          <w:color w:val="auto"/>
          <w:sz w:val="24"/>
          <w:highlight w:val="none"/>
        </w:rPr>
      </w:pPr>
      <w:r>
        <w:rPr>
          <w:rFonts w:hint="eastAsia" w:ascii="宋体" w:hAnsi="宋体"/>
          <w:strike/>
          <w:color w:val="auto"/>
          <w:sz w:val="24"/>
          <w:highlight w:val="none"/>
        </w:rPr>
        <w:t>（1）计算机文件包括</w:t>
      </w:r>
      <w:r>
        <w:rPr>
          <w:rFonts w:hint="eastAsia" w:ascii="宋体" w:hAnsi="宋体"/>
          <w:strike/>
          <w:color w:val="auto"/>
          <w:sz w:val="24"/>
          <w:highlight w:val="none"/>
          <w:u w:val="single"/>
        </w:rPr>
        <w:t xml:space="preserve">         </w:t>
      </w:r>
      <w:r>
        <w:rPr>
          <w:rFonts w:hint="eastAsia" w:ascii="宋体" w:hAnsi="宋体"/>
          <w:strike/>
          <w:color w:val="auto"/>
          <w:sz w:val="24"/>
          <w:highlight w:val="none"/>
        </w:rPr>
        <w:t>内容：</w:t>
      </w:r>
    </w:p>
    <w:p>
      <w:pPr>
        <w:adjustRightInd w:val="0"/>
        <w:snapToGrid w:val="0"/>
        <w:spacing w:line="360" w:lineRule="auto"/>
        <w:ind w:left="840" w:leftChars="400" w:firstLine="0" w:firstLineChars="0"/>
        <w:jc w:val="left"/>
        <w:rPr>
          <w:rFonts w:ascii="宋体" w:hAnsi="宋体"/>
          <w:strike/>
          <w:color w:val="auto"/>
          <w:sz w:val="24"/>
          <w:highlight w:val="none"/>
        </w:rPr>
      </w:pPr>
      <w:r>
        <w:rPr>
          <w:rFonts w:hint="eastAsia" w:ascii="宋体" w:hAnsi="宋体"/>
          <w:strike/>
          <w:color w:val="auto"/>
          <w:sz w:val="24"/>
          <w:highlight w:val="none"/>
        </w:rPr>
        <w:t>(a) 一张用于识别投标方案的JPG格式的图型文件。</w:t>
      </w:r>
    </w:p>
    <w:p>
      <w:pPr>
        <w:tabs>
          <w:tab w:val="left" w:pos="840"/>
        </w:tabs>
        <w:adjustRightInd w:val="0"/>
        <w:snapToGrid w:val="0"/>
        <w:spacing w:line="360" w:lineRule="auto"/>
        <w:ind w:left="840" w:leftChars="400" w:firstLine="0" w:firstLineChars="0"/>
        <w:jc w:val="left"/>
        <w:rPr>
          <w:rFonts w:ascii="宋体" w:hAnsi="宋体"/>
          <w:strike/>
          <w:color w:val="auto"/>
          <w:sz w:val="24"/>
          <w:highlight w:val="none"/>
        </w:rPr>
      </w:pPr>
      <w:r>
        <w:rPr>
          <w:rFonts w:hint="eastAsia" w:ascii="宋体" w:hAnsi="宋体"/>
          <w:strike/>
          <w:color w:val="auto"/>
          <w:sz w:val="24"/>
          <w:highlight w:val="none"/>
        </w:rPr>
        <w:t>(b) 一套PDF格式或PPT格式制作的电子版文本文件。</w:t>
      </w:r>
    </w:p>
    <w:p>
      <w:pPr>
        <w:adjustRightInd w:val="0"/>
        <w:snapToGrid w:val="0"/>
        <w:spacing w:line="360" w:lineRule="auto"/>
        <w:ind w:left="840" w:leftChars="400" w:firstLine="0" w:firstLineChars="0"/>
        <w:jc w:val="left"/>
        <w:rPr>
          <w:rFonts w:ascii="宋体" w:hAnsi="宋体"/>
          <w:strike/>
          <w:color w:val="auto"/>
          <w:sz w:val="24"/>
          <w:highlight w:val="none"/>
        </w:rPr>
      </w:pPr>
      <w:r>
        <w:rPr>
          <w:rFonts w:hint="eastAsia" w:ascii="宋体" w:hAnsi="宋体"/>
          <w:strike/>
          <w:color w:val="auto"/>
          <w:sz w:val="24"/>
          <w:highlight w:val="none"/>
        </w:rPr>
        <w:t>(c) 一套WORD格式的电子版文本文件。</w:t>
      </w:r>
    </w:p>
    <w:p>
      <w:pPr>
        <w:adjustRightInd w:val="0"/>
        <w:snapToGrid w:val="0"/>
        <w:spacing w:line="360" w:lineRule="auto"/>
        <w:ind w:left="840" w:leftChars="400" w:firstLine="0" w:firstLineChars="0"/>
        <w:jc w:val="left"/>
        <w:rPr>
          <w:rFonts w:hint="eastAsia" w:ascii="宋体" w:hAnsi="宋体"/>
          <w:strike/>
          <w:color w:val="auto"/>
          <w:sz w:val="24"/>
          <w:highlight w:val="none"/>
        </w:rPr>
      </w:pPr>
      <w:r>
        <w:rPr>
          <w:rFonts w:hint="eastAsia" w:ascii="宋体" w:hAnsi="宋体"/>
          <w:strike/>
          <w:color w:val="auto"/>
          <w:sz w:val="24"/>
          <w:highlight w:val="none"/>
        </w:rPr>
        <w:t>(d) 一套AutoCAD格式的设计图形文件。</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strike/>
          <w:color w:val="auto"/>
          <w:sz w:val="24"/>
          <w:highlight w:val="none"/>
        </w:rPr>
        <w:t>（2）计算机文件应从网上投递到勘察设计远程招标投标服务系统。同时还要刻录光盘1套，随纸质文本文件一起提交。</w:t>
      </w:r>
    </w:p>
    <w:p>
      <w:pPr>
        <w:adjustRightInd w:val="0"/>
        <w:snapToGrid w:val="0"/>
        <w:spacing w:line="360" w:lineRule="auto"/>
        <w:ind w:left="824" w:hanging="840" w:hangingChars="350"/>
        <w:jc w:val="left"/>
        <w:rPr>
          <w:rFonts w:ascii="宋体" w:hAnsi="宋体"/>
          <w:color w:val="auto"/>
          <w:sz w:val="24"/>
          <w:highlight w:val="none"/>
        </w:rPr>
      </w:pPr>
    </w:p>
    <w:p>
      <w:pPr>
        <w:adjustRightInd w:val="0"/>
        <w:snapToGrid w:val="0"/>
        <w:spacing w:line="360" w:lineRule="auto"/>
        <w:ind w:left="824" w:hanging="840" w:hangingChars="350"/>
        <w:jc w:val="left"/>
        <w:rPr>
          <w:rFonts w:ascii="宋体" w:hAnsi="宋体"/>
          <w:b/>
          <w:strike/>
          <w:color w:val="auto"/>
          <w:sz w:val="24"/>
          <w:highlight w:val="none"/>
        </w:rPr>
      </w:pPr>
      <w:r>
        <w:rPr>
          <w:rFonts w:hint="eastAsia" w:ascii="宋体" w:hAnsi="宋体"/>
          <w:strike/>
          <w:color w:val="auto"/>
          <w:sz w:val="24"/>
          <w:highlight w:val="none"/>
        </w:rPr>
        <w:t>3.3.6</w:t>
      </w:r>
      <w:r>
        <w:rPr>
          <w:rFonts w:hint="eastAsia" w:ascii="宋体" w:hAnsi="宋体"/>
          <w:strike/>
          <w:color w:val="auto"/>
          <w:sz w:val="24"/>
          <w:highlight w:val="none"/>
          <w:lang w:val="en-US" w:eastAsia="zh-CN"/>
        </w:rPr>
        <w:t xml:space="preserve"> </w:t>
      </w:r>
      <w:r>
        <w:rPr>
          <w:rFonts w:hint="eastAsia" w:ascii="宋体" w:hAnsi="宋体"/>
          <w:strike/>
          <w:color w:val="auto"/>
          <w:sz w:val="24"/>
          <w:highlight w:val="none"/>
        </w:rPr>
        <w:t xml:space="preserve"> </w:t>
      </w:r>
      <w:r>
        <w:rPr>
          <w:rFonts w:hint="eastAsia" w:ascii="宋体" w:hAnsi="宋体"/>
          <w:b/>
          <w:strike/>
          <w:color w:val="auto"/>
          <w:sz w:val="24"/>
          <w:highlight w:val="none"/>
        </w:rPr>
        <w:t>展示图纸</w:t>
      </w:r>
    </w:p>
    <w:p>
      <w:pPr>
        <w:adjustRightInd w:val="0"/>
        <w:snapToGrid w:val="0"/>
        <w:spacing w:line="360" w:lineRule="auto"/>
        <w:ind w:left="834" w:leftChars="397" w:firstLine="6" w:firstLineChars="0"/>
        <w:jc w:val="left"/>
        <w:rPr>
          <w:rFonts w:ascii="宋体" w:hAnsi="宋体"/>
          <w:strike/>
          <w:color w:val="auto"/>
          <w:sz w:val="24"/>
          <w:highlight w:val="none"/>
        </w:rPr>
      </w:pPr>
      <w:r>
        <w:rPr>
          <w:rFonts w:hint="eastAsia" w:ascii="宋体" w:hAnsi="宋体"/>
          <w:strike/>
          <w:color w:val="auto"/>
          <w:sz w:val="24"/>
          <w:highlight w:val="none"/>
        </w:rPr>
        <w:t>（1）设计方案展示图纸制作一套，不宜超过</w:t>
      </w:r>
      <w:r>
        <w:rPr>
          <w:rFonts w:hint="eastAsia" w:ascii="宋体" w:hAnsi="宋体"/>
          <w:strike/>
          <w:color w:val="auto"/>
          <w:sz w:val="24"/>
          <w:highlight w:val="none"/>
          <w:u w:val="single"/>
        </w:rPr>
        <w:t xml:space="preserve"> 5 </w:t>
      </w:r>
      <w:r>
        <w:rPr>
          <w:rFonts w:hint="eastAsia" w:ascii="宋体" w:hAnsi="宋体"/>
          <w:strike/>
          <w:color w:val="auto"/>
          <w:sz w:val="24"/>
          <w:highlight w:val="none"/>
        </w:rPr>
        <w:t>幅，内容为表现图、分析示意图、总平面图等，</w:t>
      </w:r>
      <w:r>
        <w:rPr>
          <w:rFonts w:ascii="宋体" w:hAnsi="宋体"/>
          <w:strike/>
          <w:color w:val="auto"/>
          <w:sz w:val="24"/>
          <w:highlight w:val="none"/>
        </w:rPr>
        <w:t>可以水平或垂直展示，</w:t>
      </w:r>
      <w:r>
        <w:rPr>
          <w:rFonts w:hint="eastAsia" w:ascii="宋体" w:hAnsi="宋体"/>
          <w:strike/>
          <w:color w:val="auto"/>
          <w:sz w:val="24"/>
          <w:highlight w:val="none"/>
        </w:rPr>
        <w:t>图纸规格不宜大于A0（约1189mm×841mm），图纸比例由投标人根据视觉效果自行决定，展示图纸宜裱在轻质板上。</w:t>
      </w:r>
    </w:p>
    <w:p>
      <w:pPr>
        <w:adjustRightInd w:val="0"/>
        <w:snapToGrid w:val="0"/>
        <w:spacing w:line="360" w:lineRule="auto"/>
        <w:ind w:left="834" w:leftChars="397" w:firstLine="6" w:firstLineChars="0"/>
        <w:jc w:val="left"/>
        <w:rPr>
          <w:rFonts w:ascii="宋体" w:hAnsi="宋体"/>
          <w:color w:val="auto"/>
          <w:sz w:val="24"/>
          <w:highlight w:val="none"/>
        </w:rPr>
      </w:pPr>
      <w:r>
        <w:rPr>
          <w:rFonts w:hint="eastAsia" w:ascii="宋体" w:hAnsi="宋体"/>
          <w:strike/>
          <w:color w:val="auto"/>
          <w:sz w:val="24"/>
          <w:highlight w:val="none"/>
        </w:rPr>
        <w:t>（2）展示图纸用不透明包装物包装密封，外面标注“项目名称”及“展示图纸”字样。</w:t>
      </w:r>
    </w:p>
    <w:p>
      <w:pPr>
        <w:adjustRightInd w:val="0"/>
        <w:snapToGrid w:val="0"/>
        <w:spacing w:line="360" w:lineRule="auto"/>
        <w:ind w:left="824" w:hanging="840" w:hangingChars="350"/>
        <w:jc w:val="left"/>
        <w:rPr>
          <w:rFonts w:ascii="宋体" w:hAnsi="宋体"/>
          <w:color w:val="auto"/>
          <w:sz w:val="24"/>
          <w:highlight w:val="none"/>
        </w:rPr>
      </w:pPr>
    </w:p>
    <w:p>
      <w:pPr>
        <w:adjustRightInd w:val="0"/>
        <w:snapToGrid w:val="0"/>
        <w:spacing w:line="400" w:lineRule="exact"/>
        <w:ind w:left="824" w:hanging="843" w:hangingChars="350"/>
        <w:jc w:val="left"/>
        <w:rPr>
          <w:rFonts w:ascii="宋体" w:hAnsi="宋体"/>
          <w:b/>
          <w:color w:val="auto"/>
          <w:sz w:val="24"/>
          <w:highlight w:val="none"/>
        </w:rPr>
      </w:pPr>
      <w:r>
        <w:rPr>
          <w:rFonts w:hint="eastAsia" w:ascii="宋体" w:hAnsi="宋体"/>
          <w:b/>
          <w:color w:val="auto"/>
          <w:sz w:val="24"/>
          <w:highlight w:val="none"/>
        </w:rPr>
        <w:t>3.4    投标保证</w:t>
      </w:r>
    </w:p>
    <w:p>
      <w:pPr>
        <w:tabs>
          <w:tab w:val="left" w:pos="840"/>
        </w:tabs>
        <w:adjustRightInd w:val="0"/>
        <w:snapToGrid w:val="0"/>
        <w:spacing w:line="400" w:lineRule="exact"/>
        <w:ind w:left="824" w:hanging="840" w:hangingChars="350"/>
        <w:jc w:val="left"/>
        <w:rPr>
          <w:rFonts w:ascii="宋体" w:hAnsi="宋体"/>
          <w:color w:val="auto"/>
          <w:kern w:val="0"/>
          <w:sz w:val="24"/>
          <w:highlight w:val="none"/>
          <w:u w:val="single"/>
        </w:rPr>
      </w:pPr>
      <w:r>
        <w:rPr>
          <w:rFonts w:hint="eastAsia" w:ascii="宋体" w:hAnsi="宋体"/>
          <w:color w:val="auto"/>
          <w:sz w:val="24"/>
          <w:highlight w:val="none"/>
        </w:rPr>
        <w:t xml:space="preserve">3.4.1 </w:t>
      </w:r>
      <w:r>
        <w:rPr>
          <w:rFonts w:hint="eastAsia" w:ascii="宋体" w:hAnsi="宋体"/>
          <w:color w:val="auto"/>
          <w:sz w:val="24"/>
          <w:highlight w:val="none"/>
          <w:lang w:val="en-US" w:eastAsia="zh-CN"/>
        </w:rPr>
        <w:t xml:space="preserve"> </w:t>
      </w:r>
      <w:r>
        <w:rPr>
          <w:rFonts w:ascii="宋体" w:hAnsi="宋体"/>
          <w:color w:val="auto"/>
          <w:kern w:val="0"/>
          <w:sz w:val="24"/>
          <w:highlight w:val="none"/>
          <w:u w:val="single"/>
        </w:rPr>
        <w:t>1.投标人■需要/</w:t>
      </w:r>
      <w:r>
        <w:rPr>
          <w:rFonts w:ascii="宋体" w:hAnsi="宋体"/>
          <w:color w:val="auto"/>
          <w:kern w:val="0"/>
          <w:sz w:val="24"/>
          <w:highlight w:val="none"/>
          <w:u w:val="single"/>
        </w:rPr>
        <w:sym w:font="Wingdings 2" w:char="00A3"/>
      </w:r>
      <w:r>
        <w:rPr>
          <w:rFonts w:hint="eastAsia" w:ascii="宋体" w:hAnsi="宋体"/>
          <w:color w:val="auto"/>
          <w:kern w:val="0"/>
          <w:sz w:val="24"/>
          <w:highlight w:val="none"/>
          <w:u w:val="single"/>
        </w:rPr>
        <w:t>不需要提交投标保证金</w:t>
      </w:r>
      <w:r>
        <w:rPr>
          <w:rFonts w:ascii="宋体" w:hAnsi="宋体"/>
          <w:color w:val="auto"/>
          <w:kern w:val="0"/>
          <w:sz w:val="24"/>
          <w:highlight w:val="none"/>
          <w:u w:val="single"/>
        </w:rPr>
        <w:t>2</w:t>
      </w:r>
      <w:r>
        <w:rPr>
          <w:rFonts w:hint="eastAsia" w:ascii="宋体" w:hAnsi="宋体"/>
          <w:color w:val="auto"/>
          <w:kern w:val="0"/>
          <w:sz w:val="24"/>
          <w:highlight w:val="none"/>
          <w:u w:val="single"/>
        </w:rPr>
        <w:t>万元。</w:t>
      </w:r>
    </w:p>
    <w:p>
      <w:pPr>
        <w:adjustRightInd w:val="0"/>
        <w:snapToGrid w:val="0"/>
        <w:spacing w:line="400" w:lineRule="exact"/>
        <w:ind w:left="1680" w:leftChars="400" w:hanging="840" w:hangingChars="350"/>
        <w:jc w:val="left"/>
        <w:rPr>
          <w:rFonts w:ascii="宋体" w:hAnsi="宋体"/>
          <w:color w:val="auto"/>
          <w:kern w:val="0"/>
          <w:sz w:val="24"/>
          <w:highlight w:val="none"/>
          <w:u w:val="single"/>
        </w:rPr>
      </w:pPr>
      <w:r>
        <w:rPr>
          <w:rFonts w:ascii="宋体" w:hAnsi="宋体"/>
          <w:color w:val="auto"/>
          <w:kern w:val="0"/>
          <w:sz w:val="24"/>
          <w:highlight w:val="none"/>
          <w:u w:val="single"/>
        </w:rPr>
        <w:t>2.缴纳时间：投标截止时间前</w:t>
      </w:r>
    </w:p>
    <w:p>
      <w:pPr>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ascii="宋体" w:hAnsi="宋体"/>
          <w:color w:val="auto"/>
          <w:kern w:val="0"/>
          <w:sz w:val="24"/>
          <w:highlight w:val="none"/>
          <w:u w:val="single"/>
        </w:rPr>
        <w:t>3.投标保证金的形式：投标保证金可采用现金、支票、汇票、信用证、保函、保险等形式。</w:t>
      </w:r>
    </w:p>
    <w:p>
      <w:pPr>
        <w:adjustRightInd w:val="0"/>
        <w:snapToGrid w:val="0"/>
        <w:spacing w:line="400" w:lineRule="exact"/>
        <w:ind w:left="813" w:leftChars="387"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w:t>
      </w:r>
      <w:r>
        <w:rPr>
          <w:rFonts w:ascii="宋体" w:hAnsi="宋体"/>
          <w:color w:val="auto"/>
          <w:kern w:val="0"/>
          <w:sz w:val="24"/>
          <w:highlight w:val="none"/>
          <w:u w:val="single"/>
        </w:rPr>
        <w:t>1）如采用现金、支票或者汇票形式提交的，由广州公共资源交易中心代收，投标保证金须从投标人基本账户递交：</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 xml:space="preserve">开户银行及账号： </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开户银行：中国建设银行天润路支行</w:t>
      </w:r>
      <w:r>
        <w:rPr>
          <w:rFonts w:ascii="宋体" w:hAnsi="宋体"/>
          <w:color w:val="auto"/>
          <w:kern w:val="0"/>
          <w:sz w:val="24"/>
          <w:highlight w:val="none"/>
          <w:u w:val="single"/>
        </w:rPr>
        <w:t xml:space="preserve">    </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帐号：</w:t>
      </w:r>
      <w:r>
        <w:rPr>
          <w:rFonts w:ascii="宋体" w:hAnsi="宋体"/>
          <w:color w:val="auto"/>
          <w:kern w:val="0"/>
          <w:sz w:val="24"/>
          <w:highlight w:val="none"/>
          <w:u w:val="single"/>
        </w:rPr>
        <w:t xml:space="preserve">44001583404059333333  </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户名：广州交易集团有限公司</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联系电话：</w:t>
      </w:r>
      <w:r>
        <w:rPr>
          <w:rFonts w:ascii="宋体" w:hAnsi="宋体"/>
          <w:color w:val="auto"/>
          <w:kern w:val="0"/>
          <w:sz w:val="24"/>
          <w:highlight w:val="none"/>
          <w:u w:val="single"/>
        </w:rPr>
        <w:t>020-28866000</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注：</w:t>
      </w:r>
    </w:p>
    <w:p>
      <w:pPr>
        <w:pStyle w:val="62"/>
        <w:numPr>
          <w:ilvl w:val="0"/>
          <w:numId w:val="3"/>
        </w:numPr>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具体要求详见广州公共资源交易中心通知公告栏“关于投标项目保证金操作指引的说明”</w:t>
      </w:r>
    </w:p>
    <w:p>
      <w:pPr>
        <w:pStyle w:val="62"/>
        <w:numPr>
          <w:ilvl w:val="0"/>
          <w:numId w:val="3"/>
        </w:numPr>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有关情况说明如下：投标人必须提前办理缴纳投标保证金的事宜，且在缴纳保证金之前必须先咨询广州公共资源交易中心详细缴纳方法，否则需自行承担保证金无法成功缴纳的风险。到账情况以开标时广州公共资源交易中心数据库查询的信息为准。投标保证金以现金或者支票形式递交的，应按照交易中心有关规定退还银行同期存款利息。</w:t>
      </w:r>
    </w:p>
    <w:p>
      <w:pPr>
        <w:pStyle w:val="62"/>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（注：投标人需在交易系统中将汇入投标保证金与投标项目进行绑定，绑定成功后才能被认定为完成缴交投标保证金义务。</w:t>
      </w:r>
    </w:p>
    <w:p>
      <w:pPr>
        <w:adjustRightInd w:val="0"/>
        <w:snapToGrid w:val="0"/>
        <w:spacing w:line="400" w:lineRule="exact"/>
        <w:ind w:left="813" w:leftChars="387"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操作流程（具体详见交易中心的操作指引）</w:t>
      </w:r>
    </w:p>
    <w:p>
      <w:pPr>
        <w:tabs>
          <w:tab w:val="left" w:pos="840"/>
        </w:tabs>
        <w:adjustRightInd w:val="0"/>
        <w:snapToGrid w:val="0"/>
        <w:spacing w:line="400" w:lineRule="exact"/>
        <w:ind w:left="813" w:leftChars="387"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w:t>
      </w:r>
      <w:r>
        <w:rPr>
          <w:rFonts w:ascii="宋体" w:hAnsi="宋体"/>
          <w:color w:val="auto"/>
          <w:kern w:val="0"/>
          <w:sz w:val="24"/>
          <w:highlight w:val="none"/>
          <w:u w:val="single"/>
        </w:rPr>
        <w:t>2）</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u w:val="single"/>
        </w:rPr>
        <w:t>如采用保函（必须由投标人的基本账户开具，</w:t>
      </w:r>
      <w:r>
        <w:rPr>
          <w:rFonts w:hint="eastAsia" w:ascii="宋体" w:hAnsi="宋体"/>
          <w:color w:val="auto"/>
          <w:kern w:val="0"/>
          <w:sz w:val="24"/>
          <w:highlight w:val="none"/>
          <w:u w:val="single"/>
        </w:rPr>
        <w:t>若基本账户银行不能开具，可由上级银行出具并附相关证明材料，否则视为无效）或保险等形式提交的，银行保函需开具给招标人，银行保函有效期不少于投标有效期。保证保险需开具给招标人（受益人也必须是招标人），保证保险有效期不少于投标有效期。投标人应在投标文件中提</w:t>
      </w:r>
      <w:r>
        <w:rPr>
          <w:rFonts w:hint="eastAsia" w:ascii="宋体" w:hAnsi="宋体"/>
          <w:color w:val="auto"/>
          <w:kern w:val="0"/>
          <w:sz w:val="24"/>
          <w:highlight w:val="none"/>
          <w:u w:val="single"/>
          <w:lang w:eastAsia="zh-CN"/>
        </w:rPr>
        <w:t>扫描件</w:t>
      </w:r>
      <w:r>
        <w:rPr>
          <w:rFonts w:hint="eastAsia" w:ascii="宋体" w:hAnsi="宋体"/>
          <w:color w:val="auto"/>
          <w:kern w:val="0"/>
          <w:sz w:val="24"/>
          <w:highlight w:val="none"/>
          <w:u w:val="single"/>
        </w:rPr>
        <w:t>并加盖投标人电子印章。</w:t>
      </w:r>
    </w:p>
    <w:p>
      <w:pPr>
        <w:adjustRightInd w:val="0"/>
        <w:snapToGrid w:val="0"/>
        <w:spacing w:line="400" w:lineRule="exact"/>
        <w:ind w:left="1680" w:leftChars="400" w:hanging="840" w:hangingChars="350"/>
        <w:jc w:val="left"/>
        <w:rPr>
          <w:rFonts w:ascii="宋体" w:hAnsi="宋体"/>
          <w:strike w:val="0"/>
          <w:color w:val="auto"/>
          <w:sz w:val="24"/>
          <w:highlight w:val="none"/>
        </w:rPr>
      </w:pPr>
      <w:r>
        <w:rPr>
          <w:rFonts w:hint="eastAsia" w:ascii="宋体" w:hAnsi="宋体"/>
          <w:strike w:val="0"/>
          <w:color w:val="auto"/>
          <w:kern w:val="0"/>
          <w:sz w:val="24"/>
          <w:highlight w:val="none"/>
        </w:rPr>
        <w:t>注：联合体投标的，投标保证金由牵头人递交。</w:t>
      </w:r>
      <w:r>
        <w:rPr>
          <w:rFonts w:ascii="宋体" w:hAnsi="宋体"/>
          <w:strike w:val="0"/>
          <w:color w:val="auto"/>
          <w:kern w:val="0"/>
          <w:sz w:val="24"/>
          <w:highlight w:val="none"/>
        </w:rPr>
        <w:t xml:space="preserve">  </w:t>
      </w:r>
      <w:r>
        <w:rPr>
          <w:rFonts w:ascii="宋体" w:hAnsi="宋体"/>
          <w:strike w:val="0"/>
          <w:color w:val="auto"/>
          <w:sz w:val="24"/>
          <w:highlight w:val="none"/>
        </w:rPr>
        <w:t xml:space="preserve">   </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 xml:space="preserve">3.4.2  </w:t>
      </w:r>
      <w:r>
        <w:rPr>
          <w:rFonts w:hint="eastAsia" w:ascii="宋体" w:hAnsi="宋体"/>
          <w:color w:val="auto"/>
          <w:kern w:val="0"/>
          <w:sz w:val="24"/>
          <w:highlight w:val="none"/>
        </w:rPr>
        <w:t>投标有效期90天，</w:t>
      </w:r>
      <w:r>
        <w:rPr>
          <w:rFonts w:hint="eastAsia" w:ascii="宋体" w:hAnsi="宋体"/>
          <w:color w:val="auto"/>
          <w:sz w:val="24"/>
          <w:highlight w:val="none"/>
        </w:rPr>
        <w:t>从提交投标文件截止日起计算。在提交投标文件截止时间后到招标文件规定的投标有效期终止之前，投标人不得补充、修改或者</w:t>
      </w:r>
      <w:r>
        <w:rPr>
          <w:rFonts w:hint="eastAsia" w:ascii="宋体" w:hAnsi="宋体"/>
          <w:strike/>
          <w:color w:val="auto"/>
          <w:sz w:val="24"/>
          <w:highlight w:val="none"/>
        </w:rPr>
        <w:t>撤回</w:t>
      </w:r>
      <w:r>
        <w:rPr>
          <w:rFonts w:hint="eastAsia" w:ascii="宋体" w:hAnsi="宋体"/>
          <w:color w:val="auto"/>
          <w:sz w:val="24"/>
          <w:highlight w:val="none"/>
          <w:u w:val="single"/>
        </w:rPr>
        <w:t>更换</w:t>
      </w:r>
      <w:r>
        <w:rPr>
          <w:rFonts w:hint="eastAsia" w:ascii="宋体" w:hAnsi="宋体"/>
          <w:color w:val="auto"/>
          <w:sz w:val="24"/>
          <w:highlight w:val="none"/>
        </w:rPr>
        <w:t>其投标文件。</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400" w:lineRule="exact"/>
        <w:ind w:left="824" w:hanging="843" w:hangingChars="350"/>
        <w:jc w:val="left"/>
        <w:rPr>
          <w:rFonts w:ascii="宋体" w:hAnsi="宋体"/>
          <w:strike w:val="0"/>
          <w:color w:val="auto"/>
          <w:sz w:val="24"/>
          <w:highlight w:val="none"/>
        </w:rPr>
      </w:pPr>
      <w:r>
        <w:rPr>
          <w:rFonts w:hint="eastAsia" w:ascii="宋体" w:hAnsi="宋体"/>
          <w:b/>
          <w:strike w:val="0"/>
          <w:color w:val="auto"/>
          <w:sz w:val="24"/>
          <w:highlight w:val="none"/>
          <w:u w:val="single"/>
        </w:rPr>
        <w:t>3</w:t>
      </w:r>
      <w:r>
        <w:rPr>
          <w:rFonts w:hint="eastAsia" w:ascii="宋体" w:hAnsi="宋体"/>
          <w:b/>
          <w:bCs/>
          <w:strike w:val="0"/>
          <w:color w:val="auto"/>
          <w:sz w:val="24"/>
          <w:highlight w:val="none"/>
          <w:u w:val="single"/>
        </w:rPr>
        <w:t>.5</w:t>
      </w:r>
      <w:r>
        <w:rPr>
          <w:rFonts w:hint="eastAsia" w:ascii="宋体" w:hAnsi="宋体"/>
          <w:bCs/>
          <w:strike w:val="0"/>
          <w:color w:val="auto"/>
          <w:sz w:val="24"/>
          <w:highlight w:val="none"/>
          <w:u w:val="single"/>
        </w:rPr>
        <w:t xml:space="preserve"> </w:t>
      </w:r>
      <w:r>
        <w:rPr>
          <w:rFonts w:hint="eastAsia" w:ascii="宋体" w:hAnsi="宋体"/>
          <w:b/>
          <w:bCs/>
          <w:strike w:val="0"/>
          <w:color w:val="auto"/>
          <w:sz w:val="24"/>
          <w:highlight w:val="none"/>
          <w:u w:val="single"/>
        </w:rPr>
        <w:t xml:space="preserve">  </w:t>
      </w:r>
      <w:r>
        <w:rPr>
          <w:rFonts w:hint="eastAsia" w:ascii="宋体" w:hAnsi="宋体"/>
          <w:b/>
          <w:bCs/>
          <w:strike w:val="0"/>
          <w:color w:val="auto"/>
          <w:sz w:val="24"/>
          <w:highlight w:val="none"/>
          <w:u w:val="single"/>
          <w:lang w:val="en-US" w:eastAsia="zh-CN"/>
        </w:rPr>
        <w:t xml:space="preserve"> </w:t>
      </w:r>
      <w:r>
        <w:rPr>
          <w:rFonts w:hint="eastAsia" w:ascii="宋体" w:hAnsi="宋体"/>
          <w:b/>
          <w:bCs/>
          <w:strike w:val="0"/>
          <w:color w:val="auto"/>
          <w:sz w:val="24"/>
          <w:highlight w:val="none"/>
          <w:u w:val="single"/>
        </w:rPr>
        <w:t>开标文件编制要求</w:t>
      </w:r>
    </w:p>
    <w:p>
      <w:pPr>
        <w:adjustRightInd w:val="0"/>
        <w:snapToGrid w:val="0"/>
        <w:spacing w:line="400" w:lineRule="exact"/>
        <w:ind w:left="824" w:hanging="840" w:hangingChars="350"/>
        <w:jc w:val="left"/>
        <w:rPr>
          <w:rFonts w:ascii="宋体" w:hAnsi="宋体"/>
          <w:strike w:val="0"/>
          <w:color w:val="auto"/>
          <w:sz w:val="24"/>
          <w:highlight w:val="none"/>
          <w:u w:val="single"/>
        </w:rPr>
      </w:pPr>
      <w:r>
        <w:rPr>
          <w:rFonts w:hint="eastAsia" w:ascii="宋体" w:hAnsi="宋体"/>
          <w:strike w:val="0"/>
          <w:color w:val="auto"/>
          <w:sz w:val="24"/>
          <w:highlight w:val="none"/>
          <w:u w:val="single"/>
        </w:rPr>
        <w:t>3.5.1</w:t>
      </w:r>
      <w:r>
        <w:rPr>
          <w:rFonts w:hint="eastAsia" w:ascii="宋体" w:hAnsi="宋体"/>
          <w:strike w:val="0"/>
          <w:color w:val="auto"/>
          <w:sz w:val="24"/>
          <w:highlight w:val="none"/>
          <w:u w:val="single"/>
          <w:lang w:val="en-US" w:eastAsia="zh-CN"/>
        </w:rPr>
        <w:t xml:space="preserve">  </w:t>
      </w:r>
      <w:r>
        <w:rPr>
          <w:rFonts w:hint="eastAsia" w:ascii="宋体" w:hAnsi="宋体"/>
          <w:strike w:val="0"/>
          <w:color w:val="auto"/>
          <w:sz w:val="24"/>
          <w:highlight w:val="none"/>
          <w:u w:val="single"/>
        </w:rPr>
        <w:t>开标文件由下列资料组成：</w:t>
      </w:r>
    </w:p>
    <w:p>
      <w:pPr>
        <w:adjustRightInd w:val="0"/>
        <w:snapToGrid w:val="0"/>
        <w:spacing w:line="400" w:lineRule="exact"/>
        <w:ind w:left="813" w:leftChars="387" w:firstLine="0" w:firstLineChars="0"/>
        <w:jc w:val="left"/>
        <w:rPr>
          <w:rFonts w:ascii="宋体" w:hAnsi="宋体"/>
          <w:strike w:val="0"/>
          <w:color w:val="auto"/>
          <w:sz w:val="24"/>
          <w:highlight w:val="none"/>
          <w:u w:val="single"/>
        </w:rPr>
      </w:pPr>
      <w:r>
        <w:rPr>
          <w:rFonts w:hint="eastAsia" w:ascii="宋体" w:hAnsi="宋体"/>
          <w:strike w:val="0"/>
          <w:color w:val="auto"/>
          <w:sz w:val="24"/>
          <w:highlight w:val="none"/>
          <w:u w:val="single"/>
        </w:rPr>
        <w:t>（1）《投标书》（格式见附录7，填妥并签名盖章）。</w:t>
      </w:r>
    </w:p>
    <w:p>
      <w:pPr>
        <w:adjustRightInd w:val="0"/>
        <w:snapToGrid w:val="0"/>
        <w:spacing w:line="400" w:lineRule="exact"/>
        <w:ind w:left="813" w:leftChars="387" w:firstLine="0" w:firstLineChars="0"/>
        <w:jc w:val="left"/>
        <w:rPr>
          <w:rFonts w:ascii="宋体" w:hAnsi="宋体"/>
          <w:strike w:val="0"/>
          <w:color w:val="auto"/>
          <w:sz w:val="24"/>
          <w:highlight w:val="none"/>
        </w:rPr>
      </w:pPr>
      <w:r>
        <w:rPr>
          <w:rFonts w:hint="eastAsia" w:ascii="宋体" w:hAnsi="宋体"/>
          <w:strike w:val="0"/>
          <w:color w:val="auto"/>
          <w:sz w:val="24"/>
          <w:highlight w:val="none"/>
        </w:rPr>
        <w:t>（2）《联合体共同投标协议》（格式见附录8，联合体投标时递交，填妥并由联合体各方共同签名盖章）。</w:t>
      </w:r>
    </w:p>
    <w:p>
      <w:pPr>
        <w:tabs>
          <w:tab w:val="left" w:pos="840"/>
        </w:tabs>
        <w:adjustRightInd w:val="0"/>
        <w:snapToGrid w:val="0"/>
        <w:spacing w:line="400" w:lineRule="exact"/>
        <w:ind w:left="824" w:hanging="840" w:hangingChars="350"/>
        <w:jc w:val="left"/>
        <w:rPr>
          <w:rFonts w:ascii="宋体" w:hAnsi="宋体"/>
          <w:strike w:val="0"/>
          <w:color w:val="auto"/>
          <w:sz w:val="24"/>
          <w:highlight w:val="none"/>
        </w:rPr>
      </w:pPr>
      <w:r>
        <w:rPr>
          <w:rFonts w:hint="eastAsia" w:ascii="宋体" w:hAnsi="宋体"/>
          <w:strike w:val="0"/>
          <w:color w:val="auto"/>
          <w:sz w:val="24"/>
          <w:highlight w:val="none"/>
        </w:rPr>
        <w:t xml:space="preserve">3.5.2 </w:t>
      </w:r>
      <w:r>
        <w:rPr>
          <w:rFonts w:hint="eastAsia" w:ascii="宋体" w:hAnsi="宋体"/>
          <w:strike w:val="0"/>
          <w:color w:val="auto"/>
          <w:sz w:val="24"/>
          <w:highlight w:val="none"/>
          <w:lang w:val="en-US" w:eastAsia="zh-CN"/>
        </w:rPr>
        <w:t xml:space="preserve"> </w:t>
      </w:r>
      <w:r>
        <w:rPr>
          <w:rFonts w:hint="eastAsia" w:ascii="宋体" w:hAnsi="宋体"/>
          <w:strike w:val="0"/>
          <w:color w:val="auto"/>
          <w:sz w:val="24"/>
          <w:highlight w:val="none"/>
        </w:rPr>
        <w:t>开标文件的签署要求：对于联合体投标人，《投标书》落款中的“投标人”应填写联合体各方的单位全称【格式为：（主）XXXX公司（成）XXXXX公司】，需要盖章或签字的部分可仅由联合体牵头人盖章或签字，视作符合要求。《联合体共同投标协议》必须由联合体成员各方盖章或签名。</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360" w:lineRule="auto"/>
        <w:ind w:left="824" w:hanging="843" w:hangingChars="350"/>
        <w:jc w:val="left"/>
        <w:rPr>
          <w:rFonts w:ascii="宋体" w:hAnsi="宋体"/>
          <w:color w:val="auto"/>
          <w:sz w:val="24"/>
          <w:highlight w:val="none"/>
        </w:rPr>
      </w:pPr>
      <w:r>
        <w:rPr>
          <w:rFonts w:hint="eastAsia" w:ascii="宋体" w:hAnsi="宋体"/>
          <w:b/>
          <w:color w:val="auto"/>
          <w:sz w:val="24"/>
          <w:highlight w:val="none"/>
          <w:u w:val="single"/>
        </w:rPr>
        <w:t>3</w:t>
      </w:r>
      <w:r>
        <w:rPr>
          <w:rFonts w:hint="eastAsia" w:ascii="宋体" w:hAnsi="宋体"/>
          <w:b/>
          <w:bCs/>
          <w:color w:val="auto"/>
          <w:sz w:val="24"/>
          <w:highlight w:val="none"/>
          <w:u w:val="single"/>
        </w:rPr>
        <w:t>.6</w:t>
      </w:r>
      <w:r>
        <w:rPr>
          <w:rFonts w:hint="eastAsia" w:ascii="宋体" w:hAnsi="宋体"/>
          <w:bCs/>
          <w:color w:val="auto"/>
          <w:sz w:val="24"/>
          <w:highlight w:val="none"/>
          <w:u w:val="single"/>
        </w:rPr>
        <w:t xml:space="preserve"> </w:t>
      </w:r>
      <w:r>
        <w:rPr>
          <w:rFonts w:hint="eastAsia"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资格审查文件编制要求</w:t>
      </w:r>
    </w:p>
    <w:p>
      <w:pPr>
        <w:adjustRightInd w:val="0"/>
        <w:snapToGrid w:val="0"/>
        <w:spacing w:line="360" w:lineRule="auto"/>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3.6.1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资格审查文件由下列资料组成：</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（1）目录。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（2）法定代表人证明书及法定代表人授权委托书（如果有）（格式见附录）。</w:t>
      </w:r>
    </w:p>
    <w:p>
      <w:pPr>
        <w:adjustRightInd w:val="0"/>
        <w:snapToGrid w:val="0"/>
        <w:spacing w:line="360" w:lineRule="auto"/>
        <w:ind w:left="840" w:leftChars="400" w:firstLine="0" w:firstLineChars="0"/>
        <w:jc w:val="left"/>
        <w:rPr>
          <w:rFonts w:ascii="宋体" w:hAnsi="宋体"/>
          <w:strike w:val="0"/>
          <w:color w:val="auto"/>
          <w:sz w:val="24"/>
          <w:highlight w:val="none"/>
        </w:rPr>
      </w:pPr>
      <w:r>
        <w:rPr>
          <w:rFonts w:hint="eastAsia" w:ascii="宋体" w:hAnsi="宋体"/>
          <w:strike w:val="0"/>
          <w:color w:val="auto"/>
          <w:sz w:val="24"/>
          <w:highlight w:val="none"/>
        </w:rPr>
        <w:t>（3）《联合体共同投标协议》（格式见附录8，联合体投标时递交，填妥并由联合体各方共同签名盖章。本项资料要求联合体投标人在“开标文件”和“商务文件”中同时提供，但评标委员会应根据“开标文件”中的《联合体共同投标协议》进行评审。如两者不一致，以“开标文件”中的《联合体共同投标协议》为准。）</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（4）企业营业执照副本。</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（5）企业资质证书副本。</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（6）资格审查前，申请人及项目负责人已在广州公共资源交易中心办理企业信息登记，及拟担任本工程项目负责人须是本企业在广州公共资源交易中心企业信息登记中的在册人员。</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（7）项目负责人职称证书。</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（8）满足招标公告第1.2条（资格审查合格条件）评审要求的其他资料。</w:t>
      </w:r>
    </w:p>
    <w:p>
      <w:pPr>
        <w:adjustRightInd w:val="0"/>
        <w:snapToGrid w:val="0"/>
        <w:spacing w:line="400" w:lineRule="exact"/>
        <w:ind w:left="824" w:hanging="840" w:hangingChars="350"/>
        <w:jc w:val="left"/>
        <w:rPr>
          <w:rFonts w:ascii="宋体" w:hAnsi="宋体"/>
          <w:strike w:val="0"/>
          <w:color w:val="auto"/>
          <w:sz w:val="24"/>
          <w:highlight w:val="none"/>
        </w:rPr>
      </w:pPr>
      <w:r>
        <w:rPr>
          <w:rFonts w:hint="eastAsia" w:ascii="宋体" w:hAnsi="宋体"/>
          <w:strike w:val="0"/>
          <w:color w:val="auto"/>
          <w:sz w:val="24"/>
          <w:highlight w:val="none"/>
        </w:rPr>
        <w:t xml:space="preserve">3.6.2 </w:t>
      </w:r>
      <w:r>
        <w:rPr>
          <w:rFonts w:hint="eastAsia" w:ascii="宋体" w:hAnsi="宋体"/>
          <w:strike w:val="0"/>
          <w:color w:val="auto"/>
          <w:sz w:val="24"/>
          <w:highlight w:val="none"/>
          <w:lang w:val="en-US" w:eastAsia="zh-CN"/>
        </w:rPr>
        <w:t xml:space="preserve"> </w:t>
      </w:r>
      <w:r>
        <w:rPr>
          <w:rFonts w:hint="eastAsia" w:ascii="宋体" w:hAnsi="宋体"/>
          <w:strike w:val="0"/>
          <w:color w:val="auto"/>
          <w:sz w:val="24"/>
          <w:highlight w:val="none"/>
        </w:rPr>
        <w:t>资格审查文件的签署要求：对于联合体投标人，文件落款中的“投标人”应填写联合体各方的单位全称【格式为：（主）XXXX公司（成）XXXXX公司】。《联合体共同投标协议》必须由联合体成员各方盖章或签名。资格审查文件其他需要盖章或签字的部分可仅由联合体牵头人盖章或签字，视作符合要求。</w:t>
      </w:r>
    </w:p>
    <w:p>
      <w:pPr>
        <w:adjustRightInd w:val="0"/>
        <w:snapToGrid w:val="0"/>
        <w:spacing w:line="360" w:lineRule="auto"/>
        <w:ind w:left="824" w:hanging="843" w:hangingChars="350"/>
        <w:jc w:val="left"/>
        <w:rPr>
          <w:rFonts w:ascii="宋体" w:hAnsi="宋体"/>
          <w:b/>
          <w:bCs/>
          <w:color w:val="auto"/>
          <w:sz w:val="24"/>
          <w:highlight w:val="none"/>
          <w:u w:val="single"/>
        </w:rPr>
      </w:pPr>
    </w:p>
    <w:p>
      <w:pPr>
        <w:adjustRightInd w:val="0"/>
        <w:snapToGrid w:val="0"/>
        <w:spacing w:line="360" w:lineRule="auto"/>
        <w:ind w:left="824" w:hanging="843" w:hangingChars="350"/>
        <w:jc w:val="left"/>
        <w:rPr>
          <w:rFonts w:ascii="宋体" w:hAnsi="宋体"/>
          <w:b/>
          <w:bCs/>
          <w:color w:val="auto"/>
          <w:sz w:val="24"/>
          <w:highlight w:val="none"/>
          <w:u w:val="single"/>
        </w:rPr>
      </w:pPr>
      <w:r>
        <w:rPr>
          <w:rFonts w:hint="eastAsia" w:ascii="宋体" w:hAnsi="宋体"/>
          <w:b/>
          <w:bCs/>
          <w:color w:val="auto"/>
          <w:sz w:val="24"/>
          <w:highlight w:val="none"/>
          <w:u w:val="single"/>
        </w:rPr>
        <w:t xml:space="preserve">3.7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投标文件光盘（备用）</w:t>
      </w: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3.7.1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投标文件光盘（备用）1份包括“开标文件光盘”“资格审查文件光盘”“商务文件光盘”“技术文件（设计方案）光盘”“保密文件光盘”共5只光盘。</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（1）开标文件光盘包括下列内容：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一套PDF格式制作的电子版开标</w:t>
      </w:r>
      <w:r>
        <w:rPr>
          <w:rFonts w:hint="eastAsia" w:ascii="宋体" w:hAnsi="宋体"/>
          <w:strike/>
          <w:color w:val="auto"/>
          <w:sz w:val="24"/>
          <w:highlight w:val="none"/>
          <w:u w:val="single"/>
        </w:rPr>
        <w:t>信封</w:t>
      </w:r>
      <w:r>
        <w:rPr>
          <w:rFonts w:hint="eastAsia" w:ascii="宋体" w:hAnsi="宋体"/>
          <w:color w:val="auto"/>
          <w:sz w:val="24"/>
          <w:highlight w:val="none"/>
          <w:u w:val="single"/>
        </w:rPr>
        <w:t>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(b) 一套WORD格式的电子版开标</w:t>
      </w:r>
      <w:r>
        <w:rPr>
          <w:rFonts w:hint="eastAsia" w:ascii="宋体" w:hAnsi="宋体"/>
          <w:strike/>
          <w:color w:val="auto"/>
          <w:sz w:val="24"/>
          <w:highlight w:val="none"/>
          <w:u w:val="single"/>
        </w:rPr>
        <w:t>信封</w:t>
      </w:r>
      <w:r>
        <w:rPr>
          <w:rFonts w:hint="eastAsia" w:ascii="宋体" w:hAnsi="宋体"/>
          <w:color w:val="auto"/>
          <w:sz w:val="24"/>
          <w:highlight w:val="none"/>
          <w:u w:val="single"/>
        </w:rPr>
        <w:t>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（2）资格审查文件光盘包括下列内容：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一套PDF格式制作的电子版资格审查文件文本文件。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(b) 一套WORD格式的电子版资格审查文件文本文件。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（3）商务文件光盘包括下列内容：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一套PDF格式制作的电子版商务文件文本文件。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(b) 一套WORD格式的电子版商务文件文本文件。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（4）技术文件（设计方案）光盘包括下列内容：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一套PDF格式制作的电子版技术文件（设计方案）文本文件。</w:t>
      </w:r>
    </w:p>
    <w:p>
      <w:pPr>
        <w:adjustRightInd w:val="0"/>
        <w:snapToGrid w:val="0"/>
        <w:spacing w:line="360" w:lineRule="auto"/>
        <w:ind w:left="840" w:leftChars="400" w:firstLine="0" w:firstLineChars="0"/>
        <w:jc w:val="left"/>
        <w:rPr>
          <w:rFonts w:hint="eastAsia" w:ascii="宋体" w:hAnsi="宋体"/>
          <w:color w:val="auto"/>
          <w:sz w:val="24"/>
          <w:highlight w:val="none"/>
          <w:u w:val="single"/>
        </w:rPr>
      </w:pPr>
      <w:r>
        <w:rPr>
          <w:rFonts w:hint="eastAsia" w:ascii="宋体" w:hAnsi="宋体"/>
          <w:color w:val="auto"/>
          <w:sz w:val="24"/>
          <w:highlight w:val="none"/>
          <w:u w:val="single"/>
        </w:rPr>
        <w:t>(b) 一套WORD格式的电子版技术文件（设计方案）文本文件（不须包含设计图形部分内容）。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(c) 一套AutoCAD格式的设计图形文件。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（5）保密文件光盘包括下列内容：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3.7.2</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投标文件光盘（备用）的封装要求详见招标文件第二章第2.11.1款的规定。投标人可自主选择是否递交投标文件光盘（备用）。</w:t>
      </w:r>
    </w:p>
    <w:p>
      <w:pPr>
        <w:adjustRightInd w:val="0"/>
        <w:snapToGrid w:val="0"/>
        <w:spacing w:line="400" w:lineRule="exact"/>
        <w:ind w:left="824" w:hanging="840" w:hangingChars="350"/>
        <w:jc w:val="left"/>
        <w:rPr>
          <w:rFonts w:ascii="宋体" w:hAnsi="宋体"/>
          <w:color w:val="auto"/>
          <w:sz w:val="24"/>
          <w:highlight w:val="none"/>
          <w:u w:val="single"/>
        </w:rPr>
      </w:pPr>
    </w:p>
    <w:p>
      <w:pPr>
        <w:adjustRightInd w:val="0"/>
        <w:snapToGrid w:val="0"/>
        <w:spacing w:line="400" w:lineRule="exact"/>
        <w:ind w:left="824" w:hanging="840" w:hangingChars="350"/>
        <w:jc w:val="center"/>
        <w:rPr>
          <w:rFonts w:ascii="宋体" w:hAnsi="宋体"/>
          <w:color w:val="auto"/>
          <w:sz w:val="24"/>
          <w:highlight w:val="none"/>
        </w:rPr>
      </w:pPr>
    </w:p>
    <w:p>
      <w:pPr>
        <w:pStyle w:val="25"/>
        <w:adjustRightInd w:val="0"/>
        <w:snapToGrid w:val="0"/>
        <w:spacing w:before="0" w:after="0" w:line="360" w:lineRule="auto"/>
        <w:ind w:left="824" w:hanging="1124" w:hangingChars="350"/>
        <w:rPr>
          <w:rFonts w:hint="eastAsia"/>
          <w:color w:val="auto"/>
          <w:highlight w:val="none"/>
        </w:rPr>
        <w:sectPr>
          <w:headerReference r:id="rId7" w:type="default"/>
          <w:footerReference r:id="rId8" w:type="default"/>
          <w:footerReference r:id="rId9" w:type="even"/>
          <w:pgSz w:w="11906" w:h="16838"/>
          <w:pgMar w:top="1418" w:right="1418" w:bottom="1418" w:left="1418" w:header="851" w:footer="992" w:gutter="0"/>
          <w:pgNumType w:fmt="decimal"/>
          <w:cols w:space="720" w:num="1"/>
          <w:docGrid w:linePitch="312" w:charSpace="0"/>
        </w:sectPr>
      </w:pPr>
      <w:bookmarkStart w:id="3" w:name="第四章废标条款"/>
    </w:p>
    <w:p>
      <w:pPr>
        <w:pStyle w:val="25"/>
        <w:adjustRightInd w:val="0"/>
        <w:snapToGrid w:val="0"/>
        <w:spacing w:before="0" w:after="0" w:line="360" w:lineRule="auto"/>
        <w:ind w:left="824" w:hanging="1124" w:hangingChars="350"/>
        <w:rPr>
          <w:rFonts w:ascii="宋体" w:hAnsi="宋体"/>
          <w:color w:val="auto"/>
          <w:sz w:val="36"/>
          <w:szCs w:val="36"/>
          <w:highlight w:val="none"/>
        </w:rPr>
      </w:pPr>
      <w:r>
        <w:rPr>
          <w:rFonts w:hint="eastAsia"/>
          <w:color w:val="auto"/>
          <w:highlight w:val="none"/>
        </w:rPr>
        <w:t>第四章</w:t>
      </w:r>
      <w:r>
        <w:rPr>
          <w:color w:val="auto"/>
          <w:highlight w:val="none"/>
        </w:rPr>
        <w:t xml:space="preserve">  </w:t>
      </w:r>
      <w:r>
        <w:rPr>
          <w:rFonts w:hint="eastAsia"/>
          <w:color w:val="auto"/>
          <w:highlight w:val="none"/>
        </w:rPr>
        <w:t>废标条款</w:t>
      </w:r>
      <w:bookmarkEnd w:id="3"/>
    </w:p>
    <w:p>
      <w:pPr>
        <w:pStyle w:val="18"/>
        <w:adjustRightInd w:val="0"/>
        <w:snapToGrid w:val="0"/>
        <w:ind w:left="824" w:hanging="700" w:hangingChars="350"/>
        <w:jc w:val="left"/>
        <w:rPr>
          <w:rFonts w:hAnsi="宋体"/>
          <w:color w:val="auto"/>
          <w:highlight w:val="none"/>
        </w:rPr>
      </w:pPr>
    </w:p>
    <w:p>
      <w:pPr>
        <w:adjustRightInd w:val="0"/>
        <w:snapToGrid w:val="0"/>
        <w:spacing w:line="400" w:lineRule="exact"/>
        <w:ind w:left="826" w:hanging="843" w:hangingChars="350"/>
        <w:jc w:val="left"/>
        <w:rPr>
          <w:rFonts w:ascii="宋体" w:hAnsi="宋体"/>
          <w:b/>
          <w:bCs/>
          <w:color w:val="auto"/>
          <w:sz w:val="24"/>
          <w:highlight w:val="none"/>
        </w:rPr>
      </w:pPr>
      <w:r>
        <w:rPr>
          <w:rFonts w:hint="eastAsia" w:ascii="宋体" w:hAnsi="宋体"/>
          <w:b/>
          <w:bCs/>
          <w:color w:val="auto"/>
          <w:sz w:val="24"/>
          <w:highlight w:val="none"/>
        </w:rPr>
        <w:t>4.1    废标</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.1</w:t>
      </w:r>
      <w:r>
        <w:rPr>
          <w:rFonts w:hint="eastAsia" w:ascii="宋体" w:hAnsi="宋体"/>
          <w:color w:val="auto"/>
          <w:sz w:val="24"/>
          <w:highlight w:val="none"/>
        </w:rPr>
        <w:t xml:space="preserve">  投标人有下列情况之一的，招标人将拒绝接收投标人的投标文件</w:t>
      </w:r>
      <w:r>
        <w:rPr>
          <w:rFonts w:hint="eastAsia" w:ascii="宋体" w:hAnsi="宋体"/>
          <w:color w:val="auto"/>
          <w:sz w:val="24"/>
          <w:highlight w:val="none"/>
          <w:u w:val="single"/>
        </w:rPr>
        <w:t>或投标文件光盘（备用）</w:t>
      </w:r>
      <w:r>
        <w:rPr>
          <w:rFonts w:hint="eastAsia" w:ascii="宋体" w:hAnsi="宋体"/>
          <w:color w:val="auto"/>
          <w:sz w:val="24"/>
          <w:highlight w:val="none"/>
        </w:rPr>
        <w:t>：</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(a) 在投标截止期后逾期或未在指定</w:t>
      </w:r>
      <w:r>
        <w:rPr>
          <w:rFonts w:hint="eastAsia" w:ascii="宋体" w:hAnsi="宋体"/>
          <w:color w:val="auto"/>
          <w:sz w:val="24"/>
          <w:highlight w:val="none"/>
          <w:u w:val="single"/>
        </w:rPr>
        <w:t>交易平台</w:t>
      </w:r>
      <w:r>
        <w:rPr>
          <w:rFonts w:hint="eastAsia" w:ascii="宋体" w:hAnsi="宋体"/>
          <w:color w:val="auto"/>
          <w:sz w:val="24"/>
          <w:highlight w:val="none"/>
        </w:rPr>
        <w:t>递交</w:t>
      </w:r>
      <w:r>
        <w:rPr>
          <w:rFonts w:hint="eastAsia" w:ascii="宋体" w:hAnsi="宋体"/>
          <w:color w:val="auto"/>
          <w:sz w:val="24"/>
          <w:highlight w:val="none"/>
          <w:u w:val="single"/>
        </w:rPr>
        <w:t>电子</w:t>
      </w:r>
      <w:r>
        <w:rPr>
          <w:rFonts w:hint="eastAsia" w:ascii="宋体" w:hAnsi="宋体"/>
          <w:color w:val="auto"/>
          <w:sz w:val="24"/>
          <w:highlight w:val="none"/>
        </w:rPr>
        <w:t>投标文件的</w:t>
      </w:r>
      <w:r>
        <w:rPr>
          <w:rFonts w:hint="eastAsia" w:ascii="宋体" w:hAnsi="宋体"/>
          <w:color w:val="auto"/>
          <w:sz w:val="24"/>
          <w:highlight w:val="none"/>
          <w:u w:val="single"/>
        </w:rPr>
        <w:t>，招标人（或招标代理）拒绝接收其电子投标文件</w:t>
      </w:r>
      <w:r>
        <w:rPr>
          <w:rFonts w:hint="eastAsia" w:ascii="宋体" w:hAnsi="宋体"/>
          <w:color w:val="auto"/>
          <w:sz w:val="24"/>
          <w:highlight w:val="none"/>
        </w:rPr>
        <w:t>。</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(b)　</w:t>
      </w:r>
      <w:r>
        <w:rPr>
          <w:rFonts w:hint="eastAsia" w:ascii="宋体" w:hAnsi="宋体"/>
          <w:color w:val="auto"/>
          <w:sz w:val="24"/>
          <w:highlight w:val="none"/>
          <w:u w:val="single"/>
        </w:rPr>
        <w:t>投标人代表未凭法定代表人证明书原件（格式见招标文件附录）、法定代表人授权委托书原件（非法定代表人递交投标文件光盘时提供，格式见招标文件附录）、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4.1.2  商务投标文件有下列情况之一的，由评标委员会确定其为废标：</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（a）投标人与招标人、评标委员会成员或者其他投标人串通投标。</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u w:val="single"/>
        </w:rPr>
        <w:t>投标人与其他投标人加密打包投标文件电脑机器特征码一致的</w:t>
      </w:r>
      <w:r>
        <w:rPr>
          <w:rFonts w:hint="eastAsia" w:ascii="宋体" w:hAnsi="宋体"/>
          <w:color w:val="auto"/>
          <w:sz w:val="24"/>
          <w:highlight w:val="none"/>
        </w:rPr>
        <w:t xml:space="preserve">。 </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 xml:space="preserve">（c）《投标书》未加盖投标人公章。 </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 xml:space="preserve">（d）《投标书》未经法定代表人或者其授权代表签名。 </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（e）《投标书》包含有招标人不能接受的偏差，并且投标人拒绝书面撤回偏差。</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（f）《投标书》未按招标文件规定的格式填写，内容不全或者关键字迹模糊无法辨认的。</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（g）证明材料有弄虚作假者。</w:t>
      </w:r>
    </w:p>
    <w:p>
      <w:pPr>
        <w:adjustRightInd w:val="0"/>
        <w:snapToGrid w:val="0"/>
        <w:spacing w:line="400" w:lineRule="exact"/>
        <w:ind w:left="1556" w:leftChars="341" w:hanging="840" w:hangingChars="350"/>
        <w:jc w:val="left"/>
        <w:rPr>
          <w:rFonts w:hint="eastAsia" w:ascii="宋体" w:hAnsi="宋体"/>
          <w:color w:val="auto"/>
          <w:sz w:val="24"/>
          <w:highlight w:val="none"/>
        </w:rPr>
      </w:pPr>
      <w:r>
        <w:rPr>
          <w:rFonts w:hint="eastAsia" w:ascii="宋体" w:hAnsi="宋体"/>
          <w:color w:val="auto"/>
          <w:sz w:val="24"/>
          <w:highlight w:val="none"/>
        </w:rPr>
        <w:t>（h）不按第三章投标文件编制要求编制的投标文件。</w:t>
      </w:r>
    </w:p>
    <w:p>
      <w:pPr>
        <w:wordWrap/>
        <w:topLinePunct w:val="0"/>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（i）未按照招标文件要求提交投标保证金的。</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（j）不按照要求对投标文件进行澄清、说明或者补正的。</w:t>
      </w:r>
    </w:p>
    <w:p>
      <w:pPr>
        <w:adjustRightInd w:val="0"/>
        <w:snapToGrid w:val="0"/>
        <w:spacing w:line="400" w:lineRule="exact"/>
        <w:ind w:left="1556" w:leftChars="341" w:hanging="840" w:hangingChars="350"/>
        <w:jc w:val="left"/>
        <w:rPr>
          <w:rFonts w:hint="eastAsia" w:ascii="宋体" w:hAns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k）</w:t>
      </w:r>
      <w:r>
        <w:rPr>
          <w:rFonts w:hint="eastAsia" w:ascii="宋体" w:hAnsi="宋体"/>
          <w:color w:val="auto"/>
          <w:sz w:val="24"/>
          <w:highlight w:val="none"/>
          <w:u w:val="single"/>
        </w:rPr>
        <w:t>未按照招标文件要求填报设计费报价汇总表的。</w:t>
      </w:r>
    </w:p>
    <w:p>
      <w:pPr>
        <w:adjustRightInd w:val="0"/>
        <w:snapToGrid w:val="0"/>
        <w:spacing w:line="400" w:lineRule="exact"/>
        <w:ind w:left="1653" w:leftChars="387" w:hanging="840" w:hangingChars="350"/>
        <w:jc w:val="left"/>
        <w:rPr>
          <w:rFonts w:ascii="宋体" w:hAnsi="宋体"/>
          <w:strike w:val="0"/>
          <w:color w:val="auto"/>
          <w:sz w:val="24"/>
          <w:highlight w:val="none"/>
        </w:rPr>
      </w:pPr>
      <w:r>
        <w:rPr>
          <w:rFonts w:hint="eastAsia" w:ascii="宋体" w:hAnsi="宋体"/>
          <w:strike w:val="0"/>
          <w:color w:val="auto"/>
          <w:sz w:val="24"/>
          <w:highlight w:val="none"/>
        </w:rPr>
        <w:t>(l) 以联合体形式投标的，未向招标人提交联合体共同投标协议。</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 xml:space="preserve">3  </w:t>
      </w:r>
      <w:r>
        <w:rPr>
          <w:rFonts w:hint="eastAsia" w:ascii="宋体" w:hAnsi="宋体"/>
          <w:color w:val="auto"/>
          <w:sz w:val="24"/>
          <w:highlight w:val="none"/>
          <w:u w:val="single"/>
        </w:rPr>
        <w:t>技术文件（设计方案）</w:t>
      </w:r>
      <w:r>
        <w:rPr>
          <w:rFonts w:hint="eastAsia" w:ascii="宋体" w:hAnsi="宋体"/>
          <w:color w:val="auto"/>
          <w:sz w:val="24"/>
          <w:highlight w:val="none"/>
        </w:rPr>
        <w:t>有下列情况之一的，由评标委员会确定其为废标：</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（a）投标人在</w:t>
      </w:r>
      <w:r>
        <w:rPr>
          <w:rFonts w:hint="eastAsia" w:ascii="宋体" w:hAnsi="宋体"/>
          <w:color w:val="auto"/>
          <w:sz w:val="24"/>
          <w:highlight w:val="none"/>
          <w:u w:val="single"/>
        </w:rPr>
        <w:t>技术文件（设计方案）</w:t>
      </w:r>
      <w:r>
        <w:rPr>
          <w:rFonts w:hint="eastAsia" w:ascii="宋体" w:hAnsi="宋体"/>
          <w:color w:val="auto"/>
          <w:sz w:val="24"/>
          <w:highlight w:val="none"/>
        </w:rPr>
        <w:t>上标注名称、印章、商标等记认符号</w:t>
      </w:r>
      <w:r>
        <w:rPr>
          <w:rFonts w:hint="eastAsia" w:ascii="宋体" w:hAnsi="宋体"/>
          <w:color w:val="auto"/>
          <w:sz w:val="24"/>
          <w:highlight w:val="none"/>
          <w:u w:val="single"/>
        </w:rPr>
        <w:t>或显示投标报价信息</w:t>
      </w:r>
      <w:r>
        <w:rPr>
          <w:rFonts w:hint="eastAsia" w:ascii="宋体" w:hAnsi="宋体"/>
          <w:color w:val="auto"/>
          <w:sz w:val="24"/>
          <w:highlight w:val="none"/>
        </w:rPr>
        <w:t xml:space="preserve">，使人辨认出投标人或其专业技术人员的身份。 </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 xml:space="preserve">（b）有互相雷同或串通投标的。 </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 xml:space="preserve">（c）有明显抄袭行为。 </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（d）侵犯他人著作权和特许权。</w:t>
      </w:r>
    </w:p>
    <w:p>
      <w:pPr>
        <w:tabs>
          <w:tab w:val="left" w:pos="840"/>
        </w:tabs>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（e）不按第三章投标文件编制要求编制投标文件。</w:t>
      </w:r>
    </w:p>
    <w:p>
      <w:pPr>
        <w:adjustRightInd w:val="0"/>
        <w:snapToGrid w:val="0"/>
        <w:spacing w:line="400" w:lineRule="exact"/>
        <w:ind w:left="840" w:leftChars="0" w:hanging="840" w:hangingChars="350"/>
        <w:jc w:val="left"/>
        <w:rPr>
          <w:rFonts w:ascii="宋体" w:hAnsi="宋体"/>
          <w:color w:val="auto"/>
          <w:sz w:val="24"/>
          <w:highlight w:val="none"/>
        </w:rPr>
      </w:pP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4.1.4  投标人有下列情况之一的，视为串通投标：</w:t>
      </w:r>
    </w:p>
    <w:p>
      <w:pPr>
        <w:adjustRightInd w:val="0"/>
        <w:snapToGrid w:val="0"/>
        <w:spacing w:line="400" w:lineRule="exact"/>
        <w:ind w:left="813" w:leftChars="387" w:firstLine="0" w:firstLineChars="0"/>
        <w:jc w:val="left"/>
        <w:rPr>
          <w:rFonts w:ascii="宋体" w:hAnsi="宋体"/>
          <w:color w:val="auto"/>
          <w:sz w:val="24"/>
          <w:highlight w:val="none"/>
          <w:u w:val="single"/>
        </w:rPr>
      </w:pPr>
      <w:r>
        <w:rPr>
          <w:rFonts w:hint="eastAsia" w:ascii="宋体" w:hAnsi="宋体"/>
          <w:color w:val="auto"/>
          <w:sz w:val="24"/>
          <w:highlight w:val="none"/>
          <w:u w:val="single"/>
        </w:rPr>
        <w:t>(a) 递交投标文件前，投标人私下向招标人或其雇员出示或告知投标文件内容；</w:t>
      </w:r>
    </w:p>
    <w:p>
      <w:pPr>
        <w:adjustRightInd w:val="0"/>
        <w:snapToGrid w:val="0"/>
        <w:spacing w:line="400" w:lineRule="exact"/>
        <w:ind w:left="813" w:leftChars="387" w:firstLine="0" w:firstLineChars="0"/>
        <w:jc w:val="left"/>
        <w:rPr>
          <w:rFonts w:ascii="宋体" w:hAnsi="宋体"/>
          <w:color w:val="auto"/>
          <w:sz w:val="24"/>
          <w:highlight w:val="none"/>
          <w:u w:val="single"/>
        </w:rPr>
      </w:pPr>
      <w:r>
        <w:rPr>
          <w:rFonts w:hint="eastAsia" w:ascii="宋体" w:hAnsi="宋体"/>
          <w:color w:val="auto"/>
          <w:sz w:val="24"/>
          <w:highlight w:val="none"/>
          <w:u w:val="single"/>
        </w:rPr>
        <w:t>(b) 评标表决结束前，投标人私下向评标委员会成员出示或告知投标文件内容；</w:t>
      </w:r>
    </w:p>
    <w:p>
      <w:pPr>
        <w:tabs>
          <w:tab w:val="left" w:pos="630"/>
        </w:tabs>
        <w:adjustRightInd w:val="0"/>
        <w:snapToGrid w:val="0"/>
        <w:spacing w:line="400" w:lineRule="exact"/>
        <w:ind w:left="813" w:leftChars="387" w:firstLine="0" w:firstLineChars="0"/>
        <w:jc w:val="left"/>
        <w:rPr>
          <w:rFonts w:ascii="宋体" w:hAnsi="宋体"/>
          <w:color w:val="auto"/>
          <w:sz w:val="24"/>
          <w:highlight w:val="none"/>
        </w:rPr>
      </w:pPr>
      <w:r>
        <w:rPr>
          <w:rFonts w:hint="eastAsia" w:ascii="宋体" w:hAnsi="宋体"/>
          <w:color w:val="auto"/>
          <w:sz w:val="24"/>
          <w:highlight w:val="none"/>
          <w:u w:val="single"/>
        </w:rPr>
        <w:t>(c) 评标结果揭晓前，投标人与招标人就投标价格、投标方案等实质性内容进行谈判。</w:t>
      </w:r>
    </w:p>
    <w:p>
      <w:pPr>
        <w:adjustRightInd w:val="0"/>
        <w:snapToGrid w:val="0"/>
        <w:spacing w:line="400" w:lineRule="exact"/>
        <w:ind w:left="1258" w:hanging="1265" w:hangingChars="350"/>
        <w:jc w:val="left"/>
        <w:rPr>
          <w:rFonts w:ascii="宋体" w:hAnsi="宋体"/>
          <w:b/>
          <w:color w:val="auto"/>
          <w:sz w:val="36"/>
          <w:szCs w:val="36"/>
          <w:highlight w:val="none"/>
        </w:rPr>
        <w:sectPr>
          <w:pgSz w:w="11906" w:h="16838"/>
          <w:pgMar w:top="1418" w:right="1418" w:bottom="1418" w:left="1418" w:header="851" w:footer="992" w:gutter="0"/>
          <w:pgNumType w:fmt="decimal"/>
          <w:cols w:space="720" w:num="1"/>
          <w:docGrid w:linePitch="312" w:charSpace="0"/>
        </w:sectPr>
      </w:pPr>
    </w:p>
    <w:p>
      <w:pPr>
        <w:pStyle w:val="25"/>
        <w:adjustRightInd w:val="0"/>
        <w:spacing w:before="0" w:after="0" w:line="360" w:lineRule="auto"/>
        <w:ind w:left="1035" w:hanging="1124" w:hangingChars="350"/>
        <w:rPr>
          <w:rFonts w:ascii="宋体" w:hAnsi="宋体"/>
          <w:color w:val="auto"/>
          <w:sz w:val="36"/>
          <w:szCs w:val="36"/>
          <w:highlight w:val="none"/>
        </w:rPr>
      </w:pPr>
      <w:bookmarkStart w:id="4" w:name="第五章开标评标定标"/>
      <w:r>
        <w:rPr>
          <w:rFonts w:hint="eastAsia"/>
          <w:color w:val="auto"/>
          <w:highlight w:val="none"/>
        </w:rPr>
        <w:t>第五章</w:t>
      </w:r>
      <w:r>
        <w:rPr>
          <w:color w:val="auto"/>
          <w:highlight w:val="none"/>
        </w:rPr>
        <w:t xml:space="preserve">  </w:t>
      </w:r>
      <w:r>
        <w:rPr>
          <w:rFonts w:hint="eastAsia"/>
          <w:color w:val="auto"/>
          <w:highlight w:val="none"/>
        </w:rPr>
        <w:t>开标评标定标</w:t>
      </w:r>
      <w:bookmarkEnd w:id="4"/>
    </w:p>
    <w:p>
      <w:pPr>
        <w:pStyle w:val="18"/>
        <w:adjustRightInd w:val="0"/>
        <w:spacing w:line="400" w:lineRule="exact"/>
        <w:ind w:hanging="843" w:hangingChars="350"/>
        <w:rPr>
          <w:rFonts w:hAnsi="宋体"/>
          <w:b/>
          <w:bCs/>
          <w:color w:val="auto"/>
          <w:sz w:val="24"/>
          <w:szCs w:val="24"/>
          <w:highlight w:val="none"/>
        </w:rPr>
      </w:pPr>
    </w:p>
    <w:p>
      <w:pPr>
        <w:pStyle w:val="18"/>
        <w:adjustRightInd w:val="0"/>
        <w:spacing w:line="400" w:lineRule="exact"/>
        <w:ind w:hanging="843" w:hangingChars="350"/>
        <w:rPr>
          <w:rFonts w:hAnsi="宋体"/>
          <w:b/>
          <w:bCs/>
          <w:color w:val="auto"/>
          <w:sz w:val="24"/>
          <w:szCs w:val="24"/>
          <w:highlight w:val="none"/>
        </w:rPr>
      </w:pPr>
      <w:r>
        <w:rPr>
          <w:rFonts w:hint="eastAsia" w:hAnsi="宋体"/>
          <w:b/>
          <w:bCs/>
          <w:color w:val="auto"/>
          <w:sz w:val="24"/>
          <w:szCs w:val="24"/>
          <w:highlight w:val="none"/>
        </w:rPr>
        <w:t>5.1    评标委员会</w:t>
      </w:r>
    </w:p>
    <w:p>
      <w:pPr>
        <w:pStyle w:val="18"/>
        <w:adjustRightInd w:val="0"/>
        <w:spacing w:line="400" w:lineRule="exact"/>
        <w:ind w:left="821" w:hanging="840" w:hangingChars="350"/>
        <w:rPr>
          <w:rFonts w:hAnsi="宋体"/>
          <w:color w:val="auto"/>
          <w:sz w:val="24"/>
          <w:szCs w:val="24"/>
          <w:highlight w:val="none"/>
        </w:rPr>
      </w:pPr>
      <w:r>
        <w:rPr>
          <w:rFonts w:hint="eastAsia" w:hAnsi="宋体"/>
          <w:color w:val="auto"/>
          <w:sz w:val="24"/>
          <w:szCs w:val="24"/>
          <w:highlight w:val="none"/>
        </w:rPr>
        <w:t>5.1</w:t>
      </w:r>
      <w:r>
        <w:rPr>
          <w:rFonts w:hAnsi="宋体"/>
          <w:color w:val="auto"/>
          <w:sz w:val="24"/>
          <w:szCs w:val="24"/>
          <w:highlight w:val="none"/>
        </w:rPr>
        <w:t>.</w:t>
      </w:r>
      <w:r>
        <w:rPr>
          <w:rFonts w:hint="eastAsia" w:hAnsi="宋体"/>
          <w:color w:val="auto"/>
          <w:sz w:val="24"/>
          <w:szCs w:val="24"/>
          <w:highlight w:val="none"/>
        </w:rPr>
        <w:t>1  评标委员会由</w:t>
      </w:r>
      <w:r>
        <w:rPr>
          <w:rFonts w:hint="eastAsia" w:hAnsi="宋体"/>
          <w:color w:val="auto"/>
          <w:sz w:val="24"/>
          <w:szCs w:val="24"/>
          <w:highlight w:val="none"/>
          <w:u w:val="single"/>
        </w:rPr>
        <w:t>招标人依法组建，其中招标人代表不超过总人数的1/3</w:t>
      </w:r>
      <w:r>
        <w:rPr>
          <w:rFonts w:hint="eastAsia" w:hAnsi="宋体"/>
          <w:color w:val="auto"/>
          <w:sz w:val="24"/>
          <w:szCs w:val="24"/>
          <w:highlight w:val="none"/>
        </w:rPr>
        <w:t>。</w:t>
      </w:r>
    </w:p>
    <w:p>
      <w:pPr>
        <w:pStyle w:val="18"/>
        <w:adjustRightInd w:val="0"/>
        <w:spacing w:line="400" w:lineRule="exact"/>
        <w:ind w:left="821" w:hanging="840" w:hangingChars="350"/>
        <w:rPr>
          <w:rFonts w:hAnsi="宋体"/>
          <w:color w:val="auto"/>
          <w:sz w:val="24"/>
          <w:szCs w:val="24"/>
          <w:highlight w:val="none"/>
        </w:rPr>
      </w:pPr>
      <w:r>
        <w:rPr>
          <w:rFonts w:hint="eastAsia" w:hAnsi="宋体"/>
          <w:color w:val="auto"/>
          <w:sz w:val="24"/>
          <w:szCs w:val="24"/>
          <w:highlight w:val="none"/>
        </w:rPr>
        <w:t>5.1.2  评标委员会随机产生1名负责人，主持评审工作，负责人与其他成员有同等表决权。在评标分数统计结束后，</w:t>
      </w:r>
      <w:r>
        <w:rPr>
          <w:rFonts w:hint="eastAsia" w:hAnsi="宋体" w:cs="Arial"/>
          <w:color w:val="auto"/>
          <w:sz w:val="24"/>
          <w:szCs w:val="24"/>
          <w:highlight w:val="none"/>
        </w:rPr>
        <w:t>如果有得分相同的投标方案，则评标委员会对得分相同的投标方案进行投票表决。</w:t>
      </w:r>
    </w:p>
    <w:p>
      <w:pPr>
        <w:pStyle w:val="18"/>
        <w:adjustRightInd w:val="0"/>
        <w:spacing w:line="400" w:lineRule="exact"/>
        <w:ind w:hanging="840" w:hangingChars="350"/>
        <w:rPr>
          <w:rFonts w:hAnsi="宋体"/>
          <w:color w:val="auto"/>
          <w:sz w:val="24"/>
          <w:szCs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5.2    评标原则</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5.2.1  评标委员会根据招标文件规定的评标标准和方法，对投标文件进行评审和比较，招标文件中没有规定的标准和方法不得作为评标的依据。</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5.2.2  在符合招标文件规定的前提下，评标委员会主要对投标方案</w:t>
      </w:r>
      <w:r>
        <w:rPr>
          <w:rFonts w:ascii="宋体" w:hAnsi="宋体"/>
          <w:color w:val="auto"/>
          <w:sz w:val="24"/>
          <w:highlight w:val="none"/>
        </w:rPr>
        <w:t>的</w:t>
      </w:r>
      <w:r>
        <w:rPr>
          <w:rFonts w:hint="eastAsia" w:ascii="宋体" w:hAnsi="宋体"/>
          <w:color w:val="auto"/>
          <w:sz w:val="24"/>
          <w:highlight w:val="none"/>
        </w:rPr>
        <w:t>总体设计、可行性、</w:t>
      </w:r>
      <w:r>
        <w:rPr>
          <w:rFonts w:ascii="宋体" w:hAnsi="宋体"/>
          <w:color w:val="auto"/>
          <w:sz w:val="24"/>
          <w:highlight w:val="none"/>
        </w:rPr>
        <w:t>经济性</w:t>
      </w:r>
      <w:r>
        <w:rPr>
          <w:rFonts w:hint="eastAsia" w:ascii="宋体" w:hAnsi="宋体"/>
          <w:color w:val="auto"/>
          <w:sz w:val="24"/>
          <w:highlight w:val="none"/>
        </w:rPr>
        <w:t>、优越性、功能和造型、运行和维护费用、对环境的影响等进行比选、评价和裁定，确定方案的优劣和分值。</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5.2.4  </w:t>
      </w:r>
      <w:r>
        <w:rPr>
          <w:rFonts w:hint="eastAsia" w:ascii="宋体" w:hAnsi="宋体"/>
          <w:bCs/>
          <w:color w:val="auto"/>
          <w:sz w:val="24"/>
          <w:highlight w:val="none"/>
        </w:rPr>
        <w:t>评标讨论过程中，</w:t>
      </w:r>
      <w:r>
        <w:rPr>
          <w:rFonts w:hint="eastAsia" w:ascii="宋体" w:hAnsi="宋体"/>
          <w:color w:val="auto"/>
          <w:sz w:val="24"/>
          <w:highlight w:val="none"/>
        </w:rPr>
        <w:t>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5.2</w:t>
      </w:r>
      <w:r>
        <w:rPr>
          <w:rFonts w:ascii="宋体" w:hAnsi="宋体"/>
          <w:color w:val="auto"/>
          <w:sz w:val="24"/>
          <w:highlight w:val="none"/>
        </w:rPr>
        <w:t>.</w:t>
      </w:r>
      <w:r>
        <w:rPr>
          <w:rFonts w:hint="eastAsia" w:ascii="宋体" w:hAnsi="宋体"/>
          <w:color w:val="auto"/>
          <w:sz w:val="24"/>
          <w:highlight w:val="none"/>
        </w:rPr>
        <w:t>5  如果少数投标人超越招标文件要求提交了模型、演示动画、特殊规格展示图纸或发生其他特殊情况，评标委员会可以对超越招标文件要求的内容不进行评审，只评审该投标文件符合要求的内容。</w:t>
      </w:r>
    </w:p>
    <w:p>
      <w:pPr>
        <w:adjustRightInd w:val="0"/>
        <w:spacing w:line="400" w:lineRule="exact"/>
        <w:ind w:hanging="840" w:hangingChars="350"/>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5.3    评标办法采用</w:t>
      </w:r>
      <w:r>
        <w:rPr>
          <w:rFonts w:hint="eastAsia" w:ascii="宋体" w:hAnsi="宋体"/>
          <w:b/>
          <w:bCs/>
          <w:color w:val="auto"/>
          <w:sz w:val="24"/>
          <w:highlight w:val="none"/>
          <w:u w:val="single"/>
        </w:rPr>
        <w:t xml:space="preserve"> 综合评分法  </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5.3.1　</w:t>
      </w:r>
      <w:r>
        <w:rPr>
          <w:rFonts w:hint="eastAsia" w:ascii="宋体" w:hAnsi="宋体"/>
          <w:color w:val="auto"/>
          <w:sz w:val="24"/>
          <w:highlight w:val="none"/>
          <w:u w:val="single"/>
        </w:rPr>
        <w:t>开标及投标文件编号</w:t>
      </w:r>
    </w:p>
    <w:p>
      <w:pPr>
        <w:tabs>
          <w:tab w:val="left" w:pos="840"/>
        </w:tabs>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5.3.1.1在投标截止时间后半小时内，投标人通过递交投标</w:t>
      </w:r>
      <w:r>
        <w:rPr>
          <w:rFonts w:ascii="宋体" w:hAnsi="宋体"/>
          <w:color w:val="auto"/>
          <w:sz w:val="24"/>
          <w:highlight w:val="none"/>
          <w:u w:val="single"/>
        </w:rPr>
        <w:t>文件的</w:t>
      </w:r>
      <w:r>
        <w:rPr>
          <w:rFonts w:hint="eastAsia" w:ascii="宋体" w:hAnsi="宋体"/>
          <w:color w:val="auto"/>
          <w:sz w:val="24"/>
          <w:highlight w:val="none"/>
          <w:u w:val="single"/>
        </w:rPr>
        <w:t>交易平台对已递交的电子投标文件进行解密。投标人完成解密后，再由招标人进行解密。解密完成后，公布招标项目名称、投标人名称、开标文件、资格审查文件和商务文件。未在规定时间内解密的投标</w:t>
      </w:r>
      <w:r>
        <w:rPr>
          <w:rFonts w:ascii="宋体" w:hAnsi="宋体"/>
          <w:color w:val="auto"/>
          <w:sz w:val="24"/>
          <w:highlight w:val="none"/>
          <w:u w:val="single"/>
        </w:rPr>
        <w:t>文件不参与开标</w:t>
      </w:r>
      <w:r>
        <w:rPr>
          <w:rFonts w:hint="eastAsia" w:ascii="宋体" w:hAnsi="宋体"/>
          <w:color w:val="auto"/>
          <w:sz w:val="24"/>
          <w:highlight w:val="none"/>
          <w:u w:val="single"/>
        </w:rPr>
        <w:t>、评标</w:t>
      </w:r>
      <w:r>
        <w:rPr>
          <w:rFonts w:ascii="宋体" w:hAnsi="宋体"/>
          <w:color w:val="auto"/>
          <w:sz w:val="24"/>
          <w:highlight w:val="none"/>
          <w:u w:val="single"/>
        </w:rPr>
        <w:t>。</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5.3.1.2截标后，开标开始时间因故推迟的，相关评标信息仍以原定的开标开始时间的信息为准。</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5.3.1.3备用光盘的读取按2.11.2的规定执行。</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5.3.1.5开标</w:t>
      </w:r>
      <w:r>
        <w:rPr>
          <w:rFonts w:ascii="宋体" w:hAnsi="宋体"/>
          <w:color w:val="auto"/>
          <w:sz w:val="24"/>
          <w:highlight w:val="none"/>
          <w:u w:val="single"/>
        </w:rPr>
        <w:t>方式</w:t>
      </w:r>
      <w:r>
        <w:rPr>
          <w:rFonts w:hint="eastAsia" w:ascii="宋体" w:hAnsi="宋体"/>
          <w:color w:val="auto"/>
          <w:sz w:val="24"/>
          <w:highlight w:val="none"/>
          <w:u w:val="single"/>
        </w:rPr>
        <w:t>采用</w:t>
      </w:r>
      <w:r>
        <w:rPr>
          <w:rFonts w:ascii="宋体" w:hAnsi="宋体"/>
          <w:color w:val="auto"/>
          <w:sz w:val="24"/>
          <w:highlight w:val="none"/>
          <w:u w:val="single"/>
        </w:rPr>
        <w:t>电子</w:t>
      </w:r>
      <w:r>
        <w:rPr>
          <w:rFonts w:hint="eastAsia" w:ascii="宋体" w:hAnsi="宋体"/>
          <w:color w:val="auto"/>
          <w:sz w:val="24"/>
          <w:highlight w:val="none"/>
          <w:u w:val="single"/>
        </w:rPr>
        <w:t>开标和现场</w:t>
      </w:r>
      <w:r>
        <w:rPr>
          <w:rFonts w:ascii="宋体" w:hAnsi="宋体"/>
          <w:color w:val="auto"/>
          <w:sz w:val="24"/>
          <w:highlight w:val="none"/>
          <w:u w:val="single"/>
        </w:rPr>
        <w:t>开标</w:t>
      </w:r>
      <w:r>
        <w:rPr>
          <w:rFonts w:hint="eastAsia" w:ascii="宋体" w:hAnsi="宋体"/>
          <w:color w:val="auto"/>
          <w:sz w:val="24"/>
          <w:highlight w:val="none"/>
          <w:u w:val="single"/>
        </w:rPr>
        <w:t>两种</w:t>
      </w:r>
      <w:r>
        <w:rPr>
          <w:rFonts w:ascii="宋体" w:hAnsi="宋体"/>
          <w:color w:val="auto"/>
          <w:sz w:val="24"/>
          <w:highlight w:val="none"/>
          <w:u w:val="single"/>
        </w:rPr>
        <w:t>模式</w:t>
      </w:r>
      <w:r>
        <w:rPr>
          <w:rFonts w:hint="eastAsia" w:ascii="宋体" w:hAnsi="宋体"/>
          <w:color w:val="auto"/>
          <w:sz w:val="24"/>
          <w:highlight w:val="none"/>
          <w:u w:val="single"/>
        </w:rPr>
        <w:t>，投标人可</w:t>
      </w:r>
      <w:r>
        <w:rPr>
          <w:rFonts w:ascii="宋体" w:hAnsi="宋体"/>
          <w:color w:val="auto"/>
          <w:sz w:val="24"/>
          <w:highlight w:val="none"/>
          <w:u w:val="single"/>
        </w:rPr>
        <w:t>选择在开标室参与开标或</w:t>
      </w:r>
      <w:r>
        <w:rPr>
          <w:rFonts w:hint="eastAsia" w:ascii="宋体" w:hAnsi="宋体"/>
          <w:color w:val="auto"/>
          <w:sz w:val="24"/>
          <w:highlight w:val="none"/>
          <w:u w:val="single"/>
        </w:rPr>
        <w:t>准时在线参加开标，</w:t>
      </w:r>
      <w:r>
        <w:rPr>
          <w:rFonts w:ascii="宋体" w:hAnsi="宋体"/>
          <w:color w:val="auto"/>
          <w:sz w:val="24"/>
          <w:highlight w:val="none"/>
          <w:u w:val="single"/>
        </w:rPr>
        <w:t>也可不参加开标</w:t>
      </w:r>
      <w:r>
        <w:rPr>
          <w:rFonts w:hint="eastAsia" w:ascii="宋体" w:hAnsi="宋体"/>
          <w:color w:val="auto"/>
          <w:sz w:val="24"/>
          <w:highlight w:val="none"/>
          <w:u w:val="single"/>
        </w:rPr>
        <w:t>。参加</w:t>
      </w:r>
      <w:r>
        <w:rPr>
          <w:rFonts w:ascii="宋体" w:hAnsi="宋体"/>
          <w:color w:val="auto"/>
          <w:sz w:val="24"/>
          <w:highlight w:val="none"/>
          <w:u w:val="single"/>
        </w:rPr>
        <w:t>在线开标的投标人登录交易平台实时查看开标</w:t>
      </w:r>
      <w:r>
        <w:rPr>
          <w:rFonts w:hint="eastAsia" w:ascii="宋体" w:hAnsi="宋体"/>
          <w:color w:val="auto"/>
          <w:sz w:val="24"/>
          <w:highlight w:val="none"/>
          <w:u w:val="single"/>
        </w:rPr>
        <w:t>、</w:t>
      </w:r>
      <w:r>
        <w:rPr>
          <w:rFonts w:ascii="宋体" w:hAnsi="宋体"/>
          <w:color w:val="auto"/>
          <w:sz w:val="24"/>
          <w:highlight w:val="none"/>
          <w:u w:val="single"/>
        </w:rPr>
        <w:t>唱标情况</w:t>
      </w:r>
      <w:r>
        <w:rPr>
          <w:rFonts w:hint="eastAsia" w:ascii="宋体" w:hAnsi="宋体"/>
          <w:color w:val="auto"/>
          <w:sz w:val="24"/>
          <w:highlight w:val="none"/>
          <w:u w:val="single"/>
        </w:rPr>
        <w:t>。交易平台生成开标记录并向社会公众公布。</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5.3.1.6参加</w:t>
      </w:r>
      <w:r>
        <w:rPr>
          <w:rFonts w:ascii="宋体" w:hAnsi="宋体"/>
          <w:color w:val="auto"/>
          <w:sz w:val="24"/>
          <w:highlight w:val="none"/>
          <w:u w:val="single"/>
        </w:rPr>
        <w:t>现场开标的投标人对开标结果有异议的，应当在开标现场提出，招标人应当当场作出答复，并制作记录。</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5.3.1.7参加</w:t>
      </w:r>
      <w:r>
        <w:rPr>
          <w:rFonts w:ascii="宋体" w:hAnsi="宋体"/>
          <w:color w:val="auto"/>
          <w:sz w:val="24"/>
          <w:highlight w:val="none"/>
          <w:u w:val="single"/>
        </w:rPr>
        <w:t>在线开标的</w:t>
      </w:r>
      <w:r>
        <w:rPr>
          <w:rFonts w:hint="eastAsia" w:ascii="宋体" w:hAnsi="宋体"/>
          <w:color w:val="auto"/>
          <w:sz w:val="24"/>
          <w:highlight w:val="none"/>
          <w:u w:val="single"/>
        </w:rPr>
        <w:t>投标人对开标结果有异议的，应当在唱标</w:t>
      </w:r>
      <w:r>
        <w:rPr>
          <w:rFonts w:ascii="宋体" w:hAnsi="宋体"/>
          <w:color w:val="auto"/>
          <w:sz w:val="24"/>
          <w:highlight w:val="none"/>
          <w:u w:val="single"/>
        </w:rPr>
        <w:t>结束后</w:t>
      </w:r>
      <w:r>
        <w:rPr>
          <w:rFonts w:hint="eastAsia" w:ascii="宋体" w:hAnsi="宋体"/>
          <w:color w:val="auto"/>
          <w:sz w:val="24"/>
          <w:highlight w:val="none"/>
          <w:u w:val="single"/>
        </w:rPr>
        <w:t>的规定</w:t>
      </w:r>
      <w:r>
        <w:rPr>
          <w:rFonts w:ascii="宋体" w:hAnsi="宋体"/>
          <w:color w:val="auto"/>
          <w:sz w:val="24"/>
          <w:highlight w:val="none"/>
          <w:u w:val="single"/>
        </w:rPr>
        <w:t>时间内</w:t>
      </w:r>
      <w:r>
        <w:rPr>
          <w:rFonts w:hint="eastAsia" w:ascii="宋体" w:hAnsi="宋体"/>
          <w:color w:val="auto"/>
          <w:sz w:val="24"/>
          <w:highlight w:val="none"/>
          <w:u w:val="single"/>
        </w:rPr>
        <w:t>、</w:t>
      </w:r>
      <w:r>
        <w:rPr>
          <w:rFonts w:ascii="宋体" w:hAnsi="宋体"/>
          <w:color w:val="auto"/>
          <w:sz w:val="24"/>
          <w:highlight w:val="none"/>
          <w:u w:val="single"/>
        </w:rPr>
        <w:t>使用单位数字证书登录交易平台后通过交易平台提出。</w:t>
      </w:r>
      <w:r>
        <w:rPr>
          <w:rFonts w:hint="eastAsia" w:ascii="宋体" w:hAnsi="宋体"/>
          <w:color w:val="auto"/>
          <w:sz w:val="24"/>
          <w:highlight w:val="none"/>
          <w:u w:val="single"/>
        </w:rPr>
        <w:t>招标人</w:t>
      </w:r>
      <w:r>
        <w:rPr>
          <w:rFonts w:ascii="宋体" w:hAnsi="宋体"/>
          <w:color w:val="auto"/>
          <w:sz w:val="24"/>
          <w:highlight w:val="none"/>
          <w:u w:val="single"/>
        </w:rPr>
        <w:t>授权招标代理机构</w:t>
      </w:r>
      <w:r>
        <w:rPr>
          <w:rFonts w:hint="eastAsia" w:ascii="宋体" w:hAnsi="宋体"/>
          <w:color w:val="auto"/>
          <w:sz w:val="24"/>
          <w:highlight w:val="none"/>
          <w:u w:val="single"/>
        </w:rPr>
        <w:t>工作</w:t>
      </w:r>
      <w:r>
        <w:rPr>
          <w:rFonts w:ascii="宋体" w:hAnsi="宋体"/>
          <w:color w:val="auto"/>
          <w:sz w:val="24"/>
          <w:highlight w:val="none"/>
          <w:u w:val="single"/>
        </w:rPr>
        <w:t>人员使用</w:t>
      </w:r>
      <w:r>
        <w:rPr>
          <w:rFonts w:hint="eastAsia" w:ascii="宋体" w:hAnsi="宋体"/>
          <w:color w:val="auto"/>
          <w:sz w:val="24"/>
          <w:highlight w:val="none"/>
          <w:u w:val="single"/>
        </w:rPr>
        <w:t>招标</w:t>
      </w:r>
      <w:r>
        <w:rPr>
          <w:rFonts w:ascii="宋体" w:hAnsi="宋体"/>
          <w:color w:val="auto"/>
          <w:sz w:val="24"/>
          <w:highlight w:val="none"/>
          <w:u w:val="single"/>
        </w:rPr>
        <w:t>代理机构数字证书登录交易平台答复异议，异议答复是招标人真实意</w:t>
      </w:r>
      <w:r>
        <w:rPr>
          <w:rFonts w:hint="eastAsia" w:ascii="宋体" w:hAnsi="宋体"/>
          <w:color w:val="auto"/>
          <w:sz w:val="24"/>
          <w:highlight w:val="none"/>
          <w:u w:val="single"/>
        </w:rPr>
        <w:t>思表示</w:t>
      </w:r>
      <w:r>
        <w:rPr>
          <w:rFonts w:ascii="宋体" w:hAnsi="宋体"/>
          <w:color w:val="auto"/>
          <w:sz w:val="24"/>
          <w:highlight w:val="none"/>
          <w:u w:val="single"/>
        </w:rPr>
        <w:t>。</w:t>
      </w:r>
      <w:r>
        <w:rPr>
          <w:rFonts w:hint="eastAsia" w:ascii="宋体" w:hAnsi="宋体"/>
          <w:color w:val="auto"/>
          <w:sz w:val="24"/>
          <w:highlight w:val="none"/>
          <w:u w:val="single"/>
        </w:rPr>
        <w:t>未答复</w:t>
      </w:r>
      <w:r>
        <w:rPr>
          <w:rFonts w:ascii="宋体" w:hAnsi="宋体"/>
          <w:color w:val="auto"/>
          <w:sz w:val="24"/>
          <w:highlight w:val="none"/>
          <w:u w:val="single"/>
        </w:rPr>
        <w:t>的，开标程序不得结束。</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5.3.1.8投标人</w:t>
      </w:r>
      <w:r>
        <w:rPr>
          <w:rFonts w:ascii="宋体" w:hAnsi="宋体"/>
          <w:color w:val="auto"/>
          <w:sz w:val="24"/>
          <w:highlight w:val="none"/>
          <w:u w:val="single"/>
        </w:rPr>
        <w:t>未参加开标或在规定的时间内未提出异议的，视为对开标无异议。</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5.3.1.9开标时，两个（含两个）以上的投标人加密打包投标文件电脑机器特征码一致的，由评标委员会确定其为废标。</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5.3.1.10技术文件（设计方案）开标时不得开启，在</w:t>
      </w:r>
      <w:r>
        <w:rPr>
          <w:rFonts w:ascii="宋体" w:hAnsi="宋体"/>
          <w:color w:val="auto"/>
          <w:sz w:val="24"/>
          <w:highlight w:val="none"/>
          <w:u w:val="single"/>
        </w:rPr>
        <w:t>评标</w:t>
      </w:r>
      <w:r>
        <w:rPr>
          <w:rFonts w:hint="eastAsia" w:ascii="宋体" w:hAnsi="宋体"/>
          <w:color w:val="auto"/>
          <w:sz w:val="24"/>
          <w:highlight w:val="none"/>
          <w:u w:val="single"/>
        </w:rPr>
        <w:t>时由</w:t>
      </w:r>
      <w:r>
        <w:rPr>
          <w:rFonts w:ascii="宋体" w:hAnsi="宋体"/>
          <w:color w:val="auto"/>
          <w:sz w:val="24"/>
          <w:highlight w:val="none"/>
          <w:u w:val="single"/>
        </w:rPr>
        <w:t>交易平台</w:t>
      </w:r>
      <w:r>
        <w:rPr>
          <w:rFonts w:hint="eastAsia" w:ascii="宋体" w:hAnsi="宋体"/>
          <w:color w:val="auto"/>
          <w:sz w:val="24"/>
          <w:highlight w:val="none"/>
          <w:u w:val="single"/>
        </w:rPr>
        <w:t>随机编号后开启，交由评标委员会进行评审。编号所对应的投标人在投票结束前不得告知评标委员会、交易平台工作人员、招标人或招标代理机构。</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5.3.1.11开标时，出现下列情形之一的投标人，不参与下一程序，其投标文件作无效处理：</w:t>
      </w:r>
    </w:p>
    <w:p>
      <w:pPr>
        <w:adjustRightInd w:val="0"/>
        <w:spacing w:line="400" w:lineRule="exact"/>
        <w:ind w:left="1680" w:leftChars="400" w:hanging="840" w:hangingChars="350"/>
        <w:rPr>
          <w:rFonts w:ascii="宋体" w:hAnsi="宋体"/>
          <w:color w:val="auto"/>
          <w:sz w:val="24"/>
          <w:highlight w:val="none"/>
          <w:u w:val="single"/>
        </w:rPr>
      </w:pPr>
      <w:r>
        <w:rPr>
          <w:rFonts w:hint="eastAsia" w:ascii="宋体" w:hAnsi="宋体"/>
          <w:color w:val="auto"/>
          <w:sz w:val="24"/>
          <w:highlight w:val="none"/>
          <w:u w:val="single"/>
        </w:rPr>
        <w:t>（1）未成功递交或因投标人原因未成功导入投标文件的；</w:t>
      </w:r>
    </w:p>
    <w:p>
      <w:pPr>
        <w:adjustRightInd w:val="0"/>
        <w:spacing w:line="400" w:lineRule="exact"/>
        <w:ind w:left="1680" w:leftChars="400" w:hanging="840" w:hangingChars="350"/>
        <w:rPr>
          <w:rFonts w:ascii="宋体" w:hAnsi="宋体"/>
          <w:color w:val="auto"/>
          <w:sz w:val="24"/>
          <w:highlight w:val="none"/>
          <w:u w:val="single"/>
        </w:rPr>
      </w:pPr>
      <w:r>
        <w:rPr>
          <w:rFonts w:hint="eastAsia" w:ascii="宋体" w:hAnsi="宋体"/>
          <w:color w:val="auto"/>
          <w:sz w:val="24"/>
          <w:highlight w:val="none"/>
          <w:u w:val="single"/>
        </w:rPr>
        <w:t>（2）因投标人原因造成投标文件未解密的。</w:t>
      </w:r>
    </w:p>
    <w:p>
      <w:pPr>
        <w:tabs>
          <w:tab w:val="left" w:pos="840"/>
        </w:tabs>
        <w:adjustRightInd w:val="0"/>
        <w:spacing w:line="400" w:lineRule="exact"/>
        <w:ind w:left="840" w:leftChars="0" w:hanging="840" w:hangingChars="350"/>
        <w:rPr>
          <w:rFonts w:ascii="宋体" w:hAnsi="宋体"/>
          <w:color w:val="auto"/>
          <w:sz w:val="24"/>
          <w:highlight w:val="none"/>
        </w:rPr>
      </w:pPr>
      <w:r>
        <w:rPr>
          <w:rFonts w:hint="eastAsia" w:ascii="宋体" w:hAnsi="宋体"/>
          <w:color w:val="auto"/>
          <w:sz w:val="24"/>
          <w:highlight w:val="none"/>
        </w:rPr>
        <w:t xml:space="preserve">5.3.2  </w:t>
      </w:r>
      <w:r>
        <w:rPr>
          <w:rFonts w:hint="eastAsia" w:ascii="宋体" w:hAnsi="宋体"/>
          <w:color w:val="auto"/>
          <w:sz w:val="24"/>
          <w:highlight w:val="none"/>
          <w:u w:val="single"/>
        </w:rPr>
        <w:t>技术文件（设计方案）开标时不得开启，在</w:t>
      </w:r>
      <w:r>
        <w:rPr>
          <w:rFonts w:ascii="宋体" w:hAnsi="宋体"/>
          <w:color w:val="auto"/>
          <w:sz w:val="24"/>
          <w:highlight w:val="none"/>
          <w:u w:val="single"/>
        </w:rPr>
        <w:t>评标</w:t>
      </w:r>
      <w:r>
        <w:rPr>
          <w:rFonts w:hint="eastAsia" w:ascii="宋体" w:hAnsi="宋体"/>
          <w:color w:val="auto"/>
          <w:sz w:val="24"/>
          <w:highlight w:val="none"/>
          <w:u w:val="single"/>
        </w:rPr>
        <w:t>时由</w:t>
      </w:r>
      <w:r>
        <w:rPr>
          <w:rFonts w:ascii="宋体" w:hAnsi="宋体"/>
          <w:color w:val="auto"/>
          <w:sz w:val="24"/>
          <w:highlight w:val="none"/>
          <w:u w:val="single"/>
        </w:rPr>
        <w:t>交易平台</w:t>
      </w:r>
      <w:r>
        <w:rPr>
          <w:rFonts w:hint="eastAsia" w:ascii="宋体" w:hAnsi="宋体"/>
          <w:color w:val="auto"/>
          <w:sz w:val="24"/>
          <w:highlight w:val="none"/>
          <w:u w:val="single"/>
        </w:rPr>
        <w:t>随机编号后开启，交由评标委员会以暗标形式进行评审</w:t>
      </w:r>
      <w:r>
        <w:rPr>
          <w:rFonts w:hint="eastAsia" w:ascii="宋体" w:hAnsi="宋体"/>
          <w:color w:val="auto"/>
          <w:sz w:val="24"/>
          <w:highlight w:val="none"/>
        </w:rPr>
        <w:t>，不需要投标人派代表介绍投标方案。评审采用综合评分法。每个项目的权重分值详见“综合评分表”（格式见附录14、16）。评委必须严格按照“综合评分表”对投标文件进行评议、打分。</w:t>
      </w:r>
    </w:p>
    <w:p>
      <w:pPr>
        <w:tabs>
          <w:tab w:val="left" w:pos="840"/>
        </w:tabs>
        <w:adjustRightInd w:val="0"/>
        <w:snapToGrid w:val="0"/>
        <w:spacing w:line="400" w:lineRule="exact"/>
        <w:ind w:left="840" w:leftChars="400" w:firstLine="0" w:firstLineChars="0"/>
        <w:jc w:val="left"/>
        <w:rPr>
          <w:rFonts w:ascii="宋体" w:hAnsi="宋体"/>
          <w:color w:val="auto"/>
          <w:sz w:val="24"/>
          <w:highlight w:val="none"/>
        </w:rPr>
      </w:pPr>
      <w:bookmarkStart w:id="5" w:name="_Toc36623011"/>
      <w:r>
        <w:rPr>
          <w:rFonts w:hint="eastAsia" w:ascii="宋体" w:hAnsi="宋体"/>
          <w:color w:val="auto"/>
          <w:sz w:val="24"/>
          <w:highlight w:val="none"/>
        </w:rPr>
        <w:t>(a) 评标委员会专家首先按附录12《资格审查表》对各投标文件进行</w:t>
      </w:r>
      <w:r>
        <w:rPr>
          <w:rFonts w:hint="eastAsia" w:ascii="宋体" w:hAnsi="宋体"/>
          <w:color w:val="auto"/>
          <w:sz w:val="24"/>
          <w:highlight w:val="none"/>
          <w:u w:val="single"/>
        </w:rPr>
        <w:t>资格</w:t>
      </w:r>
      <w:r>
        <w:rPr>
          <w:rFonts w:hint="eastAsia" w:ascii="宋体" w:hAnsi="宋体"/>
          <w:color w:val="auto"/>
          <w:sz w:val="24"/>
          <w:highlight w:val="none"/>
        </w:rPr>
        <w:t>评审</w:t>
      </w:r>
      <w:r>
        <w:rPr>
          <w:rFonts w:hint="eastAsia" w:ascii="宋体" w:hAnsi="宋体"/>
          <w:color w:val="auto"/>
          <w:sz w:val="24"/>
          <w:highlight w:val="none"/>
          <w:u w:val="single"/>
        </w:rPr>
        <w:t>，编写资格审查报告。</w:t>
      </w:r>
      <w:r>
        <w:rPr>
          <w:rFonts w:hint="eastAsia" w:ascii="宋体" w:hAnsi="宋体"/>
          <w:color w:val="auto"/>
          <w:sz w:val="24"/>
          <w:highlight w:val="none"/>
        </w:rPr>
        <w:t>只有通过资格审查的投标文件方可进入下一阶段的评审。如果有废标提议，则评标委员会成员共同表决，按照少数服从多数的原则决定是否废标。</w:t>
      </w:r>
    </w:p>
    <w:bookmarkEnd w:id="5"/>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(c) 评标委员会专家按附录14《商务文件综合评分表》对各投标单位的商务文件进行综合评分。</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(e) 评标委员会专家按附录16《技术文件综合评分表》对各投标单位的技术文件进行综合评分。</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adjustRightInd w:val="0"/>
        <w:spacing w:line="400" w:lineRule="exact"/>
        <w:ind w:left="838" w:leftChars="399" w:firstLine="0" w:firstLineChars="0"/>
        <w:jc w:val="left"/>
        <w:rPr>
          <w:rFonts w:ascii="宋体" w:hAnsi="宋体"/>
          <w:color w:val="auto"/>
          <w:sz w:val="24"/>
          <w:highlight w:val="none"/>
          <w:u w:val="single"/>
        </w:rPr>
      </w:pPr>
      <w:r>
        <w:rPr>
          <w:rFonts w:hint="eastAsia" w:ascii="宋体" w:hAnsi="宋体"/>
          <w:color w:val="auto"/>
          <w:sz w:val="24"/>
          <w:highlight w:val="none"/>
        </w:rPr>
        <w:t xml:space="preserve">(g) </w:t>
      </w:r>
      <w:r>
        <w:rPr>
          <w:rFonts w:hint="eastAsia" w:ascii="宋体" w:hAnsi="宋体"/>
          <w:color w:val="auto"/>
          <w:sz w:val="24"/>
          <w:highlight w:val="none"/>
          <w:u w:val="single"/>
        </w:rPr>
        <w:t>评标委员会揭晓各技术文件对应的投标人身份。</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 xml:space="preserve">(h) </w:t>
      </w:r>
      <w:r>
        <w:rPr>
          <w:rFonts w:hint="eastAsia" w:ascii="宋体" w:hAnsi="宋体"/>
          <w:color w:val="auto"/>
          <w:sz w:val="24"/>
          <w:highlight w:val="none"/>
          <w:u w:val="single"/>
        </w:rPr>
        <w:t>按只有通过资格审查及有效性审查的投标人的投标文件方可进入下一阶段评审的评审原则，评标委员会汇总计算各有效投标人的综合得分，投标人的综合得分（满分100分）＝商务文件得分×30％+技术文件得分×70％，然后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u w:val="single"/>
        </w:rPr>
        <w:t>(i)</w:t>
      </w:r>
      <w:r>
        <w:rPr>
          <w:rFonts w:hint="eastAsia" w:ascii="宋体" w:hAnsi="宋体"/>
          <w:color w:val="auto"/>
          <w:sz w:val="24"/>
          <w:highlight w:val="none"/>
        </w:rPr>
        <w:t xml:space="preserve">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u w:val="single"/>
        </w:rPr>
        <w:t>(j)</w:t>
      </w:r>
      <w:r>
        <w:rPr>
          <w:rFonts w:hint="eastAsia" w:ascii="宋体" w:hAnsi="宋体"/>
          <w:color w:val="auto"/>
          <w:sz w:val="24"/>
          <w:highlight w:val="none"/>
        </w:rPr>
        <w:t xml:space="preserve"> 招标人（或招标代理机构）提前将揭晓</w:t>
      </w:r>
      <w:r>
        <w:rPr>
          <w:rFonts w:hint="eastAsia" w:ascii="宋体" w:hAnsi="宋体"/>
          <w:color w:val="auto"/>
          <w:sz w:val="24"/>
          <w:highlight w:val="none"/>
          <w:u w:val="single"/>
        </w:rPr>
        <w:t>技术文件（设计方案）</w:t>
      </w:r>
      <w:r>
        <w:rPr>
          <w:rFonts w:hint="eastAsia" w:ascii="宋体" w:hAnsi="宋体"/>
          <w:color w:val="auto"/>
          <w:sz w:val="24"/>
          <w:highlight w:val="none"/>
        </w:rPr>
        <w:t>评标结果的会议时间和地点通知所有投标人，并邀请投标人出席。公开所有</w:t>
      </w:r>
      <w:r>
        <w:rPr>
          <w:rFonts w:hint="eastAsia" w:ascii="宋体" w:hAnsi="宋体"/>
          <w:color w:val="auto"/>
          <w:sz w:val="24"/>
          <w:highlight w:val="none"/>
          <w:u w:val="single"/>
        </w:rPr>
        <w:t>技术文件（设计方案）</w:t>
      </w:r>
      <w:r>
        <w:rPr>
          <w:rFonts w:hint="eastAsia" w:ascii="宋体" w:hAnsi="宋体"/>
          <w:color w:val="auto"/>
          <w:sz w:val="24"/>
          <w:highlight w:val="none"/>
        </w:rPr>
        <w:t>评审名次，</w:t>
      </w:r>
      <w:r>
        <w:rPr>
          <w:rFonts w:ascii="宋体" w:hAnsi="宋体"/>
          <w:color w:val="auto"/>
          <w:sz w:val="24"/>
          <w:highlight w:val="none"/>
        </w:rPr>
        <w:t>并根据请求告知已投标但未出席</w:t>
      </w:r>
      <w:r>
        <w:rPr>
          <w:rFonts w:hint="eastAsia" w:ascii="宋体" w:hAnsi="宋体"/>
          <w:color w:val="auto"/>
          <w:sz w:val="24"/>
          <w:highlight w:val="none"/>
        </w:rPr>
        <w:t>会议</w:t>
      </w:r>
      <w:r>
        <w:rPr>
          <w:rFonts w:ascii="宋体" w:hAnsi="宋体"/>
          <w:color w:val="auto"/>
          <w:sz w:val="24"/>
          <w:highlight w:val="none"/>
        </w:rPr>
        <w:t>的</w:t>
      </w:r>
      <w:r>
        <w:rPr>
          <w:rFonts w:hint="eastAsia" w:ascii="宋体" w:hAnsi="宋体"/>
          <w:color w:val="auto"/>
          <w:sz w:val="24"/>
          <w:highlight w:val="none"/>
        </w:rPr>
        <w:t>投标人。</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u w:val="single"/>
        </w:rPr>
        <w:t>(k)</w:t>
      </w:r>
      <w:r>
        <w:rPr>
          <w:rFonts w:hint="eastAsia" w:ascii="宋体" w:hAnsi="宋体"/>
          <w:color w:val="auto"/>
          <w:sz w:val="24"/>
          <w:highlight w:val="none"/>
        </w:rPr>
        <w:t xml:space="preserve"> 评标委员会向招标人提交书面评标报告后即告解散，评标过程中使用的文件、表格以及其他资料应当即时归还招标人（或招标代理机构）。</w:t>
      </w:r>
    </w:p>
    <w:p>
      <w:pPr>
        <w:adjustRightInd w:val="0"/>
        <w:spacing w:line="400" w:lineRule="exact"/>
        <w:ind w:hanging="735" w:hangingChars="350"/>
        <w:rPr>
          <w:rFonts w:ascii="宋体" w:hAnsi="宋体"/>
          <w:color w:val="auto"/>
          <w:highlight w:val="none"/>
        </w:rPr>
      </w:pPr>
    </w:p>
    <w:p>
      <w:pPr>
        <w:wordWrap w:val="0"/>
        <w:topLinePunct/>
        <w:adjustRightInd w:val="0"/>
        <w:spacing w:line="400" w:lineRule="exact"/>
        <w:ind w:hanging="843" w:hangingChars="350"/>
        <w:rPr>
          <w:rFonts w:ascii="宋体" w:hAnsi="宋体"/>
          <w:b/>
          <w:bCs/>
          <w:strike/>
          <w:color w:val="auto"/>
          <w:sz w:val="24"/>
          <w:highlight w:val="none"/>
        </w:rPr>
      </w:pPr>
      <w:r>
        <w:rPr>
          <w:rFonts w:hint="eastAsia" w:ascii="宋体" w:hAnsi="宋体"/>
          <w:b/>
          <w:bCs/>
          <w:strike/>
          <w:color w:val="auto"/>
          <w:sz w:val="24"/>
          <w:highlight w:val="none"/>
        </w:rPr>
        <w:t>办法二 采用投票法评标</w:t>
      </w:r>
    </w:p>
    <w:p>
      <w:pPr>
        <w:wordWrap w:val="0"/>
        <w:topLinePunct/>
        <w:adjustRightInd w:val="0"/>
        <w:spacing w:line="400" w:lineRule="exact"/>
        <w:ind w:left="840" w:hanging="840" w:hangingChars="350"/>
        <w:rPr>
          <w:rFonts w:ascii="宋体" w:hAnsi="宋体"/>
          <w:strike/>
          <w:color w:val="auto"/>
          <w:sz w:val="24"/>
          <w:highlight w:val="none"/>
        </w:rPr>
      </w:pPr>
      <w:r>
        <w:rPr>
          <w:rFonts w:hint="eastAsia" w:ascii="宋体" w:hAnsi="宋体"/>
          <w:strike/>
          <w:color w:val="auto"/>
          <w:sz w:val="24"/>
          <w:highlight w:val="none"/>
        </w:rPr>
        <w:t>5.3.1  开标评标程序</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（1）投标人递交投标文件。</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（2）对商务文件公开开标（技术文件不予开封）。</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（3）对投标人进行资格审查，编写资格审查报告。</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（4）对商务文件进行有效性审查。</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（5）对技术文件编号，之后先进行有效性审查，然后对通过有效性审查的技术文件进行综合评估。</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（6）以投票方式确定技术文件（设计方案）的排序。</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（7）揭晓技术文件评审结果。</w:t>
      </w:r>
    </w:p>
    <w:p>
      <w:pPr>
        <w:wordWrap w:val="0"/>
        <w:topLinePunct/>
        <w:adjustRightInd w:val="0"/>
        <w:spacing w:line="400" w:lineRule="exact"/>
        <w:ind w:left="840" w:leftChars="400" w:firstLine="0" w:firstLineChars="0"/>
        <w:rPr>
          <w:rFonts w:ascii="宋体" w:hAnsi="宋体"/>
          <w:b/>
          <w:bCs/>
          <w:strike/>
          <w:color w:val="auto"/>
          <w:sz w:val="24"/>
          <w:highlight w:val="none"/>
        </w:rPr>
      </w:pPr>
      <w:r>
        <w:rPr>
          <w:rFonts w:hint="eastAsia" w:ascii="宋体" w:hAnsi="宋体"/>
          <w:strike/>
          <w:color w:val="auto"/>
          <w:sz w:val="24"/>
          <w:highlight w:val="none"/>
        </w:rPr>
        <w:t>（8）推荐中标候选人并编写评审报告。</w:t>
      </w:r>
    </w:p>
    <w:p>
      <w:pPr>
        <w:wordWrap w:val="0"/>
        <w:topLinePunct/>
        <w:adjustRightInd w:val="0"/>
        <w:spacing w:line="400" w:lineRule="exact"/>
        <w:ind w:left="840" w:hanging="840" w:hangingChars="350"/>
        <w:rPr>
          <w:rFonts w:ascii="宋体" w:hAnsi="宋体"/>
          <w:strike/>
          <w:color w:val="auto"/>
          <w:sz w:val="24"/>
          <w:highlight w:val="none"/>
        </w:rPr>
      </w:pPr>
      <w:r>
        <w:rPr>
          <w:rFonts w:hint="eastAsia" w:ascii="宋体" w:hAnsi="宋体"/>
          <w:strike/>
          <w:color w:val="auto"/>
          <w:sz w:val="24"/>
          <w:highlight w:val="none"/>
        </w:rPr>
        <w:t>5.3.2  招标人（或招标代理机构）在不透露投标人身份的前提下将技术文件交给评标委员会，不需要投标人派代表介绍投标方案。</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(d) 评标委员会专家对各投标单位的技术文件（设计方案）进行综合评审。评审之后，以差额选举逐轮淘汰的记名投票方式选出投标方案的排序。(评标表格详见附录17、附录18、附录19)</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(e) 招标人（或招标代理机构）和交易中心工作人员开启保密信封，找出各编号技术文件所对应的投标人。</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(g) 招标人（或招标代理机构）提前将揭晓评标结果的会议时间和地点通知所有投标人，并邀请投标人出席。公开展示所有投标文件及其评审名次，</w:t>
      </w:r>
      <w:r>
        <w:rPr>
          <w:rFonts w:ascii="宋体" w:hAnsi="宋体"/>
          <w:strike/>
          <w:color w:val="auto"/>
          <w:sz w:val="24"/>
          <w:highlight w:val="none"/>
        </w:rPr>
        <w:t>并根据请求告知已投标但未出席</w:t>
      </w:r>
      <w:r>
        <w:rPr>
          <w:rFonts w:hint="eastAsia" w:ascii="宋体" w:hAnsi="宋体"/>
          <w:strike/>
          <w:color w:val="auto"/>
          <w:sz w:val="24"/>
          <w:highlight w:val="none"/>
        </w:rPr>
        <w:t>会议</w:t>
      </w:r>
      <w:r>
        <w:rPr>
          <w:rFonts w:ascii="宋体" w:hAnsi="宋体"/>
          <w:strike/>
          <w:color w:val="auto"/>
          <w:sz w:val="24"/>
          <w:highlight w:val="none"/>
        </w:rPr>
        <w:t>的</w:t>
      </w:r>
      <w:r>
        <w:rPr>
          <w:rFonts w:hint="eastAsia" w:ascii="宋体" w:hAnsi="宋体"/>
          <w:strike/>
          <w:color w:val="auto"/>
          <w:sz w:val="24"/>
          <w:highlight w:val="none"/>
        </w:rPr>
        <w:t>投标人。</w:t>
      </w:r>
    </w:p>
    <w:p>
      <w:pPr>
        <w:wordWrap w:val="0"/>
        <w:topLinePunct/>
        <w:adjustRightInd w:val="0"/>
        <w:spacing w:line="400" w:lineRule="exact"/>
        <w:ind w:left="836" w:leftChars="398" w:firstLine="0" w:firstLineChars="0"/>
        <w:jc w:val="left"/>
        <w:rPr>
          <w:rFonts w:ascii="宋体" w:hAnsi="宋体"/>
          <w:strike/>
          <w:color w:val="auto"/>
          <w:sz w:val="24"/>
          <w:highlight w:val="none"/>
        </w:rPr>
      </w:pPr>
      <w:r>
        <w:rPr>
          <w:rFonts w:hint="eastAsia" w:ascii="宋体" w:hAnsi="宋体"/>
          <w:strike/>
          <w:color w:val="auto"/>
          <w:sz w:val="24"/>
          <w:highlight w:val="none"/>
        </w:rPr>
        <w:t>(h) 评标委员会向招标人提交书面评标报告后即告解散，评标过程中使用的文件、表格以及其他资料应当即时归还招标人（或招标代理机构）。</w:t>
      </w:r>
    </w:p>
    <w:p>
      <w:pPr>
        <w:adjustRightInd w:val="0"/>
        <w:spacing w:line="400" w:lineRule="exact"/>
        <w:ind w:hanging="735" w:hangingChars="350"/>
        <w:rPr>
          <w:rFonts w:ascii="宋体" w:hAnsi="宋体"/>
          <w:color w:val="auto"/>
          <w:highlight w:val="none"/>
        </w:rPr>
      </w:pPr>
    </w:p>
    <w:p>
      <w:pPr>
        <w:adjustRightInd w:val="0"/>
        <w:spacing w:line="400" w:lineRule="exact"/>
        <w:ind w:hanging="843" w:hangingChars="350"/>
        <w:jc w:val="left"/>
        <w:rPr>
          <w:rFonts w:ascii="宋体" w:hAnsi="宋体"/>
          <w:b/>
          <w:color w:val="auto"/>
          <w:sz w:val="24"/>
          <w:highlight w:val="none"/>
        </w:rPr>
      </w:pPr>
      <w:r>
        <w:rPr>
          <w:rFonts w:hint="eastAsia" w:ascii="宋体" w:hAnsi="宋体"/>
          <w:b/>
          <w:color w:val="auto"/>
          <w:sz w:val="24"/>
          <w:highlight w:val="none"/>
        </w:rPr>
        <w:t xml:space="preserve">5.4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定标</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5.4.1  招标人在评标委员会推荐的候选方案中确定中标方案。但是，招标人认为评标委员会推荐的候选方案不能最大限度满足招标文件规定的要求的，依法重新招标。</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5.4.2  招标人采用下面方法确定中标人：</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□（a）招标人委托评标委员会直接确定中标人；</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MS Mincho" w:eastAsia="MS Mincho" w:cs="MS Mincho"/>
          <w:color w:val="auto"/>
          <w:sz w:val="24"/>
          <w:highlight w:val="none"/>
        </w:rPr>
        <w:t>☑</w:t>
      </w:r>
      <w:r>
        <w:rPr>
          <w:rFonts w:hint="eastAsia" w:ascii="宋体" w:hAnsi="宋体"/>
          <w:color w:val="auto"/>
          <w:sz w:val="24"/>
          <w:highlight w:val="none"/>
        </w:rPr>
        <w:t>（b）确定评标委员会推荐的排名第一的中标候选人为中标人。排名第一的中标候选人放弃中标、因不可抗力提出不能履行合同</w:t>
      </w:r>
      <w:r>
        <w:rPr>
          <w:rFonts w:hint="eastAsia" w:ascii="宋体" w:hAnsi="宋体"/>
          <w:strike/>
          <w:color w:val="auto"/>
          <w:sz w:val="24"/>
          <w:highlight w:val="none"/>
        </w:rPr>
        <w:t>、招标文件规定应当提交履约保证金而在规定的期限内未提交的</w:t>
      </w:r>
      <w:r>
        <w:rPr>
          <w:rFonts w:hint="eastAsia" w:ascii="宋体" w:hAnsi="宋体"/>
          <w:color w:val="auto"/>
          <w:sz w:val="24"/>
          <w:highlight w:val="none"/>
        </w:rPr>
        <w:t>，或者存在违法行为被有关部门依法查处，且其违法行为影响中标结果的，确定排名第二的中标候选人为中标人。如排名第二的中标候选人也发生上述问题，则确定排名第三的中标候选人为中标人。</w:t>
      </w:r>
    </w:p>
    <w:p>
      <w:pPr>
        <w:adjustRightInd w:val="0"/>
        <w:spacing w:line="400" w:lineRule="exact"/>
        <w:ind w:left="821" w:hanging="840" w:hangingChars="350"/>
        <w:jc w:val="left"/>
        <w:rPr>
          <w:rFonts w:ascii="宋体" w:hAnsi="宋体"/>
          <w:color w:val="auto"/>
          <w:sz w:val="24"/>
          <w:highlight w:val="none"/>
          <w:u w:val="single"/>
        </w:rPr>
      </w:pPr>
      <w:r>
        <w:rPr>
          <w:rFonts w:hint="eastAsia" w:ascii="宋体" w:hAnsi="宋体"/>
          <w:color w:val="auto"/>
          <w:sz w:val="24"/>
          <w:highlight w:val="none"/>
          <w:u w:val="single"/>
        </w:rPr>
        <w:t>5.4.3</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在产生中标候选人后，招标人将中标候选人的投标文件商务部分（包括人员、业绩、奖项等资料）等在交易平台和广东省招标投标监管网公开，公示期不得少于3日。</w:t>
      </w:r>
    </w:p>
    <w:p>
      <w:pPr>
        <w:adjustRightInd w:val="0"/>
        <w:spacing w:line="400" w:lineRule="exact"/>
        <w:ind w:left="821" w:hanging="840" w:hangingChars="350"/>
        <w:jc w:val="left"/>
        <w:rPr>
          <w:rFonts w:ascii="宋体" w:hAnsi="宋体"/>
          <w:color w:val="auto"/>
          <w:sz w:val="24"/>
          <w:highlight w:val="none"/>
        </w:rPr>
      </w:pPr>
    </w:p>
    <w:p>
      <w:pPr>
        <w:adjustRightInd w:val="0"/>
        <w:spacing w:line="400" w:lineRule="exact"/>
        <w:ind w:hanging="843" w:hangingChars="350"/>
        <w:rPr>
          <w:rFonts w:ascii="宋体" w:hAnsi="宋体"/>
          <w:b/>
          <w:color w:val="auto"/>
          <w:sz w:val="24"/>
          <w:highlight w:val="none"/>
        </w:rPr>
      </w:pPr>
      <w:r>
        <w:rPr>
          <w:rFonts w:hint="eastAsia" w:ascii="宋体" w:hAnsi="宋体"/>
          <w:b/>
          <w:color w:val="auto"/>
          <w:sz w:val="24"/>
          <w:highlight w:val="none"/>
        </w:rPr>
        <w:t xml:space="preserve">5.5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发生下列情形之一的，招标人将重新组织招标：</w:t>
      </w:r>
    </w:p>
    <w:p>
      <w:pPr>
        <w:adjustRightInd w:val="0"/>
        <w:spacing w:line="400" w:lineRule="exact"/>
        <w:ind w:hanging="840" w:hangingChars="3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(a) 递交投标文件或通过资格审查的投标人不足</w:t>
      </w:r>
      <w:r>
        <w:rPr>
          <w:rFonts w:hint="eastAsia" w:ascii="宋体" w:hAnsi="宋体"/>
          <w:color w:val="auto"/>
          <w:sz w:val="24"/>
          <w:highlight w:val="none"/>
          <w:u w:val="single"/>
        </w:rPr>
        <w:t>三</w:t>
      </w:r>
      <w:r>
        <w:rPr>
          <w:rFonts w:hint="eastAsia" w:ascii="宋体" w:hAnsi="宋体"/>
          <w:color w:val="auto"/>
          <w:sz w:val="24"/>
          <w:highlight w:val="none"/>
        </w:rPr>
        <w:t>人；</w:t>
      </w:r>
    </w:p>
    <w:p>
      <w:pPr>
        <w:adjustRightInd w:val="0"/>
        <w:spacing w:line="400" w:lineRule="exact"/>
        <w:ind w:hanging="840" w:hangingChars="3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(b) 所有投标被否决，或者经评议有效投标的投标人不足三人；</w:t>
      </w:r>
    </w:p>
    <w:p>
      <w:pPr>
        <w:adjustRightInd w:val="0"/>
        <w:spacing w:line="400" w:lineRule="exact"/>
        <w:ind w:left="617" w:hanging="840" w:hangingChars="350"/>
        <w:rPr>
          <w:rFonts w:ascii="宋体" w:hAnsi="宋体"/>
          <w:color w:val="auto"/>
          <w:sz w:val="24"/>
          <w:highlight w:val="none"/>
        </w:rPr>
      </w:pPr>
      <w:r>
        <w:rPr>
          <w:rFonts w:hint="eastAsia" w:ascii="宋体" w:hAnsi="宋体"/>
          <w:color w:val="auto"/>
          <w:sz w:val="24"/>
          <w:highlight w:val="none"/>
        </w:rPr>
        <w:t xml:space="preserve">     </w:t>
      </w: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5.6    授予合同</w:t>
      </w:r>
    </w:p>
    <w:p>
      <w:pPr>
        <w:pStyle w:val="18"/>
        <w:tabs>
          <w:tab w:val="left" w:pos="840"/>
        </w:tabs>
        <w:adjustRightInd w:val="0"/>
        <w:spacing w:line="400" w:lineRule="exact"/>
        <w:ind w:left="821" w:hanging="840" w:hangingChars="350"/>
        <w:jc w:val="left"/>
        <w:rPr>
          <w:rFonts w:hAnsi="宋体"/>
          <w:strike w:val="0"/>
          <w:color w:val="auto"/>
          <w:sz w:val="24"/>
          <w:szCs w:val="24"/>
          <w:highlight w:val="none"/>
        </w:rPr>
      </w:pPr>
      <w:r>
        <w:rPr>
          <w:rFonts w:hint="eastAsia" w:hAnsi="宋体"/>
          <w:color w:val="auto"/>
          <w:sz w:val="24"/>
          <w:szCs w:val="24"/>
          <w:highlight w:val="none"/>
        </w:rPr>
        <w:t>5.6.1  招标人一般将合同授予中标人，合同在投标有效期或投标人接受的延长期内授</w:t>
      </w:r>
      <w:r>
        <w:rPr>
          <w:rFonts w:hint="eastAsia" w:hAnsi="宋体"/>
          <w:strike w:val="0"/>
          <w:color w:val="auto"/>
          <w:sz w:val="24"/>
          <w:szCs w:val="24"/>
          <w:highlight w:val="none"/>
        </w:rPr>
        <w:t>出。</w:t>
      </w:r>
    </w:p>
    <w:p>
      <w:pPr>
        <w:pStyle w:val="18"/>
        <w:adjustRightInd w:val="0"/>
        <w:spacing w:line="400" w:lineRule="exact"/>
        <w:ind w:left="821" w:hanging="840" w:hangingChars="350"/>
        <w:jc w:val="left"/>
        <w:rPr>
          <w:rFonts w:hAnsi="宋体"/>
          <w:strike w:val="0"/>
          <w:color w:val="auto"/>
          <w:sz w:val="24"/>
          <w:highlight w:val="none"/>
          <w:u w:val="single"/>
        </w:rPr>
      </w:pPr>
      <w:r>
        <w:rPr>
          <w:rFonts w:hint="eastAsia" w:hAnsi="宋体"/>
          <w:strike w:val="0"/>
          <w:color w:val="auto"/>
          <w:sz w:val="24"/>
          <w:szCs w:val="24"/>
          <w:highlight w:val="none"/>
        </w:rPr>
        <w:t xml:space="preserve">5.6.2  </w:t>
      </w:r>
      <w:r>
        <w:rPr>
          <w:rFonts w:hint="eastAsia" w:hAnsi="宋体"/>
          <w:strike w:val="0"/>
          <w:color w:val="auto"/>
          <w:sz w:val="24"/>
          <w:highlight w:val="none"/>
        </w:rPr>
        <w:t>联合体中标的，由所有联合体成员法定代表人签署授权委托书，指定牵头人或代表，授权其代表所有联合体成员与招标人签订合同，负责整个合同实施阶段的协调工作。如招标人要求中标人联合体成员共同签订合同的，则中标人应按招标人要求执行。</w:t>
      </w:r>
    </w:p>
    <w:p>
      <w:pPr>
        <w:pStyle w:val="18"/>
        <w:adjustRightInd w:val="0"/>
        <w:spacing w:line="400" w:lineRule="exact"/>
        <w:ind w:left="821" w:hanging="840" w:hangingChars="350"/>
        <w:jc w:val="left"/>
        <w:rPr>
          <w:rFonts w:hAnsi="宋体"/>
          <w:color w:val="auto"/>
          <w:sz w:val="24"/>
          <w:szCs w:val="24"/>
          <w:highlight w:val="none"/>
        </w:rPr>
      </w:pPr>
      <w:r>
        <w:rPr>
          <w:rFonts w:hint="eastAsia" w:hAnsi="宋体"/>
          <w:color w:val="auto"/>
          <w:sz w:val="24"/>
          <w:szCs w:val="24"/>
          <w:highlight w:val="none"/>
        </w:rPr>
        <w:t>5.6.3  中标人必须签署并执行招标文件规定的合同条件，</w:t>
      </w:r>
      <w:r>
        <w:rPr>
          <w:rFonts w:hAnsi="宋体"/>
          <w:color w:val="auto"/>
          <w:sz w:val="24"/>
          <w:szCs w:val="24"/>
          <w:highlight w:val="none"/>
        </w:rPr>
        <w:t>如</w:t>
      </w:r>
      <w:r>
        <w:rPr>
          <w:rFonts w:hint="eastAsia" w:hAnsi="宋体"/>
          <w:color w:val="auto"/>
          <w:sz w:val="24"/>
          <w:szCs w:val="24"/>
          <w:highlight w:val="none"/>
        </w:rPr>
        <w:t>中标人</w:t>
      </w:r>
      <w:r>
        <w:rPr>
          <w:rFonts w:hAnsi="宋体"/>
          <w:color w:val="auto"/>
          <w:sz w:val="24"/>
          <w:szCs w:val="24"/>
          <w:highlight w:val="none"/>
        </w:rPr>
        <w:t>所提供的投标条件</w:t>
      </w:r>
      <w:r>
        <w:rPr>
          <w:rFonts w:hint="eastAsia" w:hAnsi="宋体"/>
          <w:color w:val="auto"/>
          <w:sz w:val="24"/>
          <w:szCs w:val="24"/>
          <w:highlight w:val="none"/>
        </w:rPr>
        <w:t>（报价、工期、估算工程造价）比其他投标</w:t>
      </w:r>
      <w:r>
        <w:rPr>
          <w:rFonts w:hAnsi="宋体"/>
          <w:color w:val="auto"/>
          <w:sz w:val="24"/>
          <w:szCs w:val="24"/>
          <w:highlight w:val="none"/>
        </w:rPr>
        <w:t>异常低，</w:t>
      </w:r>
      <w:r>
        <w:rPr>
          <w:rFonts w:hint="eastAsia" w:hAnsi="宋体"/>
          <w:color w:val="auto"/>
          <w:sz w:val="24"/>
          <w:szCs w:val="24"/>
          <w:highlight w:val="none"/>
        </w:rPr>
        <w:t>招标人</w:t>
      </w:r>
      <w:r>
        <w:rPr>
          <w:rFonts w:hAnsi="宋体"/>
          <w:color w:val="auto"/>
          <w:sz w:val="24"/>
          <w:szCs w:val="24"/>
          <w:highlight w:val="none"/>
        </w:rPr>
        <w:t>可要求</w:t>
      </w:r>
      <w:r>
        <w:rPr>
          <w:rFonts w:hint="eastAsia" w:hAnsi="宋体"/>
          <w:color w:val="auto"/>
          <w:sz w:val="24"/>
          <w:szCs w:val="24"/>
          <w:highlight w:val="none"/>
        </w:rPr>
        <w:t>中</w:t>
      </w:r>
      <w:r>
        <w:rPr>
          <w:rFonts w:hAnsi="宋体"/>
          <w:color w:val="auto"/>
          <w:sz w:val="24"/>
          <w:szCs w:val="24"/>
          <w:highlight w:val="none"/>
        </w:rPr>
        <w:t>标人对遵守参加投标的各项条件和履行合同的能力作出保证。</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5.6.4  招标人提供证据证明中标人有下列行为之一的，经有关行政监督部门确认，该中标无效，招标人可以不与中标人签订合同：</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(a) 不能兑现投标承诺。</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(b) 弄虚作假骗取中标。</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(c) 在招标、投标、评标、定标以及授予合同过程中，对招标人、代理机构、其他投标人、评标委员会成员、</w:t>
      </w:r>
      <w:r>
        <w:rPr>
          <w:rFonts w:hint="eastAsia" w:ascii="宋体" w:hAnsi="宋体"/>
          <w:color w:val="auto"/>
          <w:kern w:val="0"/>
          <w:sz w:val="24"/>
          <w:highlight w:val="none"/>
        </w:rPr>
        <w:t>交易服务机构的</w:t>
      </w:r>
      <w:r>
        <w:rPr>
          <w:rFonts w:hint="eastAsia" w:ascii="宋体" w:hAnsi="宋体"/>
          <w:color w:val="auto"/>
          <w:sz w:val="24"/>
          <w:highlight w:val="none"/>
        </w:rPr>
        <w:t>工作人员行贿、</w:t>
      </w:r>
      <w:r>
        <w:rPr>
          <w:rFonts w:ascii="宋体" w:hAnsi="宋体"/>
          <w:color w:val="auto"/>
          <w:kern w:val="0"/>
          <w:sz w:val="24"/>
          <w:highlight w:val="none"/>
        </w:rPr>
        <w:t>利诱</w:t>
      </w:r>
      <w:r>
        <w:rPr>
          <w:rFonts w:hint="eastAsia" w:ascii="宋体" w:hAnsi="宋体"/>
          <w:color w:val="auto"/>
          <w:kern w:val="0"/>
          <w:sz w:val="24"/>
          <w:highlight w:val="none"/>
        </w:rPr>
        <w:t>、</w:t>
      </w:r>
      <w:r>
        <w:rPr>
          <w:rFonts w:hint="eastAsia" w:ascii="宋体" w:hAnsi="宋体"/>
          <w:color w:val="auto"/>
          <w:sz w:val="24"/>
          <w:highlight w:val="none"/>
        </w:rPr>
        <w:t>欺诈或者施加影响。</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(d) 擅自将任务转包其他单位。</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(e) 中标人实质上不符合资格审查合格条件。</w:t>
      </w:r>
    </w:p>
    <w:p>
      <w:pPr>
        <w:adjustRightInd w:val="0"/>
        <w:spacing w:line="400" w:lineRule="exact"/>
        <w:ind w:left="1680" w:leftChars="400" w:hanging="840" w:hangingChars="350"/>
        <w:rPr>
          <w:rFonts w:ascii="宋体" w:hAnsi="宋体"/>
          <w:color w:val="auto"/>
          <w:sz w:val="24"/>
          <w:highlight w:val="none"/>
        </w:rPr>
      </w:pPr>
      <w:r>
        <w:rPr>
          <w:rFonts w:hint="eastAsia" w:ascii="宋体" w:hAnsi="宋体"/>
          <w:color w:val="auto"/>
          <w:sz w:val="24"/>
          <w:highlight w:val="none"/>
        </w:rPr>
        <w:t>(f) 法律、法规规定的其他损害招标人利益和社会公共利益的情形。</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5.6.5  中标人不得擅自更换投标文件中拟派的设计人员及项目负责人，否则每人次扣合同金额1%。</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u w:val="single"/>
        </w:rPr>
        <w:t>5.6.6  中标人缴纳交易服务费，其费用包含在中标人投标报价中。</w:t>
      </w:r>
    </w:p>
    <w:p>
      <w:pPr>
        <w:adjustRightInd w:val="0"/>
        <w:spacing w:line="400" w:lineRule="exact"/>
        <w:ind w:hanging="843" w:hangingChars="350"/>
        <w:rPr>
          <w:rFonts w:ascii="宋体" w:hAnsi="宋体"/>
          <w:b/>
          <w:bCs/>
          <w:color w:val="auto"/>
          <w:sz w:val="24"/>
          <w:highlight w:val="none"/>
          <w:u w:val="single"/>
        </w:rPr>
      </w:pPr>
      <w:r>
        <w:rPr>
          <w:rFonts w:hint="eastAsia" w:ascii="宋体" w:hAnsi="宋体"/>
          <w:b/>
          <w:bCs/>
          <w:color w:val="auto"/>
          <w:sz w:val="24"/>
          <w:highlight w:val="none"/>
          <w:u w:val="single"/>
        </w:rPr>
        <w:t>5.7    其他</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1</w:t>
      </w:r>
      <w:r>
        <w:rPr>
          <w:rFonts w:hint="eastAsia" w:ascii="宋体" w:hAnsi="宋体"/>
          <w:color w:val="auto"/>
          <w:sz w:val="24"/>
          <w:highlight w:val="none"/>
          <w:u w:val="single"/>
        </w:rPr>
        <w:t xml:space="preserve">  凡是以他人名义投标，或者投标人允许其他单位或者个人以投标人的名义投标承揽业务的，均属违法行为，招标人对这些单位或个人的损失概不负责，对这些单位或个人的投诉概不受理。</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2</w:t>
      </w:r>
      <w:r>
        <w:rPr>
          <w:rFonts w:hint="eastAsia" w:ascii="宋体" w:hAnsi="宋体"/>
          <w:color w:val="auto"/>
          <w:sz w:val="24"/>
          <w:highlight w:val="none"/>
          <w:u w:val="single"/>
        </w:rPr>
        <w:t xml:space="preserve">  本次招标由交易服务机构对各投标人提交的成果和评标过程、评标结果予以见证，若有纠纷，将按现行法律、法规通过友好协商或诉讼程序解决。</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 xml:space="preserve">  腐败与欺诈行为</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在招标和合同实施期间，招标人要求投标人和承包人遵守最高的道德标准。</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.1对本条款的规定，特定义如下词汇：</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1）、“腐败行为”是指在招标或合同执行期间，通过提供、给予、接受或索要任何有价值的东西，从而影响招标人有关人员工作的行为；</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.2如果投标人被认定在本招标的竞争中有腐败或欺诈行为，则会被取消投标资格。</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.3投标人如在本项目中存在串通投标、弄虚作假、行贿情形的，中标无效，行政监督部门将对其违法行为进行政处罚并通报。该投标人将被招标人列入黑名单并限制其参与招标人后续项目的投标。</w:t>
      </w:r>
    </w:p>
    <w:p>
      <w:pPr>
        <w:adjustRightInd w:val="0"/>
        <w:spacing w:line="400" w:lineRule="exact"/>
        <w:ind w:left="842" w:leftChars="1" w:hanging="840" w:hangingChars="350"/>
        <w:rPr>
          <w:rFonts w:ascii="宋体" w:hAnsi="宋体"/>
          <w:color w:val="auto"/>
          <w:highlight w:val="none"/>
        </w:rPr>
      </w:pPr>
      <w:r>
        <w:rPr>
          <w:rFonts w:hint="eastAsia" w:ascii="宋体" w:hAnsi="宋体"/>
          <w:color w:val="auto"/>
          <w:sz w:val="24"/>
          <w:highlight w:val="none"/>
          <w:u w:val="single"/>
        </w:rPr>
        <w:t>5.7.4  投标人如在本项目中存在串通投标、弄虚作假、行贿情形且在评标、</w:t>
      </w:r>
      <w:r>
        <w:rPr>
          <w:rFonts w:ascii="宋体" w:hAnsi="宋体"/>
          <w:color w:val="auto"/>
          <w:sz w:val="24"/>
          <w:highlight w:val="none"/>
          <w:u w:val="single"/>
        </w:rPr>
        <w:t>定标</w:t>
      </w:r>
      <w:r>
        <w:rPr>
          <w:rFonts w:hint="eastAsia" w:ascii="宋体" w:hAnsi="宋体"/>
          <w:color w:val="auto"/>
          <w:sz w:val="24"/>
          <w:highlight w:val="none"/>
          <w:u w:val="single"/>
        </w:rPr>
        <w:t>过程中未被发现的，该投标不改变本项目评标、</w:t>
      </w:r>
      <w:r>
        <w:rPr>
          <w:rFonts w:ascii="宋体" w:hAnsi="宋体"/>
          <w:color w:val="auto"/>
          <w:sz w:val="24"/>
          <w:highlight w:val="none"/>
          <w:u w:val="single"/>
        </w:rPr>
        <w:t>定标</w:t>
      </w:r>
      <w:r>
        <w:rPr>
          <w:rFonts w:hint="eastAsia" w:ascii="宋体" w:hAnsi="宋体"/>
          <w:color w:val="auto"/>
          <w:sz w:val="24"/>
          <w:highlight w:val="none"/>
          <w:u w:val="single"/>
        </w:rPr>
        <w:t>结果排序，其中标无效。招标人按照《中华人民共和国招标投标法实施条例》第五十五条的规定依次确定中标人或重新招标。</w:t>
      </w:r>
    </w:p>
    <w:p>
      <w:pPr>
        <w:pStyle w:val="28"/>
        <w:adjustRightInd w:val="0"/>
        <w:spacing w:line="400" w:lineRule="exact"/>
        <w:ind w:left="993" w:leftChars="73" w:hanging="840" w:hangingChars="350"/>
        <w:rPr>
          <w:rFonts w:ascii="宋体" w:hAnsi="宋体"/>
          <w:color w:val="auto"/>
          <w:sz w:val="24"/>
          <w:szCs w:val="24"/>
          <w:highlight w:val="none"/>
          <w:u w:val="single"/>
        </w:rPr>
        <w:sectPr>
          <w:footerReference r:id="rId10" w:type="default"/>
          <w:pgSz w:w="11906" w:h="16838"/>
          <w:pgMar w:top="1418" w:right="1418" w:bottom="1418" w:left="1418" w:header="851" w:footer="992" w:gutter="0"/>
          <w:pgNumType w:fmt="decimal"/>
          <w:cols w:space="720" w:num="1"/>
          <w:docGrid w:linePitch="312" w:charSpace="0"/>
        </w:sectPr>
      </w:pPr>
      <w:r>
        <w:rPr>
          <w:rFonts w:ascii="宋体" w:hAnsi="宋体"/>
          <w:color w:val="auto"/>
          <w:kern w:val="2"/>
          <w:sz w:val="24"/>
          <w:szCs w:val="24"/>
          <w:highlight w:val="none"/>
          <w:u w:val="single"/>
        </w:rPr>
        <w:t xml:space="preserve">5.7.5 </w:t>
      </w:r>
      <w:r>
        <w:rPr>
          <w:rFonts w:hint="eastAsia" w:ascii="宋体" w:hAnsi="宋体"/>
          <w:color w:val="auto"/>
          <w:kern w:val="2"/>
          <w:sz w:val="24"/>
          <w:szCs w:val="24"/>
          <w:highlight w:val="none"/>
          <w:u w:val="single"/>
        </w:rPr>
        <w:t>本项目不允许分包。</w:t>
      </w:r>
    </w:p>
    <w:p>
      <w:pPr>
        <w:spacing w:line="400" w:lineRule="exact"/>
        <w:ind w:left="1236" w:hanging="1236" w:hangingChars="342"/>
        <w:jc w:val="center"/>
        <w:rPr>
          <w:rFonts w:ascii="宋体" w:hAnsi="宋体"/>
          <w:b/>
          <w:bCs/>
          <w:color w:val="auto"/>
          <w:sz w:val="24"/>
          <w:highlight w:val="none"/>
        </w:rPr>
      </w:pPr>
      <w:r>
        <w:rPr>
          <w:rFonts w:hint="eastAsia" w:ascii="宋体" w:hAnsi="宋体"/>
          <w:b/>
          <w:color w:val="auto"/>
          <w:sz w:val="36"/>
          <w:szCs w:val="36"/>
          <w:highlight w:val="none"/>
        </w:rPr>
        <w:t xml:space="preserve"> </w:t>
      </w:r>
    </w:p>
    <w:p>
      <w:pPr>
        <w:jc w:val="center"/>
        <w:rPr>
          <w:rFonts w:ascii="宋体" w:hAnsi="宋体"/>
          <w:b/>
          <w:color w:val="auto"/>
          <w:sz w:val="36"/>
          <w:szCs w:val="36"/>
          <w:highlight w:val="none"/>
        </w:rPr>
      </w:pPr>
      <w:bookmarkStart w:id="6" w:name="第六章合同主要条款"/>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numPr>
          <w:ilvl w:val="0"/>
          <w:numId w:val="4"/>
        </w:numPr>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 xml:space="preserve"> 合同主要条款</w:t>
      </w:r>
    </w:p>
    <w:p>
      <w:pPr>
        <w:numPr>
          <w:ilvl w:val="-1"/>
          <w:numId w:val="0"/>
        </w:numPr>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另册</w:t>
      </w:r>
      <w:r>
        <w:rPr>
          <w:rFonts w:hint="eastAsia" w:ascii="宋体" w:hAnsi="宋体"/>
          <w:b/>
          <w:color w:val="auto"/>
          <w:sz w:val="36"/>
          <w:szCs w:val="36"/>
          <w:highlight w:val="none"/>
          <w:lang w:eastAsia="zh-CN"/>
        </w:rPr>
        <w:t>）</w:t>
      </w:r>
    </w:p>
    <w:p>
      <w:pPr>
        <w:pStyle w:val="18"/>
        <w:rPr>
          <w:color w:val="auto"/>
          <w:highlight w:val="none"/>
        </w:rPr>
      </w:pPr>
    </w:p>
    <w:p>
      <w:pPr>
        <w:jc w:val="left"/>
        <w:rPr>
          <w:rFonts w:hint="eastAsia" w:ascii="宋体" w:hAnsi="宋体" w:eastAsia="宋体" w:cs="宋体"/>
          <w:color w:val="auto"/>
          <w:highlight w:val="none"/>
          <w:lang w:eastAsia="zh-CN"/>
        </w:rPr>
      </w:pPr>
      <w:r>
        <w:rPr>
          <w:rFonts w:hint="eastAsia" w:ascii="宋体" w:hAnsi="宋体"/>
          <w:b/>
          <w:color w:val="auto"/>
          <w:sz w:val="36"/>
          <w:szCs w:val="36"/>
          <w:highlight w:val="none"/>
        </w:rPr>
        <w:br w:type="page"/>
      </w:r>
    </w:p>
    <w:bookmarkEnd w:id="6"/>
    <w:p>
      <w:pPr>
        <w:outlineLvl w:val="1"/>
        <w:rPr>
          <w:rFonts w:ascii="宋体" w:hAnsi="宋体"/>
          <w:color w:val="auto"/>
          <w:sz w:val="24"/>
          <w:highlight w:val="none"/>
        </w:rPr>
      </w:pPr>
      <w:bookmarkStart w:id="7" w:name="page100"/>
      <w:bookmarkEnd w:id="7"/>
      <w:r>
        <w:rPr>
          <w:rFonts w:hint="eastAsia" w:ascii="宋体" w:hAnsi="宋体"/>
          <w:b/>
          <w:bCs/>
          <w:color w:val="auto"/>
          <w:sz w:val="24"/>
          <w:highlight w:val="none"/>
        </w:rPr>
        <w:t>附录1</w:t>
      </w:r>
    </w:p>
    <w:p>
      <w:pPr>
        <w:jc w:val="center"/>
        <w:rPr>
          <w:rFonts w:asciiTheme="minorEastAsia" w:hAnsiTheme="minorEastAsia" w:eastAsiaTheme="minorEastAsia"/>
          <w:b/>
          <w:color w:val="auto"/>
          <w:sz w:val="24"/>
          <w:highlight w:val="none"/>
        </w:rPr>
      </w:pPr>
      <w:bookmarkStart w:id="8" w:name="投标申请表（申请人、资质、机构简介）"/>
      <w:r>
        <w:rPr>
          <w:rFonts w:hint="eastAsia" w:asciiTheme="minorEastAsia" w:hAnsiTheme="minorEastAsia" w:eastAsiaTheme="minorEastAsia"/>
          <w:b/>
          <w:color w:val="auto"/>
          <w:sz w:val="24"/>
          <w:highlight w:val="none"/>
        </w:rPr>
        <w:t>投标申请表（申请人、资质、机构简介）</w:t>
      </w:r>
    </w:p>
    <w:bookmarkEnd w:id="8"/>
    <w:tbl>
      <w:tblPr>
        <w:tblStyle w:val="29"/>
        <w:tblW w:w="89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3240"/>
        <w:gridCol w:w="3115"/>
        <w:gridCol w:w="976"/>
        <w:gridCol w:w="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8"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序号</w:t>
            </w:r>
          </w:p>
        </w:tc>
        <w:tc>
          <w:tcPr>
            <w:tcW w:w="3240"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内容</w:t>
            </w:r>
          </w:p>
        </w:tc>
        <w:tc>
          <w:tcPr>
            <w:tcW w:w="3115"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申请人（牵头人）</w:t>
            </w:r>
          </w:p>
        </w:tc>
        <w:tc>
          <w:tcPr>
            <w:tcW w:w="976"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联合体成员</w:t>
            </w:r>
          </w:p>
        </w:tc>
        <w:tc>
          <w:tcPr>
            <w:tcW w:w="960"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联合体成员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名称（盖章）</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总部邮政编码、注册地址</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总部电话号码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总部传真号码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总部联络人、手机号码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本地邮政编码、注册地址</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本地电话号码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本地传真号码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本地联络人、手机号码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电子邮箱</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法人营业执照号、营业范围</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strike w:val="0"/>
                <w:color w:val="auto"/>
                <w:sz w:val="24"/>
                <w:highlight w:val="none"/>
              </w:rPr>
            </w:pPr>
            <w:r>
              <w:rPr>
                <w:rFonts w:asciiTheme="minorEastAsia" w:hAnsiTheme="minorEastAsia" w:eastAsiaTheme="minorEastAsia"/>
                <w:strike w:val="0"/>
                <w:color w:val="auto"/>
                <w:sz w:val="24"/>
                <w:highlight w:val="none"/>
              </w:rPr>
              <w:t>13</w:t>
            </w:r>
          </w:p>
        </w:tc>
        <w:tc>
          <w:tcPr>
            <w:tcW w:w="3240" w:type="dxa"/>
          </w:tcPr>
          <w:p>
            <w:pP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工程设计资质证号、范围和等级</w:t>
            </w:r>
          </w:p>
        </w:tc>
        <w:tc>
          <w:tcPr>
            <w:tcW w:w="3115" w:type="dxa"/>
          </w:tcPr>
          <w:p>
            <w:pPr>
              <w:rPr>
                <w:rFonts w:asciiTheme="minorEastAsia" w:hAnsiTheme="minorEastAsia" w:eastAsiaTheme="minorEastAsia"/>
                <w:strike w:val="0"/>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trike w:val="0"/>
                <w:color w:val="auto"/>
                <w:sz w:val="24"/>
                <w:highlight w:val="none"/>
              </w:rPr>
            </w:pPr>
            <w:r>
              <w:rPr>
                <w:rFonts w:ascii="宋体" w:hAnsi="宋体"/>
                <w:strike w:val="0"/>
                <w:color w:val="auto"/>
                <w:sz w:val="24"/>
                <w:highlight w:val="none"/>
              </w:rPr>
              <w:t>14</w:t>
            </w:r>
          </w:p>
        </w:tc>
        <w:tc>
          <w:tcPr>
            <w:tcW w:w="3240" w:type="dxa"/>
          </w:tcPr>
          <w:p>
            <w:pPr>
              <w:rPr>
                <w:rFonts w:ascii="宋体" w:hAnsi="宋体"/>
                <w:strike w:val="0"/>
                <w:color w:val="auto"/>
                <w:sz w:val="24"/>
                <w:highlight w:val="none"/>
              </w:rPr>
            </w:pPr>
            <w:r>
              <w:rPr>
                <w:rFonts w:hint="eastAsia" w:ascii="宋体" w:hAnsi="宋体"/>
                <w:strike w:val="0"/>
                <w:color w:val="auto"/>
                <w:sz w:val="24"/>
                <w:highlight w:val="none"/>
              </w:rPr>
              <w:t>工程勘察资质证号、范围和等级</w:t>
            </w:r>
          </w:p>
        </w:tc>
        <w:tc>
          <w:tcPr>
            <w:tcW w:w="3115" w:type="dxa"/>
          </w:tcPr>
          <w:p>
            <w:pPr>
              <w:rPr>
                <w:rFonts w:asciiTheme="minorEastAsia" w:hAnsiTheme="minorEastAsia" w:eastAsiaTheme="minorEastAsia"/>
                <w:strike w:val="0"/>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15</w:t>
            </w:r>
          </w:p>
        </w:tc>
        <w:tc>
          <w:tcPr>
            <w:tcW w:w="3240" w:type="dxa"/>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ISO9000认证号、范围</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简介（宜</w:t>
            </w:r>
            <w:r>
              <w:rPr>
                <w:rFonts w:asciiTheme="minorEastAsia" w:hAnsiTheme="minorEastAsia" w:eastAsiaTheme="minorEastAsia"/>
                <w:color w:val="auto"/>
                <w:sz w:val="24"/>
                <w:highlight w:val="none"/>
              </w:rPr>
              <w:t>300字以内）</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17</w:t>
            </w:r>
          </w:p>
        </w:tc>
        <w:tc>
          <w:tcPr>
            <w:tcW w:w="3240" w:type="dxa"/>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完成</w:t>
            </w:r>
            <w:r>
              <w:rPr>
                <w:rFonts w:hint="eastAsia" w:asciiTheme="minorEastAsia" w:hAnsiTheme="minorEastAsia" w:eastAsiaTheme="minorEastAsia"/>
                <w:color w:val="auto"/>
                <w:sz w:val="24"/>
                <w:highlight w:val="none"/>
              </w:rPr>
              <w:t>本项目</w:t>
            </w:r>
            <w:r>
              <w:rPr>
                <w:rFonts w:asciiTheme="minorEastAsia" w:hAnsiTheme="minorEastAsia" w:eastAsiaTheme="minorEastAsia"/>
                <w:color w:val="auto"/>
                <w:sz w:val="24"/>
                <w:highlight w:val="none"/>
              </w:rPr>
              <w:t>所独有的有利条件</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（宜</w:t>
            </w:r>
            <w:r>
              <w:rPr>
                <w:rFonts w:asciiTheme="minorEastAsia" w:hAnsiTheme="minorEastAsia" w:eastAsiaTheme="minorEastAsia"/>
                <w:color w:val="auto"/>
                <w:sz w:val="24"/>
                <w:highlight w:val="none"/>
              </w:rPr>
              <w:t>200字以内）</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18</w:t>
            </w:r>
          </w:p>
        </w:tc>
        <w:tc>
          <w:tcPr>
            <w:tcW w:w="3240" w:type="dxa"/>
          </w:tcPr>
          <w:p>
            <w:pPr>
              <w:rPr>
                <w:rFonts w:asciiTheme="minorEastAsia" w:hAnsiTheme="minorEastAsia" w:eastAsiaTheme="minorEastAsia"/>
                <w:color w:val="auto"/>
                <w:sz w:val="24"/>
                <w:highlight w:val="none"/>
              </w:rPr>
            </w:pP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bl>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申请人：</w:t>
      </w:r>
      <w:r>
        <w:rPr>
          <w:rFonts w:asciiTheme="minorEastAsia" w:hAnsiTheme="minorEastAsia" w:eastAsiaTheme="minorEastAsia"/>
          <w:color w:val="auto"/>
          <w:sz w:val="24"/>
          <w:highlight w:val="none"/>
        </w:rPr>
        <w:t xml:space="preserve">                                                                                          </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申请日期：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p>
      <w:pPr>
        <w:rPr>
          <w:rFonts w:asciiTheme="minorEastAsia" w:hAnsiTheme="minorEastAsia" w:eastAsiaTheme="minorEastAsia"/>
          <w:color w:val="auto"/>
          <w:sz w:val="24"/>
          <w:highlight w:val="none"/>
        </w:rPr>
      </w:pPr>
    </w:p>
    <w:p>
      <w:pPr>
        <w:rPr>
          <w:rFonts w:ascii="宋体" w:hAnsi="宋体"/>
          <w:color w:val="auto"/>
          <w:szCs w:val="21"/>
          <w:highlight w:val="none"/>
        </w:rPr>
        <w:sectPr>
          <w:headerReference r:id="rId11" w:type="default"/>
          <w:footerReference r:id="rId12" w:type="default"/>
          <w:pgSz w:w="11906" w:h="16838"/>
          <w:pgMar w:top="1418" w:right="1418" w:bottom="1418" w:left="1418" w:header="851" w:footer="992" w:gutter="0"/>
          <w:pgNumType w:fmt="decimal"/>
          <w:cols w:space="720" w:num="1"/>
          <w:docGrid w:linePitch="312" w:charSpace="0"/>
        </w:sectPr>
      </w:pPr>
    </w:p>
    <w:p>
      <w:pPr>
        <w:outlineLvl w:val="1"/>
        <w:rPr>
          <w:rFonts w:ascii="宋体" w:hAnsi="宋体"/>
          <w:strike/>
          <w:color w:val="auto"/>
          <w:sz w:val="24"/>
          <w:highlight w:val="none"/>
        </w:rPr>
      </w:pPr>
      <w:r>
        <w:rPr>
          <w:rFonts w:hint="eastAsia" w:ascii="宋体" w:hAnsi="宋体"/>
          <w:b/>
          <w:bCs/>
          <w:strike/>
          <w:color w:val="auto"/>
          <w:sz w:val="24"/>
          <w:highlight w:val="none"/>
        </w:rPr>
        <w:t>附录</w:t>
      </w:r>
      <w:r>
        <w:rPr>
          <w:rFonts w:ascii="宋体" w:hAnsi="宋体"/>
          <w:b/>
          <w:bCs/>
          <w:strike/>
          <w:color w:val="auto"/>
          <w:sz w:val="24"/>
          <w:highlight w:val="none"/>
        </w:rPr>
        <w:t>2</w:t>
      </w:r>
    </w:p>
    <w:p>
      <w:pPr>
        <w:jc w:val="center"/>
        <w:rPr>
          <w:rFonts w:ascii="宋体" w:hAnsi="宋体"/>
          <w:b/>
          <w:strike/>
          <w:color w:val="auto"/>
          <w:sz w:val="36"/>
          <w:szCs w:val="36"/>
          <w:highlight w:val="none"/>
        </w:rPr>
      </w:pPr>
      <w:bookmarkStart w:id="9" w:name="投标申请表（投标人的业绩）"/>
      <w:r>
        <w:rPr>
          <w:rFonts w:hint="eastAsia" w:ascii="宋体" w:hAnsi="宋体"/>
          <w:b/>
          <w:strike/>
          <w:color w:val="auto"/>
          <w:sz w:val="36"/>
          <w:szCs w:val="36"/>
          <w:highlight w:val="none"/>
        </w:rPr>
        <w:t>投标申请表</w:t>
      </w:r>
      <w:r>
        <w:rPr>
          <w:rFonts w:hint="eastAsia" w:ascii="宋体" w:hAnsi="宋体"/>
          <w:b/>
          <w:bCs/>
          <w:strike/>
          <w:color w:val="auto"/>
          <w:sz w:val="36"/>
          <w:szCs w:val="36"/>
          <w:highlight w:val="none"/>
        </w:rPr>
        <w:t>（投标人的业绩）</w:t>
      </w:r>
      <w:bookmarkEnd w:id="9"/>
    </w:p>
    <w:tbl>
      <w:tblPr>
        <w:tblStyle w:val="29"/>
        <w:tblW w:w="14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vAlign w:val="center"/>
          </w:tcPr>
          <w:p>
            <w:pPr>
              <w:jc w:val="center"/>
              <w:rPr>
                <w:rFonts w:ascii="宋体" w:hAnsi="宋体"/>
                <w:strike/>
                <w:color w:val="auto"/>
                <w:szCs w:val="21"/>
                <w:highlight w:val="none"/>
              </w:rPr>
            </w:pPr>
            <w:r>
              <w:rPr>
                <w:rFonts w:hint="eastAsia" w:ascii="宋体" w:hAnsi="宋体"/>
                <w:strike/>
                <w:color w:val="auto"/>
                <w:szCs w:val="21"/>
                <w:highlight w:val="none"/>
              </w:rPr>
              <w:t>序号</w:t>
            </w:r>
          </w:p>
        </w:tc>
        <w:tc>
          <w:tcPr>
            <w:tcW w:w="2700" w:type="dxa"/>
            <w:vAlign w:val="center"/>
          </w:tcPr>
          <w:p>
            <w:pPr>
              <w:jc w:val="center"/>
              <w:rPr>
                <w:rFonts w:ascii="宋体" w:hAnsi="宋体"/>
                <w:strike/>
                <w:color w:val="auto"/>
                <w:szCs w:val="21"/>
                <w:highlight w:val="none"/>
              </w:rPr>
            </w:pPr>
            <w:r>
              <w:rPr>
                <w:rFonts w:hint="eastAsia" w:ascii="宋体" w:hAnsi="宋体"/>
                <w:strike/>
                <w:color w:val="auto"/>
                <w:highlight w:val="none"/>
              </w:rPr>
              <w:t>投标人</w:t>
            </w:r>
          </w:p>
        </w:tc>
        <w:tc>
          <w:tcPr>
            <w:tcW w:w="3780" w:type="dxa"/>
            <w:vAlign w:val="center"/>
          </w:tcPr>
          <w:p>
            <w:pPr>
              <w:jc w:val="center"/>
              <w:rPr>
                <w:rFonts w:ascii="宋体" w:hAnsi="宋体"/>
                <w:strike/>
                <w:color w:val="auto"/>
                <w:szCs w:val="21"/>
                <w:highlight w:val="none"/>
                <w:u w:val="single"/>
              </w:rPr>
            </w:pPr>
            <w:r>
              <w:rPr>
                <w:rFonts w:hint="eastAsia" w:hAnsi="宋体"/>
                <w:color w:val="auto"/>
                <w:highlight w:val="none"/>
                <w:u w:val="single"/>
              </w:rPr>
              <w:t>作品、业绩、著作名称</w:t>
            </w:r>
          </w:p>
        </w:tc>
        <w:tc>
          <w:tcPr>
            <w:tcW w:w="4500" w:type="dxa"/>
            <w:vAlign w:val="center"/>
          </w:tcPr>
          <w:p>
            <w:pPr>
              <w:jc w:val="center"/>
              <w:rPr>
                <w:rFonts w:ascii="宋体" w:hAnsi="宋体"/>
                <w:strike/>
                <w:color w:val="auto"/>
                <w:szCs w:val="21"/>
                <w:highlight w:val="none"/>
              </w:rPr>
            </w:pPr>
            <w:r>
              <w:rPr>
                <w:rFonts w:hint="eastAsia" w:ascii="宋体" w:hAnsi="宋体"/>
                <w:strike/>
                <w:color w:val="auto"/>
                <w:highlight w:val="none"/>
              </w:rPr>
              <w:t>简介</w:t>
            </w:r>
          </w:p>
        </w:tc>
        <w:tc>
          <w:tcPr>
            <w:tcW w:w="1128" w:type="dxa"/>
            <w:vAlign w:val="center"/>
          </w:tcPr>
          <w:p>
            <w:pPr>
              <w:jc w:val="center"/>
              <w:rPr>
                <w:rFonts w:ascii="宋体" w:hAnsi="宋体"/>
                <w:strike/>
                <w:color w:val="auto"/>
                <w:highlight w:val="none"/>
              </w:rPr>
            </w:pPr>
            <w:r>
              <w:rPr>
                <w:rFonts w:hint="eastAsia" w:ascii="宋体" w:hAnsi="宋体"/>
                <w:strike/>
                <w:color w:val="auto"/>
                <w:highlight w:val="none"/>
              </w:rPr>
              <w:t>合同额</w:t>
            </w:r>
          </w:p>
          <w:p>
            <w:pPr>
              <w:jc w:val="center"/>
              <w:rPr>
                <w:rFonts w:ascii="宋体" w:hAnsi="宋体"/>
                <w:strike/>
                <w:color w:val="auto"/>
                <w:szCs w:val="21"/>
                <w:highlight w:val="none"/>
              </w:rPr>
            </w:pPr>
            <w:r>
              <w:rPr>
                <w:rFonts w:hint="eastAsia" w:ascii="宋体" w:hAnsi="宋体"/>
                <w:strike/>
                <w:color w:val="auto"/>
                <w:highlight w:val="none"/>
              </w:rPr>
              <w:t>（万元）</w:t>
            </w:r>
          </w:p>
        </w:tc>
        <w:tc>
          <w:tcPr>
            <w:tcW w:w="1418" w:type="dxa"/>
            <w:vAlign w:val="center"/>
          </w:tcPr>
          <w:p>
            <w:pPr>
              <w:jc w:val="center"/>
              <w:rPr>
                <w:rFonts w:ascii="宋体" w:hAnsi="宋体"/>
                <w:strike/>
                <w:color w:val="auto"/>
                <w:szCs w:val="21"/>
                <w:highlight w:val="none"/>
              </w:rPr>
            </w:pPr>
            <w:r>
              <w:rPr>
                <w:rFonts w:hint="eastAsia" w:ascii="宋体" w:hAnsi="宋体"/>
                <w:strike/>
                <w:color w:val="auto"/>
                <w:szCs w:val="21"/>
                <w:highlight w:val="none"/>
              </w:rPr>
              <w:t>完成日期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bl>
    <w:p>
      <w:pPr>
        <w:rPr>
          <w:rFonts w:ascii="宋体" w:hAnsi="宋体"/>
          <w:strike/>
          <w:color w:val="auto"/>
          <w:highlight w:val="none"/>
        </w:rPr>
      </w:pPr>
    </w:p>
    <w:p>
      <w:pPr>
        <w:rPr>
          <w:rFonts w:ascii="宋体" w:hAnsi="宋体"/>
          <w:strike/>
          <w:color w:val="auto"/>
          <w:highlight w:val="none"/>
        </w:rPr>
      </w:pPr>
      <w:r>
        <w:rPr>
          <w:rFonts w:hint="eastAsia" w:ascii="宋体" w:hAnsi="宋体"/>
          <w:strike/>
          <w:color w:val="auto"/>
          <w:highlight w:val="none"/>
        </w:rPr>
        <w:t>申请人（盖章）：</w:t>
      </w:r>
      <w:r>
        <w:rPr>
          <w:rFonts w:ascii="宋体" w:hAnsi="宋体"/>
          <w:strike/>
          <w:color w:val="auto"/>
          <w:highlight w:val="none"/>
        </w:rPr>
        <w:t xml:space="preserve">                                                                                    </w:t>
      </w:r>
      <w:r>
        <w:rPr>
          <w:rFonts w:hint="eastAsia" w:ascii="宋体" w:hAnsi="宋体"/>
          <w:strike/>
          <w:color w:val="auto"/>
          <w:highlight w:val="none"/>
        </w:rPr>
        <w:t>申请日期：</w:t>
      </w:r>
      <w:r>
        <w:rPr>
          <w:rFonts w:ascii="宋体" w:hAnsi="宋体"/>
          <w:strike/>
          <w:color w:val="auto"/>
          <w:highlight w:val="none"/>
        </w:rPr>
        <w:t xml:space="preserve">       </w:t>
      </w:r>
      <w:r>
        <w:rPr>
          <w:rFonts w:hint="eastAsia" w:ascii="宋体" w:hAnsi="宋体"/>
          <w:strike/>
          <w:color w:val="auto"/>
          <w:highlight w:val="none"/>
        </w:rPr>
        <w:t>年</w:t>
      </w:r>
      <w:r>
        <w:rPr>
          <w:rFonts w:ascii="宋体" w:hAnsi="宋体"/>
          <w:strike/>
          <w:color w:val="auto"/>
          <w:highlight w:val="none"/>
        </w:rPr>
        <w:t xml:space="preserve">    </w:t>
      </w:r>
      <w:r>
        <w:rPr>
          <w:rFonts w:hint="eastAsia" w:ascii="宋体" w:hAnsi="宋体"/>
          <w:strike/>
          <w:color w:val="auto"/>
          <w:highlight w:val="none"/>
        </w:rPr>
        <w:t>月</w:t>
      </w:r>
      <w:r>
        <w:rPr>
          <w:rFonts w:ascii="宋体" w:hAnsi="宋体"/>
          <w:strike/>
          <w:color w:val="auto"/>
          <w:highlight w:val="none"/>
        </w:rPr>
        <w:t xml:space="preserve">    </w:t>
      </w:r>
      <w:r>
        <w:rPr>
          <w:rFonts w:hint="eastAsia" w:ascii="宋体" w:hAnsi="宋体"/>
          <w:strike/>
          <w:color w:val="auto"/>
          <w:highlight w:val="none"/>
        </w:rPr>
        <w:t>日</w:t>
      </w:r>
    </w:p>
    <w:p>
      <w:pPr>
        <w:rPr>
          <w:rFonts w:ascii="宋体" w:hAnsi="宋体"/>
          <w:color w:val="auto"/>
          <w:szCs w:val="21"/>
          <w:highlight w:val="none"/>
        </w:rPr>
      </w:pPr>
    </w:p>
    <w:p>
      <w:pPr>
        <w:rPr>
          <w:rFonts w:ascii="宋体" w:hAnsi="宋体"/>
          <w:color w:val="auto"/>
          <w:szCs w:val="21"/>
          <w:highlight w:val="none"/>
        </w:rPr>
      </w:pPr>
    </w:p>
    <w:p>
      <w:pPr>
        <w:rPr>
          <w:rFonts w:ascii="宋体" w:hAnsi="宋体"/>
          <w:b/>
          <w:bCs/>
          <w:color w:val="auto"/>
          <w:sz w:val="24"/>
          <w:highlight w:val="none"/>
        </w:rPr>
      </w:pPr>
    </w:p>
    <w:p>
      <w:pPr>
        <w:rPr>
          <w:rFonts w:ascii="宋体" w:hAnsi="宋体"/>
          <w:strike/>
          <w:color w:val="auto"/>
          <w:highlight w:val="none"/>
        </w:rPr>
      </w:pPr>
    </w:p>
    <w:p>
      <w:pPr>
        <w:outlineLvl w:val="1"/>
        <w:rPr>
          <w:rFonts w:ascii="宋体" w:hAnsi="宋体"/>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附录3</w:t>
      </w:r>
    </w:p>
    <w:p>
      <w:pPr>
        <w:jc w:val="center"/>
        <w:rPr>
          <w:rFonts w:ascii="宋体" w:hAnsi="宋体"/>
          <w:b/>
          <w:color w:val="auto"/>
          <w:sz w:val="36"/>
          <w:szCs w:val="36"/>
          <w:highlight w:val="none"/>
        </w:rPr>
      </w:pPr>
      <w:bookmarkStart w:id="10" w:name="投标申请表（关键人员配备）"/>
      <w:r>
        <w:rPr>
          <w:rFonts w:hint="eastAsia" w:ascii="宋体" w:hAnsi="宋体"/>
          <w:b/>
          <w:color w:val="auto"/>
          <w:sz w:val="36"/>
          <w:szCs w:val="36"/>
          <w:highlight w:val="none"/>
        </w:rPr>
        <w:t>投标申请表（关键人员配备）</w:t>
      </w:r>
    </w:p>
    <w:bookmarkEnd w:id="10"/>
    <w:tbl>
      <w:tblPr>
        <w:tblStyle w:val="29"/>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080" w:type="dxa"/>
            <w:vAlign w:val="center"/>
          </w:tcPr>
          <w:p>
            <w:pPr>
              <w:jc w:val="center"/>
              <w:rPr>
                <w:rFonts w:ascii="宋体" w:hAnsi="宋体"/>
                <w:color w:val="auto"/>
                <w:highlight w:val="none"/>
              </w:rPr>
            </w:pPr>
            <w:r>
              <w:rPr>
                <w:rFonts w:hint="eastAsia" w:ascii="宋体" w:hAnsi="宋体"/>
                <w:color w:val="auto"/>
                <w:highlight w:val="none"/>
              </w:rPr>
              <w:t>姓名</w:t>
            </w:r>
          </w:p>
        </w:tc>
        <w:tc>
          <w:tcPr>
            <w:tcW w:w="1800" w:type="dxa"/>
            <w:vAlign w:val="center"/>
          </w:tcPr>
          <w:p>
            <w:pPr>
              <w:jc w:val="center"/>
              <w:rPr>
                <w:rFonts w:ascii="宋体" w:hAnsi="宋体"/>
                <w:color w:val="auto"/>
                <w:highlight w:val="none"/>
              </w:rPr>
            </w:pPr>
            <w:r>
              <w:rPr>
                <w:rFonts w:hint="eastAsia" w:ascii="宋体" w:hAnsi="宋体"/>
                <w:color w:val="auto"/>
                <w:highlight w:val="none"/>
              </w:rPr>
              <w:t>专业分工</w:t>
            </w:r>
          </w:p>
        </w:tc>
        <w:tc>
          <w:tcPr>
            <w:tcW w:w="1800" w:type="dxa"/>
            <w:vAlign w:val="center"/>
          </w:tcPr>
          <w:p>
            <w:pPr>
              <w:jc w:val="center"/>
              <w:rPr>
                <w:rFonts w:ascii="宋体" w:hAnsi="宋体"/>
                <w:color w:val="auto"/>
                <w:highlight w:val="none"/>
              </w:rPr>
            </w:pPr>
            <w:r>
              <w:rPr>
                <w:rFonts w:hint="eastAsia" w:ascii="宋体" w:hAnsi="宋体"/>
                <w:color w:val="auto"/>
                <w:highlight w:val="none"/>
              </w:rPr>
              <w:t>职务</w:t>
            </w:r>
          </w:p>
        </w:tc>
        <w:tc>
          <w:tcPr>
            <w:tcW w:w="2160" w:type="dxa"/>
            <w:vAlign w:val="center"/>
          </w:tcPr>
          <w:p>
            <w:pPr>
              <w:jc w:val="center"/>
              <w:rPr>
                <w:rFonts w:ascii="宋体" w:hAnsi="宋体"/>
                <w:color w:val="auto"/>
                <w:highlight w:val="none"/>
              </w:rPr>
            </w:pPr>
            <w:r>
              <w:rPr>
                <w:rFonts w:hint="eastAsia" w:ascii="宋体" w:hAnsi="宋体"/>
                <w:color w:val="auto"/>
                <w:highlight w:val="none"/>
              </w:rPr>
              <w:t>专业职称</w:t>
            </w:r>
          </w:p>
        </w:tc>
        <w:tc>
          <w:tcPr>
            <w:tcW w:w="1800" w:type="dxa"/>
            <w:vAlign w:val="center"/>
          </w:tcPr>
          <w:p>
            <w:pPr>
              <w:jc w:val="center"/>
              <w:rPr>
                <w:rFonts w:hAnsi="宋体"/>
                <w:color w:val="auto"/>
                <w:highlight w:val="none"/>
              </w:rPr>
            </w:pPr>
            <w:r>
              <w:rPr>
                <w:rFonts w:hint="eastAsia" w:ascii="宋体" w:hAnsi="宋体"/>
                <w:color w:val="auto"/>
                <w:highlight w:val="none"/>
              </w:rPr>
              <w:t>工龄（年）</w:t>
            </w:r>
          </w:p>
        </w:tc>
        <w:tc>
          <w:tcPr>
            <w:tcW w:w="4320" w:type="dxa"/>
            <w:vAlign w:val="center"/>
          </w:tcPr>
          <w:p>
            <w:pPr>
              <w:jc w:val="center"/>
              <w:rPr>
                <w:rFonts w:ascii="宋体" w:hAnsi="宋体"/>
                <w:color w:val="auto"/>
                <w:highlight w:val="none"/>
              </w:rPr>
            </w:pPr>
            <w:r>
              <w:rPr>
                <w:rFonts w:hint="eastAsia" w:hAnsi="宋体"/>
                <w:color w:val="auto"/>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auto"/>
                <w:szCs w:val="21"/>
                <w:highlight w:val="none"/>
              </w:rPr>
            </w:pPr>
          </w:p>
        </w:tc>
        <w:tc>
          <w:tcPr>
            <w:tcW w:w="1080" w:type="dxa"/>
            <w:vAlign w:val="center"/>
          </w:tcPr>
          <w:p>
            <w:pPr>
              <w:jc w:val="center"/>
              <w:rPr>
                <w:rFonts w:ascii="宋体" w:hAnsi="宋体"/>
                <w:color w:val="auto"/>
                <w:szCs w:val="21"/>
                <w:highlight w:val="none"/>
              </w:rPr>
            </w:pPr>
          </w:p>
        </w:tc>
        <w:tc>
          <w:tcPr>
            <w:tcW w:w="1800" w:type="dxa"/>
            <w:vAlign w:val="center"/>
          </w:tcPr>
          <w:p>
            <w:pPr>
              <w:jc w:val="center"/>
              <w:rPr>
                <w:rFonts w:ascii="宋体" w:hAnsi="宋体"/>
                <w:color w:val="auto"/>
                <w:highlight w:val="none"/>
              </w:rPr>
            </w:pPr>
            <w:r>
              <w:rPr>
                <w:rFonts w:hint="eastAsia" w:ascii="宋体" w:hAnsi="宋体"/>
                <w:color w:val="auto"/>
                <w:highlight w:val="none"/>
              </w:rPr>
              <w:t>项目负责人</w:t>
            </w:r>
          </w:p>
        </w:tc>
        <w:tc>
          <w:tcPr>
            <w:tcW w:w="1800" w:type="dxa"/>
            <w:vAlign w:val="center"/>
          </w:tcPr>
          <w:p>
            <w:pPr>
              <w:jc w:val="center"/>
              <w:rPr>
                <w:rFonts w:ascii="宋体" w:hAnsi="宋体"/>
                <w:color w:val="auto"/>
                <w:szCs w:val="21"/>
                <w:highlight w:val="none"/>
              </w:rPr>
            </w:pPr>
          </w:p>
        </w:tc>
        <w:tc>
          <w:tcPr>
            <w:tcW w:w="2160" w:type="dxa"/>
            <w:vAlign w:val="center"/>
          </w:tcPr>
          <w:p>
            <w:pPr>
              <w:jc w:val="center"/>
              <w:rPr>
                <w:rFonts w:ascii="宋体" w:hAnsi="宋体"/>
                <w:color w:val="auto"/>
                <w:szCs w:val="21"/>
                <w:highlight w:val="none"/>
              </w:rPr>
            </w:pPr>
          </w:p>
        </w:tc>
        <w:tc>
          <w:tcPr>
            <w:tcW w:w="1800" w:type="dxa"/>
          </w:tcPr>
          <w:p>
            <w:pPr>
              <w:jc w:val="center"/>
              <w:rPr>
                <w:rFonts w:ascii="宋体" w:hAnsi="宋体"/>
                <w:color w:val="auto"/>
                <w:szCs w:val="21"/>
                <w:highlight w:val="none"/>
              </w:rPr>
            </w:pPr>
          </w:p>
        </w:tc>
        <w:tc>
          <w:tcPr>
            <w:tcW w:w="4320" w:type="dxa"/>
            <w:vAlign w:val="center"/>
          </w:tcPr>
          <w:p>
            <w:pPr>
              <w:jc w:val="center"/>
              <w:rPr>
                <w:rFonts w:ascii="宋体" w:hAnsi="宋体"/>
                <w:color w:val="auto"/>
                <w:szCs w:val="21"/>
                <w:highlight w:val="none"/>
              </w:rPr>
            </w:pPr>
          </w:p>
        </w:tc>
      </w:tr>
    </w:tbl>
    <w:p>
      <w:pPr>
        <w:spacing w:line="360" w:lineRule="auto"/>
        <w:rPr>
          <w:rFonts w:hAnsi="宋体"/>
          <w:color w:val="auto"/>
          <w:highlight w:val="none"/>
        </w:rPr>
      </w:pPr>
      <w:r>
        <w:rPr>
          <w:rFonts w:hint="eastAsia" w:hAnsi="宋体"/>
          <w:color w:val="auto"/>
          <w:highlight w:val="none"/>
        </w:rPr>
        <w:t>注：</w:t>
      </w:r>
      <w:r>
        <w:rPr>
          <w:rFonts w:hint="eastAsia" w:hAnsi="宋体"/>
          <w:strike/>
          <w:color w:val="auto"/>
          <w:highlight w:val="none"/>
        </w:rPr>
        <w:t>总负责人和</w:t>
      </w:r>
      <w:r>
        <w:rPr>
          <w:rFonts w:hint="eastAsia" w:hAnsi="宋体"/>
          <w:color w:val="auto"/>
          <w:highlight w:val="none"/>
        </w:rPr>
        <w:t>负责人按本工程的实际需求填写。</w:t>
      </w:r>
    </w:p>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sectPr>
          <w:pgSz w:w="16838" w:h="11906" w:orient="landscape"/>
          <w:pgMar w:top="1418" w:right="1418" w:bottom="1418" w:left="1418" w:header="851" w:footer="992" w:gutter="0"/>
          <w:pgNumType w:fmt="decimal"/>
          <w:cols w:space="720" w:num="1"/>
          <w:docGrid w:linePitch="312" w:charSpace="0"/>
        </w:sectPr>
      </w:pPr>
    </w:p>
    <w:p>
      <w:pPr>
        <w:outlineLvl w:val="1"/>
        <w:rPr>
          <w:rFonts w:ascii="宋体" w:hAnsi="宋体"/>
          <w:strike/>
          <w:color w:val="auto"/>
          <w:sz w:val="24"/>
          <w:highlight w:val="none"/>
        </w:rPr>
      </w:pPr>
      <w:r>
        <w:rPr>
          <w:rFonts w:hint="eastAsia" w:ascii="宋体" w:hAnsi="宋体"/>
          <w:b/>
          <w:bCs/>
          <w:strike/>
          <w:color w:val="auto"/>
          <w:sz w:val="24"/>
          <w:highlight w:val="none"/>
        </w:rPr>
        <w:t>附录</w:t>
      </w:r>
      <w:r>
        <w:rPr>
          <w:rFonts w:ascii="宋体" w:hAnsi="宋体"/>
          <w:b/>
          <w:bCs/>
          <w:strike/>
          <w:color w:val="auto"/>
          <w:sz w:val="24"/>
          <w:highlight w:val="none"/>
        </w:rPr>
        <w:t>4</w:t>
      </w:r>
      <w:r>
        <w:rPr>
          <w:rFonts w:hint="eastAsia" w:ascii="宋体" w:hAnsi="宋体"/>
          <w:strike/>
          <w:color w:val="auto"/>
          <w:sz w:val="24"/>
          <w:highlight w:val="none"/>
        </w:rPr>
        <w:t>（本表送交易服务机构备案）</w:t>
      </w:r>
    </w:p>
    <w:p>
      <w:pPr>
        <w:ind w:left="178" w:leftChars="85"/>
        <w:jc w:val="center"/>
        <w:rPr>
          <w:rFonts w:ascii="宋体" w:hAnsi="宋体"/>
          <w:b/>
          <w:strike/>
          <w:color w:val="auto"/>
          <w:sz w:val="32"/>
          <w:highlight w:val="none"/>
        </w:rPr>
      </w:pPr>
      <w:bookmarkStart w:id="11" w:name="正式投标人名单"/>
      <w:r>
        <w:rPr>
          <w:rFonts w:hint="eastAsia" w:ascii="宋体" w:hAnsi="宋体"/>
          <w:b/>
          <w:strike/>
          <w:color w:val="auto"/>
          <w:sz w:val="32"/>
          <w:highlight w:val="none"/>
        </w:rPr>
        <w:t>正式投标人名单</w:t>
      </w:r>
    </w:p>
    <w:bookmarkEnd w:id="11"/>
    <w:p>
      <w:pPr>
        <w:ind w:left="178" w:leftChars="85"/>
        <w:rPr>
          <w:rFonts w:ascii="宋体" w:hAnsi="宋体"/>
          <w:strike/>
          <w:color w:val="auto"/>
          <w:highlight w:val="none"/>
        </w:rPr>
      </w:pPr>
    </w:p>
    <w:p>
      <w:pPr>
        <w:ind w:left="178" w:leftChars="85"/>
        <w:rPr>
          <w:rFonts w:ascii="宋体" w:hAnsi="宋体"/>
          <w:strike/>
          <w:color w:val="auto"/>
          <w:highlight w:val="none"/>
        </w:rPr>
      </w:pPr>
      <w:r>
        <w:rPr>
          <w:rFonts w:hint="eastAsia" w:ascii="宋体" w:hAnsi="宋体"/>
          <w:strike/>
          <w:color w:val="auto"/>
          <w:highlight w:val="none"/>
        </w:rPr>
        <w:t>招标项目名称：</w:t>
      </w:r>
    </w:p>
    <w:tbl>
      <w:tblPr>
        <w:tblStyle w:val="29"/>
        <w:tblW w:w="92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3600"/>
        <w:gridCol w:w="1440"/>
        <w:gridCol w:w="2160"/>
        <w:gridCol w:w="1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vAlign w:val="center"/>
          </w:tcPr>
          <w:p>
            <w:pPr>
              <w:jc w:val="center"/>
              <w:rPr>
                <w:rFonts w:ascii="宋体" w:hAnsi="宋体"/>
                <w:strike/>
                <w:color w:val="auto"/>
                <w:highlight w:val="none"/>
              </w:rPr>
            </w:pPr>
            <w:r>
              <w:rPr>
                <w:rFonts w:hint="eastAsia" w:ascii="宋体" w:hAnsi="宋体"/>
                <w:strike/>
                <w:color w:val="auto"/>
                <w:highlight w:val="none"/>
              </w:rPr>
              <w:t>序号</w:t>
            </w:r>
          </w:p>
        </w:tc>
        <w:tc>
          <w:tcPr>
            <w:tcW w:w="3600" w:type="dxa"/>
            <w:vAlign w:val="center"/>
          </w:tcPr>
          <w:p>
            <w:pPr>
              <w:jc w:val="center"/>
              <w:rPr>
                <w:rFonts w:ascii="宋体" w:hAnsi="宋体"/>
                <w:strike/>
                <w:color w:val="auto"/>
                <w:highlight w:val="none"/>
              </w:rPr>
            </w:pPr>
            <w:r>
              <w:rPr>
                <w:rFonts w:hint="eastAsia" w:ascii="宋体" w:hAnsi="宋体"/>
                <w:strike/>
                <w:color w:val="auto"/>
                <w:highlight w:val="none"/>
              </w:rPr>
              <w:t>投标人名称</w:t>
            </w:r>
          </w:p>
        </w:tc>
        <w:tc>
          <w:tcPr>
            <w:tcW w:w="1440" w:type="dxa"/>
            <w:vAlign w:val="center"/>
          </w:tcPr>
          <w:p>
            <w:pPr>
              <w:jc w:val="center"/>
              <w:rPr>
                <w:rFonts w:ascii="宋体" w:hAnsi="宋体"/>
                <w:strike/>
                <w:color w:val="auto"/>
                <w:highlight w:val="none"/>
              </w:rPr>
            </w:pPr>
            <w:r>
              <w:rPr>
                <w:rFonts w:hint="eastAsia" w:ascii="宋体" w:hAnsi="宋体"/>
                <w:strike/>
                <w:color w:val="auto"/>
                <w:highlight w:val="none"/>
              </w:rPr>
              <w:t>联络人</w:t>
            </w:r>
          </w:p>
        </w:tc>
        <w:tc>
          <w:tcPr>
            <w:tcW w:w="2160" w:type="dxa"/>
            <w:vAlign w:val="center"/>
          </w:tcPr>
          <w:p>
            <w:pPr>
              <w:jc w:val="center"/>
              <w:rPr>
                <w:rFonts w:ascii="宋体" w:hAnsi="宋体"/>
                <w:strike/>
                <w:color w:val="auto"/>
                <w:highlight w:val="none"/>
              </w:rPr>
            </w:pPr>
            <w:r>
              <w:rPr>
                <w:rFonts w:hint="eastAsia" w:ascii="宋体" w:hAnsi="宋体"/>
                <w:strike/>
                <w:color w:val="auto"/>
                <w:highlight w:val="none"/>
              </w:rPr>
              <w:t>电话号码</w:t>
            </w:r>
          </w:p>
          <w:p>
            <w:pPr>
              <w:jc w:val="center"/>
              <w:rPr>
                <w:rFonts w:ascii="宋体" w:hAnsi="宋体"/>
                <w:strike/>
                <w:color w:val="auto"/>
                <w:highlight w:val="none"/>
              </w:rPr>
            </w:pPr>
            <w:r>
              <w:rPr>
                <w:rFonts w:hint="eastAsia" w:ascii="宋体" w:hAnsi="宋体"/>
                <w:strike/>
                <w:color w:val="auto"/>
                <w:highlight w:val="none"/>
              </w:rPr>
              <w:t>（移动电话）</w:t>
            </w:r>
          </w:p>
        </w:tc>
        <w:tc>
          <w:tcPr>
            <w:tcW w:w="1548" w:type="dxa"/>
            <w:vAlign w:val="center"/>
          </w:tcPr>
          <w:p>
            <w:pPr>
              <w:ind w:left="-106" w:leftChars="-51" w:hanging="1"/>
              <w:jc w:val="center"/>
              <w:rPr>
                <w:rFonts w:ascii="宋体" w:hAnsi="宋体"/>
                <w:strike/>
                <w:color w:val="auto"/>
                <w:highlight w:val="none"/>
              </w:rPr>
            </w:pPr>
            <w:r>
              <w:rPr>
                <w:rFonts w:hint="eastAsia" w:ascii="宋体" w:hAnsi="宋体"/>
                <w:strike/>
                <w:color w:val="auto"/>
                <w:highlight w:val="none"/>
              </w:rPr>
              <w:t>购买招标文件日期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bl>
    <w:p>
      <w:pPr>
        <w:ind w:left="178" w:leftChars="85"/>
        <w:rPr>
          <w:rFonts w:ascii="宋体" w:hAnsi="宋体"/>
          <w:strike/>
          <w:color w:val="auto"/>
          <w:highlight w:val="none"/>
        </w:rPr>
      </w:pPr>
      <w:r>
        <w:rPr>
          <w:rFonts w:hint="eastAsia" w:ascii="宋体" w:hAnsi="宋体"/>
          <w:strike/>
          <w:color w:val="auto"/>
          <w:highlight w:val="none"/>
        </w:rPr>
        <w:t>经办人：</w:t>
      </w:r>
      <w:r>
        <w:rPr>
          <w:rFonts w:ascii="宋体" w:hAnsi="宋体"/>
          <w:strike/>
          <w:color w:val="auto"/>
          <w:highlight w:val="none"/>
        </w:rPr>
        <w:t xml:space="preserve">                  </w:t>
      </w:r>
      <w:r>
        <w:rPr>
          <w:rFonts w:hint="eastAsia" w:ascii="宋体" w:hAnsi="宋体"/>
          <w:strike/>
          <w:color w:val="auto"/>
          <w:highlight w:val="none"/>
        </w:rPr>
        <w:t>电话：</w:t>
      </w:r>
      <w:r>
        <w:rPr>
          <w:rFonts w:ascii="宋体" w:hAnsi="宋体"/>
          <w:strike/>
          <w:color w:val="auto"/>
          <w:highlight w:val="none"/>
        </w:rPr>
        <w:t xml:space="preserve">                      </w:t>
      </w:r>
      <w:r>
        <w:rPr>
          <w:rFonts w:hint="eastAsia" w:ascii="宋体" w:hAnsi="宋体"/>
          <w:strike/>
          <w:color w:val="auto"/>
          <w:highlight w:val="none"/>
        </w:rPr>
        <w:t>日期：</w:t>
      </w:r>
      <w:r>
        <w:rPr>
          <w:rFonts w:ascii="宋体" w:hAnsi="宋体"/>
          <w:strike/>
          <w:color w:val="auto"/>
          <w:highlight w:val="none"/>
        </w:rPr>
        <w:t xml:space="preserve">       </w:t>
      </w:r>
      <w:r>
        <w:rPr>
          <w:rFonts w:hint="eastAsia" w:ascii="宋体" w:hAnsi="宋体"/>
          <w:strike/>
          <w:color w:val="auto"/>
          <w:highlight w:val="none"/>
        </w:rPr>
        <w:t>年</w:t>
      </w:r>
      <w:r>
        <w:rPr>
          <w:rFonts w:ascii="宋体" w:hAnsi="宋体"/>
          <w:strike/>
          <w:color w:val="auto"/>
          <w:highlight w:val="none"/>
        </w:rPr>
        <w:t xml:space="preserve">   </w:t>
      </w:r>
      <w:r>
        <w:rPr>
          <w:rFonts w:hint="eastAsia" w:ascii="宋体" w:hAnsi="宋体"/>
          <w:strike/>
          <w:color w:val="auto"/>
          <w:highlight w:val="none"/>
        </w:rPr>
        <w:t>月</w:t>
      </w:r>
      <w:r>
        <w:rPr>
          <w:rFonts w:ascii="宋体" w:hAnsi="宋体"/>
          <w:strike/>
          <w:color w:val="auto"/>
          <w:highlight w:val="none"/>
        </w:rPr>
        <w:t xml:space="preserve">   </w:t>
      </w:r>
      <w:r>
        <w:rPr>
          <w:rFonts w:hint="eastAsia" w:ascii="宋体" w:hAnsi="宋体"/>
          <w:strike/>
          <w:color w:val="auto"/>
          <w:highlight w:val="none"/>
        </w:rPr>
        <w:t>日</w:t>
      </w:r>
    </w:p>
    <w:p>
      <w:pPr>
        <w:ind w:left="178" w:leftChars="85"/>
        <w:rPr>
          <w:rFonts w:ascii="宋体" w:hAnsi="宋体"/>
          <w:color w:val="auto"/>
          <w:highlight w:val="none"/>
        </w:rPr>
        <w:sectPr>
          <w:pgSz w:w="11906" w:h="16838"/>
          <w:pgMar w:top="1418" w:right="1418" w:bottom="1418" w:left="1418" w:header="851" w:footer="992" w:gutter="0"/>
          <w:pgNumType w:fmt="decimal"/>
          <w:cols w:space="720" w:num="1"/>
          <w:docGrid w:linePitch="312" w:charSpace="0"/>
        </w:sectPr>
      </w:pPr>
    </w:p>
    <w:p>
      <w:pPr>
        <w:jc w:val="left"/>
        <w:rPr>
          <w:rFonts w:hint="eastAsia" w:asciiTheme="minorEastAsia" w:hAnsiTheme="minorEastAsia" w:eastAsiaTheme="minorEastAsia" w:cstheme="minorEastAsia"/>
          <w:b/>
          <w:bCs/>
          <w:color w:val="auto"/>
          <w:sz w:val="24"/>
          <w:szCs w:val="24"/>
          <w:highlight w:val="none"/>
        </w:rPr>
      </w:pPr>
      <w:r>
        <w:rPr>
          <w:rFonts w:hint="eastAsia" w:ascii="宋体" w:hAnsi="宋体"/>
          <w:b/>
          <w:color w:val="auto"/>
          <w:sz w:val="24"/>
          <w:highlight w:val="none"/>
        </w:rPr>
        <w:t>附录</w:t>
      </w:r>
      <w:r>
        <w:rPr>
          <w:rFonts w:ascii="宋体" w:hAnsi="宋体"/>
          <w:b/>
          <w:color w:val="auto"/>
          <w:sz w:val="24"/>
          <w:highlight w:val="none"/>
        </w:rPr>
        <w:t>5</w:t>
      </w:r>
    </w:p>
    <w:p>
      <w:pPr>
        <w:pStyle w:val="2"/>
        <w:jc w:val="center"/>
        <w:rPr>
          <w:rFonts w:hint="eastAsia" w:asciiTheme="minorEastAsia" w:hAnsiTheme="minorEastAsia" w:eastAsiaTheme="minorEastAsia" w:cstheme="minorEastAsia"/>
          <w:b/>
          <w:bCs/>
          <w:color w:val="auto"/>
          <w:kern w:val="2"/>
          <w:sz w:val="24"/>
          <w:highlight w:val="none"/>
        </w:rPr>
      </w:pPr>
      <w:r>
        <w:rPr>
          <w:rFonts w:hint="eastAsia" w:asciiTheme="minorEastAsia" w:hAnsiTheme="minorEastAsia" w:eastAsiaTheme="minorEastAsia" w:cstheme="minorEastAsia"/>
          <w:b/>
          <w:bCs/>
          <w:color w:val="auto"/>
          <w:kern w:val="2"/>
          <w:sz w:val="24"/>
          <w:highlight w:val="none"/>
          <w:lang w:bidi="ar-SA"/>
        </w:rPr>
        <w:t>勘察设计费报价汇总表（表1）</w:t>
      </w:r>
    </w:p>
    <w:tbl>
      <w:tblPr>
        <w:tblStyle w:val="29"/>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4724"/>
        <w:gridCol w:w="1701"/>
        <w:gridCol w:w="992"/>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序号</w:t>
            </w:r>
          </w:p>
        </w:tc>
        <w:tc>
          <w:tcPr>
            <w:tcW w:w="47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报价（元）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下浮率</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lang w:bidi="ar"/>
              </w:rPr>
            </w:pPr>
            <w:r>
              <w:rPr>
                <w:rFonts w:hint="eastAsia" w:asciiTheme="minorEastAsia" w:hAnsiTheme="minorEastAsia" w:eastAsiaTheme="minorEastAsia" w:cstheme="minorEastAsia"/>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r>
              <w:rPr>
                <w:rFonts w:hint="eastAsia" w:asciiTheme="minorEastAsia" w:hAnsiTheme="minorEastAsia" w:eastAsiaTheme="minorEastAsia" w:cstheme="minorEastAsia"/>
                <w:b/>
                <w:color w:val="auto"/>
                <w:sz w:val="24"/>
                <w:szCs w:val="24"/>
                <w:highlight w:val="none"/>
                <w:lang w:bidi="ar"/>
              </w:rPr>
              <w:t>一</w:t>
            </w:r>
          </w:p>
        </w:tc>
        <w:tc>
          <w:tcPr>
            <w:tcW w:w="47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rPr>
              <w:t>工程设计费</w:t>
            </w:r>
            <w:r>
              <w:rPr>
                <w:rFonts w:hint="eastAsia" w:asciiTheme="minorEastAsia" w:hAnsiTheme="minorEastAsia" w:eastAsiaTheme="minorEastAsia" w:cstheme="minorEastAsia"/>
                <w:color w:val="auto"/>
                <w:sz w:val="24"/>
                <w:szCs w:val="24"/>
                <w:highlight w:val="none"/>
                <w:lang w:bidi="ar"/>
              </w:rPr>
              <w:t>合计</w:t>
            </w:r>
            <w:r>
              <w:rPr>
                <w:rFonts w:hint="eastAsia" w:asciiTheme="minorEastAsia" w:hAnsiTheme="minorEastAsia" w:eastAsiaTheme="minorEastAsia" w:cstheme="minorEastAsia"/>
                <w:color w:val="auto"/>
                <w:sz w:val="24"/>
                <w:szCs w:val="24"/>
                <w:highlight w:val="none"/>
                <w:lang w:eastAsia="zh-CN" w:bidi="ar"/>
              </w:rPr>
              <w:t>（１＋２＋３）</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472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highlight w:val="none"/>
                <w:u w:val="none"/>
                <w:lang w:bidi="ar"/>
              </w:rPr>
              <w:t>基本设计费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w:t>
            </w:r>
          </w:p>
        </w:tc>
        <w:tc>
          <w:tcPr>
            <w:tcW w:w="472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i w:val="0"/>
                <w:color w:val="auto"/>
                <w:kern w:val="2"/>
                <w:sz w:val="24"/>
                <w:szCs w:val="24"/>
                <w:highlight w:val="none"/>
                <w:u w:val="none"/>
                <w:lang w:val="en-US" w:eastAsia="zh-CN" w:bidi="ar"/>
              </w:rPr>
              <w:t>预算编制费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w:t>
            </w:r>
          </w:p>
        </w:tc>
        <w:tc>
          <w:tcPr>
            <w:tcW w:w="472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i w:val="0"/>
                <w:color w:val="auto"/>
                <w:kern w:val="2"/>
                <w:sz w:val="24"/>
                <w:szCs w:val="24"/>
                <w:highlight w:val="none"/>
                <w:u w:val="none"/>
                <w:lang w:val="en-US" w:eastAsia="zh-CN" w:bidi="ar"/>
              </w:rPr>
              <w:t>竣工图编制费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二</w:t>
            </w:r>
          </w:p>
        </w:tc>
        <w:tc>
          <w:tcPr>
            <w:tcW w:w="4724" w:type="dxa"/>
            <w:tcBorders>
              <w:top w:val="single" w:color="auto" w:sz="4" w:space="0"/>
              <w:left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工程勘察费</w:t>
            </w:r>
            <w:r>
              <w:rPr>
                <w:rFonts w:hint="eastAsia" w:asciiTheme="minorEastAsia" w:hAnsiTheme="minorEastAsia" w:eastAsiaTheme="minorEastAsia" w:cstheme="minorEastAsia"/>
                <w:color w:val="auto"/>
                <w:sz w:val="24"/>
                <w:szCs w:val="24"/>
                <w:highlight w:val="none"/>
                <w:lang w:bidi="ar"/>
              </w:rPr>
              <w:t>合计</w:t>
            </w:r>
            <w:r>
              <w:rPr>
                <w:rFonts w:hint="eastAsia" w:asciiTheme="minorEastAsia" w:hAnsiTheme="minorEastAsia" w:eastAsiaTheme="minorEastAsia" w:cstheme="minorEastAsia"/>
                <w:color w:val="auto"/>
                <w:sz w:val="24"/>
                <w:szCs w:val="24"/>
                <w:highlight w:val="none"/>
                <w:lang w:eastAsia="zh-CN" w:bidi="ar"/>
              </w:rPr>
              <w:t>（１＋２）</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w:t>
            </w:r>
          </w:p>
        </w:tc>
        <w:tc>
          <w:tcPr>
            <w:tcW w:w="4724"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vertAlign w:val="baseline"/>
                <w:lang w:eastAsia="zh-CN"/>
              </w:rPr>
              <w:t>测量费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w:t>
            </w:r>
          </w:p>
        </w:tc>
        <w:tc>
          <w:tcPr>
            <w:tcW w:w="4724"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地下管线探测费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bidi="ar"/>
              </w:rPr>
              <w:t>三</w:t>
            </w:r>
          </w:p>
        </w:tc>
        <w:tc>
          <w:tcPr>
            <w:tcW w:w="47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勘察设计费合计（一+二）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bl>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注释：</w:t>
      </w:r>
      <w:r>
        <w:rPr>
          <w:rFonts w:hint="eastAsia" w:asciiTheme="minorEastAsia" w:hAnsiTheme="minorEastAsia" w:eastAsiaTheme="minorEastAsia" w:cstheme="minorEastAsia"/>
          <w:color w:val="auto"/>
          <w:kern w:val="0"/>
          <w:sz w:val="24"/>
          <w:szCs w:val="24"/>
          <w:highlight w:val="none"/>
          <w:lang w:val="en-US" w:eastAsia="zh-CN" w:bidi="ar"/>
        </w:rPr>
        <w:t>1.本项目勘察设计费最高投标限价为163.7858万元，其中：工程勘察费最高投标限价为32.2822万元，工程设计费最高投标限价为131.5036万元。</w:t>
      </w:r>
      <w:r>
        <w:rPr>
          <w:rFonts w:hint="eastAsia" w:asciiTheme="minorEastAsia" w:hAnsiTheme="minorEastAsia" w:eastAsiaTheme="minorEastAsia" w:cstheme="minorEastAsia"/>
          <w:color w:val="auto"/>
          <w:sz w:val="24"/>
          <w:szCs w:val="24"/>
          <w:highlight w:val="none"/>
        </w:rPr>
        <w:t>投标人根据《勘察设计费报价表》的要求进行报价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报价应不高于</w:t>
      </w:r>
      <w:r>
        <w:rPr>
          <w:rFonts w:hint="eastAsia" w:asciiTheme="minorEastAsia" w:hAnsiTheme="minorEastAsia" w:eastAsiaTheme="minorEastAsia" w:cstheme="minorEastAsia"/>
          <w:color w:val="auto"/>
          <w:kern w:val="0"/>
          <w:sz w:val="24"/>
          <w:szCs w:val="24"/>
          <w:highlight w:val="none"/>
          <w:lang w:val="en-US" w:eastAsia="zh-CN" w:bidi="ar"/>
        </w:rPr>
        <w:t>工程勘察费、工程设计费</w:t>
      </w:r>
      <w:r>
        <w:rPr>
          <w:rFonts w:hint="eastAsia" w:asciiTheme="minorEastAsia" w:hAnsiTheme="minorEastAsia" w:eastAsiaTheme="minorEastAsia" w:cstheme="minorEastAsia"/>
          <w:color w:val="auto"/>
          <w:sz w:val="24"/>
          <w:szCs w:val="24"/>
          <w:highlight w:val="none"/>
        </w:rPr>
        <w:t>各项限价</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kern w:val="0"/>
          <w:sz w:val="24"/>
          <w:szCs w:val="24"/>
          <w:highlight w:val="none"/>
          <w:lang w:val="en-US" w:eastAsia="zh-CN" w:bidi="ar"/>
        </w:rPr>
        <w:t>勘察设计费最高投标限价</w:t>
      </w:r>
      <w:r>
        <w:rPr>
          <w:rFonts w:hint="eastAsia" w:asciiTheme="minorEastAsia" w:hAnsiTheme="minorEastAsia" w:eastAsiaTheme="minorEastAsia" w:cstheme="minorEastAsia"/>
          <w:color w:val="auto"/>
          <w:sz w:val="24"/>
          <w:szCs w:val="24"/>
          <w:highlight w:val="none"/>
        </w:rPr>
        <w:t>。</w:t>
      </w:r>
    </w:p>
    <w:p>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highlight w:val="none"/>
        </w:rPr>
        <w:t>单价控制价见计费表</w:t>
      </w:r>
      <w:r>
        <w:rPr>
          <w:rFonts w:hint="eastAsia" w:asciiTheme="minorEastAsia" w:hAnsiTheme="minorEastAsia" w:eastAsiaTheme="minorEastAsia" w:cstheme="minorEastAsia"/>
          <w:color w:val="auto"/>
          <w:sz w:val="24"/>
          <w:highlight w:val="none"/>
          <w:lang w:val="en-US" w:eastAsia="zh-CN"/>
        </w:rPr>
        <w:t>2、3、3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。本项目设置最高投标限价及</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限价，投标总价超过</w:t>
      </w:r>
      <w:r>
        <w:rPr>
          <w:rFonts w:hint="eastAsia" w:asciiTheme="minorEastAsia" w:hAnsiTheme="minorEastAsia" w:eastAsiaTheme="minorEastAsia" w:cstheme="minorEastAsia"/>
          <w:color w:val="auto"/>
          <w:sz w:val="24"/>
          <w:highlight w:val="none"/>
          <w:lang w:eastAsia="zh-CN"/>
        </w:rPr>
        <w:t>最高投标限价</w:t>
      </w:r>
      <w:r>
        <w:rPr>
          <w:rFonts w:hint="eastAsia" w:asciiTheme="minorEastAsia" w:hAnsiTheme="minorEastAsia" w:eastAsiaTheme="minorEastAsia" w:cstheme="minorEastAsia"/>
          <w:color w:val="auto"/>
          <w:sz w:val="24"/>
          <w:highlight w:val="none"/>
        </w:rPr>
        <w:t>或投标报价中的</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超过相应的</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限价时，投标文件将做废标处理。</w:t>
      </w:r>
    </w:p>
    <w:p>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highlight w:val="none"/>
        </w:rPr>
        <w:t>若投标人的投标报价计算错误，</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有权作出修正，若修正后价格超过招标控制价时，投标文件将做废标处理。</w:t>
      </w:r>
    </w:p>
    <w:p>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highlight w:val="none"/>
        </w:rPr>
        <w:t>按上述修正错误的原则及方法调整或修正投标文件的投标报价，调整后的投标报价对投标人起约束作用。如果投标人不接受修正后的报价，则取消其投标资格，并且其投标担保也将被没收。</w:t>
      </w:r>
    </w:p>
    <w:p>
      <w:pPr>
        <w:ind w:firstLine="720" w:firstLineChars="300"/>
        <w:rPr>
          <w:rFonts w:hint="eastAsia" w:asciiTheme="minorEastAsia" w:hAnsiTheme="minorEastAsia" w:eastAsiaTheme="minorEastAsia" w:cstheme="minorEastAsia"/>
          <w:b/>
          <w:color w:val="auto"/>
          <w:sz w:val="24"/>
          <w:highlight w:val="none"/>
        </w:rPr>
        <w:sectPr>
          <w:footerReference r:id="rId13" w:type="default"/>
          <w:pgSz w:w="11906" w:h="16838"/>
          <w:pgMar w:top="1418" w:right="1418" w:bottom="1418" w:left="1418" w:header="851" w:footer="992" w:gutter="0"/>
          <w:pgNumType w:fmt="decimal"/>
          <w:cols w:space="720" w:num="1"/>
          <w:docGrid w:linePitch="312" w:charSpace="0"/>
        </w:sect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bidi="ar"/>
        </w:rPr>
        <w:t>下浮率=（限价-</w:t>
      </w:r>
      <w:r>
        <w:rPr>
          <w:rFonts w:hint="eastAsia" w:asciiTheme="minorEastAsia" w:hAnsiTheme="minorEastAsia" w:eastAsiaTheme="minorEastAsia" w:cstheme="minorEastAsia"/>
          <w:color w:val="auto"/>
          <w:kern w:val="0"/>
          <w:sz w:val="24"/>
          <w:szCs w:val="24"/>
          <w:highlight w:val="none"/>
        </w:rPr>
        <w:t>投标报价</w:t>
      </w:r>
      <w:r>
        <w:rPr>
          <w:rFonts w:hint="eastAsia" w:asciiTheme="minorEastAsia" w:hAnsiTheme="minorEastAsia" w:eastAsiaTheme="minorEastAsia" w:cstheme="minorEastAsia"/>
          <w:color w:val="auto"/>
          <w:kern w:val="0"/>
          <w:sz w:val="24"/>
          <w:szCs w:val="24"/>
          <w:highlight w:val="none"/>
          <w:lang w:bidi="ar"/>
        </w:rPr>
        <w:t>）/限价*100%，保留2位小数。</w:t>
      </w:r>
    </w:p>
    <w:p>
      <w:pPr>
        <w:pStyle w:val="2"/>
        <w:ind w:left="0" w:leftChars="0" w:firstLine="0" w:firstLineChars="0"/>
        <w:jc w:val="both"/>
        <w:rPr>
          <w:rFonts w:hint="eastAsia" w:asciiTheme="minorEastAsia" w:hAnsiTheme="minorEastAsia" w:eastAsiaTheme="minorEastAsia" w:cstheme="minorEastAsia"/>
          <w:i w:val="0"/>
          <w:color w:val="auto"/>
          <w:kern w:val="0"/>
          <w:sz w:val="24"/>
          <w:szCs w:val="24"/>
          <w:highlight w:val="none"/>
          <w:u w:val="none"/>
          <w:lang w:val="en-US" w:eastAsia="zh-CN" w:bidi="ar"/>
        </w:rPr>
      </w:pPr>
    </w:p>
    <w:p>
      <w:pPr>
        <w:pStyle w:val="2"/>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工程设计费</w:t>
      </w:r>
      <w:r>
        <w:rPr>
          <w:rFonts w:hint="eastAsia" w:asciiTheme="minorEastAsia" w:hAnsiTheme="minorEastAsia" w:eastAsiaTheme="minorEastAsia" w:cstheme="minorEastAsia"/>
          <w:b/>
          <w:bCs/>
          <w:color w:val="auto"/>
          <w:kern w:val="2"/>
          <w:sz w:val="24"/>
          <w:szCs w:val="24"/>
          <w:highlight w:val="none"/>
          <w:lang w:val="en-US" w:eastAsia="zh-CN" w:bidi="ar-SA"/>
        </w:rPr>
        <w:t>报价表（表2）</w:t>
      </w:r>
    </w:p>
    <w:tbl>
      <w:tblPr>
        <w:tblStyle w:val="30"/>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189"/>
        <w:gridCol w:w="2224"/>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序号</w:t>
            </w:r>
          </w:p>
        </w:tc>
        <w:tc>
          <w:tcPr>
            <w:tcW w:w="2189"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项目</w:t>
            </w:r>
          </w:p>
        </w:tc>
        <w:tc>
          <w:tcPr>
            <w:tcW w:w="2224"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报价（元）</w:t>
            </w:r>
          </w:p>
        </w:tc>
        <w:tc>
          <w:tcPr>
            <w:tcW w:w="3200"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1</w:t>
            </w:r>
          </w:p>
        </w:tc>
        <w:tc>
          <w:tcPr>
            <w:tcW w:w="218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highlight w:val="none"/>
                <w:vertAlign w:val="baseline"/>
                <w:lang w:val="en-US" w:eastAsia="zh-CN"/>
              </w:rPr>
            </w:pPr>
            <w:r>
              <w:rPr>
                <w:rFonts w:hint="eastAsia" w:asciiTheme="minorEastAsia" w:hAnsiTheme="minorEastAsia" w:eastAsiaTheme="minorEastAsia" w:cstheme="minorEastAsia"/>
                <w:color w:val="auto"/>
                <w:kern w:val="0"/>
                <w:sz w:val="24"/>
                <w:highlight w:val="none"/>
                <w:vertAlign w:val="baseline"/>
                <w:lang w:val="en-US" w:eastAsia="zh-CN"/>
              </w:rPr>
              <w:t>基本设计费</w:t>
            </w:r>
          </w:p>
        </w:tc>
        <w:tc>
          <w:tcPr>
            <w:tcW w:w="2224" w:type="dxa"/>
            <w:noWrap w:val="0"/>
            <w:vAlign w:val="center"/>
          </w:tcPr>
          <w:p>
            <w:pPr>
              <w:pStyle w:val="2"/>
              <w:keepNext w:val="0"/>
              <w:keepLines w:val="0"/>
              <w:suppressLineNumbers w:val="0"/>
              <w:spacing w:beforeAutospacing="0" w:after="0" w:afterAutospacing="0"/>
              <w:ind w:left="0" w:leftChars="0" w:right="0" w:firstLine="0" w:firstLineChars="0"/>
              <w:jc w:val="center"/>
              <w:rPr>
                <w:rFonts w:hint="eastAsia" w:asciiTheme="minorEastAsia" w:hAnsiTheme="minorEastAsia" w:eastAsiaTheme="minorEastAsia" w:cstheme="minorEastAsia"/>
                <w:b w:val="0"/>
                <w:color w:val="auto"/>
                <w:highlight w:val="none"/>
                <w:vertAlign w:val="baseline"/>
                <w:lang w:val="en-US" w:eastAsia="zh-CN"/>
              </w:rPr>
            </w:pPr>
          </w:p>
        </w:tc>
        <w:tc>
          <w:tcPr>
            <w:tcW w:w="3200" w:type="dxa"/>
            <w:noWrap w:val="0"/>
            <w:vAlign w:val="center"/>
          </w:tcPr>
          <w:p>
            <w:pPr>
              <w:pStyle w:val="2"/>
              <w:keepNext w:val="0"/>
              <w:keepLines w:val="0"/>
              <w:suppressLineNumbers w:val="0"/>
              <w:spacing w:beforeAutospacing="0" w:after="0" w:afterAutospacing="0"/>
              <w:ind w:left="0" w:leftChars="0" w:right="0" w:firstLine="0" w:firstLineChars="0"/>
              <w:jc w:val="center"/>
              <w:rPr>
                <w:rFonts w:hint="eastAsia" w:asciiTheme="minorEastAsia" w:hAnsiTheme="minorEastAsia" w:eastAsiaTheme="minorEastAsia" w:cstheme="minorEastAsia"/>
                <w:b w:val="0"/>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2</w:t>
            </w:r>
          </w:p>
        </w:tc>
        <w:tc>
          <w:tcPr>
            <w:tcW w:w="218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highlight w:val="none"/>
                <w:vertAlign w:val="baseline"/>
                <w:lang w:val="en-US" w:eastAsia="zh-CN"/>
              </w:rPr>
            </w:pPr>
            <w:r>
              <w:rPr>
                <w:rFonts w:hint="default" w:asciiTheme="minorEastAsia" w:hAnsiTheme="minorEastAsia" w:eastAsiaTheme="minorEastAsia" w:cstheme="minorEastAsia"/>
                <w:i w:val="0"/>
                <w:color w:val="auto"/>
                <w:kern w:val="0"/>
                <w:sz w:val="24"/>
                <w:szCs w:val="24"/>
                <w:highlight w:val="none"/>
                <w:u w:val="none"/>
                <w:lang w:val="en-US" w:eastAsia="zh-CN" w:bidi="ar-SA"/>
              </w:rPr>
              <w:t>预算编制费</w:t>
            </w:r>
          </w:p>
        </w:tc>
        <w:tc>
          <w:tcPr>
            <w:tcW w:w="2224" w:type="dxa"/>
            <w:noWrap w:val="0"/>
            <w:vAlign w:val="center"/>
          </w:tcPr>
          <w:p>
            <w:pPr>
              <w:pStyle w:val="2"/>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i w:val="0"/>
                <w:color w:val="auto"/>
                <w:kern w:val="0"/>
                <w:sz w:val="24"/>
                <w:szCs w:val="24"/>
                <w:highlight w:val="none"/>
                <w:u w:val="none"/>
                <w:lang w:val="en-US" w:eastAsia="zh-CN" w:bidi="ar-SA"/>
              </w:rPr>
            </w:pPr>
          </w:p>
        </w:tc>
        <w:tc>
          <w:tcPr>
            <w:tcW w:w="3200" w:type="dxa"/>
            <w:noWrap w:val="0"/>
            <w:vAlign w:val="center"/>
          </w:tcPr>
          <w:p>
            <w:pPr>
              <w:pStyle w:val="2"/>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i w:val="0"/>
                <w:color w:val="auto"/>
                <w:kern w:val="0"/>
                <w:sz w:val="24"/>
                <w:szCs w:val="24"/>
                <w:highlight w:val="none"/>
                <w:u w:val="none"/>
                <w:lang w:val="en-US" w:eastAsia="zh-CN" w:bidi="ar-SA"/>
              </w:rPr>
            </w:pP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按</w:t>
            </w:r>
            <w:r>
              <w:rPr>
                <w:rFonts w:hint="eastAsia" w:asciiTheme="minorEastAsia" w:hAnsiTheme="minorEastAsia" w:eastAsiaTheme="minorEastAsia" w:cstheme="minorEastAsia"/>
                <w:b w:val="0"/>
                <w:color w:val="auto"/>
                <w:highlight w:val="none"/>
              </w:rPr>
              <w:t>基本设计费</w:t>
            </w: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的10%计取。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3</w:t>
            </w:r>
          </w:p>
        </w:tc>
        <w:tc>
          <w:tcPr>
            <w:tcW w:w="218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highlight w:val="none"/>
                <w:vertAlign w:val="baseline"/>
                <w:lang w:val="en-US" w:eastAsia="zh-CN"/>
              </w:rPr>
            </w:pPr>
            <w:r>
              <w:rPr>
                <w:rFonts w:hint="default" w:asciiTheme="minorEastAsia" w:hAnsiTheme="minorEastAsia" w:eastAsiaTheme="minorEastAsia" w:cstheme="minorEastAsia"/>
                <w:i w:val="0"/>
                <w:color w:val="auto"/>
                <w:kern w:val="0"/>
                <w:sz w:val="24"/>
                <w:szCs w:val="24"/>
                <w:highlight w:val="none"/>
                <w:u w:val="none"/>
                <w:lang w:val="en-US" w:eastAsia="zh-CN" w:bidi="ar-SA"/>
              </w:rPr>
              <w:t>竣工图编制费</w:t>
            </w:r>
          </w:p>
        </w:tc>
        <w:tc>
          <w:tcPr>
            <w:tcW w:w="2224" w:type="dxa"/>
            <w:noWrap w:val="0"/>
            <w:vAlign w:val="center"/>
          </w:tcPr>
          <w:p>
            <w:pPr>
              <w:pStyle w:val="2"/>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color w:val="auto"/>
                <w:highlight w:val="none"/>
                <w:vertAlign w:val="baseline"/>
                <w:lang w:val="en-US" w:eastAsia="zh-CN"/>
              </w:rPr>
            </w:pPr>
          </w:p>
        </w:tc>
        <w:tc>
          <w:tcPr>
            <w:tcW w:w="3200" w:type="dxa"/>
            <w:noWrap w:val="0"/>
            <w:vAlign w:val="center"/>
          </w:tcPr>
          <w:p>
            <w:pPr>
              <w:pStyle w:val="2"/>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color w:val="auto"/>
                <w:kern w:val="0"/>
                <w:sz w:val="24"/>
                <w:szCs w:val="24"/>
                <w:highlight w:val="none"/>
                <w:u w:val="none"/>
                <w:vertAlign w:val="baseline"/>
                <w:lang w:val="en-US" w:eastAsia="zh-CN" w:bidi="ar-SA"/>
              </w:rPr>
            </w:pP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按</w:t>
            </w:r>
            <w:r>
              <w:rPr>
                <w:rFonts w:hint="eastAsia" w:asciiTheme="minorEastAsia" w:hAnsiTheme="minorEastAsia" w:eastAsiaTheme="minorEastAsia" w:cstheme="minorEastAsia"/>
                <w:b w:val="0"/>
                <w:color w:val="auto"/>
                <w:sz w:val="24"/>
                <w:szCs w:val="24"/>
                <w:highlight w:val="none"/>
                <w:u w:val="none"/>
                <w:lang w:bidi="ar-SA"/>
              </w:rPr>
              <w:t>基本设计费</w:t>
            </w: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的8%计取。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４</w:t>
            </w:r>
          </w:p>
        </w:tc>
        <w:tc>
          <w:tcPr>
            <w:tcW w:w="218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color w:val="auto"/>
                <w:kern w:val="0"/>
                <w:sz w:val="24"/>
                <w:szCs w:val="24"/>
                <w:highlight w:val="none"/>
                <w:u w:val="none"/>
                <w:lang w:val="en-US" w:eastAsia="zh-CN" w:bidi="ar-SA"/>
              </w:rPr>
            </w:pPr>
            <w:r>
              <w:rPr>
                <w:rFonts w:hint="default" w:asciiTheme="minorEastAsia" w:hAnsiTheme="minorEastAsia" w:eastAsiaTheme="minorEastAsia" w:cstheme="minorEastAsia"/>
                <w:i w:val="0"/>
                <w:color w:val="auto"/>
                <w:kern w:val="0"/>
                <w:sz w:val="24"/>
                <w:szCs w:val="24"/>
                <w:highlight w:val="none"/>
                <w:u w:val="none"/>
                <w:lang w:val="en-US" w:eastAsia="zh-CN" w:bidi="ar-SA"/>
              </w:rPr>
              <w:t>工程设计费合计</w:t>
            </w:r>
          </w:p>
        </w:tc>
        <w:tc>
          <w:tcPr>
            <w:tcW w:w="2224"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p>
        </w:tc>
        <w:tc>
          <w:tcPr>
            <w:tcW w:w="320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　工程设计费＝１＋２＋３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48"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５</w:t>
            </w:r>
          </w:p>
        </w:tc>
        <w:tc>
          <w:tcPr>
            <w:tcW w:w="218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color w:val="auto"/>
                <w:kern w:val="0"/>
                <w:sz w:val="24"/>
                <w:szCs w:val="24"/>
                <w:highlight w:val="none"/>
                <w:u w:val="none"/>
                <w:lang w:val="en-US" w:eastAsia="zh-CN" w:bidi="ar-SA"/>
              </w:rPr>
            </w:pPr>
            <w:r>
              <w:rPr>
                <w:rFonts w:hint="default" w:asciiTheme="minorEastAsia" w:hAnsiTheme="minorEastAsia" w:eastAsiaTheme="minorEastAsia" w:cstheme="minorEastAsia"/>
                <w:i w:val="0"/>
                <w:color w:val="auto"/>
                <w:kern w:val="0"/>
                <w:sz w:val="24"/>
                <w:szCs w:val="24"/>
                <w:highlight w:val="none"/>
                <w:u w:val="none"/>
                <w:lang w:val="en-US" w:eastAsia="zh-CN" w:bidi="ar-SA"/>
              </w:rPr>
              <w:t>工程设计费下浮率</w:t>
            </w:r>
          </w:p>
        </w:tc>
        <w:tc>
          <w:tcPr>
            <w:tcW w:w="2224"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p>
        </w:tc>
        <w:tc>
          <w:tcPr>
            <w:tcW w:w="320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下浮率=（限价-投标报价）/限价*100%，保留2位小数。</w:t>
            </w:r>
          </w:p>
        </w:tc>
      </w:tr>
    </w:tbl>
    <w:p>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注：</w:t>
      </w: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eastAsiaTheme="minorEastAsia" w:cstheme="minorEastAsia"/>
          <w:color w:val="auto"/>
          <w:kern w:val="0"/>
          <w:sz w:val="24"/>
          <w:szCs w:val="24"/>
          <w:highlight w:val="none"/>
          <w:lang w:bidi="ar"/>
        </w:rPr>
        <w:t>按本项目设计范围的专业进行报价，专业内容可根据项目内容自行调整。</w:t>
      </w:r>
    </w:p>
    <w:p>
      <w:pPr>
        <w:widowControl/>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bCs/>
          <w:color w:val="auto"/>
          <w:sz w:val="24"/>
          <w:highlight w:val="none"/>
          <w:lang w:bidi="ar"/>
        </w:rPr>
        <w:t>本项目设置</w:t>
      </w:r>
      <w:r>
        <w:rPr>
          <w:rFonts w:hint="eastAsia" w:asciiTheme="minorEastAsia" w:hAnsiTheme="minorEastAsia" w:eastAsiaTheme="minorEastAsia" w:cstheme="minorEastAsia"/>
          <w:bCs/>
          <w:color w:val="auto"/>
          <w:sz w:val="24"/>
          <w:highlight w:val="none"/>
          <w:lang w:eastAsia="zh-CN" w:bidi="ar"/>
        </w:rPr>
        <w:t>最高投标限价</w:t>
      </w:r>
      <w:r>
        <w:rPr>
          <w:rFonts w:hint="eastAsia" w:asciiTheme="minorEastAsia" w:hAnsiTheme="minorEastAsia" w:eastAsiaTheme="minorEastAsia" w:cstheme="minorEastAsia"/>
          <w:bCs/>
          <w:color w:val="auto"/>
          <w:sz w:val="24"/>
          <w:highlight w:val="none"/>
          <w:lang w:bidi="ar"/>
        </w:rPr>
        <w:t>，投标总价超过</w:t>
      </w:r>
      <w:r>
        <w:rPr>
          <w:rFonts w:hint="eastAsia" w:asciiTheme="minorEastAsia" w:hAnsiTheme="minorEastAsia" w:eastAsiaTheme="minorEastAsia" w:cstheme="minorEastAsia"/>
          <w:bCs/>
          <w:color w:val="auto"/>
          <w:sz w:val="24"/>
          <w:highlight w:val="none"/>
          <w:lang w:eastAsia="zh-CN" w:bidi="ar"/>
        </w:rPr>
        <w:t>最高投标限价</w:t>
      </w:r>
      <w:r>
        <w:rPr>
          <w:rFonts w:hint="eastAsia" w:asciiTheme="minorEastAsia" w:hAnsiTheme="minorEastAsia" w:eastAsiaTheme="minorEastAsia" w:cstheme="minorEastAsia"/>
          <w:bCs/>
          <w:color w:val="auto"/>
          <w:sz w:val="24"/>
          <w:highlight w:val="none"/>
          <w:lang w:bidi="ar"/>
        </w:rPr>
        <w:t>时，投标文件将做废标处理。</w:t>
      </w:r>
      <w:r>
        <w:rPr>
          <w:rFonts w:hint="eastAsia" w:asciiTheme="minorEastAsia" w:hAnsiTheme="minorEastAsia" w:eastAsiaTheme="minorEastAsia" w:cstheme="minorEastAsia"/>
          <w:color w:val="auto"/>
          <w:kern w:val="0"/>
          <w:sz w:val="24"/>
          <w:szCs w:val="24"/>
          <w:highlight w:val="none"/>
          <w:u w:val="single"/>
          <w:lang w:bidi="ar"/>
        </w:rPr>
        <w:t>若投标人的投标报价计算错误，</w:t>
      </w:r>
      <w:r>
        <w:rPr>
          <w:rFonts w:hint="eastAsia" w:asciiTheme="minorEastAsia" w:hAnsiTheme="minorEastAsia" w:eastAsiaTheme="minorEastAsia" w:cstheme="minorEastAsia"/>
          <w:color w:val="auto"/>
          <w:kern w:val="0"/>
          <w:sz w:val="24"/>
          <w:szCs w:val="24"/>
          <w:highlight w:val="none"/>
          <w:u w:val="single"/>
          <w:lang w:eastAsia="zh-CN" w:bidi="ar"/>
        </w:rPr>
        <w:t>招标人</w:t>
      </w:r>
      <w:r>
        <w:rPr>
          <w:rFonts w:hint="eastAsia" w:asciiTheme="minorEastAsia" w:hAnsiTheme="minorEastAsia" w:eastAsiaTheme="minorEastAsia" w:cstheme="minorEastAsia"/>
          <w:color w:val="auto"/>
          <w:kern w:val="0"/>
          <w:sz w:val="24"/>
          <w:szCs w:val="24"/>
          <w:highlight w:val="none"/>
          <w:u w:val="single"/>
          <w:lang w:bidi="ar"/>
        </w:rPr>
        <w:t>有权作出修正，若修正后价格超过对应的</w:t>
      </w:r>
      <w:r>
        <w:rPr>
          <w:rFonts w:hint="eastAsia" w:asciiTheme="minorEastAsia" w:hAnsiTheme="minorEastAsia" w:eastAsiaTheme="minorEastAsia" w:cstheme="minorEastAsia"/>
          <w:color w:val="auto"/>
          <w:kern w:val="0"/>
          <w:sz w:val="24"/>
          <w:szCs w:val="24"/>
          <w:highlight w:val="none"/>
          <w:u w:val="single"/>
          <w:lang w:val="en-US" w:eastAsia="zh-CN" w:bidi="ar"/>
        </w:rPr>
        <w:t>最高</w:t>
      </w:r>
      <w:r>
        <w:rPr>
          <w:rFonts w:hint="eastAsia" w:asciiTheme="minorEastAsia" w:hAnsiTheme="minorEastAsia" w:eastAsiaTheme="minorEastAsia" w:cstheme="minorEastAsia"/>
          <w:color w:val="auto"/>
          <w:sz w:val="24"/>
          <w:highlight w:val="none"/>
        </w:rPr>
        <w:t>限价</w:t>
      </w:r>
      <w:r>
        <w:rPr>
          <w:rFonts w:hint="eastAsia" w:asciiTheme="minorEastAsia" w:hAnsiTheme="minorEastAsia" w:eastAsiaTheme="minorEastAsia" w:cstheme="minorEastAsia"/>
          <w:color w:val="auto"/>
          <w:kern w:val="0"/>
          <w:sz w:val="24"/>
          <w:szCs w:val="24"/>
          <w:highlight w:val="none"/>
          <w:u w:val="single"/>
          <w:lang w:bidi="ar"/>
        </w:rPr>
        <w:t>时，</w:t>
      </w:r>
      <w:r>
        <w:rPr>
          <w:rFonts w:hint="eastAsia" w:asciiTheme="minorEastAsia" w:hAnsiTheme="minorEastAsia" w:eastAsiaTheme="minorEastAsia" w:cstheme="minorEastAsia"/>
          <w:bCs/>
          <w:color w:val="auto"/>
          <w:sz w:val="24"/>
          <w:highlight w:val="none"/>
          <w:u w:val="single"/>
          <w:lang w:bidi="ar"/>
        </w:rPr>
        <w:t>投标文件将做废标处理</w:t>
      </w:r>
      <w:r>
        <w:rPr>
          <w:rFonts w:hint="eastAsia" w:asciiTheme="minorEastAsia" w:hAnsiTheme="minorEastAsia" w:eastAsiaTheme="minorEastAsia" w:cstheme="minorEastAsia"/>
          <w:color w:val="auto"/>
          <w:kern w:val="0"/>
          <w:sz w:val="24"/>
          <w:szCs w:val="24"/>
          <w:highlight w:val="none"/>
          <w:lang w:bidi="ar"/>
        </w:rPr>
        <w:t>。</w:t>
      </w:r>
    </w:p>
    <w:p>
      <w:pPr>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bidi="ar"/>
        </w:rPr>
        <w:t>承包人应在报价中考虑所有相关费用，不论承包人投标报价表是否有相应报价，其费用均视为已包含在报价中，</w:t>
      </w:r>
      <w:r>
        <w:rPr>
          <w:rFonts w:hint="eastAsia" w:asciiTheme="minorEastAsia" w:hAnsiTheme="minorEastAsia" w:eastAsiaTheme="minorEastAsia" w:cstheme="minorEastAsia"/>
          <w:color w:val="auto"/>
          <w:kern w:val="0"/>
          <w:sz w:val="24"/>
          <w:szCs w:val="24"/>
          <w:highlight w:val="none"/>
          <w:lang w:eastAsia="zh-CN" w:bidi="ar"/>
        </w:rPr>
        <w:t>招标人</w:t>
      </w:r>
      <w:r>
        <w:rPr>
          <w:rFonts w:hint="eastAsia" w:asciiTheme="minorEastAsia" w:hAnsiTheme="minorEastAsia" w:eastAsiaTheme="minorEastAsia" w:cstheme="minorEastAsia"/>
          <w:color w:val="auto"/>
          <w:kern w:val="0"/>
          <w:sz w:val="24"/>
          <w:szCs w:val="24"/>
          <w:highlight w:val="none"/>
          <w:lang w:bidi="ar"/>
        </w:rPr>
        <w:t>不另行计量支付。</w:t>
      </w:r>
    </w:p>
    <w:p>
      <w:pPr>
        <w:pStyle w:val="18"/>
        <w:rPr>
          <w:rFonts w:hint="eastAsia" w:asciiTheme="minorEastAsia" w:hAnsiTheme="minorEastAsia" w:eastAsiaTheme="minorEastAsia" w:cstheme="minorEastAsia"/>
          <w:color w:val="auto"/>
          <w:sz w:val="24"/>
          <w:szCs w:val="24"/>
          <w:highlight w:val="none"/>
        </w:rPr>
      </w:pPr>
    </w:p>
    <w:p>
      <w:pPr>
        <w:jc w:val="center"/>
        <w:outlineLvl w:val="1"/>
        <w:rPr>
          <w:rFonts w:hint="eastAsia" w:asciiTheme="minorEastAsia" w:hAnsiTheme="minorEastAsia" w:eastAsiaTheme="minorEastAsia" w:cstheme="minorEastAsia"/>
          <w:b/>
          <w:color w:val="auto"/>
          <w:sz w:val="24"/>
          <w:highlight w:val="none"/>
        </w:rPr>
        <w:sectPr>
          <w:pgSz w:w="11906" w:h="16838"/>
          <w:pgMar w:top="1418" w:right="1418" w:bottom="1418" w:left="1418" w:header="851" w:footer="992" w:gutter="0"/>
          <w:pgNumType w:fmt="decimal"/>
          <w:cols w:space="720" w:num="1"/>
          <w:docGrid w:linePitch="312" w:charSpace="0"/>
        </w:sectPr>
      </w:pPr>
      <w:bookmarkStart w:id="12" w:name="_Hlk4581308"/>
    </w:p>
    <w:p>
      <w:pPr>
        <w:pStyle w:val="2"/>
        <w:jc w:val="center"/>
        <w:rPr>
          <w:rFonts w:hint="eastAsia" w:asciiTheme="minorEastAsia" w:hAnsiTheme="minorEastAsia" w:eastAsiaTheme="minorEastAsia" w:cstheme="minorEastAsia"/>
          <w:bCs/>
          <w:color w:val="auto"/>
          <w:kern w:val="2"/>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工程勘察费报价</w:t>
      </w:r>
      <w:r>
        <w:rPr>
          <w:rFonts w:hint="eastAsia" w:asciiTheme="minorEastAsia" w:hAnsiTheme="minorEastAsia" w:eastAsiaTheme="minorEastAsia" w:cstheme="minorEastAsia"/>
          <w:bCs/>
          <w:color w:val="auto"/>
          <w:kern w:val="2"/>
          <w:sz w:val="24"/>
          <w:szCs w:val="24"/>
          <w:highlight w:val="none"/>
          <w:lang w:eastAsia="zh-CN"/>
        </w:rPr>
        <w:t>明细表</w:t>
      </w:r>
      <w:r>
        <w:rPr>
          <w:rFonts w:hint="eastAsia" w:asciiTheme="minorEastAsia" w:hAnsiTheme="minorEastAsia" w:eastAsiaTheme="minorEastAsia" w:cstheme="minorEastAsia"/>
          <w:bCs/>
          <w:color w:val="auto"/>
          <w:kern w:val="2"/>
          <w:sz w:val="24"/>
          <w:szCs w:val="24"/>
          <w:highlight w:val="none"/>
        </w:rPr>
        <w:t>（表</w:t>
      </w:r>
      <w:r>
        <w:rPr>
          <w:rFonts w:hint="eastAsia" w:asciiTheme="minorEastAsia" w:hAnsiTheme="minorEastAsia" w:eastAsiaTheme="minorEastAsia" w:cstheme="minorEastAsia"/>
          <w:bCs/>
          <w:color w:val="auto"/>
          <w:kern w:val="2"/>
          <w:sz w:val="24"/>
          <w:szCs w:val="24"/>
          <w:highlight w:val="none"/>
          <w:lang w:val="en-US" w:eastAsia="zh-CN"/>
        </w:rPr>
        <w:t>3</w:t>
      </w:r>
      <w:r>
        <w:rPr>
          <w:rFonts w:hint="eastAsia" w:asciiTheme="minorEastAsia" w:hAnsiTheme="minorEastAsia" w:eastAsiaTheme="minorEastAsia" w:cstheme="minorEastAsia"/>
          <w:bCs/>
          <w:color w:val="auto"/>
          <w:kern w:val="2"/>
          <w:sz w:val="24"/>
          <w:szCs w:val="24"/>
          <w:highlight w:val="none"/>
        </w:rPr>
        <w:t>）</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559"/>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序号</w:t>
            </w:r>
          </w:p>
        </w:tc>
        <w:tc>
          <w:tcPr>
            <w:tcW w:w="3559" w:type="dxa"/>
            <w:noWrap w:val="0"/>
            <w:vAlign w:val="top"/>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项目</w:t>
            </w:r>
          </w:p>
        </w:tc>
        <w:tc>
          <w:tcPr>
            <w:tcW w:w="3197" w:type="dxa"/>
            <w:noWrap w:val="0"/>
            <w:vAlign w:val="top"/>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66" w:type="dxa"/>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w:t>
            </w:r>
          </w:p>
        </w:tc>
        <w:tc>
          <w:tcPr>
            <w:tcW w:w="3559" w:type="dxa"/>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测量费</w:t>
            </w:r>
          </w:p>
        </w:tc>
        <w:tc>
          <w:tcPr>
            <w:tcW w:w="3197" w:type="dxa"/>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2</w:t>
            </w:r>
          </w:p>
        </w:tc>
        <w:tc>
          <w:tcPr>
            <w:tcW w:w="3559" w:type="dxa"/>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lang w:val="en-US" w:eastAsia="zh-CN"/>
              </w:rPr>
              <w:t>地下管线探测费</w:t>
            </w:r>
          </w:p>
        </w:tc>
        <w:tc>
          <w:tcPr>
            <w:tcW w:w="3197" w:type="dxa"/>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5" w:type="dxa"/>
            <w:gridSpan w:val="2"/>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color w:val="auto"/>
                <w:sz w:val="24"/>
                <w:szCs w:val="24"/>
                <w:highlight w:val="none"/>
                <w:lang w:val="en-US" w:eastAsia="zh-CN" w:bidi="ar"/>
              </w:rPr>
              <w:t>工程勘察费</w:t>
            </w:r>
            <w:r>
              <w:rPr>
                <w:rFonts w:hint="eastAsia" w:asciiTheme="minorEastAsia" w:hAnsiTheme="minorEastAsia" w:eastAsiaTheme="minorEastAsia" w:cstheme="minorEastAsia"/>
                <w:b w:val="0"/>
                <w:bCs w:val="0"/>
                <w:color w:val="auto"/>
                <w:sz w:val="24"/>
                <w:szCs w:val="24"/>
                <w:highlight w:val="none"/>
                <w:vertAlign w:val="baseline"/>
                <w:lang w:eastAsia="zh-CN"/>
              </w:rPr>
              <w:t>合计（１＋２）</w:t>
            </w:r>
          </w:p>
        </w:tc>
        <w:tc>
          <w:tcPr>
            <w:tcW w:w="3197" w:type="dxa"/>
            <w:noWrap w:val="0"/>
            <w:vAlign w:val="center"/>
          </w:tcPr>
          <w:p>
            <w:pPr>
              <w:pStyle w:val="2"/>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p>
        </w:tc>
      </w:tr>
    </w:tbl>
    <w:p>
      <w:pPr>
        <w:spacing w:before="240" w:after="120" w:line="360"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测量费报价表</w:t>
      </w:r>
      <w:r>
        <w:rPr>
          <w:rFonts w:hint="eastAsia" w:asciiTheme="minorEastAsia" w:hAnsiTheme="minorEastAsia" w:eastAsiaTheme="minorEastAsia" w:cstheme="minorEastAsia"/>
          <w:b/>
          <w:bCs/>
          <w:color w:val="auto"/>
          <w:sz w:val="24"/>
          <w:szCs w:val="24"/>
          <w:highlight w:val="none"/>
        </w:rPr>
        <w:t>（表</w:t>
      </w:r>
      <w:r>
        <w:rPr>
          <w:rFonts w:hint="eastAsia" w:asciiTheme="minorEastAsia" w:hAnsiTheme="minorEastAsia" w:eastAsiaTheme="minorEastAsia" w:cstheme="minorEastAsia"/>
          <w:b/>
          <w:bCs/>
          <w:color w:val="auto"/>
          <w:sz w:val="24"/>
          <w:szCs w:val="24"/>
          <w:highlight w:val="none"/>
          <w:lang w:val="en-US" w:eastAsia="zh-CN"/>
        </w:rPr>
        <w:t>3-1</w:t>
      </w:r>
      <w:r>
        <w:rPr>
          <w:rFonts w:hint="eastAsia" w:asciiTheme="minorEastAsia" w:hAnsiTheme="minorEastAsia" w:eastAsiaTheme="minorEastAsia" w:cstheme="minorEastAsia"/>
          <w:b/>
          <w:bCs/>
          <w:color w:val="auto"/>
          <w:sz w:val="24"/>
          <w:szCs w:val="24"/>
          <w:highlight w:val="none"/>
        </w:rPr>
        <w:t>）</w:t>
      </w:r>
    </w:p>
    <w:tbl>
      <w:tblPr>
        <w:tblStyle w:val="29"/>
        <w:tblW w:w="9157" w:type="dxa"/>
        <w:jc w:val="center"/>
        <w:tblLayout w:type="fixed"/>
        <w:tblCellMar>
          <w:top w:w="0" w:type="dxa"/>
          <w:left w:w="0" w:type="dxa"/>
          <w:bottom w:w="0" w:type="dxa"/>
          <w:right w:w="0" w:type="dxa"/>
        </w:tblCellMar>
      </w:tblPr>
      <w:tblGrid>
        <w:gridCol w:w="694"/>
        <w:gridCol w:w="1514"/>
        <w:gridCol w:w="608"/>
        <w:gridCol w:w="845"/>
        <w:gridCol w:w="859"/>
        <w:gridCol w:w="1091"/>
        <w:gridCol w:w="1119"/>
        <w:gridCol w:w="944"/>
        <w:gridCol w:w="1483"/>
      </w:tblGrid>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工作项目</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系数</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单价限价（元）</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投标单价（元）</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单项合计价（元）</w:t>
            </w: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备  注</w:t>
            </w: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E级GPS测量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点</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3203</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每个子项布设3个控制点形成控制网</w:t>
            </w:r>
          </w:p>
        </w:tc>
      </w:tr>
      <w:tr>
        <w:tblPrEx>
          <w:tblCellMar>
            <w:top w:w="0" w:type="dxa"/>
            <w:left w:w="0" w:type="dxa"/>
            <w:bottom w:w="0" w:type="dxa"/>
            <w:right w:w="0" w:type="dxa"/>
          </w:tblCellMar>
        </w:tblPrEx>
        <w:trPr>
          <w:trHeight w:val="656"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图根点测量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点</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101</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四等水准</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250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1：500数字化地形图（建筑区）</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2.8</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0.2</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km²</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44510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建、构筑细部点测量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点</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101</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一处桥墩按三个坐标计</w:t>
            </w: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线高净空高测量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101</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桥墩现状测量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组日</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1000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其它小型工程测量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组日</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1000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技术工作费</w:t>
            </w:r>
          </w:p>
        </w:tc>
        <w:tc>
          <w:tcPr>
            <w:tcW w:w="34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按22%计</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合计</w:t>
            </w:r>
          </w:p>
        </w:tc>
        <w:tc>
          <w:tcPr>
            <w:tcW w:w="34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r>
    </w:tbl>
    <w:p>
      <w:pPr>
        <w:rPr>
          <w:rFonts w:hint="eastAsia" w:asciiTheme="minorEastAsia" w:hAnsiTheme="minorEastAsia" w:eastAsiaTheme="minorEastAsia" w:cstheme="minorEastAsia"/>
          <w:bCs/>
          <w:color w:val="auto"/>
          <w:sz w:val="24"/>
          <w:highlight w:val="none"/>
        </w:rPr>
      </w:pPr>
    </w:p>
    <w:p>
      <w:pPr>
        <w:pStyle w:val="18"/>
        <w:rPr>
          <w:rFonts w:hint="eastAsia" w:asciiTheme="minorEastAsia" w:hAnsiTheme="minorEastAsia" w:eastAsiaTheme="minorEastAsia" w:cstheme="minorEastAsia"/>
          <w:bCs/>
          <w:color w:val="auto"/>
          <w:sz w:val="24"/>
          <w:szCs w:val="24"/>
          <w:highlight w:val="none"/>
        </w:rPr>
      </w:pPr>
    </w:p>
    <w:p>
      <w:pPr>
        <w:spacing w:before="0" w:after="0"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br w:type="column"/>
      </w:r>
      <w:r>
        <w:rPr>
          <w:rFonts w:hint="eastAsia" w:asciiTheme="minorEastAsia" w:hAnsiTheme="minorEastAsia" w:eastAsiaTheme="minorEastAsia" w:cstheme="minorEastAsia"/>
          <w:b/>
          <w:bCs/>
          <w:color w:val="auto"/>
          <w:sz w:val="24"/>
          <w:szCs w:val="24"/>
          <w:highlight w:val="none"/>
          <w:lang w:val="en-US" w:eastAsia="zh-CN"/>
        </w:rPr>
        <w:t>地下管线探测费报价表</w:t>
      </w:r>
      <w:r>
        <w:rPr>
          <w:rFonts w:hint="eastAsia" w:asciiTheme="minorEastAsia" w:hAnsiTheme="minorEastAsia" w:eastAsiaTheme="minorEastAsia" w:cstheme="minorEastAsia"/>
          <w:b/>
          <w:bCs/>
          <w:color w:val="auto"/>
          <w:sz w:val="24"/>
          <w:szCs w:val="24"/>
          <w:highlight w:val="none"/>
        </w:rPr>
        <w:t>（表</w:t>
      </w:r>
      <w:r>
        <w:rPr>
          <w:rFonts w:hint="eastAsia" w:asciiTheme="minorEastAsia" w:hAnsiTheme="minorEastAsia" w:eastAsiaTheme="minorEastAsia" w:cstheme="minorEastAsia"/>
          <w:b/>
          <w:bCs/>
          <w:color w:val="auto"/>
          <w:sz w:val="24"/>
          <w:szCs w:val="24"/>
          <w:highlight w:val="none"/>
          <w:lang w:val="en-US" w:eastAsia="zh-CN"/>
        </w:rPr>
        <w:t>3-2</w:t>
      </w:r>
      <w:r>
        <w:rPr>
          <w:rFonts w:hint="eastAsia" w:asciiTheme="minorEastAsia" w:hAnsiTheme="minorEastAsia" w:eastAsiaTheme="minorEastAsia" w:cstheme="minorEastAsia"/>
          <w:b/>
          <w:bCs/>
          <w:color w:val="auto"/>
          <w:sz w:val="24"/>
          <w:szCs w:val="24"/>
          <w:highlight w:val="none"/>
        </w:rPr>
        <w:t>）</w:t>
      </w:r>
    </w:p>
    <w:tbl>
      <w:tblPr>
        <w:tblStyle w:val="29"/>
        <w:tblW w:w="8398" w:type="dxa"/>
        <w:jc w:val="center"/>
        <w:tblLayout w:type="fixed"/>
        <w:tblCellMar>
          <w:top w:w="0" w:type="dxa"/>
          <w:left w:w="0" w:type="dxa"/>
          <w:bottom w:w="0" w:type="dxa"/>
          <w:right w:w="0" w:type="dxa"/>
        </w:tblCellMar>
      </w:tblPr>
      <w:tblGrid>
        <w:gridCol w:w="507"/>
        <w:gridCol w:w="1142"/>
        <w:gridCol w:w="1566"/>
        <w:gridCol w:w="721"/>
        <w:gridCol w:w="589"/>
        <w:gridCol w:w="883"/>
        <w:gridCol w:w="873"/>
        <w:gridCol w:w="1131"/>
        <w:gridCol w:w="986"/>
      </w:tblGrid>
      <w:tr>
        <w:tblPrEx>
          <w:tblCellMar>
            <w:top w:w="0" w:type="dxa"/>
            <w:left w:w="0" w:type="dxa"/>
            <w:bottom w:w="0" w:type="dxa"/>
            <w:right w:w="0" w:type="dxa"/>
          </w:tblCellMar>
        </w:tblPrEx>
        <w:trPr>
          <w:trHeight w:val="1080" w:hRule="atLeast"/>
          <w:jc w:val="center"/>
        </w:trPr>
        <w:tc>
          <w:tcPr>
            <w:tcW w:w="50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序号</w:t>
            </w:r>
          </w:p>
        </w:tc>
        <w:tc>
          <w:tcPr>
            <w:tcW w:w="114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项目</w:t>
            </w:r>
          </w:p>
        </w:tc>
        <w:tc>
          <w:tcPr>
            <w:tcW w:w="156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子项目</w:t>
            </w:r>
          </w:p>
        </w:tc>
        <w:tc>
          <w:tcPr>
            <w:tcW w:w="72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预计</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工作量</w:t>
            </w:r>
          </w:p>
        </w:tc>
        <w:tc>
          <w:tcPr>
            <w:tcW w:w="58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8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单价限价（元）</w:t>
            </w:r>
          </w:p>
        </w:tc>
        <w:tc>
          <w:tcPr>
            <w:tcW w:w="87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投标单价（元）</w:t>
            </w:r>
          </w:p>
        </w:tc>
        <w:tc>
          <w:tcPr>
            <w:tcW w:w="113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单项合计价（元）</w:t>
            </w:r>
          </w:p>
        </w:tc>
        <w:tc>
          <w:tcPr>
            <w:tcW w:w="98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786" w:hRule="atLeast"/>
          <w:jc w:val="center"/>
        </w:trPr>
        <w:tc>
          <w:tcPr>
            <w:tcW w:w="50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114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地下管线探查</w:t>
            </w: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电缆（电力、通讯等）</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10.2 </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3600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35" w:hRule="atLeast"/>
          <w:jc w:val="center"/>
        </w:trPr>
        <w:tc>
          <w:tcPr>
            <w:tcW w:w="50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金属管道</w:t>
            </w:r>
          </w:p>
        </w:tc>
        <w:tc>
          <w:tcPr>
            <w:tcW w:w="72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4500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35" w:hRule="atLeast"/>
          <w:jc w:val="center"/>
        </w:trPr>
        <w:tc>
          <w:tcPr>
            <w:tcW w:w="50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非金属管道</w:t>
            </w:r>
          </w:p>
        </w:tc>
        <w:tc>
          <w:tcPr>
            <w:tcW w:w="72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5400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35" w:hRule="atLeast"/>
          <w:jc w:val="center"/>
        </w:trPr>
        <w:tc>
          <w:tcPr>
            <w:tcW w:w="50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下水道（有窖井）</w:t>
            </w:r>
          </w:p>
        </w:tc>
        <w:tc>
          <w:tcPr>
            <w:tcW w:w="72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2.6</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2700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612" w:hRule="atLeast"/>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w:t>
            </w:r>
          </w:p>
        </w:tc>
        <w:tc>
          <w:tcPr>
            <w:tcW w:w="114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地下管线测量</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地下电缆</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10.2 </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1446</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597"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工业管道</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0.8 </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6"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上下水及暖气管道</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4.6 </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1948</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6" w:hRule="atLeast"/>
          <w:jc w:val="center"/>
        </w:trPr>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3</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技术工作费</w:t>
            </w:r>
          </w:p>
        </w:tc>
        <w:tc>
          <w:tcPr>
            <w:tcW w:w="37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按22%计</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6" w:hRule="atLeast"/>
          <w:jc w:val="center"/>
        </w:trPr>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进退场费</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测量及管线探测进退场</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次</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7" w:hRule="atLeast"/>
          <w:jc w:val="center"/>
        </w:trPr>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费用合计</w:t>
            </w:r>
          </w:p>
        </w:tc>
        <w:tc>
          <w:tcPr>
            <w:tcW w:w="576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bl>
    <w:p>
      <w:pPr>
        <w:keepNext w:val="0"/>
        <w:keepLines w:val="0"/>
        <w:pageBreakBefore w:val="0"/>
        <w:widowControl/>
        <w:kinsoku/>
        <w:wordWrap/>
        <w:overflowPunct/>
        <w:topLinePunct w:val="0"/>
        <w:autoSpaceDE/>
        <w:autoSpaceDN/>
        <w:bidi w:val="0"/>
        <w:snapToGrid/>
        <w:spacing w:line="560" w:lineRule="exact"/>
        <w:ind w:firstLine="480" w:firstLine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注：1.３－１、３－２表中列项全部均需报单价，勘察费采用单价包干的方式，投标单价</w:t>
      </w:r>
      <w:r>
        <w:rPr>
          <w:rFonts w:hint="eastAsia" w:asciiTheme="minorEastAsia" w:hAnsiTheme="minorEastAsia" w:eastAsiaTheme="minorEastAsia" w:cstheme="minorEastAsia"/>
          <w:color w:val="auto"/>
          <w:sz w:val="24"/>
          <w:szCs w:val="24"/>
          <w:highlight w:val="none"/>
          <w:lang w:val="en-US" w:eastAsia="zh-CN"/>
        </w:rPr>
        <w:t>包括但不限于材料费、人工费、管理费、差旅费、利润、税金等费用。投标人必须自行考虑本项目在实施期间一切可能发生的费用。</w:t>
      </w:r>
      <w:r>
        <w:rPr>
          <w:rFonts w:hint="eastAsia" w:asciiTheme="minorEastAsia" w:hAnsiTheme="minorEastAsia" w:eastAsiaTheme="minorEastAsia" w:cstheme="minorEastAsia"/>
          <w:color w:val="auto"/>
          <w:sz w:val="24"/>
          <w:highlight w:val="none"/>
          <w:lang w:val="en-US" w:eastAsia="zh-CN"/>
        </w:rPr>
        <w:t>勘察费按实际完成工作量结算，结算时单价不作调整。</w:t>
      </w:r>
    </w:p>
    <w:p>
      <w:pPr>
        <w:keepNext w:val="0"/>
        <w:keepLines w:val="0"/>
        <w:pageBreakBefore w:val="0"/>
        <w:kinsoku/>
        <w:wordWrap/>
        <w:overflowPunct/>
        <w:topLinePunct w:val="0"/>
        <w:autoSpaceDE/>
        <w:autoSpaceDN/>
        <w:bidi w:val="0"/>
        <w:snapToGrid/>
        <w:spacing w:line="560" w:lineRule="exact"/>
        <w:ind w:firstLine="480" w:firstLine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2.报价表中所列数量是估算的预计数量，仅为投标参考数量，招标人不承诺每项服务的实际数量，具体数量以现场实际为准，投标人应自行考虑成本风险。</w:t>
      </w:r>
    </w:p>
    <w:p>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３.测量费报价表的单项合计价=数量×投标单价×附加调整系数</w:t>
      </w:r>
    </w:p>
    <w:p>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sectPr>
          <w:pgSz w:w="11906" w:h="16838"/>
          <w:pgMar w:top="1440" w:right="1803" w:bottom="1440" w:left="1803" w:header="720" w:footer="720"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Theme="minorEastAsia" w:hAnsiTheme="minorEastAsia" w:eastAsiaTheme="minorEastAsia" w:cstheme="minorEastAsia"/>
          <w:color w:val="auto"/>
          <w:sz w:val="24"/>
          <w:highlight w:val="none"/>
          <w:lang w:val="en-US" w:eastAsia="zh-CN"/>
        </w:rPr>
        <w:t>４.本项目设置</w:t>
      </w:r>
      <w:r>
        <w:rPr>
          <w:rFonts w:hint="eastAsia" w:asciiTheme="minorEastAsia" w:hAnsiTheme="minorEastAsia" w:eastAsiaTheme="minorEastAsia" w:cstheme="minorEastAsia"/>
          <w:bCs/>
          <w:color w:val="auto"/>
          <w:sz w:val="24"/>
          <w:highlight w:val="none"/>
          <w:lang w:eastAsia="zh-CN" w:bidi="ar"/>
        </w:rPr>
        <w:t>最高投标限价</w:t>
      </w:r>
      <w:r>
        <w:rPr>
          <w:rFonts w:hint="eastAsia" w:asciiTheme="minorEastAsia" w:hAnsiTheme="minorEastAsia" w:eastAsiaTheme="minorEastAsia" w:cstheme="minorEastAsia"/>
          <w:color w:val="auto"/>
          <w:sz w:val="24"/>
          <w:highlight w:val="none"/>
          <w:lang w:val="en-US" w:eastAsia="zh-CN"/>
        </w:rPr>
        <w:t>及</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限价</w:t>
      </w:r>
      <w:r>
        <w:rPr>
          <w:rFonts w:hint="eastAsia" w:asciiTheme="minorEastAsia" w:hAnsiTheme="minorEastAsia" w:eastAsiaTheme="minorEastAsia" w:cstheme="minorEastAsia"/>
          <w:color w:val="auto"/>
          <w:sz w:val="24"/>
          <w:highlight w:val="none"/>
          <w:lang w:val="en-US" w:eastAsia="zh-CN"/>
        </w:rPr>
        <w:t>，投标总价超过最高投标限价或投标报价中的单价超过相应的单价限价时，投标文件将做废标处理。若投标人的投标报价计算错误，招标人有权作出修正，若修正后价格超过</w:t>
      </w:r>
      <w:r>
        <w:rPr>
          <w:rFonts w:hint="eastAsia" w:asciiTheme="minorEastAsia" w:hAnsiTheme="minorEastAsia" w:eastAsiaTheme="minorEastAsia" w:cstheme="minorEastAsia"/>
          <w:bCs/>
          <w:color w:val="auto"/>
          <w:sz w:val="24"/>
          <w:highlight w:val="none"/>
          <w:lang w:eastAsia="zh-CN" w:bidi="ar"/>
        </w:rPr>
        <w:t>最高限价</w:t>
      </w:r>
      <w:r>
        <w:rPr>
          <w:rFonts w:hint="eastAsia" w:asciiTheme="minorEastAsia" w:hAnsiTheme="minorEastAsia" w:eastAsiaTheme="minorEastAsia" w:cstheme="minorEastAsia"/>
          <w:color w:val="auto"/>
          <w:sz w:val="24"/>
          <w:highlight w:val="none"/>
          <w:lang w:val="en-US" w:eastAsia="zh-CN"/>
        </w:rPr>
        <w:t>时，投标文件将做废标处理。（经算术复核的投标人报价与其投标报价不一致时，按就低不就高原则确定其最终报价）。</w:t>
      </w:r>
    </w:p>
    <w:p>
      <w:pPr>
        <w:outlineLvl w:val="9"/>
        <w:rPr>
          <w:rFonts w:hint="eastAsia" w:ascii="宋体" w:hAnsi="宋体"/>
          <w:b/>
          <w:color w:val="auto"/>
          <w:sz w:val="24"/>
          <w:highlight w:val="none"/>
        </w:rPr>
      </w:pPr>
    </w:p>
    <w:p>
      <w:pPr>
        <w:outlineLvl w:val="1"/>
        <w:rPr>
          <w:rFonts w:ascii="宋体" w:hAnsi="宋体"/>
          <w:b/>
          <w:bCs/>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6</w:t>
      </w:r>
    </w:p>
    <w:p>
      <w:pPr>
        <w:jc w:val="center"/>
        <w:rPr>
          <w:rFonts w:ascii="宋体" w:hAnsi="宋体"/>
          <w:b/>
          <w:color w:val="auto"/>
          <w:sz w:val="32"/>
          <w:highlight w:val="none"/>
          <w:u w:val="single"/>
        </w:rPr>
      </w:pPr>
      <w:r>
        <w:rPr>
          <w:rFonts w:hint="eastAsia" w:ascii="宋体" w:hAnsi="宋体"/>
          <w:b/>
          <w:color w:val="auto"/>
          <w:sz w:val="32"/>
          <w:highlight w:val="none"/>
          <w:u w:val="single"/>
        </w:rPr>
        <w:t>投标人声明</w:t>
      </w:r>
    </w:p>
    <w:p>
      <w:pPr>
        <w:pStyle w:val="56"/>
        <w:spacing w:line="400" w:lineRule="exact"/>
        <w:rPr>
          <w:rFonts w:ascii="宋体" w:hAnsi="宋体" w:eastAsia="宋体"/>
          <w:color w:val="auto"/>
          <w:sz w:val="24"/>
          <w:szCs w:val="24"/>
          <w:highlight w:val="none"/>
        </w:rPr>
      </w:pPr>
    </w:p>
    <w:p>
      <w:pPr>
        <w:pStyle w:val="56"/>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广州市交通运输局、本招标项目招标人及招标监管机构：</w:t>
      </w:r>
    </w:p>
    <w:p>
      <w:pPr>
        <w:pStyle w:val="56"/>
        <w:ind w:left="629"/>
        <w:rPr>
          <w:rFonts w:ascii="宋体" w:hAnsi="宋体" w:eastAsia="宋体"/>
          <w:color w:val="auto"/>
          <w:sz w:val="24"/>
          <w:szCs w:val="24"/>
          <w:highlight w:val="none"/>
        </w:rPr>
      </w:pPr>
      <w:r>
        <w:rPr>
          <w:rFonts w:hint="eastAsia" w:ascii="宋体" w:hAnsi="宋体" w:eastAsia="宋体"/>
          <w:color w:val="auto"/>
          <w:sz w:val="24"/>
          <w:szCs w:val="24"/>
          <w:highlight w:val="none"/>
        </w:rPr>
        <w:t>我方就参加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r>
        <w:rPr>
          <w:rFonts w:hint="eastAsia" w:ascii="宋体" w:hAnsi="宋体" w:eastAsia="宋体"/>
          <w:color w:val="auto"/>
          <w:sz w:val="24"/>
          <w:szCs w:val="24"/>
          <w:highlight w:val="none"/>
          <w:u w:val="single"/>
        </w:rPr>
        <w:t>我方没有处于被广州建设行政主管部门取消投标资格的处罚期内</w:t>
      </w:r>
      <w:r>
        <w:rPr>
          <w:rFonts w:hint="eastAsia" w:ascii="宋体" w:hAnsi="宋体" w:eastAsia="宋体"/>
          <w:color w:val="auto"/>
          <w:sz w:val="24"/>
          <w:szCs w:val="24"/>
          <w:highlight w:val="none"/>
        </w:rPr>
        <w:t>。</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pStyle w:val="56"/>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56"/>
        <w:rPr>
          <w:rFonts w:ascii="宋体" w:hAnsi="宋体" w:eastAsia="宋体"/>
          <w:color w:val="auto"/>
          <w:sz w:val="24"/>
          <w:szCs w:val="24"/>
          <w:highlight w:val="none"/>
        </w:rPr>
      </w:pPr>
    </w:p>
    <w:p>
      <w:pPr>
        <w:pStyle w:val="57"/>
        <w:ind w:left="0" w:right="1449" w:firstLine="3840" w:firstLineChars="16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(盖章)</w:t>
      </w:r>
    </w:p>
    <w:p>
      <w:pPr>
        <w:pStyle w:val="56"/>
        <w:ind w:right="1449" w:firstLine="0"/>
        <w:jc w:val="center"/>
        <w:rPr>
          <w:rFonts w:ascii="宋体" w:hAnsi="宋体" w:eastAsia="宋体"/>
          <w:color w:val="auto"/>
          <w:sz w:val="24"/>
          <w:szCs w:val="24"/>
          <w:highlight w:val="none"/>
        </w:rPr>
      </w:pPr>
      <w:r>
        <w:rPr>
          <w:rFonts w:ascii="宋体" w:hAnsi="宋体" w:eastAsia="宋体"/>
          <w:color w:val="auto"/>
          <w:sz w:val="24"/>
          <w:szCs w:val="24"/>
          <w:highlight w:val="none"/>
        </w:rPr>
        <w:t xml:space="preserve">                        法定代表人：（签字或盖章）                  </w:t>
      </w:r>
    </w:p>
    <w:p>
      <w:pPr>
        <w:pStyle w:val="56"/>
        <w:ind w:right="2079" w:firstLine="2160" w:firstLineChars="900"/>
        <w:jc w:val="right"/>
        <w:rPr>
          <w:rFonts w:ascii="宋体" w:hAnsi="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pPr>
        <w:spacing w:line="360" w:lineRule="auto"/>
        <w:jc w:val="left"/>
        <w:rPr>
          <w:rFonts w:ascii="宋体" w:hAnsi="宋体"/>
          <w:color w:val="auto"/>
          <w:sz w:val="24"/>
          <w:highlight w:val="none"/>
        </w:rPr>
      </w:pPr>
    </w:p>
    <w:p>
      <w:pPr>
        <w:jc w:val="left"/>
        <w:rPr>
          <w:rFonts w:ascii="宋体" w:hAnsi="宋体"/>
          <w:color w:val="auto"/>
          <w:highlight w:val="none"/>
        </w:rPr>
      </w:pPr>
    </w:p>
    <w:p>
      <w:pPr>
        <w:jc w:val="left"/>
        <w:rPr>
          <w:rFonts w:ascii="宋体" w:hAnsi="宋体"/>
          <w:color w:val="auto"/>
          <w:highlight w:val="none"/>
        </w:rPr>
      </w:pPr>
    </w:p>
    <w:p>
      <w:pPr>
        <w:pStyle w:val="18"/>
        <w:rPr>
          <w:rFonts w:hAnsi="宋体"/>
          <w:color w:val="auto"/>
          <w:sz w:val="21"/>
          <w:szCs w:val="21"/>
          <w:highlight w:val="none"/>
        </w:rPr>
      </w:pPr>
      <w:r>
        <w:rPr>
          <w:color w:val="auto"/>
          <w:sz w:val="21"/>
          <w:szCs w:val="21"/>
          <w:highlight w:val="none"/>
        </w:rPr>
        <w:t xml:space="preserve">   </w:t>
      </w:r>
    </w:p>
    <w:p>
      <w:pPr>
        <w:rPr>
          <w:rFonts w:ascii="宋体" w:hAnsi="宋体"/>
          <w:color w:val="auto"/>
          <w:highlight w:val="none"/>
        </w:rPr>
      </w:pPr>
    </w:p>
    <w:p>
      <w:pPr>
        <w:jc w:val="left"/>
        <w:rPr>
          <w:rFonts w:ascii="宋体" w:hAnsi="宋体"/>
          <w:b/>
          <w:bCs/>
          <w:color w:val="auto"/>
          <w:sz w:val="24"/>
          <w:highlight w:val="none"/>
        </w:rPr>
      </w:pPr>
    </w:p>
    <w:bookmarkEnd w:id="12"/>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ascii="宋体"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7</w:t>
      </w:r>
    </w:p>
    <w:p>
      <w:pPr>
        <w:jc w:val="center"/>
        <w:rPr>
          <w:rFonts w:ascii="宋体" w:hAnsi="宋体"/>
          <w:b/>
          <w:bCs/>
          <w:color w:val="auto"/>
          <w:sz w:val="32"/>
          <w:highlight w:val="none"/>
        </w:rPr>
      </w:pPr>
      <w:bookmarkStart w:id="13" w:name="投标书"/>
      <w:r>
        <w:rPr>
          <w:rFonts w:hint="eastAsia" w:ascii="宋体" w:hAnsi="宋体"/>
          <w:b/>
          <w:bCs/>
          <w:color w:val="auto"/>
          <w:sz w:val="32"/>
          <w:highlight w:val="none"/>
        </w:rPr>
        <w:t>投标书</w:t>
      </w:r>
      <w:bookmarkEnd w:id="13"/>
    </w:p>
    <w:p>
      <w:pPr>
        <w:rPr>
          <w:rFonts w:ascii="宋体" w:hAnsi="宋体"/>
          <w:color w:val="auto"/>
          <w:highlight w:val="none"/>
        </w:rPr>
      </w:pPr>
    </w:p>
    <w:p>
      <w:pPr>
        <w:jc w:val="left"/>
        <w:rPr>
          <w:rFonts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 xml:space="preserve">                            </w:t>
      </w:r>
    </w:p>
    <w:p>
      <w:pPr>
        <w:pStyle w:val="18"/>
        <w:jc w:val="left"/>
        <w:rPr>
          <w:rFonts w:ascii="宋体" w:hAnsi="宋体"/>
          <w:color w:val="auto"/>
          <w:sz w:val="24"/>
          <w:highlight w:val="none"/>
        </w:rPr>
      </w:pPr>
      <w:r>
        <w:rPr>
          <w:rFonts w:hint="eastAsia" w:hAnsi="宋体"/>
          <w:color w:val="auto"/>
          <w:sz w:val="24"/>
          <w:szCs w:val="24"/>
          <w:highlight w:val="none"/>
        </w:rPr>
        <w:t>致：</w:t>
      </w:r>
      <w:r>
        <w:rPr>
          <w:rFonts w:hAnsi="宋体"/>
          <w:color w:val="auto"/>
          <w:sz w:val="24"/>
          <w:szCs w:val="24"/>
          <w:highlight w:val="none"/>
          <w:u w:val="single"/>
        </w:rPr>
        <w:t xml:space="preserve">                                    </w:t>
      </w:r>
      <w:r>
        <w:rPr>
          <w:rFonts w:hint="eastAsia" w:hAnsi="宋体"/>
          <w:color w:val="auto"/>
          <w:sz w:val="24"/>
          <w:szCs w:val="24"/>
          <w:highlight w:val="none"/>
        </w:rPr>
        <w:t>（招标人、招标代理机构名称</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我方愿以人民币</w:t>
      </w:r>
      <w:r>
        <w:rPr>
          <w:rFonts w:hAnsi="宋体"/>
          <w:color w:val="auto"/>
          <w:sz w:val="24"/>
          <w:szCs w:val="24"/>
          <w:highlight w:val="none"/>
          <w:u w:val="single"/>
        </w:rPr>
        <w:t xml:space="preserve">     </w:t>
      </w:r>
      <w:r>
        <w:rPr>
          <w:rFonts w:hint="eastAsia" w:hAnsi="宋体"/>
          <w:color w:val="auto"/>
          <w:sz w:val="24"/>
          <w:szCs w:val="24"/>
          <w:highlight w:val="none"/>
        </w:rPr>
        <w:t>元（大写：</w:t>
      </w:r>
      <w:r>
        <w:rPr>
          <w:rFonts w:hAnsi="宋体"/>
          <w:color w:val="auto"/>
          <w:sz w:val="24"/>
          <w:szCs w:val="24"/>
          <w:highlight w:val="none"/>
          <w:u w:val="single"/>
        </w:rPr>
        <w:t xml:space="preserve">    </w:t>
      </w:r>
      <w:r>
        <w:rPr>
          <w:rFonts w:hint="eastAsia" w:hAnsi="宋体"/>
          <w:color w:val="auto"/>
          <w:sz w:val="24"/>
          <w:szCs w:val="24"/>
          <w:highlight w:val="none"/>
        </w:rPr>
        <w:t>元），承包本次招标所包含的工作，并承担任何质量缺陷责任。我方项目负责人是</w:t>
      </w:r>
      <w:r>
        <w:rPr>
          <w:rFonts w:hAnsi="宋体"/>
          <w:color w:val="auto"/>
          <w:sz w:val="24"/>
          <w:szCs w:val="24"/>
          <w:highlight w:val="none"/>
          <w:u w:val="single"/>
        </w:rPr>
        <w:t xml:space="preserve">        </w:t>
      </w:r>
      <w:r>
        <w:rPr>
          <w:rFonts w:hint="eastAsia" w:hAnsi="宋体"/>
          <w:color w:val="auto"/>
          <w:sz w:val="24"/>
          <w:szCs w:val="24"/>
          <w:highlight w:val="none"/>
        </w:rPr>
        <w:t>。</w:t>
      </w:r>
    </w:p>
    <w:p>
      <w:pPr>
        <w:pStyle w:val="18"/>
        <w:spacing w:line="360" w:lineRule="exact"/>
        <w:rPr>
          <w:rFonts w:hAnsi="宋体"/>
          <w:color w:val="auto"/>
          <w:sz w:val="24"/>
          <w:szCs w:val="24"/>
          <w:highlight w:val="none"/>
        </w:rPr>
      </w:pPr>
      <w:r>
        <w:rPr>
          <w:rFonts w:hAnsi="宋体"/>
          <w:color w:val="auto"/>
          <w:sz w:val="24"/>
          <w:szCs w:val="24"/>
          <w:highlight w:val="none"/>
        </w:rPr>
        <w:t xml:space="preserve">    我方遵守本投标书直至投标有效期满，在投标有效期满前，本投标书对我方一直具有约束力，随时可接受中标。我方承认所附投标文件资料为本投标书的一部分。</w:t>
      </w:r>
    </w:p>
    <w:p>
      <w:pPr>
        <w:pStyle w:val="18"/>
        <w:spacing w:line="360" w:lineRule="exact"/>
        <w:rPr>
          <w:rFonts w:hAnsi="宋体"/>
          <w:color w:val="auto"/>
          <w:sz w:val="24"/>
          <w:szCs w:val="24"/>
          <w:highlight w:val="none"/>
        </w:rPr>
      </w:pPr>
      <w:r>
        <w:rPr>
          <w:rFonts w:hAnsi="宋体"/>
          <w:color w:val="auto"/>
          <w:sz w:val="24"/>
          <w:szCs w:val="24"/>
          <w:highlight w:val="none"/>
        </w:rPr>
        <w:t xml:space="preserve">    我方认同招标文件规定的评审规则，遵守评标委员会的裁决结果，并且不会采取妨碍项目进展的行为。</w:t>
      </w:r>
    </w:p>
    <w:p>
      <w:pPr>
        <w:pStyle w:val="18"/>
        <w:spacing w:line="360" w:lineRule="exact"/>
        <w:rPr>
          <w:rFonts w:hAnsi="宋体"/>
          <w:color w:val="auto"/>
          <w:sz w:val="24"/>
          <w:szCs w:val="24"/>
          <w:highlight w:val="none"/>
        </w:rPr>
      </w:pPr>
      <w:r>
        <w:rPr>
          <w:rFonts w:hAnsi="宋体"/>
          <w:color w:val="auto"/>
          <w:sz w:val="24"/>
          <w:szCs w:val="24"/>
          <w:highlight w:val="none"/>
        </w:rPr>
        <w:t xml:space="preserve">    如果我方中标，将在合同规定的日期开工，并在竣工时间内，按照上述文件完成项目。</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除非制定正式合同协议书并生效，本投标书以及你方中标通知书，应构成你我双方间具有约束力的合同。</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我方保证投标材料及其后提供的一切材料都是真实的；</w:t>
      </w:r>
      <w:r>
        <w:rPr>
          <w:rFonts w:hint="eastAsia" w:hAnsi="宋体"/>
          <w:color w:val="auto"/>
          <w:sz w:val="24"/>
          <w:szCs w:val="24"/>
          <w:highlight w:val="none"/>
          <w:u w:val="single"/>
        </w:rPr>
        <w:t>在广州公共资源交易中心企业库登记</w:t>
      </w:r>
      <w:r>
        <w:rPr>
          <w:rFonts w:hint="eastAsia" w:hAnsi="宋体"/>
          <w:color w:val="auto"/>
          <w:sz w:val="24"/>
          <w:szCs w:val="24"/>
          <w:highlight w:val="none"/>
        </w:rPr>
        <w:t>的一切信息都是真实的、在有效期内的。若与事实不符，经查实，我方愿意接受公开通报，承担由此带来的法律后果，并自愿停止参加广州市行政辖区内的招标投标活动三个月。</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如我司成为本项目中标候选人，我司同意并授权招标人将我司投标文件商务部分的人员、业绩、奖项等资料进行公开。</w:t>
      </w:r>
    </w:p>
    <w:p>
      <w:pPr>
        <w:pStyle w:val="18"/>
        <w:spacing w:line="300" w:lineRule="auto"/>
        <w:rPr>
          <w:rFonts w:hAnsi="宋体"/>
          <w:color w:val="auto"/>
          <w:sz w:val="24"/>
          <w:szCs w:val="24"/>
          <w:highlight w:val="none"/>
        </w:rPr>
      </w:pPr>
      <w:r>
        <w:rPr>
          <w:rFonts w:hAnsi="宋体"/>
          <w:color w:val="auto"/>
          <w:sz w:val="24"/>
          <w:szCs w:val="24"/>
          <w:highlight w:val="none"/>
        </w:rPr>
        <w:t xml:space="preserve">    投标人：（盖章）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法定代表人：（签名或盖章）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委托代理人：（签名或盖章）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项目负责人：（签名或盖章）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地址：</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邮政编码：</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电话/传真：</w:t>
      </w:r>
      <w:r>
        <w:rPr>
          <w:rFonts w:hAnsi="宋体"/>
          <w:color w:val="auto"/>
          <w:sz w:val="24"/>
          <w:szCs w:val="24"/>
          <w:highlight w:val="none"/>
          <w:u w:val="single"/>
        </w:rPr>
        <w:t xml:space="preserve">                    /FAX              </w:t>
      </w:r>
    </w:p>
    <w:p>
      <w:pPr>
        <w:pStyle w:val="18"/>
        <w:spacing w:line="300" w:lineRule="auto"/>
        <w:rPr>
          <w:rFonts w:hAnsi="宋体"/>
          <w:color w:val="auto"/>
          <w:sz w:val="24"/>
          <w:szCs w:val="24"/>
          <w:highlight w:val="none"/>
        </w:rPr>
      </w:pPr>
      <w:r>
        <w:rPr>
          <w:rFonts w:hAnsi="宋体"/>
          <w:color w:val="auto"/>
          <w:sz w:val="24"/>
          <w:szCs w:val="24"/>
          <w:highlight w:val="none"/>
        </w:rPr>
        <w:t xml:space="preserve">    电子邮箱：</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开户银行名称、</w:t>
      </w:r>
      <w:r>
        <w:rPr>
          <w:rFonts w:hint="eastAsia" w:hAnsi="宋体"/>
          <w:color w:val="auto"/>
          <w:sz w:val="24"/>
          <w:szCs w:val="24"/>
          <w:highlight w:val="none"/>
        </w:rPr>
        <w:t>帐号：</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开户行地址/电话：</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日期：       年    月    日</w:t>
      </w:r>
    </w:p>
    <w:p>
      <w:pPr>
        <w:widowControl/>
        <w:spacing w:line="300" w:lineRule="auto"/>
        <w:jc w:val="left"/>
        <w:rPr>
          <w:rFonts w:ascii="宋体" w:hAnsi="宋体"/>
          <w:b/>
          <w:strike w:val="0"/>
          <w:color w:val="auto"/>
          <w:sz w:val="24"/>
          <w:highlight w:val="none"/>
        </w:rPr>
      </w:pPr>
      <w:r>
        <w:rPr>
          <w:rFonts w:ascii="宋体" w:hAnsi="宋体"/>
          <w:b/>
          <w:bCs/>
          <w:color w:val="auto"/>
          <w:sz w:val="24"/>
          <w:highlight w:val="none"/>
        </w:rPr>
        <w:br w:type="page"/>
      </w:r>
      <w:r>
        <w:rPr>
          <w:rFonts w:hint="eastAsia" w:ascii="宋体" w:hAnsi="宋体"/>
          <w:b/>
          <w:strike w:val="0"/>
          <w:color w:val="auto"/>
          <w:sz w:val="24"/>
          <w:highlight w:val="none"/>
        </w:rPr>
        <w:t>附录</w:t>
      </w:r>
      <w:r>
        <w:rPr>
          <w:rFonts w:ascii="宋体" w:hAnsi="宋体"/>
          <w:b/>
          <w:strike w:val="0"/>
          <w:color w:val="auto"/>
          <w:sz w:val="24"/>
          <w:highlight w:val="none"/>
        </w:rPr>
        <w:t>8</w:t>
      </w:r>
    </w:p>
    <w:p>
      <w:pPr>
        <w:jc w:val="center"/>
        <w:rPr>
          <w:rFonts w:ascii="宋体" w:hAnsi="宋体"/>
          <w:b/>
          <w:bCs/>
          <w:strike w:val="0"/>
          <w:color w:val="auto"/>
          <w:sz w:val="32"/>
          <w:highlight w:val="none"/>
        </w:rPr>
      </w:pPr>
    </w:p>
    <w:p>
      <w:pPr>
        <w:jc w:val="center"/>
        <w:rPr>
          <w:rFonts w:ascii="宋体" w:hAnsi="宋体"/>
          <w:strike w:val="0"/>
          <w:color w:val="auto"/>
          <w:sz w:val="24"/>
          <w:highlight w:val="none"/>
        </w:rPr>
      </w:pPr>
      <w:bookmarkStart w:id="14" w:name="联合体共同投标协议"/>
      <w:r>
        <w:rPr>
          <w:rFonts w:hint="eastAsia" w:ascii="宋体" w:hAnsi="宋体"/>
          <w:b/>
          <w:bCs/>
          <w:strike w:val="0"/>
          <w:color w:val="auto"/>
          <w:sz w:val="32"/>
          <w:highlight w:val="none"/>
        </w:rPr>
        <w:t>联合体共同投标协议</w:t>
      </w:r>
      <w:bookmarkEnd w:id="14"/>
    </w:p>
    <w:p>
      <w:pPr>
        <w:spacing w:line="360" w:lineRule="auto"/>
        <w:rPr>
          <w:rFonts w:ascii="宋体" w:hAnsi="宋体"/>
          <w:strike w:val="0"/>
          <w:color w:val="auto"/>
          <w:sz w:val="24"/>
          <w:highlight w:val="none"/>
        </w:rPr>
      </w:pPr>
    </w:p>
    <w:p>
      <w:pPr>
        <w:spacing w:line="360" w:lineRule="auto"/>
        <w:jc w:val="left"/>
        <w:rPr>
          <w:rFonts w:ascii="宋体" w:hAnsi="宋体"/>
          <w:strike w:val="0"/>
          <w:color w:val="auto"/>
          <w:sz w:val="24"/>
          <w:highlight w:val="none"/>
        </w:rPr>
      </w:pPr>
      <w:r>
        <w:rPr>
          <w:rFonts w:hint="eastAsia" w:ascii="宋体" w:hAnsi="宋体"/>
          <w:strike w:val="0"/>
          <w:color w:val="auto"/>
          <w:sz w:val="24"/>
          <w:highlight w:val="none"/>
        </w:rPr>
        <w:t>投标项目名称：</w:t>
      </w:r>
      <w:r>
        <w:rPr>
          <w:rFonts w:ascii="宋体" w:hAnsi="宋体"/>
          <w:strike w:val="0"/>
          <w:color w:val="auto"/>
          <w:sz w:val="24"/>
          <w:highlight w:val="none"/>
          <w:u w:val="single"/>
        </w:rPr>
        <w:t xml:space="preserve">                                           </w:t>
      </w:r>
      <w:r>
        <w:rPr>
          <w:rFonts w:hint="eastAsia" w:ascii="宋体" w:hAnsi="宋体"/>
          <w:strike w:val="0"/>
          <w:color w:val="auto"/>
          <w:sz w:val="24"/>
          <w:highlight w:val="none"/>
        </w:rPr>
        <w:t>。</w:t>
      </w:r>
    </w:p>
    <w:p>
      <w:pPr>
        <w:pStyle w:val="18"/>
        <w:spacing w:line="360" w:lineRule="auto"/>
        <w:rPr>
          <w:rFonts w:hAnsi="宋体"/>
          <w:strike w:val="0"/>
          <w:color w:val="auto"/>
          <w:sz w:val="24"/>
          <w:szCs w:val="24"/>
          <w:highlight w:val="none"/>
        </w:rPr>
      </w:pPr>
    </w:p>
    <w:p>
      <w:pPr>
        <w:pStyle w:val="18"/>
        <w:spacing w:line="360" w:lineRule="auto"/>
        <w:rPr>
          <w:rFonts w:hAnsi="宋体"/>
          <w:strike w:val="0"/>
          <w:color w:val="auto"/>
          <w:sz w:val="24"/>
          <w:szCs w:val="24"/>
          <w:highlight w:val="none"/>
        </w:rPr>
      </w:pPr>
      <w:r>
        <w:rPr>
          <w:rFonts w:hint="eastAsia" w:hAnsi="宋体"/>
          <w:strike w:val="0"/>
          <w:color w:val="auto"/>
          <w:sz w:val="24"/>
          <w:szCs w:val="24"/>
          <w:highlight w:val="none"/>
        </w:rPr>
        <w:t>致：</w:t>
      </w:r>
      <w:r>
        <w:rPr>
          <w:rFonts w:hAnsi="宋体"/>
          <w:strike w:val="0"/>
          <w:color w:val="auto"/>
          <w:sz w:val="24"/>
          <w:szCs w:val="24"/>
          <w:highlight w:val="none"/>
          <w:u w:val="single"/>
        </w:rPr>
        <w:t xml:space="preserve">                                    </w:t>
      </w:r>
      <w:r>
        <w:rPr>
          <w:rFonts w:hint="eastAsia" w:hAnsi="宋体"/>
          <w:strike w:val="0"/>
          <w:color w:val="auto"/>
          <w:sz w:val="24"/>
          <w:szCs w:val="24"/>
          <w:highlight w:val="none"/>
        </w:rPr>
        <w:t>（招标人、招标代理机构名称）</w:t>
      </w:r>
    </w:p>
    <w:p>
      <w:pPr>
        <w:spacing w:line="360" w:lineRule="auto"/>
        <w:jc w:val="left"/>
        <w:rPr>
          <w:rFonts w:ascii="宋体" w:hAnsi="宋体"/>
          <w:strike w:val="0"/>
          <w:color w:val="auto"/>
          <w:sz w:val="24"/>
          <w:highlight w:val="none"/>
        </w:rPr>
      </w:pP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rPr>
          <w:rFonts w:ascii="宋体" w:hAnsi="宋体"/>
          <w:strike w:val="0"/>
          <w:color w:val="auto"/>
          <w:sz w:val="24"/>
          <w:highlight w:val="none"/>
        </w:rPr>
      </w:pPr>
      <w:r>
        <w:rPr>
          <w:rFonts w:ascii="宋体" w:hAnsi="宋体"/>
          <w:strike w:val="0"/>
          <w:color w:val="auto"/>
          <w:sz w:val="24"/>
          <w:highlight w:val="none"/>
        </w:rPr>
        <w:t xml:space="preserve">    </w:t>
      </w:r>
    </w:p>
    <w:p>
      <w:pPr>
        <w:pStyle w:val="18"/>
        <w:spacing w:line="360" w:lineRule="auto"/>
        <w:rPr>
          <w:rFonts w:hAnsi="宋体"/>
          <w:strike w:val="0"/>
          <w:color w:val="auto"/>
          <w:sz w:val="24"/>
          <w:szCs w:val="24"/>
          <w:highlight w:val="none"/>
        </w:rPr>
      </w:pP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投标牵头人：（盖章）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法定代表人：（签名或盖章）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委托代理人：（签名或盖章）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地址：</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邮政编码：</w:t>
      </w:r>
      <w:r>
        <w:rPr>
          <w:rFonts w:hAnsi="宋体"/>
          <w:strike w:val="0"/>
          <w:color w:val="auto"/>
          <w:sz w:val="24"/>
          <w:szCs w:val="24"/>
          <w:highlight w:val="none"/>
          <w:u w:val="single"/>
        </w:rPr>
        <w:t xml:space="preserve">          </w:t>
      </w:r>
      <w:r>
        <w:rPr>
          <w:rFonts w:hint="eastAsia" w:hAnsi="宋体"/>
          <w:strike w:val="0"/>
          <w:color w:val="auto"/>
          <w:sz w:val="24"/>
          <w:szCs w:val="24"/>
          <w:highlight w:val="none"/>
        </w:rPr>
        <w:t>电话</w:t>
      </w:r>
      <w:r>
        <w:rPr>
          <w:rFonts w:hAnsi="宋体"/>
          <w:strike w:val="0"/>
          <w:color w:val="auto"/>
          <w:sz w:val="24"/>
          <w:szCs w:val="24"/>
          <w:highlight w:val="none"/>
        </w:rPr>
        <w:t>/传真：</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分工内容：</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联合体成员：（盖章）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法定代表人：（签名或盖章）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委托代理人：（签名或盖章）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地址：</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邮政编码：</w:t>
      </w:r>
      <w:r>
        <w:rPr>
          <w:rFonts w:hAnsi="宋体"/>
          <w:strike w:val="0"/>
          <w:color w:val="auto"/>
          <w:sz w:val="24"/>
          <w:szCs w:val="24"/>
          <w:highlight w:val="none"/>
          <w:u w:val="single"/>
        </w:rPr>
        <w:t xml:space="preserve">          </w:t>
      </w:r>
      <w:r>
        <w:rPr>
          <w:rFonts w:hint="eastAsia" w:hAnsi="宋体"/>
          <w:strike w:val="0"/>
          <w:color w:val="auto"/>
          <w:sz w:val="24"/>
          <w:szCs w:val="24"/>
          <w:highlight w:val="none"/>
        </w:rPr>
        <w:t>电话</w:t>
      </w:r>
      <w:r>
        <w:rPr>
          <w:rFonts w:hAnsi="宋体"/>
          <w:strike w:val="0"/>
          <w:color w:val="auto"/>
          <w:sz w:val="24"/>
          <w:szCs w:val="24"/>
          <w:highlight w:val="none"/>
        </w:rPr>
        <w:t>/传真：</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分工内容：</w:t>
      </w:r>
      <w:r>
        <w:rPr>
          <w:rFonts w:hAnsi="宋体"/>
          <w:strike w:val="0"/>
          <w:color w:val="auto"/>
          <w:sz w:val="24"/>
          <w:szCs w:val="24"/>
          <w:highlight w:val="none"/>
          <w:u w:val="single"/>
        </w:rPr>
        <w:t xml:space="preserve">                                                  </w:t>
      </w:r>
    </w:p>
    <w:p>
      <w:pPr>
        <w:spacing w:line="360" w:lineRule="auto"/>
        <w:rPr>
          <w:rFonts w:ascii="宋体" w:hAnsi="宋体"/>
          <w:strike w:val="0"/>
          <w:color w:val="auto"/>
          <w:sz w:val="24"/>
          <w:highlight w:val="none"/>
        </w:rPr>
      </w:pPr>
      <w:r>
        <w:rPr>
          <w:rFonts w:ascii="宋体" w:hAnsi="宋体"/>
          <w:strike w:val="0"/>
          <w:color w:val="auto"/>
          <w:sz w:val="24"/>
          <w:highlight w:val="none"/>
        </w:rPr>
        <w:t xml:space="preserve">                                 签订日期：       年    月    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法人证明书或法人授权委托书格式</w:t>
      </w:r>
      <w:r>
        <w:rPr>
          <w:rFonts w:ascii="宋体" w:hAnsi="宋体"/>
          <w:color w:val="auto"/>
          <w:sz w:val="24"/>
          <w:highlight w:val="none"/>
        </w:rPr>
        <w:t>：</w:t>
      </w:r>
      <w:r>
        <w:rPr>
          <w:rFonts w:hint="eastAsia" w:ascii="宋体" w:hAnsi="宋体"/>
          <w:color w:val="auto"/>
          <w:sz w:val="24"/>
          <w:highlight w:val="none"/>
        </w:rPr>
        <w:t>（原件放在正本上，副本可用复印件）</w:t>
      </w:r>
    </w:p>
    <w:p>
      <w:pPr>
        <w:spacing w:line="360" w:lineRule="auto"/>
        <w:jc w:val="both"/>
        <w:rPr>
          <w:rFonts w:ascii="宋体" w:hAnsi="宋体"/>
          <w:b/>
          <w:color w:val="auto"/>
          <w:sz w:val="28"/>
          <w:highlight w:val="none"/>
        </w:rPr>
      </w:pPr>
    </w:p>
    <w:p>
      <w:pPr>
        <w:spacing w:line="360" w:lineRule="auto"/>
        <w:jc w:val="center"/>
        <w:rPr>
          <w:rFonts w:ascii="宋体" w:hAnsi="宋体"/>
          <w:b/>
          <w:color w:val="auto"/>
          <w:sz w:val="28"/>
          <w:highlight w:val="none"/>
        </w:rPr>
      </w:pPr>
      <w:r>
        <w:rPr>
          <w:rFonts w:ascii="宋体" w:hAnsi="宋体"/>
          <w:b/>
          <w:color w:val="auto"/>
          <w:sz w:val="28"/>
          <w:highlight w:val="none"/>
        </w:rPr>
        <w:t>法定代表人</w:t>
      </w:r>
      <w:r>
        <w:rPr>
          <w:rFonts w:hint="eastAsia" w:ascii="宋体" w:hAnsi="宋体"/>
          <w:b/>
          <w:color w:val="auto"/>
          <w:sz w:val="28"/>
          <w:highlight w:val="none"/>
        </w:rPr>
        <w:t>（负责人）</w:t>
      </w:r>
      <w:r>
        <w:rPr>
          <w:rFonts w:ascii="宋体" w:hAnsi="宋体"/>
          <w:b/>
          <w:color w:val="auto"/>
          <w:sz w:val="28"/>
          <w:highlight w:val="none"/>
        </w:rPr>
        <w:t>证明书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9"/>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现任我单位</w:t>
            </w:r>
            <w:r>
              <w:rPr>
                <w:rFonts w:hint="eastAsia" w:ascii="宋体" w:hAnsi="宋体"/>
                <w:color w:val="auto"/>
                <w:sz w:val="24"/>
                <w:highlight w:val="none"/>
                <w:u w:val="single"/>
              </w:rPr>
              <w:t>　　　　　</w:t>
            </w:r>
            <w:r>
              <w:rPr>
                <w:rFonts w:hint="eastAsia" w:ascii="宋体" w:hAnsi="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附：法定代表人（负责人）性别：</w:t>
            </w:r>
            <w:r>
              <w:rPr>
                <w:rFonts w:hint="eastAsia" w:ascii="宋体" w:hAnsi="宋体"/>
                <w:color w:val="auto"/>
                <w:sz w:val="24"/>
                <w:highlight w:val="none"/>
                <w:u w:val="single"/>
              </w:rPr>
              <w:t>　　</w:t>
            </w:r>
            <w:r>
              <w:rPr>
                <w:rFonts w:hint="eastAsia" w:ascii="宋体" w:hAnsi="宋体"/>
                <w:color w:val="auto"/>
                <w:sz w:val="24"/>
                <w:highlight w:val="none"/>
              </w:rPr>
              <w:t>年龄：</w:t>
            </w:r>
            <w:r>
              <w:rPr>
                <w:rFonts w:hint="eastAsia" w:ascii="宋体" w:hAnsi="宋体"/>
                <w:color w:val="auto"/>
                <w:sz w:val="24"/>
                <w:highlight w:val="none"/>
                <w:u w:val="single"/>
              </w:rPr>
              <w:t>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hint="eastAsia" w:ascii="宋体" w:hAnsi="宋体"/>
                <w:color w:val="auto"/>
                <w:sz w:val="24"/>
                <w:highlight w:val="none"/>
                <w:u w:val="single"/>
              </w:rPr>
              <w:t>　　　　　　　　　　</w:t>
            </w:r>
            <w:r>
              <w:rPr>
                <w:rFonts w:hint="eastAsia" w:ascii="宋体" w:hAnsi="宋体"/>
                <w:color w:val="auto"/>
                <w:sz w:val="24"/>
                <w:highlight w:val="none"/>
              </w:rPr>
              <w:t>企业类型：</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　　　　　    年　月　　日</w:t>
            </w:r>
          </w:p>
        </w:tc>
      </w:tr>
    </w:tbl>
    <w:p>
      <w:pPr>
        <w:spacing w:line="360" w:lineRule="auto"/>
        <w:rPr>
          <w:rFonts w:ascii="宋体" w:hAnsi="宋体"/>
          <w:color w:val="auto"/>
          <w:sz w:val="24"/>
          <w:highlight w:val="none"/>
        </w:rPr>
      </w:pPr>
      <w:r>
        <w:rPr>
          <w:rFonts w:hint="eastAsia" w:ascii="宋体" w:hAnsi="宋体"/>
          <w:color w:val="auto"/>
          <w:sz w:val="24"/>
          <w:highlight w:val="none"/>
        </w:rPr>
        <w:t>注：法定代表人证明书也可以采用工商行政管理局统一印制的格式。</w:t>
      </w: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法定代表人授权委托</w:t>
      </w:r>
      <w:r>
        <w:rPr>
          <w:rFonts w:ascii="宋体" w:hAnsi="宋体"/>
          <w:b/>
          <w:color w:val="auto"/>
          <w:sz w:val="24"/>
          <w:highlight w:val="none"/>
        </w:rPr>
        <w:t>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9"/>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兹授权</w:t>
            </w:r>
            <w:r>
              <w:rPr>
                <w:rFonts w:ascii="宋体" w:hAnsi="宋体"/>
                <w:color w:val="auto"/>
                <w:sz w:val="24"/>
                <w:highlight w:val="none"/>
                <w:u w:val="single"/>
              </w:rPr>
              <w:t xml:space="preserve">                </w:t>
            </w:r>
            <w:r>
              <w:rPr>
                <w:rFonts w:hint="eastAsia" w:ascii="宋体" w:hAnsi="宋体"/>
                <w:color w:val="auto"/>
                <w:sz w:val="24"/>
                <w:highlight w:val="none"/>
              </w:rPr>
              <w:t>为我方委托代理人，其权限是：</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附：代理人性别：</w:t>
            </w:r>
            <w:r>
              <w:rPr>
                <w:rFonts w:ascii="宋体" w:hAnsi="宋体"/>
                <w:color w:val="auto"/>
                <w:sz w:val="24"/>
                <w:highlight w:val="none"/>
                <w:u w:val="single"/>
              </w:rPr>
              <w:t xml:space="preserve">     </w:t>
            </w:r>
            <w:r>
              <w:rPr>
                <w:rFonts w:hint="eastAsia" w:ascii="宋体" w:hAnsi="宋体"/>
                <w:color w:val="auto"/>
                <w:sz w:val="24"/>
                <w:highlight w:val="none"/>
              </w:rPr>
              <w:t>年龄：</w:t>
            </w:r>
            <w:r>
              <w:rPr>
                <w:rFonts w:ascii="宋体" w:hAnsi="宋体"/>
                <w:color w:val="auto"/>
                <w:sz w:val="24"/>
                <w:highlight w:val="none"/>
                <w:u w:val="single"/>
              </w:rPr>
              <w:t xml:space="preserve">     </w:t>
            </w:r>
            <w:r>
              <w:rPr>
                <w:rFonts w:hint="eastAsia" w:ascii="宋体" w:hAnsi="宋体"/>
                <w:color w:val="auto"/>
                <w:sz w:val="24"/>
                <w:highlight w:val="none"/>
              </w:rPr>
              <w:t>身份证号码：</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ascii="宋体" w:hAnsi="宋体"/>
                <w:color w:val="auto"/>
                <w:sz w:val="24"/>
                <w:highlight w:val="none"/>
                <w:u w:val="single"/>
              </w:rPr>
              <w:t xml:space="preserve">                  </w:t>
            </w:r>
            <w:r>
              <w:rPr>
                <w:rFonts w:hint="eastAsia" w:ascii="宋体" w:hAnsi="宋体"/>
                <w:color w:val="auto"/>
                <w:sz w:val="24"/>
                <w:highlight w:val="none"/>
              </w:rPr>
              <w:t>企业类型：</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法定代表人（负责人）：</w:t>
            </w:r>
            <w:r>
              <w:rPr>
                <w:rFonts w:ascii="宋体" w:hAnsi="宋体"/>
                <w:color w:val="auto"/>
                <w:sz w:val="24"/>
                <w:highlight w:val="none"/>
                <w:u w:val="single"/>
              </w:rPr>
              <w:t xml:space="preserve">                 </w:t>
            </w:r>
            <w:r>
              <w:rPr>
                <w:rFonts w:hint="eastAsia" w:ascii="宋体" w:hAnsi="宋体"/>
                <w:color w:val="auto"/>
                <w:sz w:val="24"/>
                <w:highlight w:val="none"/>
              </w:rPr>
              <w:t>（签名或盖章）</w:t>
            </w:r>
          </w:p>
          <w:p>
            <w:pPr>
              <w:spacing w:line="360" w:lineRule="auto"/>
              <w:rPr>
                <w:rFonts w:ascii="宋体" w:hAnsi="宋体"/>
                <w:color w:val="auto"/>
                <w:sz w:val="24"/>
                <w:highlight w:val="none"/>
              </w:rPr>
            </w:pPr>
            <w:r>
              <w:rPr>
                <w:rFonts w:hint="eastAsia" w:ascii="宋体" w:hAnsi="宋体"/>
                <w:color w:val="auto"/>
                <w:sz w:val="24"/>
                <w:highlight w:val="none"/>
              </w:rPr>
              <w:t>授权单位：（盖章）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5880" w:firstLineChars="2450"/>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rPr>
          <w:rFonts w:ascii="宋体" w:hAnsi="宋体"/>
          <w:color w:val="auto"/>
          <w:sz w:val="24"/>
          <w:highlight w:val="none"/>
        </w:rPr>
      </w:pPr>
      <w:r>
        <w:rPr>
          <w:rFonts w:hint="eastAsia" w:ascii="宋体" w:hAnsi="宋体"/>
          <w:color w:val="auto"/>
          <w:sz w:val="24"/>
          <w:highlight w:val="none"/>
        </w:rPr>
        <w:t>注：法定代表人授权委托书也可以采用工商行政管理局统一印制的格式。</w:t>
      </w:r>
    </w:p>
    <w:p>
      <w:pPr>
        <w:rPr>
          <w:rFonts w:ascii="宋体" w:hAnsi="宋体"/>
          <w:color w:val="auto"/>
          <w:sz w:val="24"/>
          <w:highlight w:val="none"/>
        </w:rPr>
      </w:pPr>
      <w:r>
        <w:rPr>
          <w:rFonts w:hint="eastAsia" w:ascii="宋体" w:hAnsi="宋体"/>
          <w:color w:val="auto"/>
          <w:sz w:val="24"/>
          <w:highlight w:val="none"/>
        </w:rPr>
        <w:t>后附法定代表人身份证原件清晰扫描件和委托代理人身份证原件清晰扫描件。</w:t>
      </w:r>
    </w:p>
    <w:p>
      <w:pPr>
        <w:outlineLvl w:val="1"/>
        <w:rPr>
          <w:rFonts w:hint="eastAsia" w:ascii="宋体" w:hAnsi="宋体"/>
          <w:b/>
          <w:color w:val="auto"/>
          <w:sz w:val="24"/>
          <w:highlight w:val="none"/>
        </w:rPr>
      </w:pPr>
      <w:bookmarkStart w:id="15" w:name="_Toc44943462"/>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b/>
          <w:color w:val="auto"/>
          <w:sz w:val="24"/>
          <w:highlight w:val="none"/>
        </w:rPr>
      </w:pPr>
      <w:r>
        <w:rPr>
          <w:rFonts w:hint="eastAsia" w:ascii="宋体" w:hAnsi="宋体"/>
          <w:b/>
          <w:color w:val="auto"/>
          <w:sz w:val="24"/>
          <w:highlight w:val="none"/>
        </w:rPr>
        <w:t>附录9</w:t>
      </w:r>
      <w:bookmarkEnd w:id="15"/>
    </w:p>
    <w:p>
      <w:pPr>
        <w:pStyle w:val="60"/>
        <w:outlineLvl w:val="9"/>
        <w:rPr>
          <w:color w:val="auto"/>
          <w:highlight w:val="none"/>
        </w:rPr>
      </w:pPr>
      <w:bookmarkStart w:id="16" w:name="_Toc44943463"/>
      <w:bookmarkStart w:id="17" w:name="投标人已完成项目情况"/>
      <w:r>
        <w:rPr>
          <w:rFonts w:hint="eastAsia"/>
          <w:color w:val="auto"/>
          <w:highlight w:val="none"/>
        </w:rPr>
        <w:t>投标人已完成项目情况</w:t>
      </w:r>
      <w:bookmarkEnd w:id="16"/>
    </w:p>
    <w:bookmarkEnd w:id="17"/>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857"/>
        <w:gridCol w:w="1857"/>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56" w:type="dxa"/>
            <w:vAlign w:val="center"/>
          </w:tcPr>
          <w:p>
            <w:pPr>
              <w:jc w:val="center"/>
              <w:rPr>
                <w:rFonts w:ascii="宋体" w:hAnsi="宋体"/>
                <w:color w:val="auto"/>
                <w:highlight w:val="none"/>
              </w:rPr>
            </w:pPr>
            <w:r>
              <w:rPr>
                <w:rFonts w:hint="eastAsia" w:ascii="宋体" w:hAnsi="宋体"/>
                <w:color w:val="auto"/>
                <w:highlight w:val="none"/>
              </w:rPr>
              <w:t>合同签订时间</w:t>
            </w:r>
          </w:p>
        </w:tc>
        <w:tc>
          <w:tcPr>
            <w:tcW w:w="1857" w:type="dxa"/>
            <w:vAlign w:val="center"/>
          </w:tcPr>
          <w:p>
            <w:pPr>
              <w:jc w:val="center"/>
              <w:rPr>
                <w:rFonts w:ascii="宋体" w:hAnsi="宋体"/>
                <w:color w:val="auto"/>
                <w:highlight w:val="none"/>
              </w:rPr>
            </w:pPr>
            <w:r>
              <w:rPr>
                <w:rFonts w:hint="eastAsia" w:ascii="宋体" w:hAnsi="宋体"/>
                <w:color w:val="auto"/>
                <w:highlight w:val="none"/>
              </w:rPr>
              <w:t>项目概况</w:t>
            </w:r>
          </w:p>
        </w:tc>
        <w:tc>
          <w:tcPr>
            <w:tcW w:w="1857" w:type="dxa"/>
            <w:vAlign w:val="center"/>
          </w:tcPr>
          <w:p>
            <w:pPr>
              <w:jc w:val="center"/>
              <w:rPr>
                <w:rFonts w:ascii="宋体" w:hAnsi="宋体"/>
                <w:color w:val="auto"/>
                <w:highlight w:val="none"/>
              </w:rPr>
            </w:pPr>
            <w:r>
              <w:rPr>
                <w:rFonts w:hint="eastAsia" w:ascii="宋体" w:hAnsi="宋体"/>
                <w:color w:val="auto"/>
                <w:highlight w:val="none"/>
              </w:rPr>
              <w:t>业主单位</w:t>
            </w:r>
          </w:p>
        </w:tc>
        <w:tc>
          <w:tcPr>
            <w:tcW w:w="1858" w:type="dxa"/>
            <w:vAlign w:val="center"/>
          </w:tcPr>
          <w:p>
            <w:pPr>
              <w:jc w:val="center"/>
              <w:rPr>
                <w:rFonts w:ascii="宋体" w:hAnsi="宋体"/>
                <w:color w:val="auto"/>
                <w:highlight w:val="none"/>
              </w:rPr>
            </w:pPr>
            <w:r>
              <w:rPr>
                <w:rFonts w:hint="eastAsia" w:ascii="宋体" w:hAnsi="宋体"/>
                <w:color w:val="auto"/>
                <w:highlight w:val="none"/>
              </w:rPr>
              <w:t>完成情况</w:t>
            </w:r>
          </w:p>
        </w:tc>
        <w:tc>
          <w:tcPr>
            <w:tcW w:w="1858" w:type="dxa"/>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bl>
    <w:p>
      <w:pPr>
        <w:spacing w:line="360" w:lineRule="auto"/>
        <w:jc w:val="left"/>
        <w:rPr>
          <w:rFonts w:hint="eastAsia" w:ascii="宋体" w:hAnsi="宋体"/>
          <w:color w:val="auto"/>
          <w:highlight w:val="none"/>
        </w:rPr>
      </w:pPr>
      <w:r>
        <w:rPr>
          <w:rFonts w:hint="eastAsia" w:ascii="宋体" w:hAnsi="宋体"/>
          <w:color w:val="auto"/>
          <w:highlight w:val="none"/>
        </w:rPr>
        <w:t>注：（1）设计类似业绩是指达到招标公告第1.2.3条（1）所述设计资质方能承接的类似的设计项目，需同时提供中标通知书或免招标的相关证明、设计合同及项目初步设计审查证明材料或初步设计会议评审纪要（或批复）或项目主体施工图审查证明材料（复印件），提供不全者不得分。如投标人参与评审的设计或勘察类似业绩为联合体形式完成的，投标人必须为承担类似设计业绩工作的一方，否则不得分（须提供合同或联合体协议书）。</w:t>
      </w:r>
    </w:p>
    <w:p>
      <w:pPr>
        <w:spacing w:line="360" w:lineRule="auto"/>
        <w:jc w:val="left"/>
        <w:rPr>
          <w:rFonts w:hint="eastAsia" w:ascii="宋体" w:hAnsi="宋体"/>
          <w:color w:val="auto"/>
          <w:highlight w:val="none"/>
        </w:rPr>
      </w:pPr>
      <w:r>
        <w:rPr>
          <w:rFonts w:hint="eastAsia" w:ascii="宋体" w:hAnsi="宋体"/>
          <w:color w:val="auto"/>
          <w:highlight w:val="none"/>
        </w:rPr>
        <w:t>（2）勘察类似业绩是指达到招标公告第1.2.3条（2）所述勘察资质方能承接的类似的勘察项目，需同时提供中标通知书或免招标的相关证明、勘察合同及项目初步设计审查证明材料或初步设计会议评审纪要（或批复）或项目主体施工图审查证明材料（复印件）或勘察成果主要页，提供不全者不得分。如投标人参与评审的设计或勘察类似业绩为联合体形式完成的，投标人必须为承担类似勘察业绩工作的一方，否则不得分（须提供合同或联合体协议书）。</w:t>
      </w:r>
    </w:p>
    <w:p>
      <w:pPr>
        <w:spacing w:line="360" w:lineRule="auto"/>
        <w:jc w:val="left"/>
        <w:rPr>
          <w:rFonts w:hint="eastAsia" w:ascii="宋体" w:hAnsi="宋体"/>
          <w:color w:val="auto"/>
          <w:highlight w:val="none"/>
        </w:rPr>
      </w:pPr>
      <w:r>
        <w:rPr>
          <w:rFonts w:hint="eastAsia" w:ascii="宋体" w:hAnsi="宋体"/>
          <w:color w:val="auto"/>
          <w:highlight w:val="none"/>
        </w:rPr>
        <w:t>（3）设计类似业绩时间以项目初步设计审查证明材料或初步设计会议评审纪要或项目主体施工图审查证明材料日期为准，勘察类似业绩时间以项目初步设计审查证明材料或初步设计会议评审纪要或项目主体施工图审查证明材料或勘察成果主要页日期为准（同一项目含勘察设计的满足上述要求各计算一次类似勘察和设计业绩）。</w:t>
      </w:r>
    </w:p>
    <w:p>
      <w:pPr>
        <w:spacing w:line="360" w:lineRule="auto"/>
        <w:jc w:val="left"/>
        <w:rPr>
          <w:rFonts w:hint="eastAsia" w:ascii="宋体" w:hAnsi="宋体"/>
          <w:color w:val="auto"/>
          <w:highlight w:val="none"/>
        </w:rPr>
      </w:pPr>
      <w:r>
        <w:rPr>
          <w:rFonts w:hint="eastAsia" w:ascii="宋体" w:hAnsi="宋体"/>
          <w:color w:val="auto"/>
          <w:highlight w:val="none"/>
        </w:rPr>
        <w:t>（4）项目概况包括：项目名称、项目等级、规模、建安费或总投资。</w:t>
      </w:r>
    </w:p>
    <w:p>
      <w:pPr>
        <w:spacing w:line="360" w:lineRule="auto"/>
        <w:jc w:val="left"/>
        <w:rPr>
          <w:rFonts w:hint="eastAsia" w:ascii="宋体" w:hAnsi="宋体"/>
          <w:color w:val="auto"/>
          <w:highlight w:val="none"/>
        </w:rPr>
      </w:pPr>
      <w:r>
        <w:rPr>
          <w:rFonts w:hint="eastAsia" w:ascii="宋体" w:hAnsi="宋体"/>
          <w:color w:val="auto"/>
          <w:highlight w:val="none"/>
        </w:rPr>
        <w:t>（5）完成情况：已完成施工图设计或已竣工。</w:t>
      </w:r>
    </w:p>
    <w:p>
      <w:pPr>
        <w:spacing w:line="360" w:lineRule="auto"/>
        <w:ind w:firstLine="0" w:firstLineChars="0"/>
        <w:jc w:val="left"/>
        <w:rPr>
          <w:rFonts w:ascii="宋体" w:hAnsi="宋体"/>
          <w:color w:val="auto"/>
          <w:highlight w:val="none"/>
        </w:rPr>
      </w:pPr>
      <w:r>
        <w:rPr>
          <w:rFonts w:hint="eastAsia" w:ascii="宋体" w:hAnsi="宋体"/>
          <w:color w:val="auto"/>
          <w:highlight w:val="none"/>
        </w:rPr>
        <w:t>（6）投标人所提供的证明材料，应如实反映出各设计项目的建设规模，如里程、等级、桥梁跨径、长度等相关数据及履约评价。</w:t>
      </w:r>
    </w:p>
    <w:p>
      <w:pPr>
        <w:outlineLvl w:val="9"/>
        <w:rPr>
          <w:rFonts w:hint="eastAsia" w:ascii="宋体" w:hAnsi="宋体"/>
          <w:b/>
          <w:color w:val="auto"/>
          <w:sz w:val="24"/>
          <w:highlight w:val="none"/>
        </w:rPr>
      </w:pPr>
      <w:bookmarkStart w:id="18" w:name="_Toc44943465"/>
    </w:p>
    <w:p>
      <w:pPr>
        <w:outlineLvl w:val="9"/>
        <w:rPr>
          <w:rFonts w:hint="eastAsia" w:ascii="宋体" w:hAnsi="宋体"/>
          <w:b/>
          <w:color w:val="auto"/>
          <w:sz w:val="24"/>
          <w:highlight w:val="none"/>
        </w:rPr>
      </w:pPr>
    </w:p>
    <w:p>
      <w:pPr>
        <w:outlineLvl w:val="9"/>
        <w:rPr>
          <w:rFonts w:hint="eastAsia" w:ascii="宋体" w:hAnsi="宋体"/>
          <w:b/>
          <w:color w:val="auto"/>
          <w:sz w:val="24"/>
          <w:highlight w:val="none"/>
        </w:rPr>
      </w:pPr>
    </w:p>
    <w:p>
      <w:pPr>
        <w:outlineLvl w:val="9"/>
        <w:rPr>
          <w:rFonts w:ascii="宋体" w:hAnsi="宋体"/>
          <w:b/>
          <w:color w:val="auto"/>
          <w:sz w:val="24"/>
          <w:highlight w:val="none"/>
        </w:rPr>
      </w:pPr>
      <w:r>
        <w:rPr>
          <w:rFonts w:hint="eastAsia" w:ascii="宋体" w:hAnsi="宋体"/>
          <w:b/>
          <w:color w:val="auto"/>
          <w:sz w:val="24"/>
          <w:highlight w:val="none"/>
        </w:rPr>
        <w:t>附录10</w:t>
      </w:r>
      <w:bookmarkEnd w:id="18"/>
    </w:p>
    <w:p>
      <w:pPr>
        <w:jc w:val="center"/>
        <w:rPr>
          <w:b/>
          <w:color w:val="auto"/>
          <w:sz w:val="32"/>
          <w:szCs w:val="32"/>
          <w:highlight w:val="none"/>
        </w:rPr>
      </w:pPr>
      <w:bookmarkStart w:id="19" w:name="_Toc44943466"/>
      <w:bookmarkStart w:id="20" w:name="本项目拟投入的人员基本情况表"/>
      <w:r>
        <w:rPr>
          <w:rFonts w:hint="eastAsia"/>
          <w:b/>
          <w:color w:val="auto"/>
          <w:sz w:val="32"/>
          <w:szCs w:val="32"/>
          <w:highlight w:val="none"/>
        </w:rPr>
        <w:t>本项目拟投入的人员基本情况表</w:t>
      </w:r>
      <w:bookmarkEnd w:id="19"/>
      <w:bookmarkEnd w:id="20"/>
    </w:p>
    <w:tbl>
      <w:tblPr>
        <w:tblStyle w:val="29"/>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494"/>
        <w:gridCol w:w="1450"/>
        <w:gridCol w:w="1494"/>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341" w:type="dxa"/>
            <w:vAlign w:val="center"/>
          </w:tcPr>
          <w:p>
            <w:pPr>
              <w:jc w:val="center"/>
              <w:rPr>
                <w:rFonts w:ascii="宋体" w:hAnsi="宋体"/>
                <w:color w:val="auto"/>
                <w:highlight w:val="none"/>
              </w:rPr>
            </w:pPr>
            <w:r>
              <w:rPr>
                <w:rFonts w:hint="eastAsia" w:ascii="宋体" w:hAnsi="宋体"/>
                <w:color w:val="auto"/>
                <w:highlight w:val="none"/>
              </w:rPr>
              <w:t>人员安排</w:t>
            </w:r>
          </w:p>
        </w:tc>
        <w:tc>
          <w:tcPr>
            <w:tcW w:w="1494" w:type="dxa"/>
            <w:vAlign w:val="center"/>
          </w:tcPr>
          <w:p>
            <w:pPr>
              <w:jc w:val="center"/>
              <w:rPr>
                <w:rFonts w:ascii="宋体" w:hAnsi="宋体"/>
                <w:color w:val="auto"/>
                <w:highlight w:val="none"/>
              </w:rPr>
            </w:pPr>
            <w:r>
              <w:rPr>
                <w:rFonts w:hint="eastAsia" w:ascii="宋体" w:hAnsi="宋体"/>
                <w:color w:val="auto"/>
                <w:highlight w:val="none"/>
              </w:rPr>
              <w:t>姓</w:t>
            </w:r>
            <w:r>
              <w:rPr>
                <w:rFonts w:ascii="宋体" w:hAnsi="宋体"/>
                <w:color w:val="auto"/>
                <w:highlight w:val="none"/>
              </w:rPr>
              <w:t xml:space="preserve"> </w:t>
            </w:r>
            <w:r>
              <w:rPr>
                <w:rFonts w:hint="eastAsia" w:ascii="宋体" w:hAnsi="宋体"/>
                <w:color w:val="auto"/>
                <w:highlight w:val="none"/>
              </w:rPr>
              <w:t>名</w:t>
            </w:r>
          </w:p>
        </w:tc>
        <w:tc>
          <w:tcPr>
            <w:tcW w:w="1450" w:type="dxa"/>
            <w:vAlign w:val="center"/>
          </w:tcPr>
          <w:p>
            <w:pPr>
              <w:jc w:val="center"/>
              <w:rPr>
                <w:rFonts w:ascii="宋体" w:hAnsi="宋体"/>
                <w:color w:val="auto"/>
                <w:highlight w:val="none"/>
              </w:rPr>
            </w:pPr>
            <w:r>
              <w:rPr>
                <w:rFonts w:hint="eastAsia" w:ascii="宋体" w:hAnsi="宋体"/>
                <w:color w:val="auto"/>
                <w:highlight w:val="none"/>
              </w:rPr>
              <w:t>年龄</w:t>
            </w:r>
          </w:p>
        </w:tc>
        <w:tc>
          <w:tcPr>
            <w:tcW w:w="1494" w:type="dxa"/>
            <w:vAlign w:val="center"/>
          </w:tcPr>
          <w:p>
            <w:pPr>
              <w:jc w:val="center"/>
              <w:rPr>
                <w:rFonts w:ascii="宋体" w:hAnsi="宋体"/>
                <w:color w:val="auto"/>
                <w:highlight w:val="none"/>
              </w:rPr>
            </w:pPr>
            <w:r>
              <w:rPr>
                <w:rFonts w:hint="eastAsia" w:ascii="宋体" w:hAnsi="宋体"/>
                <w:color w:val="auto"/>
                <w:highlight w:val="none"/>
              </w:rPr>
              <w:t>所学专业</w:t>
            </w:r>
          </w:p>
        </w:tc>
        <w:tc>
          <w:tcPr>
            <w:tcW w:w="2503" w:type="dxa"/>
            <w:vAlign w:val="center"/>
          </w:tcPr>
          <w:p>
            <w:pPr>
              <w:jc w:val="center"/>
              <w:rPr>
                <w:rFonts w:ascii="宋体" w:hAnsi="宋体"/>
                <w:color w:val="auto"/>
                <w:highlight w:val="none"/>
              </w:rPr>
            </w:pPr>
            <w:r>
              <w:rPr>
                <w:rFonts w:hint="eastAsia" w:ascii="宋体" w:hAnsi="宋体"/>
                <w:color w:val="auto"/>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rPr>
              <w:t>项目负责人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rPr>
              <w:t>桥梁专业负责人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highlight w:val="none"/>
              </w:rPr>
            </w:pPr>
            <w:r>
              <w:rPr>
                <w:rFonts w:hint="eastAsia" w:ascii="宋体" w:hAnsi="宋体"/>
                <w:color w:val="auto"/>
                <w:highlight w:val="none"/>
              </w:rPr>
              <w:t>桥梁专业设计人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rPr>
              <w:t>结构专业负责人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val="0"/>
                <w:color w:val="auto"/>
                <w:highlight w:val="none"/>
              </w:rPr>
              <w:t>结构</w:t>
            </w:r>
            <w:r>
              <w:rPr>
                <w:rFonts w:hint="eastAsia" w:ascii="宋体" w:hAnsi="宋体"/>
                <w:color w:val="auto"/>
                <w:highlight w:val="none"/>
              </w:rPr>
              <w:t>专业设计人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lang w:val="en-US" w:eastAsia="zh-CN"/>
              </w:rPr>
              <w:t>勘察</w:t>
            </w:r>
            <w:r>
              <w:rPr>
                <w:rFonts w:hint="eastAsia" w:ascii="宋体" w:hAnsi="宋体"/>
                <w:b/>
                <w:color w:val="auto"/>
                <w:highlight w:val="none"/>
              </w:rPr>
              <w:t>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highlight w:val="none"/>
              </w:rPr>
            </w:pPr>
            <w:r>
              <w:rPr>
                <w:rFonts w:hint="eastAsia" w:ascii="宋体" w:hAnsi="宋体" w:eastAsia="宋体"/>
                <w:b w:val="0"/>
                <w:color w:val="auto"/>
                <w:highlight w:val="none"/>
                <w:lang w:val="en-US" w:eastAsia="zh-CN"/>
              </w:rPr>
              <w:t>勘察</w:t>
            </w:r>
            <w:r>
              <w:rPr>
                <w:rFonts w:hint="eastAsia" w:ascii="宋体" w:hAnsi="宋体" w:eastAsia="宋体"/>
                <w:color w:val="auto"/>
                <w:highlight w:val="none"/>
              </w:rPr>
              <w:t>专业设</w:t>
            </w:r>
            <w:r>
              <w:rPr>
                <w:rFonts w:hint="eastAsia" w:ascii="宋体" w:hAnsi="宋体"/>
                <w:color w:val="auto"/>
                <w:highlight w:val="none"/>
              </w:rPr>
              <w:t>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bCs/>
                <w:color w:val="auto"/>
                <w:highlight w:val="none"/>
              </w:rPr>
            </w:pPr>
            <w:r>
              <w:rPr>
                <w:rFonts w:hint="eastAsia" w:ascii="宋体" w:hAnsi="宋体"/>
                <w:b/>
                <w:color w:val="auto"/>
                <w:highlight w:val="none"/>
                <w:lang w:val="en-US" w:eastAsia="zh-CN"/>
              </w:rPr>
              <w:t>测量专业负责人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highlight w:val="none"/>
              </w:rPr>
            </w:pPr>
            <w:r>
              <w:rPr>
                <w:rFonts w:hint="eastAsia" w:ascii="宋体" w:hAnsi="宋体"/>
                <w:b w:val="0"/>
                <w:color w:val="auto"/>
                <w:highlight w:val="none"/>
                <w:lang w:val="en-US" w:eastAsia="zh-CN"/>
              </w:rPr>
              <w:t>测量专业设计人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eastAsia="宋体" w:cs="Times New Roman"/>
                <w:b/>
                <w:bCs/>
                <w:color w:val="auto"/>
                <w:kern w:val="2"/>
                <w:sz w:val="21"/>
                <w:szCs w:val="24"/>
                <w:highlight w:val="none"/>
                <w:lang w:val="en-US" w:eastAsia="zh-CN" w:bidi="ar-SA"/>
              </w:rPr>
            </w:pPr>
            <w:r>
              <w:rPr>
                <w:rFonts w:hint="eastAsia" w:ascii="宋体" w:hAnsi="宋体"/>
                <w:b/>
                <w:color w:val="auto"/>
                <w:highlight w:val="none"/>
                <w:lang w:val="en-US" w:eastAsia="zh-CN"/>
              </w:rPr>
              <w:t>造价</w:t>
            </w:r>
            <w:r>
              <w:rPr>
                <w:rFonts w:hint="eastAsia" w:ascii="宋体" w:hAnsi="宋体"/>
                <w:b/>
                <w:bCs/>
                <w:color w:val="auto"/>
                <w:highlight w:val="none"/>
              </w:rPr>
              <w:t>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b w:val="0"/>
                <w:color w:val="auto"/>
                <w:highlight w:val="none"/>
                <w:lang w:val="en-US" w:eastAsia="zh-CN"/>
              </w:rPr>
              <w:t>造价</w:t>
            </w:r>
            <w:r>
              <w:rPr>
                <w:rFonts w:hint="eastAsia" w:ascii="宋体" w:hAnsi="宋体" w:eastAsia="宋体"/>
                <w:color w:val="auto"/>
                <w:highlight w:val="none"/>
              </w:rPr>
              <w:t>专业</w:t>
            </w:r>
            <w:r>
              <w:rPr>
                <w:rFonts w:hint="eastAsia" w:ascii="宋体" w:hAnsi="宋体"/>
                <w:color w:val="auto"/>
                <w:highlight w:val="none"/>
              </w:rPr>
              <w:t>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hint="eastAsia" w:ascii="宋体" w:hAnsi="宋体" w:eastAsia="宋体" w:cs="Times New Roman"/>
                <w:b/>
                <w:bCs/>
                <w:color w:val="auto"/>
                <w:kern w:val="2"/>
                <w:sz w:val="21"/>
                <w:szCs w:val="24"/>
                <w:highlight w:val="none"/>
                <w:lang w:val="en-US" w:eastAsia="zh-CN" w:bidi="ar-SA"/>
              </w:rPr>
            </w:pPr>
            <w:r>
              <w:rPr>
                <w:rFonts w:hint="eastAsia" w:ascii="宋体" w:hAnsi="宋体"/>
                <w:b/>
                <w:color w:val="auto"/>
                <w:highlight w:val="none"/>
                <w:lang w:val="en-US" w:eastAsia="zh-CN"/>
              </w:rPr>
              <w:t>......</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bl>
    <w:p>
      <w:pPr>
        <w:spacing w:line="360" w:lineRule="auto"/>
        <w:jc w:val="left"/>
        <w:rPr>
          <w:rFonts w:ascii="宋体" w:hAnsi="宋体"/>
          <w:color w:val="auto"/>
          <w:sz w:val="24"/>
          <w:highlight w:val="none"/>
        </w:rPr>
      </w:pPr>
      <w:r>
        <w:rPr>
          <w:rFonts w:hint="eastAsia" w:ascii="宋体" w:hAnsi="宋体"/>
          <w:color w:val="auto"/>
          <w:sz w:val="24"/>
          <w:highlight w:val="none"/>
        </w:rPr>
        <w:t>注：①投标人应根据招标文件要求和招标项目的实际需要，如表所示列出项目负责人及各专业负责人。</w:t>
      </w:r>
    </w:p>
    <w:p>
      <w:pPr>
        <w:numPr>
          <w:ilvl w:val="255"/>
          <w:numId w:val="0"/>
        </w:numPr>
        <w:spacing w:line="360" w:lineRule="auto"/>
        <w:ind w:firstLine="480" w:firstLineChars="200"/>
        <w:jc w:val="left"/>
        <w:rPr>
          <w:rFonts w:ascii="宋体" w:hAnsi="宋体"/>
          <w:b/>
          <w:color w:val="auto"/>
          <w:sz w:val="24"/>
          <w:highlight w:val="none"/>
        </w:rPr>
      </w:pPr>
      <w:r>
        <w:rPr>
          <w:rFonts w:hint="eastAsia" w:ascii="宋体" w:hAnsi="宋体"/>
          <w:color w:val="auto"/>
          <w:sz w:val="24"/>
          <w:highlight w:val="none"/>
        </w:rPr>
        <w:t>②投标人应按本表所列的项目负责人和专业负责人填写资历表。</w:t>
      </w:r>
      <w:r>
        <w:rPr>
          <w:rFonts w:hint="eastAsia" w:ascii="宋体" w:hAnsi="宋体"/>
          <w:b/>
          <w:color w:val="auto"/>
          <w:sz w:val="24"/>
          <w:highlight w:val="none"/>
        </w:rPr>
        <w:t>资历表格式自拟，内容包含但不限于学历、所学专业、在本项目拟任职等等。（需附上身份证、职称证</w:t>
      </w:r>
      <w:r>
        <w:rPr>
          <w:rFonts w:hint="eastAsia" w:ascii="宋体" w:hAnsi="宋体"/>
          <w:b/>
          <w:color w:val="auto"/>
          <w:sz w:val="24"/>
          <w:highlight w:val="none"/>
          <w:lang w:eastAsia="zh-CN"/>
        </w:rPr>
        <w:t>扫描件</w:t>
      </w:r>
      <w:r>
        <w:rPr>
          <w:rFonts w:hint="eastAsia" w:ascii="宋体" w:hAnsi="宋体"/>
          <w:b/>
          <w:color w:val="auto"/>
          <w:sz w:val="24"/>
          <w:highlight w:val="none"/>
        </w:rPr>
        <w:t>、类似项目须附合同</w:t>
      </w:r>
      <w:r>
        <w:rPr>
          <w:rFonts w:hint="eastAsia" w:ascii="宋体" w:hAnsi="宋体"/>
          <w:b/>
          <w:color w:val="auto"/>
          <w:sz w:val="24"/>
          <w:highlight w:val="none"/>
          <w:lang w:eastAsia="zh-CN"/>
        </w:rPr>
        <w:t>扫描件</w:t>
      </w:r>
      <w:r>
        <w:rPr>
          <w:rFonts w:hint="eastAsia" w:ascii="宋体" w:hAnsi="宋体"/>
          <w:b/>
          <w:color w:val="auto"/>
          <w:sz w:val="24"/>
          <w:highlight w:val="none"/>
        </w:rPr>
        <w:t>；）</w:t>
      </w:r>
    </w:p>
    <w:p>
      <w:pPr>
        <w:numPr>
          <w:ilvl w:val="255"/>
          <w:numId w:val="0"/>
        </w:numPr>
        <w:spacing w:line="360" w:lineRule="auto"/>
        <w:ind w:firstLine="480" w:firstLineChars="200"/>
        <w:jc w:val="left"/>
        <w:rPr>
          <w:color w:val="auto"/>
          <w:sz w:val="24"/>
          <w:highlight w:val="none"/>
        </w:rPr>
      </w:pPr>
      <w:r>
        <w:rPr>
          <w:rFonts w:hint="eastAsia" w:ascii="宋体" w:hAnsi="宋体"/>
          <w:color w:val="auto"/>
          <w:sz w:val="24"/>
          <w:highlight w:val="none"/>
        </w:rPr>
        <w:t>③投标人拟投入的人员应为本单位人员，并提供本表所列人员</w:t>
      </w:r>
      <w:r>
        <w:rPr>
          <w:rFonts w:hint="eastAsia" w:ascii="宋体" w:hAnsi="宋体"/>
          <w:color w:val="auto"/>
          <w:sz w:val="24"/>
          <w:highlight w:val="none"/>
          <w:lang w:eastAsia="zh-CN"/>
        </w:rPr>
        <w:t>2023年6月</w:t>
      </w:r>
      <w:r>
        <w:rPr>
          <w:rFonts w:hint="eastAsia" w:ascii="宋体" w:hAnsi="宋体"/>
          <w:color w:val="auto"/>
          <w:sz w:val="24"/>
          <w:highlight w:val="none"/>
        </w:rPr>
        <w:t>的有效的社保证明。</w:t>
      </w:r>
    </w:p>
    <w:p>
      <w:pPr>
        <w:widowControl/>
        <w:jc w:val="left"/>
        <w:rPr>
          <w:rFonts w:ascii="宋体" w:hAnsi="宋体"/>
          <w:b/>
          <w:bCs/>
          <w:color w:val="auto"/>
          <w:sz w:val="24"/>
          <w:highlight w:val="none"/>
        </w:rPr>
      </w:pPr>
      <w:r>
        <w:rPr>
          <w:rFonts w:ascii="宋体" w:hAnsi="宋体"/>
          <w:b/>
          <w:bCs/>
          <w:color w:val="auto"/>
          <w:sz w:val="24"/>
          <w:highlight w:val="none"/>
        </w:rPr>
        <w:br w:type="page"/>
      </w:r>
    </w:p>
    <w:p>
      <w:pPr>
        <w:spacing w:line="360" w:lineRule="auto"/>
        <w:outlineLvl w:val="1"/>
        <w:rPr>
          <w:rFonts w:ascii="宋体" w:hAnsi="宋体"/>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11</w:t>
      </w:r>
      <w:r>
        <w:rPr>
          <w:rFonts w:hint="eastAsia" w:ascii="宋体" w:hAnsi="宋体"/>
          <w:color w:val="auto"/>
          <w:sz w:val="24"/>
          <w:highlight w:val="none"/>
        </w:rPr>
        <w:t>（本页接收投标文件时使用，结束时收回存档备查）</w:t>
      </w:r>
    </w:p>
    <w:p>
      <w:pPr>
        <w:spacing w:line="360" w:lineRule="auto"/>
        <w:jc w:val="center"/>
        <w:rPr>
          <w:rFonts w:ascii="宋体" w:hAnsi="宋体"/>
          <w:b/>
          <w:bCs/>
          <w:color w:val="auto"/>
          <w:sz w:val="24"/>
          <w:highlight w:val="none"/>
        </w:rPr>
      </w:pPr>
      <w:bookmarkStart w:id="21" w:name="投标文件光盘（备用）接收记录表格"/>
      <w:r>
        <w:rPr>
          <w:rFonts w:hint="eastAsia" w:ascii="宋体" w:hAnsi="宋体"/>
          <w:b/>
          <w:bCs/>
          <w:color w:val="auto"/>
          <w:sz w:val="32"/>
          <w:highlight w:val="none"/>
        </w:rPr>
        <w:t>投标文件光盘（备用）接收记录表格</w:t>
      </w:r>
    </w:p>
    <w:bookmarkEnd w:id="21"/>
    <w:tbl>
      <w:tblPr>
        <w:tblStyle w:val="29"/>
        <w:tblW w:w="87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0"/>
        <w:gridCol w:w="1822"/>
        <w:gridCol w:w="1558"/>
        <w:gridCol w:w="1620"/>
        <w:gridCol w:w="1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840" w:type="dxa"/>
            <w:vAlign w:val="center"/>
          </w:tcPr>
          <w:p>
            <w:pPr>
              <w:jc w:val="center"/>
              <w:rPr>
                <w:rFonts w:ascii="宋体" w:hAnsi="宋体"/>
                <w:bCs/>
                <w:color w:val="auto"/>
                <w:sz w:val="24"/>
                <w:highlight w:val="none"/>
              </w:rPr>
            </w:pPr>
            <w:r>
              <w:rPr>
                <w:rFonts w:hint="eastAsia" w:ascii="宋体" w:hAnsi="宋体"/>
                <w:bCs/>
                <w:color w:val="auto"/>
                <w:sz w:val="24"/>
                <w:highlight w:val="none"/>
              </w:rPr>
              <w:t>序号</w:t>
            </w:r>
          </w:p>
        </w:tc>
        <w:tc>
          <w:tcPr>
            <w:tcW w:w="1822"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投标人名称</w:t>
            </w:r>
          </w:p>
        </w:tc>
        <w:tc>
          <w:tcPr>
            <w:tcW w:w="1558"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投标文件</w:t>
            </w:r>
          </w:p>
          <w:p>
            <w:pPr>
              <w:jc w:val="center"/>
              <w:rPr>
                <w:rFonts w:ascii="宋体" w:hAnsi="宋体"/>
                <w:bCs/>
                <w:color w:val="auto"/>
                <w:sz w:val="24"/>
                <w:highlight w:val="none"/>
              </w:rPr>
            </w:pPr>
            <w:r>
              <w:rPr>
                <w:rFonts w:hint="eastAsia" w:ascii="宋体" w:hAnsi="宋体"/>
                <w:bCs/>
                <w:color w:val="auto"/>
                <w:sz w:val="24"/>
                <w:highlight w:val="none"/>
              </w:rPr>
              <w:t>接收情况</w:t>
            </w:r>
          </w:p>
        </w:tc>
        <w:tc>
          <w:tcPr>
            <w:tcW w:w="1620"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投标人代表</w:t>
            </w:r>
          </w:p>
          <w:p>
            <w:pPr>
              <w:jc w:val="center"/>
              <w:rPr>
                <w:rFonts w:ascii="宋体" w:hAnsi="宋体"/>
                <w:bCs/>
                <w:color w:val="auto"/>
                <w:sz w:val="24"/>
                <w:highlight w:val="none"/>
              </w:rPr>
            </w:pPr>
            <w:r>
              <w:rPr>
                <w:rFonts w:hint="eastAsia" w:ascii="宋体" w:hAnsi="宋体"/>
                <w:bCs/>
                <w:color w:val="auto"/>
                <w:sz w:val="24"/>
                <w:highlight w:val="none"/>
              </w:rPr>
              <w:t>签名</w:t>
            </w:r>
          </w:p>
        </w:tc>
        <w:tc>
          <w:tcPr>
            <w:tcW w:w="1940" w:type="dxa"/>
            <w:vAlign w:val="center"/>
          </w:tcPr>
          <w:p>
            <w:pPr>
              <w:jc w:val="center"/>
              <w:rPr>
                <w:rFonts w:ascii="宋体" w:hAnsi="宋体"/>
                <w:bCs/>
                <w:color w:val="auto"/>
                <w:sz w:val="24"/>
                <w:highlight w:val="none"/>
              </w:rPr>
            </w:pPr>
            <w:r>
              <w:rPr>
                <w:rFonts w:hint="eastAsia" w:ascii="宋体" w:hAnsi="宋体"/>
                <w:bCs/>
                <w:color w:val="auto"/>
                <w:sz w:val="24"/>
                <w:highlight w:val="none"/>
              </w:rPr>
              <w:t>手机号码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bl>
    <w:p>
      <w:pPr>
        <w:spacing w:line="360" w:lineRule="auto"/>
        <w:rPr>
          <w:rFonts w:ascii="宋体" w:hAnsi="宋体"/>
          <w:color w:val="auto"/>
          <w:sz w:val="24"/>
          <w:highlight w:val="none"/>
        </w:rPr>
      </w:pPr>
      <w:r>
        <w:rPr>
          <w:rFonts w:hint="eastAsia" w:ascii="宋体" w:hAnsi="宋体"/>
          <w:color w:val="auto"/>
          <w:sz w:val="24"/>
          <w:highlight w:val="none"/>
        </w:rPr>
        <w:t>为方便联络，请</w:t>
      </w:r>
      <w:r>
        <w:rPr>
          <w:rFonts w:hint="eastAsia" w:ascii="宋体" w:hAnsi="宋体"/>
          <w:bCs/>
          <w:color w:val="auto"/>
          <w:sz w:val="24"/>
          <w:highlight w:val="none"/>
        </w:rPr>
        <w:t>投标人代表的手机保持开启状态。</w:t>
      </w:r>
    </w:p>
    <w:p>
      <w:pPr>
        <w:spacing w:line="360" w:lineRule="auto"/>
        <w:rPr>
          <w:rFonts w:ascii="宋体" w:hAnsi="宋体"/>
          <w:color w:val="auto"/>
          <w:sz w:val="24"/>
          <w:highlight w:val="none"/>
        </w:rPr>
      </w:pPr>
      <w:r>
        <w:rPr>
          <w:rFonts w:hint="eastAsia" w:ascii="宋体" w:hAnsi="宋体"/>
          <w:color w:val="auto"/>
          <w:sz w:val="24"/>
          <w:highlight w:val="none"/>
        </w:rPr>
        <w:t>代理机构代表：            见证人：           日期：      年    月    日</w:t>
      </w:r>
    </w:p>
    <w:p>
      <w:pPr>
        <w:pStyle w:val="18"/>
        <w:jc w:val="center"/>
        <w:rPr>
          <w:rFonts w:hAnsi="宋体"/>
          <w:b/>
          <w:color w:val="auto"/>
          <w:sz w:val="32"/>
          <w:highlight w:val="none"/>
        </w:rPr>
      </w:pPr>
    </w:p>
    <w:p>
      <w:pPr>
        <w:pStyle w:val="18"/>
        <w:jc w:val="center"/>
        <w:rPr>
          <w:rFonts w:hAnsi="宋体"/>
          <w:b/>
          <w:color w:val="auto"/>
          <w:sz w:val="32"/>
          <w:highlight w:val="none"/>
        </w:rPr>
      </w:pPr>
    </w:p>
    <w:p>
      <w:pPr>
        <w:spacing w:line="360" w:lineRule="auto"/>
        <w:rPr>
          <w:rFonts w:ascii="宋体" w:hAnsi="宋体"/>
          <w:b/>
          <w:bCs/>
          <w:color w:val="auto"/>
          <w:sz w:val="24"/>
          <w:highlight w:val="none"/>
        </w:rPr>
        <w:sectPr>
          <w:pgSz w:w="11906" w:h="16838"/>
          <w:pgMar w:top="1418" w:right="1418" w:bottom="1418" w:left="1418" w:header="851" w:footer="992" w:gutter="0"/>
          <w:pgNumType w:fmt="decimal"/>
          <w:cols w:space="720" w:num="1"/>
          <w:docGrid w:linePitch="312" w:charSpace="0"/>
        </w:sectPr>
      </w:pPr>
    </w:p>
    <w:p>
      <w:pPr>
        <w:spacing w:line="360" w:lineRule="auto"/>
        <w:outlineLvl w:val="1"/>
        <w:rPr>
          <w:rFonts w:ascii="宋体"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12</w:t>
      </w:r>
    </w:p>
    <w:p>
      <w:pPr>
        <w:rPr>
          <w:rFonts w:ascii="宋体" w:hAnsi="宋体"/>
          <w:color w:val="auto"/>
          <w:highlight w:val="none"/>
        </w:rPr>
      </w:pPr>
    </w:p>
    <w:p>
      <w:pPr>
        <w:pStyle w:val="18"/>
        <w:jc w:val="center"/>
        <w:rPr>
          <w:rFonts w:hAnsi="宋体"/>
          <w:b/>
          <w:color w:val="auto"/>
          <w:sz w:val="32"/>
          <w:highlight w:val="none"/>
        </w:rPr>
      </w:pPr>
      <w:bookmarkStart w:id="22" w:name="_Toc44943470"/>
      <w:bookmarkStart w:id="23" w:name="资格审查表"/>
      <w:r>
        <w:rPr>
          <w:rFonts w:hint="eastAsia" w:hAnsi="宋体"/>
          <w:b/>
          <w:color w:val="auto"/>
          <w:sz w:val="32"/>
          <w:highlight w:val="none"/>
        </w:rPr>
        <w:t>资格审查表</w:t>
      </w:r>
      <w:bookmarkEnd w:id="22"/>
    </w:p>
    <w:bookmarkEnd w:id="23"/>
    <w:p>
      <w:pPr>
        <w:pStyle w:val="18"/>
        <w:rPr>
          <w:rFonts w:hAnsi="宋体"/>
          <w:b/>
          <w:color w:val="auto"/>
          <w:sz w:val="32"/>
          <w:highlight w:val="none"/>
        </w:rPr>
      </w:pPr>
      <w:r>
        <w:rPr>
          <w:rFonts w:hint="eastAsia" w:hAnsi="宋体"/>
          <w:color w:val="auto"/>
          <w:highlight w:val="none"/>
        </w:rPr>
        <w:t>项目名称：</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860"/>
        <w:gridCol w:w="1260"/>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4860" w:type="dxa"/>
            <w:tcBorders>
              <w:tl2br w:val="single" w:color="auto" w:sz="4" w:space="0"/>
            </w:tcBorders>
          </w:tcPr>
          <w:p>
            <w:pPr>
              <w:pStyle w:val="18"/>
              <w:jc w:val="center"/>
              <w:rPr>
                <w:color w:val="auto"/>
                <w:kern w:val="2"/>
                <w:sz w:val="21"/>
                <w:szCs w:val="21"/>
                <w:highlight w:val="none"/>
              </w:rPr>
            </w:pPr>
            <w:r>
              <w:rPr>
                <w:rFonts w:hint="eastAsia"/>
                <w:color w:val="auto"/>
                <w:kern w:val="2"/>
                <w:sz w:val="21"/>
                <w:szCs w:val="21"/>
                <w:highlight w:val="none"/>
              </w:rPr>
              <w:t xml:space="preserve">                      投标人名称</w:t>
            </w:r>
          </w:p>
          <w:p>
            <w:pPr>
              <w:pStyle w:val="18"/>
              <w:rPr>
                <w:rFonts w:hAnsi="宋体"/>
                <w:b/>
                <w:color w:val="auto"/>
                <w:kern w:val="2"/>
                <w:sz w:val="21"/>
                <w:szCs w:val="21"/>
                <w:highlight w:val="none"/>
              </w:rPr>
            </w:pPr>
            <w:r>
              <w:rPr>
                <w:rFonts w:hint="eastAsia"/>
                <w:color w:val="auto"/>
                <w:kern w:val="2"/>
                <w:sz w:val="21"/>
                <w:szCs w:val="21"/>
                <w:highlight w:val="none"/>
              </w:rPr>
              <w:t>审查项目</w:t>
            </w:r>
          </w:p>
        </w:tc>
        <w:tc>
          <w:tcPr>
            <w:tcW w:w="1260" w:type="dxa"/>
          </w:tcPr>
          <w:p>
            <w:pPr>
              <w:pStyle w:val="18"/>
              <w:jc w:val="center"/>
              <w:rPr>
                <w:rFonts w:hAnsi="宋体"/>
                <w:b/>
                <w:color w:val="auto"/>
                <w:kern w:val="2"/>
                <w:sz w:val="32"/>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1</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申请人参加投标的意思表达清楚，投标人代表被授权有效。</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2</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企业营业执照满足招标文件规定。</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3</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企业资质证书满足招标文件规定。</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4</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项目负责人职称证书满足招标文件规定。</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5</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满足招标公告第1.2</w:t>
            </w:r>
            <w:r>
              <w:rPr>
                <w:rFonts w:hint="eastAsia"/>
                <w:color w:val="auto"/>
                <w:kern w:val="2"/>
                <w:sz w:val="21"/>
                <w:szCs w:val="21"/>
                <w:highlight w:val="none"/>
                <w:lang w:val="en-US" w:eastAsia="zh-CN"/>
              </w:rPr>
              <w:t>.</w:t>
            </w:r>
            <w:r>
              <w:rPr>
                <w:rFonts w:hint="eastAsia"/>
                <w:color w:val="auto"/>
                <w:kern w:val="2"/>
                <w:sz w:val="21"/>
                <w:szCs w:val="21"/>
                <w:highlight w:val="none"/>
              </w:rPr>
              <w:t>6及1.2.1</w:t>
            </w:r>
            <w:r>
              <w:rPr>
                <w:rFonts w:hint="eastAsia"/>
                <w:color w:val="auto"/>
                <w:kern w:val="2"/>
                <w:sz w:val="21"/>
                <w:szCs w:val="21"/>
                <w:highlight w:val="none"/>
                <w:lang w:val="en-US" w:eastAsia="zh-CN"/>
              </w:rPr>
              <w:t>0</w:t>
            </w:r>
            <w:r>
              <w:rPr>
                <w:rFonts w:hint="eastAsia"/>
                <w:color w:val="auto"/>
                <w:kern w:val="2"/>
                <w:sz w:val="21"/>
                <w:szCs w:val="21"/>
                <w:highlight w:val="none"/>
              </w:rPr>
              <w:t>条（资格审查合格条件）评审要求资料。</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6</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投标人没有处于广州建设行政主管部门取消投标资格的处罚期内</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结论</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是否通过并进入下一阶段评审</w:t>
            </w:r>
          </w:p>
        </w:tc>
        <w:tc>
          <w:tcPr>
            <w:tcW w:w="1260" w:type="dxa"/>
          </w:tcPr>
          <w:p>
            <w:pPr>
              <w:pStyle w:val="18"/>
              <w:jc w:val="center"/>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bl>
    <w:p>
      <w:pPr>
        <w:tabs>
          <w:tab w:val="left" w:pos="720"/>
        </w:tabs>
        <w:snapToGrid w:val="0"/>
        <w:spacing w:before="120"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20" w:beforeLines="50"/>
        <w:ind w:left="840" w:leftChars="300" w:hanging="210" w:hangingChars="1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20"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20"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rPr>
          <w:rFonts w:ascii="宋体" w:hAnsi="宋体"/>
          <w:color w:val="auto"/>
          <w:highlight w:val="none"/>
        </w:rPr>
        <w:sectPr>
          <w:type w:val="nextColumn"/>
          <w:pgSz w:w="11906" w:h="16838"/>
          <w:pgMar w:top="1418" w:right="1418" w:bottom="1418" w:left="1418" w:header="851" w:footer="992" w:gutter="0"/>
          <w:pgNumType w:fmt="decimal"/>
          <w:cols w:space="720" w:num="1"/>
          <w:docGrid w:linePitch="312" w:charSpace="0"/>
        </w:sectPr>
      </w:pPr>
      <w:r>
        <w:rPr>
          <w:rFonts w:hint="eastAsia"/>
          <w:color w:val="auto"/>
          <w:szCs w:val="21"/>
          <w:highlight w:val="none"/>
        </w:rPr>
        <w:t>评委签名：                     日期：</w:t>
      </w:r>
    </w:p>
    <w:p>
      <w:pPr>
        <w:spacing w:line="360" w:lineRule="auto"/>
        <w:outlineLvl w:val="1"/>
        <w:rPr>
          <w:rFonts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13</w:t>
      </w:r>
    </w:p>
    <w:p>
      <w:pPr>
        <w:pStyle w:val="18"/>
        <w:jc w:val="center"/>
        <w:rPr>
          <w:rFonts w:hAnsi="宋体"/>
          <w:b/>
          <w:color w:val="auto"/>
          <w:sz w:val="32"/>
          <w:highlight w:val="none"/>
        </w:rPr>
      </w:pPr>
      <w:bookmarkStart w:id="24" w:name="_Toc44943472"/>
      <w:bookmarkStart w:id="25" w:name="商务文件有效性审查表"/>
      <w:r>
        <w:rPr>
          <w:rFonts w:hint="eastAsia" w:hAnsi="宋体"/>
          <w:b/>
          <w:color w:val="auto"/>
          <w:sz w:val="32"/>
          <w:highlight w:val="none"/>
        </w:rPr>
        <w:t>商务文件有效性审查表</w:t>
      </w:r>
      <w:bookmarkEnd w:id="24"/>
    </w:p>
    <w:bookmarkEnd w:id="25"/>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9"/>
        <w:tblW w:w="13965" w:type="dxa"/>
        <w:tblInd w:w="3" w:type="dxa"/>
        <w:tblLayout w:type="fixed"/>
        <w:tblCellMar>
          <w:top w:w="0" w:type="dxa"/>
          <w:left w:w="108" w:type="dxa"/>
          <w:bottom w:w="0" w:type="dxa"/>
          <w:right w:w="108" w:type="dxa"/>
        </w:tblCellMar>
      </w:tblPr>
      <w:tblGrid>
        <w:gridCol w:w="525"/>
        <w:gridCol w:w="6208"/>
        <w:gridCol w:w="1423"/>
        <w:gridCol w:w="1389"/>
        <w:gridCol w:w="1517"/>
        <w:gridCol w:w="1465"/>
        <w:gridCol w:w="1438"/>
      </w:tblGrid>
      <w:tr>
        <w:tblPrEx>
          <w:tblCellMar>
            <w:top w:w="0" w:type="dxa"/>
            <w:left w:w="108" w:type="dxa"/>
            <w:bottom w:w="0" w:type="dxa"/>
            <w:right w:w="108" w:type="dxa"/>
          </w:tblCellMar>
        </w:tblPrEx>
        <w:trPr>
          <w:trHeight w:val="535"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6208"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投标单位</w:t>
            </w:r>
          </w:p>
          <w:p>
            <w:pPr>
              <w:rPr>
                <w:rFonts w:ascii="宋体" w:hAnsi="宋体"/>
                <w:color w:val="auto"/>
                <w:szCs w:val="21"/>
                <w:highlight w:val="none"/>
              </w:rPr>
            </w:pPr>
            <w:r>
              <w:rPr>
                <w:rFonts w:hint="eastAsia" w:ascii="宋体" w:hAnsi="宋体"/>
                <w:color w:val="auto"/>
                <w:szCs w:val="21"/>
                <w:highlight w:val="none"/>
              </w:rPr>
              <w:t>审查项目</w:t>
            </w:r>
          </w:p>
        </w:tc>
        <w:tc>
          <w:tcPr>
            <w:tcW w:w="1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78"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投标人未与招标人、评标委员会成员或者其他投标人串通投标</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15"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投标人未与其他投标人加密打包投标文件电脑机器特征码一致的。</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1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投标保证金满足招标文件规定。</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9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 xml:space="preserve">《投标书》加盖投标人公章 </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p>
            <w:pPr>
              <w:jc w:val="cente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《投标书》经法定代表人或者其授权代表签名。</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《投标书》未包含有招标人不能接受的偏差，并且投标人拒绝书面撤回偏差。</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《投标书》按招标文件规定的格式填写，未出现内容不全或者关键字迹模糊无法辨认的。</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证明材料没有弄虚作假者。</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按第三章投标文件编制要求编制的投标文件。</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按照要求对投标文件进行澄清、说明或者补正的。</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r>
              <w:rPr>
                <w:rFonts w:hint="eastAsia" w:ascii="宋体" w:hAnsi="宋体"/>
                <w:strike w:val="0"/>
                <w:color w:val="auto"/>
                <w:szCs w:val="21"/>
                <w:highlight w:val="none"/>
              </w:rPr>
              <w:t>11</w:t>
            </w:r>
          </w:p>
        </w:tc>
        <w:tc>
          <w:tcPr>
            <w:tcW w:w="6208" w:type="dxa"/>
            <w:tcBorders>
              <w:top w:val="single" w:color="auto" w:sz="4" w:space="0"/>
              <w:left w:val="single" w:color="auto" w:sz="4" w:space="0"/>
              <w:bottom w:val="single" w:color="auto" w:sz="4" w:space="0"/>
              <w:right w:val="single" w:color="auto" w:sz="4" w:space="0"/>
            </w:tcBorders>
            <w:vAlign w:val="center"/>
          </w:tcPr>
          <w:p>
            <w:pPr>
              <w:rPr>
                <w:strike w:val="0"/>
                <w:color w:val="auto"/>
                <w:szCs w:val="21"/>
                <w:highlight w:val="none"/>
              </w:rPr>
            </w:pPr>
            <w:r>
              <w:rPr>
                <w:rFonts w:hint="eastAsia"/>
                <w:strike w:val="0"/>
                <w:color w:val="auto"/>
                <w:szCs w:val="21"/>
                <w:highlight w:val="none"/>
              </w:rPr>
              <w:t>按照招标文件要求填报勘察设计费报价表。</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r>
              <w:rPr>
                <w:rFonts w:hint="eastAsia" w:ascii="宋体" w:hAnsi="宋体"/>
                <w:strike w:val="0"/>
                <w:color w:val="auto"/>
                <w:szCs w:val="21"/>
                <w:highlight w:val="none"/>
              </w:rPr>
              <w:t>12</w:t>
            </w:r>
          </w:p>
        </w:tc>
        <w:tc>
          <w:tcPr>
            <w:tcW w:w="6208" w:type="dxa"/>
            <w:tcBorders>
              <w:top w:val="single" w:color="auto" w:sz="4" w:space="0"/>
              <w:left w:val="single" w:color="auto" w:sz="4" w:space="0"/>
              <w:bottom w:val="single" w:color="auto" w:sz="4" w:space="0"/>
              <w:right w:val="single" w:color="auto" w:sz="4" w:space="0"/>
            </w:tcBorders>
            <w:vAlign w:val="center"/>
          </w:tcPr>
          <w:p>
            <w:pPr>
              <w:rPr>
                <w:strike w:val="0"/>
                <w:color w:val="auto"/>
                <w:szCs w:val="21"/>
                <w:highlight w:val="none"/>
              </w:rPr>
            </w:pPr>
            <w:r>
              <w:rPr>
                <w:rFonts w:hint="eastAsia"/>
                <w:strike w:val="0"/>
                <w:color w:val="auto"/>
                <w:szCs w:val="21"/>
                <w:highlight w:val="none"/>
              </w:rPr>
              <w:t>以联合体形式投标的，已按要求向招标人提交了共同投标协议。</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62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color w:val="auto"/>
                <w:szCs w:val="21"/>
                <w:highlight w:val="none"/>
              </w:rPr>
              <w:t>是否通过并进入下一阶段评审</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tabs>
          <w:tab w:val="left" w:pos="720"/>
        </w:tabs>
        <w:snapToGrid w:val="0"/>
        <w:spacing w:before="120" w:beforeLines="50" w:line="200" w:lineRule="exact"/>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20" w:beforeLines="50" w:line="200" w:lineRule="exact"/>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2、表中出现一个或以上“否”，即该投标人的评审“结论”为“是”，即该投标人不进入下一阶段评审</w:t>
      </w:r>
      <w:r>
        <w:rPr>
          <w:rFonts w:hint="eastAsia"/>
          <w:color w:val="auto"/>
          <w:sz w:val="24"/>
          <w:highlight w:val="none"/>
        </w:rPr>
        <w:t>。</w:t>
      </w:r>
    </w:p>
    <w:p>
      <w:pPr>
        <w:tabs>
          <w:tab w:val="left" w:pos="720"/>
        </w:tabs>
        <w:snapToGrid w:val="0"/>
        <w:spacing w:before="120" w:beforeLines="50" w:line="200" w:lineRule="exact"/>
        <w:ind w:firstLine="630" w:firstLineChars="300"/>
        <w:rPr>
          <w:rFonts w:ascii="宋体" w:hAnsi="Courier New"/>
          <w:color w:val="auto"/>
          <w:szCs w:val="21"/>
          <w:highlight w:val="none"/>
        </w:rPr>
      </w:pPr>
      <w:r>
        <w:rPr>
          <w:rFonts w:hint="eastAsia" w:ascii="宋体" w:hAnsi="Courier New"/>
          <w:color w:val="auto"/>
          <w:szCs w:val="21"/>
          <w:highlight w:val="none"/>
        </w:rPr>
        <w:t>3、表中结论为“是”，视为同意进入下一阶段评审。</w:t>
      </w:r>
    </w:p>
    <w:p>
      <w:pPr>
        <w:tabs>
          <w:tab w:val="left" w:pos="720"/>
        </w:tabs>
        <w:snapToGrid w:val="0"/>
        <w:spacing w:before="120" w:beforeLines="50" w:line="200" w:lineRule="exact"/>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spacing w:line="200" w:lineRule="exact"/>
        <w:rPr>
          <w:color w:val="auto"/>
          <w:szCs w:val="21"/>
          <w:highlight w:val="none"/>
        </w:rPr>
      </w:pPr>
      <w:r>
        <w:rPr>
          <w:rFonts w:hint="eastAsia"/>
          <w:color w:val="auto"/>
          <w:szCs w:val="21"/>
          <w:highlight w:val="none"/>
        </w:rPr>
        <w:t>评委签名：                     日期：</w:t>
      </w:r>
    </w:p>
    <w:p>
      <w:pPr>
        <w:widowControl/>
        <w:jc w:val="left"/>
        <w:rPr>
          <w:rFonts w:ascii="宋体" w:hAnsi="宋体"/>
          <w:b/>
          <w:bCs/>
          <w:color w:val="auto"/>
          <w:kern w:val="0"/>
          <w:sz w:val="24"/>
          <w:szCs w:val="20"/>
          <w:highlight w:val="none"/>
        </w:rPr>
      </w:pPr>
      <w:bookmarkStart w:id="26" w:name="_Toc44943473"/>
      <w:r>
        <w:rPr>
          <w:rFonts w:hAnsi="宋体"/>
          <w:b/>
          <w:bCs/>
          <w:color w:val="auto"/>
          <w:sz w:val="24"/>
          <w:highlight w:val="none"/>
        </w:rPr>
        <w:br w:type="page"/>
      </w:r>
    </w:p>
    <w:p>
      <w:pPr>
        <w:spacing w:line="360" w:lineRule="auto"/>
        <w:outlineLvl w:val="1"/>
        <w:rPr>
          <w:rFonts w:ascii="宋体"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14（适用于综合评分法）</w:t>
      </w:r>
      <w:bookmarkEnd w:id="26"/>
    </w:p>
    <w:p>
      <w:pPr>
        <w:spacing w:line="360" w:lineRule="auto"/>
        <w:jc w:val="center"/>
        <w:rPr>
          <w:rFonts w:ascii="宋体" w:hAnsi="宋体"/>
          <w:b/>
          <w:bCs/>
          <w:color w:val="auto"/>
          <w:sz w:val="24"/>
          <w:highlight w:val="none"/>
        </w:rPr>
      </w:pPr>
      <w:bookmarkStart w:id="27" w:name="_Toc44943474"/>
      <w:bookmarkStart w:id="28" w:name="商务文件综合评分表"/>
      <w:r>
        <w:rPr>
          <w:rFonts w:hint="eastAsia" w:ascii="宋体" w:hAnsi="宋体"/>
          <w:b/>
          <w:bCs/>
          <w:color w:val="auto"/>
          <w:sz w:val="24"/>
          <w:highlight w:val="none"/>
        </w:rPr>
        <w:t>商务文件综合评分表</w:t>
      </w:r>
      <w:bookmarkEnd w:id="27"/>
    </w:p>
    <w:bookmarkEnd w:id="28"/>
    <w:p>
      <w:pPr>
        <w:spacing w:line="300" w:lineRule="auto"/>
        <w:jc w:val="left"/>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lang w:eastAsia="zh-CN"/>
        </w:rPr>
        <w:t>城维计划-桥梁中修专项经费-八条重要市政道路及开创立交独柱墩桥梁加固工程勘察设计项目</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cs="宋体"/>
          <w:color w:val="auto"/>
          <w:sz w:val="24"/>
          <w:szCs w:val="24"/>
          <w:highlight w:val="none"/>
          <w:lang w:val="zh-CN"/>
        </w:rPr>
        <w:t>投标单位名称：</w:t>
      </w:r>
      <w:r>
        <w:rPr>
          <w:rFonts w:hint="eastAsia" w:ascii="宋体" w:hAnsi="宋体"/>
          <w:color w:val="auto"/>
          <w:sz w:val="24"/>
          <w:highlight w:val="none"/>
          <w:u w:val="single"/>
        </w:rPr>
        <w:t xml:space="preserve">                                   </w:t>
      </w:r>
    </w:p>
    <w:tbl>
      <w:tblPr>
        <w:tblStyle w:val="29"/>
        <w:tblW w:w="13687" w:type="dxa"/>
        <w:tblInd w:w="108" w:type="dxa"/>
        <w:tblLayout w:type="fixed"/>
        <w:tblCellMar>
          <w:top w:w="0" w:type="dxa"/>
          <w:left w:w="108" w:type="dxa"/>
          <w:bottom w:w="0" w:type="dxa"/>
          <w:right w:w="108" w:type="dxa"/>
        </w:tblCellMar>
      </w:tblPr>
      <w:tblGrid>
        <w:gridCol w:w="540"/>
        <w:gridCol w:w="897"/>
        <w:gridCol w:w="1394"/>
        <w:gridCol w:w="9857"/>
        <w:gridCol w:w="999"/>
      </w:tblGrid>
      <w:tr>
        <w:tblPrEx>
          <w:tblCellMar>
            <w:top w:w="0" w:type="dxa"/>
            <w:left w:w="108" w:type="dxa"/>
            <w:bottom w:w="0" w:type="dxa"/>
            <w:right w:w="108" w:type="dxa"/>
          </w:tblCellMar>
        </w:tblPrEx>
        <w:trPr>
          <w:trHeight w:val="445"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序号</w:t>
            </w:r>
          </w:p>
        </w:tc>
        <w:tc>
          <w:tcPr>
            <w:tcW w:w="8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项目</w:t>
            </w:r>
          </w:p>
        </w:tc>
        <w:tc>
          <w:tcPr>
            <w:tcW w:w="13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分值分配</w:t>
            </w:r>
          </w:p>
        </w:tc>
        <w:tc>
          <w:tcPr>
            <w:tcW w:w="9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内</w:t>
            </w:r>
            <w:r>
              <w:rPr>
                <w:color w:val="auto"/>
                <w:szCs w:val="21"/>
                <w:highlight w:val="none"/>
              </w:rPr>
              <w:t xml:space="preserve">     </w:t>
            </w:r>
            <w:r>
              <w:rPr>
                <w:rFonts w:hint="eastAsia" w:ascii="宋体" w:cs="宋体"/>
                <w:color w:val="auto"/>
                <w:szCs w:val="21"/>
                <w:highlight w:val="none"/>
                <w:lang w:val="zh-CN"/>
              </w:rPr>
              <w:t>容</w:t>
            </w:r>
          </w:p>
        </w:tc>
        <w:tc>
          <w:tcPr>
            <w:tcW w:w="9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r>
              <w:rPr>
                <w:color w:val="auto"/>
                <w:szCs w:val="21"/>
                <w:highlight w:val="none"/>
                <w:lang w:val="zh-CN"/>
              </w:rPr>
              <w:t>得分</w:t>
            </w:r>
          </w:p>
        </w:tc>
      </w:tr>
      <w:tr>
        <w:tblPrEx>
          <w:tblCellMar>
            <w:top w:w="0" w:type="dxa"/>
            <w:left w:w="108" w:type="dxa"/>
            <w:bottom w:w="0" w:type="dxa"/>
            <w:right w:w="108" w:type="dxa"/>
          </w:tblCellMar>
        </w:tblPrEx>
        <w:trPr>
          <w:trHeight w:val="1461"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rFonts w:hint="eastAsia" w:eastAsia="宋体"/>
                <w:color w:val="auto"/>
                <w:szCs w:val="21"/>
                <w:highlight w:val="none"/>
                <w:lang w:eastAsia="zh-CN"/>
              </w:rPr>
            </w:pPr>
            <w:r>
              <w:rPr>
                <w:rFonts w:hint="eastAsia" w:ascii="宋体" w:cs="宋体"/>
                <w:color w:val="auto"/>
                <w:szCs w:val="21"/>
                <w:highlight w:val="none"/>
                <w:lang w:val="en-US" w:eastAsia="zh-CN"/>
              </w:rPr>
              <w:t>一</w:t>
            </w:r>
          </w:p>
        </w:tc>
        <w:tc>
          <w:tcPr>
            <w:tcW w:w="8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企业</w:t>
            </w:r>
          </w:p>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类似</w:t>
            </w:r>
          </w:p>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业绩</w:t>
            </w:r>
          </w:p>
        </w:tc>
        <w:tc>
          <w:tcPr>
            <w:tcW w:w="13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en-US" w:eastAsia="zh-CN"/>
              </w:rPr>
              <w:t>30</w:t>
            </w:r>
            <w:r>
              <w:rPr>
                <w:rFonts w:ascii="宋体" w:hAnsi="宋体" w:cs="宋体"/>
                <w:color w:val="auto"/>
                <w:szCs w:val="21"/>
                <w:highlight w:val="none"/>
                <w:lang w:val="zh-CN"/>
              </w:rPr>
              <w:t>]</w:t>
            </w:r>
          </w:p>
        </w:tc>
        <w:tc>
          <w:tcPr>
            <w:tcW w:w="9857" w:type="dxa"/>
            <w:tcBorders>
              <w:top w:val="single" w:color="auto" w:sz="6" w:space="0"/>
              <w:left w:val="single" w:color="auto" w:sz="6" w:space="0"/>
              <w:right w:val="single" w:color="auto" w:sz="6" w:space="0"/>
            </w:tcBorders>
            <w:noWrap w:val="0"/>
            <w:vAlign w:val="center"/>
          </w:tcPr>
          <w:p>
            <w:pPr>
              <w:autoSpaceDE w:val="0"/>
              <w:autoSpaceDN w:val="0"/>
              <w:adjustRightInd w:val="0"/>
              <w:spacing w:line="300" w:lineRule="auto"/>
              <w:rPr>
                <w:rFonts w:hint="eastAsia" w:ascii="Times New Roman" w:cs="Times New Roman"/>
                <w:color w:val="auto"/>
                <w:szCs w:val="21"/>
                <w:highlight w:val="none"/>
                <w:lang w:val="zh-CN"/>
              </w:rPr>
            </w:pPr>
            <w:r>
              <w:rPr>
                <w:rFonts w:hint="eastAsia" w:ascii="宋体" w:cs="宋体"/>
                <w:color w:val="auto"/>
                <w:szCs w:val="21"/>
                <w:highlight w:val="none"/>
              </w:rPr>
              <w:t>投标人（若为联合体，指承担勘察任务的成员）</w:t>
            </w:r>
            <w:r>
              <w:rPr>
                <w:rFonts w:hint="eastAsia" w:ascii="Times New Roman" w:cs="Times New Roman"/>
                <w:color w:val="auto"/>
                <w:szCs w:val="21"/>
                <w:highlight w:val="none"/>
                <w:lang w:val="zh-CN"/>
              </w:rPr>
              <w:t>近</w:t>
            </w:r>
            <w:r>
              <w:rPr>
                <w:rFonts w:hint="eastAsia" w:ascii="Times New Roman" w:cs="Times New Roman"/>
                <w:color w:val="auto"/>
                <w:szCs w:val="21"/>
                <w:highlight w:val="none"/>
                <w:u w:val="none"/>
                <w:lang w:val="zh-CN" w:eastAsia="zh-CN"/>
              </w:rPr>
              <w:t>5</w:t>
            </w:r>
            <w:r>
              <w:rPr>
                <w:rFonts w:hint="eastAsia" w:ascii="Times New Roman" w:cs="Times New Roman"/>
                <w:color w:val="auto"/>
                <w:szCs w:val="21"/>
                <w:highlight w:val="none"/>
                <w:u w:val="none"/>
                <w:lang w:val="zh-CN"/>
              </w:rPr>
              <w:t>年内勘察</w:t>
            </w:r>
            <w:r>
              <w:rPr>
                <w:rFonts w:hint="eastAsia" w:ascii="Times New Roman" w:cs="Times New Roman"/>
                <w:color w:val="auto"/>
                <w:szCs w:val="21"/>
                <w:highlight w:val="none"/>
                <w:lang w:val="zh-CN"/>
              </w:rPr>
              <w:t>对应类似业绩：有类似</w:t>
            </w:r>
            <w:r>
              <w:rPr>
                <w:rFonts w:hint="eastAsia" w:ascii="Times New Roman" w:cs="Times New Roman"/>
                <w:color w:val="auto"/>
                <w:szCs w:val="21"/>
                <w:highlight w:val="none"/>
                <w:u w:val="none"/>
                <w:lang w:val="zh-CN"/>
              </w:rPr>
              <w:t>勘察</w:t>
            </w:r>
            <w:r>
              <w:rPr>
                <w:rFonts w:hint="eastAsia" w:ascii="Times New Roman" w:cs="Times New Roman"/>
                <w:color w:val="auto"/>
                <w:szCs w:val="21"/>
                <w:highlight w:val="none"/>
                <w:lang w:val="zh-CN"/>
              </w:rPr>
              <w:t>业绩的，每项得</w:t>
            </w:r>
            <w:r>
              <w:rPr>
                <w:rFonts w:hint="eastAsia" w:ascii="Times New Roman" w:cs="Times New Roman"/>
                <w:color w:val="auto"/>
                <w:szCs w:val="21"/>
                <w:highlight w:val="none"/>
                <w:u w:val="none"/>
                <w:lang w:val="zh-CN" w:eastAsia="zh-CN"/>
              </w:rPr>
              <w:t>1</w:t>
            </w:r>
            <w:r>
              <w:rPr>
                <w:rFonts w:hint="eastAsia" w:ascii="Times New Roman" w:cs="Times New Roman"/>
                <w:color w:val="auto"/>
                <w:szCs w:val="21"/>
                <w:highlight w:val="none"/>
                <w:lang w:val="zh-CN"/>
              </w:rPr>
              <w:t>分，最多得</w:t>
            </w:r>
            <w:r>
              <w:rPr>
                <w:rFonts w:hint="eastAsia" w:ascii="Times New Roman" w:cs="Times New Roman"/>
                <w:color w:val="auto"/>
                <w:szCs w:val="21"/>
                <w:highlight w:val="none"/>
                <w:u w:val="none"/>
                <w:lang w:val="zh-CN" w:eastAsia="zh-CN"/>
              </w:rPr>
              <w:t>6</w:t>
            </w:r>
            <w:r>
              <w:rPr>
                <w:rFonts w:hint="eastAsia" w:ascii="Times New Roman" w:cs="Times New Roman"/>
                <w:color w:val="auto"/>
                <w:szCs w:val="21"/>
                <w:highlight w:val="none"/>
                <w:lang w:val="zh-CN"/>
              </w:rPr>
              <w:t>分。</w:t>
            </w:r>
          </w:p>
          <w:p>
            <w:pPr>
              <w:autoSpaceDE w:val="0"/>
              <w:autoSpaceDN w:val="0"/>
              <w:adjustRightInd w:val="0"/>
              <w:spacing w:line="300" w:lineRule="auto"/>
              <w:rPr>
                <w:rFonts w:hint="eastAsia" w:ascii="宋体" w:cs="宋体"/>
                <w:color w:val="auto"/>
                <w:szCs w:val="21"/>
                <w:highlight w:val="none"/>
                <w:lang w:val="zh-CN"/>
              </w:rPr>
            </w:pPr>
            <w:r>
              <w:rPr>
                <w:rFonts w:hint="eastAsia"/>
                <w:color w:val="auto"/>
                <w:highlight w:val="none"/>
              </w:rPr>
              <w:t>投标人（若为联合体，以牵头方为准）</w:t>
            </w:r>
            <w:r>
              <w:rPr>
                <w:rFonts w:hint="eastAsia" w:ascii="Times New Roman" w:cs="Times New Roman"/>
                <w:color w:val="auto"/>
                <w:szCs w:val="21"/>
                <w:highlight w:val="none"/>
                <w:lang w:val="zh-CN"/>
              </w:rPr>
              <w:t>近</w:t>
            </w:r>
            <w:r>
              <w:rPr>
                <w:rFonts w:hint="eastAsia" w:ascii="Times New Roman" w:cs="Times New Roman"/>
                <w:color w:val="auto"/>
                <w:szCs w:val="21"/>
                <w:highlight w:val="none"/>
                <w:u w:val="none"/>
                <w:lang w:val="zh-CN" w:eastAsia="zh-CN"/>
              </w:rPr>
              <w:t>5</w:t>
            </w:r>
            <w:r>
              <w:rPr>
                <w:rFonts w:hint="eastAsia" w:ascii="Times New Roman" w:cs="Times New Roman"/>
                <w:color w:val="auto"/>
                <w:szCs w:val="21"/>
                <w:highlight w:val="none"/>
                <w:u w:val="none"/>
                <w:lang w:val="zh-CN"/>
              </w:rPr>
              <w:t>年内</w:t>
            </w:r>
            <w:r>
              <w:rPr>
                <w:rFonts w:hint="eastAsia" w:ascii="Times New Roman" w:cs="Times New Roman"/>
                <w:color w:val="auto"/>
                <w:szCs w:val="21"/>
                <w:highlight w:val="none"/>
                <w:lang w:val="zh-CN"/>
              </w:rPr>
              <w:t>设计对应类似业绩：有类似设计业绩的，每项得</w:t>
            </w:r>
            <w:r>
              <w:rPr>
                <w:rFonts w:hint="eastAsia" w:ascii="Times New Roman" w:cs="Times New Roman"/>
                <w:color w:val="auto"/>
                <w:szCs w:val="21"/>
                <w:highlight w:val="none"/>
                <w:u w:val="none"/>
                <w:lang w:val="zh-CN" w:eastAsia="zh-CN"/>
              </w:rPr>
              <w:t>3</w:t>
            </w:r>
            <w:r>
              <w:rPr>
                <w:rFonts w:hint="eastAsia" w:ascii="Times New Roman" w:cs="Times New Roman"/>
                <w:color w:val="auto"/>
                <w:szCs w:val="21"/>
                <w:highlight w:val="none"/>
                <w:lang w:val="zh-CN"/>
              </w:rPr>
              <w:t>分，最多得</w:t>
            </w:r>
            <w:r>
              <w:rPr>
                <w:rFonts w:hint="eastAsia" w:ascii="Times New Roman" w:cs="Times New Roman"/>
                <w:color w:val="auto"/>
                <w:szCs w:val="21"/>
                <w:highlight w:val="none"/>
                <w:u w:val="none"/>
                <w:lang w:val="zh-CN" w:eastAsia="zh-CN"/>
              </w:rPr>
              <w:t>24</w:t>
            </w:r>
            <w:r>
              <w:rPr>
                <w:rFonts w:hint="eastAsia" w:ascii="Times New Roman" w:cs="Times New Roman"/>
                <w:color w:val="auto"/>
                <w:szCs w:val="21"/>
                <w:highlight w:val="none"/>
                <w:lang w:val="zh-CN"/>
              </w:rPr>
              <w:t>分。</w:t>
            </w:r>
          </w:p>
        </w:tc>
        <w:tc>
          <w:tcPr>
            <w:tcW w:w="999" w:type="dxa"/>
            <w:tcBorders>
              <w:top w:val="single" w:color="auto" w:sz="6" w:space="0"/>
              <w:left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p>
        </w:tc>
      </w:tr>
      <w:tr>
        <w:tblPrEx>
          <w:tblCellMar>
            <w:top w:w="0" w:type="dxa"/>
            <w:left w:w="108" w:type="dxa"/>
            <w:bottom w:w="0" w:type="dxa"/>
            <w:right w:w="108" w:type="dxa"/>
          </w:tblCellMar>
        </w:tblPrEx>
        <w:trPr>
          <w:trHeight w:val="1117"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rFonts w:hint="eastAsia" w:ascii="宋体" w:eastAsia="宋体" w:cs="宋体"/>
                <w:color w:val="auto"/>
                <w:szCs w:val="21"/>
                <w:highlight w:val="none"/>
                <w:lang w:val="zh-CN" w:eastAsia="zh-CN"/>
              </w:rPr>
            </w:pPr>
            <w:r>
              <w:rPr>
                <w:rFonts w:hint="eastAsia" w:ascii="宋体" w:cs="宋体"/>
                <w:color w:val="auto"/>
                <w:szCs w:val="21"/>
                <w:highlight w:val="none"/>
                <w:lang w:val="en-US" w:eastAsia="zh-CN"/>
              </w:rPr>
              <w:t>二</w:t>
            </w:r>
          </w:p>
        </w:tc>
        <w:tc>
          <w:tcPr>
            <w:tcW w:w="8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企业</w:t>
            </w:r>
          </w:p>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业绩</w:t>
            </w:r>
          </w:p>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获奖</w:t>
            </w:r>
          </w:p>
        </w:tc>
        <w:tc>
          <w:tcPr>
            <w:tcW w:w="13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val="zh-CN"/>
              </w:rPr>
              <w:t>]</w:t>
            </w:r>
          </w:p>
        </w:tc>
        <w:tc>
          <w:tcPr>
            <w:tcW w:w="9857" w:type="dxa"/>
            <w:tcBorders>
              <w:top w:val="single" w:color="auto" w:sz="6" w:space="0"/>
              <w:left w:val="single" w:color="auto" w:sz="6" w:space="0"/>
              <w:right w:val="single" w:color="auto" w:sz="6" w:space="0"/>
            </w:tcBorders>
            <w:noWrap w:val="0"/>
            <w:vAlign w:val="center"/>
          </w:tcPr>
          <w:p>
            <w:pPr>
              <w:autoSpaceDE w:val="0"/>
              <w:autoSpaceDN w:val="0"/>
              <w:adjustRightInd w:val="0"/>
              <w:spacing w:line="300" w:lineRule="auto"/>
              <w:ind w:firstLine="0" w:firstLineChars="0"/>
              <w:rPr>
                <w:rFonts w:hint="eastAsia" w:ascii="Times New Roman" w:cs="Times New Roman"/>
                <w:color w:val="auto"/>
                <w:szCs w:val="21"/>
                <w:highlight w:val="none"/>
                <w:lang w:val="zh-CN"/>
              </w:rPr>
            </w:pPr>
            <w:r>
              <w:rPr>
                <w:rFonts w:hint="eastAsia" w:ascii="Times New Roman" w:cs="Times New Roman"/>
                <w:color w:val="auto"/>
                <w:szCs w:val="21"/>
                <w:highlight w:val="none"/>
                <w:lang w:val="zh-CN"/>
              </w:rPr>
              <w:t>投标人（若为联合体，以主办方（或牵头方）为准）近</w:t>
            </w:r>
            <w:r>
              <w:rPr>
                <w:rFonts w:hint="eastAsia" w:ascii="Times New Roman" w:cs="Times New Roman"/>
                <w:color w:val="auto"/>
                <w:szCs w:val="21"/>
                <w:highlight w:val="none"/>
                <w:u w:val="none"/>
                <w:lang w:val="zh-CN"/>
              </w:rPr>
              <w:t>5年</w:t>
            </w:r>
            <w:r>
              <w:rPr>
                <w:rFonts w:hint="eastAsia" w:cs="Times New Roman"/>
                <w:color w:val="auto"/>
                <w:szCs w:val="21"/>
                <w:highlight w:val="none"/>
                <w:u w:val="none"/>
                <w:lang w:val="en-US" w:eastAsia="zh-CN"/>
              </w:rPr>
              <w:t>承接的</w:t>
            </w:r>
            <w:r>
              <w:rPr>
                <w:rFonts w:hint="eastAsia"/>
                <w:color w:val="auto"/>
                <w:highlight w:val="none"/>
                <w:lang w:val="en-US" w:eastAsia="zh-CN"/>
              </w:rPr>
              <w:t>类似</w:t>
            </w:r>
            <w:r>
              <w:rPr>
                <w:rFonts w:hint="eastAsia" w:ascii="Times New Roman" w:cs="Times New Roman"/>
                <w:color w:val="auto"/>
                <w:szCs w:val="21"/>
                <w:highlight w:val="none"/>
                <w:lang w:val="zh-CN"/>
              </w:rPr>
              <w:t>设计项目获国家级奖项每项得</w:t>
            </w:r>
            <w:r>
              <w:rPr>
                <w:rFonts w:hint="eastAsia" w:ascii="Times New Roman" w:cs="Times New Roman"/>
                <w:color w:val="auto"/>
                <w:szCs w:val="21"/>
                <w:highlight w:val="none"/>
                <w:u w:val="none"/>
                <w:lang w:val="en-US" w:eastAsia="zh-CN"/>
              </w:rPr>
              <w:t>4</w:t>
            </w:r>
            <w:r>
              <w:rPr>
                <w:rFonts w:hint="eastAsia" w:ascii="Times New Roman" w:cs="Times New Roman"/>
                <w:color w:val="auto"/>
                <w:szCs w:val="21"/>
                <w:highlight w:val="none"/>
                <w:lang w:val="zh-CN"/>
              </w:rPr>
              <w:t>分；获行业级奖项，每项得</w:t>
            </w:r>
            <w:r>
              <w:rPr>
                <w:rFonts w:hint="eastAsia" w:eastAsia="宋体" w:cs="Times New Roman"/>
                <w:color w:val="auto"/>
                <w:szCs w:val="21"/>
                <w:highlight w:val="none"/>
                <w:u w:val="none"/>
                <w:lang w:val="en-US" w:eastAsia="zh-CN"/>
              </w:rPr>
              <w:t>3</w:t>
            </w:r>
            <w:r>
              <w:rPr>
                <w:rFonts w:hint="eastAsia" w:ascii="Times New Roman" w:cs="Times New Roman"/>
                <w:color w:val="auto"/>
                <w:szCs w:val="21"/>
                <w:highlight w:val="none"/>
                <w:lang w:val="zh-CN"/>
              </w:rPr>
              <w:t>分；获省级</w:t>
            </w:r>
            <w:r>
              <w:rPr>
                <w:rFonts w:hint="eastAsia" w:ascii="Times New Roman" w:hAnsi="Times New Roman" w:eastAsia="宋体" w:cs="Times New Roman"/>
                <w:color w:val="auto"/>
                <w:szCs w:val="21"/>
                <w:highlight w:val="none"/>
                <w:lang w:val="zh-CN"/>
              </w:rPr>
              <w:t>奖项，每项得</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lang w:val="zh-CN"/>
              </w:rPr>
              <w:t>分；获</w:t>
            </w:r>
            <w:r>
              <w:rPr>
                <w:rFonts w:hint="eastAsia" w:ascii="Times New Roman" w:cs="Times New Roman"/>
                <w:color w:val="auto"/>
                <w:szCs w:val="21"/>
                <w:highlight w:val="none"/>
                <w:lang w:val="zh-CN"/>
              </w:rPr>
              <w:t>市（副省级）级奖项</w:t>
            </w:r>
            <w:r>
              <w:rPr>
                <w:rFonts w:hint="eastAsia" w:ascii="Times New Roman" w:cs="Times New Roman"/>
                <w:color w:val="auto"/>
                <w:szCs w:val="21"/>
                <w:highlight w:val="none"/>
                <w:u w:val="none"/>
                <w:lang w:val="en-US"/>
              </w:rPr>
              <w:t>，每项得</w:t>
            </w:r>
            <w:r>
              <w:rPr>
                <w:rFonts w:hint="eastAsia" w:eastAsia="宋体" w:cs="Times New Roman"/>
                <w:color w:val="auto"/>
                <w:szCs w:val="21"/>
                <w:highlight w:val="none"/>
                <w:u w:val="none"/>
                <w:lang w:val="en-US" w:eastAsia="zh-CN"/>
              </w:rPr>
              <w:t>1</w:t>
            </w:r>
            <w:r>
              <w:rPr>
                <w:rFonts w:hint="eastAsia" w:ascii="Times New Roman" w:cs="Times New Roman"/>
                <w:color w:val="auto"/>
                <w:szCs w:val="21"/>
                <w:highlight w:val="none"/>
                <w:u w:val="none"/>
                <w:lang w:val="en-US"/>
              </w:rPr>
              <w:t>分。</w:t>
            </w:r>
          </w:p>
          <w:p>
            <w:pPr>
              <w:autoSpaceDE w:val="0"/>
              <w:autoSpaceDN w:val="0"/>
              <w:adjustRightInd w:val="0"/>
              <w:spacing w:line="300" w:lineRule="auto"/>
              <w:ind w:firstLine="0" w:firstLineChars="0"/>
              <w:rPr>
                <w:rFonts w:hint="eastAsia" w:ascii="Times New Roman" w:cs="Times New Roman"/>
                <w:color w:val="auto"/>
                <w:szCs w:val="21"/>
                <w:highlight w:val="none"/>
                <w:lang w:val="zh-CN"/>
              </w:rPr>
            </w:pPr>
            <w:r>
              <w:rPr>
                <w:rFonts w:hint="eastAsia" w:ascii="Times New Roman" w:cs="Times New Roman"/>
                <w:color w:val="auto"/>
                <w:szCs w:val="21"/>
                <w:highlight w:val="none"/>
                <w:lang w:val="zh-CN"/>
              </w:rPr>
              <w:t>以上奖项合计最多得</w:t>
            </w:r>
            <w:r>
              <w:rPr>
                <w:rFonts w:hint="eastAsia" w:ascii="Times New Roman" w:cs="Times New Roman"/>
                <w:color w:val="auto"/>
                <w:szCs w:val="21"/>
                <w:highlight w:val="none"/>
                <w:u w:val="none"/>
                <w:lang w:val="en-US" w:eastAsia="zh-CN"/>
              </w:rPr>
              <w:t>25</w:t>
            </w:r>
            <w:r>
              <w:rPr>
                <w:rFonts w:hint="eastAsia" w:ascii="Times New Roman" w:cs="Times New Roman"/>
                <w:color w:val="auto"/>
                <w:szCs w:val="21"/>
                <w:highlight w:val="none"/>
                <w:lang w:val="zh-CN"/>
              </w:rPr>
              <w:t>分。</w:t>
            </w:r>
          </w:p>
          <w:p>
            <w:pPr>
              <w:autoSpaceDE w:val="0"/>
              <w:autoSpaceDN w:val="0"/>
              <w:adjustRightInd w:val="0"/>
              <w:spacing w:line="300" w:lineRule="auto"/>
              <w:ind w:firstLine="0" w:firstLineChars="0"/>
              <w:rPr>
                <w:rFonts w:hint="eastAsia" w:ascii="宋体" w:cs="宋体"/>
                <w:color w:val="auto"/>
                <w:szCs w:val="21"/>
                <w:highlight w:val="none"/>
                <w:lang w:val="zh-CN"/>
              </w:rPr>
            </w:pPr>
            <w:r>
              <w:rPr>
                <w:rFonts w:hint="eastAsia" w:ascii="Times New Roman" w:cs="Times New Roman"/>
                <w:color w:val="auto"/>
                <w:szCs w:val="21"/>
                <w:highlight w:val="none"/>
                <w:lang w:val="zh-CN"/>
              </w:rPr>
              <w:t>注：需提供获奖证明扫描件。若颁发机构非政府相关部门，还需提供该组织在中国社会组织政务服务平台（网址：https://chinanpo.mca.gov.cn/）“全国社会组织信用信息公示平台”栏查询结果截图，查询结果“状态”栏必须为“正常”。上述证明材料必须加盖投标人公章，不提供或不齐全均不得分。</w:t>
            </w:r>
          </w:p>
        </w:tc>
        <w:tc>
          <w:tcPr>
            <w:tcW w:w="999" w:type="dxa"/>
            <w:tcBorders>
              <w:top w:val="single" w:color="auto" w:sz="6" w:space="0"/>
              <w:left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p>
        </w:tc>
      </w:tr>
      <w:tr>
        <w:tblPrEx>
          <w:tblCellMar>
            <w:top w:w="0" w:type="dxa"/>
            <w:left w:w="108" w:type="dxa"/>
            <w:bottom w:w="0" w:type="dxa"/>
            <w:right w:w="108" w:type="dxa"/>
          </w:tblCellMar>
        </w:tblPrEx>
        <w:trPr>
          <w:trHeight w:val="707" w:hRule="atLeast"/>
        </w:trPr>
        <w:tc>
          <w:tcPr>
            <w:tcW w:w="54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eastAsia="宋体" w:cs="宋体"/>
                <w:color w:val="auto"/>
                <w:szCs w:val="21"/>
                <w:highlight w:val="none"/>
                <w:lang w:val="zh-CN" w:eastAsia="zh-CN"/>
              </w:rPr>
            </w:pPr>
            <w:r>
              <w:rPr>
                <w:rFonts w:hint="eastAsia"/>
                <w:color w:val="auto"/>
                <w:szCs w:val="21"/>
                <w:highlight w:val="none"/>
                <w:lang w:val="en-US" w:eastAsia="zh-CN"/>
              </w:rPr>
              <w:t>三</w:t>
            </w:r>
          </w:p>
        </w:tc>
        <w:tc>
          <w:tcPr>
            <w:tcW w:w="897"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人员配备及技术水平</w:t>
            </w:r>
          </w:p>
        </w:tc>
        <w:tc>
          <w:tcPr>
            <w:tcW w:w="1394"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val="zh-CN"/>
              </w:rPr>
              <w:t>]</w:t>
            </w:r>
          </w:p>
        </w:tc>
        <w:tc>
          <w:tcPr>
            <w:tcW w:w="9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rPr>
                <w:color w:val="auto"/>
                <w:szCs w:val="21"/>
                <w:highlight w:val="none"/>
              </w:rPr>
            </w:pPr>
            <w:r>
              <w:rPr>
                <w:rFonts w:hint="eastAsia"/>
                <w:color w:val="auto"/>
                <w:szCs w:val="21"/>
                <w:highlight w:val="none"/>
              </w:rPr>
              <w:t>1.</w:t>
            </w:r>
            <w:r>
              <w:rPr>
                <w:rFonts w:hint="eastAsia"/>
                <w:color w:val="auto"/>
                <w:szCs w:val="21"/>
                <w:highlight w:val="none"/>
                <w:lang w:val="zh-CN"/>
              </w:rPr>
              <w:t>项目</w:t>
            </w:r>
            <w:r>
              <w:rPr>
                <w:color w:val="auto"/>
                <w:szCs w:val="21"/>
                <w:highlight w:val="none"/>
                <w:lang w:val="zh-CN"/>
              </w:rPr>
              <w:t>负责人设计经历及业务能力：</w:t>
            </w:r>
            <w:r>
              <w:rPr>
                <w:rFonts w:hint="eastAsia"/>
                <w:color w:val="auto"/>
                <w:szCs w:val="21"/>
                <w:highlight w:val="none"/>
              </w:rPr>
              <w:t>在符合资格审查合格条件的基础上，</w:t>
            </w:r>
          </w:p>
          <w:p>
            <w:pPr>
              <w:numPr>
                <w:ilvl w:val="0"/>
                <w:numId w:val="0"/>
              </w:numPr>
              <w:adjustRightInd w:val="0"/>
              <w:spacing w:line="300" w:lineRule="auto"/>
              <w:ind w:left="0" w:firstLine="0" w:firstLineChars="0"/>
              <w:jc w:val="left"/>
              <w:rPr>
                <w:rFonts w:hint="eastAsia" w:ascii="Times New Roman" w:hAnsi="Times New Roman" w:eastAsia="宋体" w:cs="Times New Roman"/>
                <w:color w:val="auto"/>
                <w:szCs w:val="21"/>
                <w:highlight w:val="none"/>
                <w:u w:val="none"/>
                <w:lang w:val="zh-CN"/>
              </w:rPr>
            </w:pP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zh-CN" w:eastAsia="zh-CN"/>
              </w:rPr>
              <w:t>1</w:t>
            </w:r>
            <w:r>
              <w:rPr>
                <w:rFonts w:hint="eastAsia" w:ascii="Times New Roman" w:hAnsi="Times New Roman" w:eastAsia="宋体" w:cs="Times New Roman"/>
                <w:color w:val="auto"/>
                <w:szCs w:val="21"/>
                <w:highlight w:val="none"/>
                <w:lang w:val="zh-CN"/>
              </w:rPr>
              <w:t>）设计经历在</w:t>
            </w:r>
            <w:r>
              <w:rPr>
                <w:rFonts w:hint="eastAsia" w:ascii="Times New Roman" w:hAnsi="Times New Roman" w:eastAsia="宋体" w:cs="Times New Roman"/>
                <w:color w:val="auto"/>
                <w:szCs w:val="21"/>
                <w:highlight w:val="none"/>
                <w:u w:val="none"/>
                <w:lang w:val="zh-CN" w:eastAsia="zh-CN"/>
              </w:rPr>
              <w:t>20</w:t>
            </w:r>
            <w:r>
              <w:rPr>
                <w:rFonts w:hint="eastAsia" w:ascii="Times New Roman" w:hAnsi="Times New Roman" w:eastAsia="宋体" w:cs="Times New Roman"/>
                <w:color w:val="auto"/>
                <w:szCs w:val="21"/>
                <w:highlight w:val="none"/>
                <w:lang w:val="zh-CN"/>
              </w:rPr>
              <w:t>年以上</w:t>
            </w:r>
            <w:r>
              <w:rPr>
                <w:rFonts w:hint="eastAsia" w:cs="Times New Roman"/>
                <w:color w:val="auto"/>
                <w:szCs w:val="21"/>
                <w:highlight w:val="none"/>
                <w:lang w:val="zh-CN"/>
              </w:rPr>
              <w:t>，</w:t>
            </w:r>
            <w:r>
              <w:rPr>
                <w:rFonts w:hint="eastAsia" w:ascii="Times New Roman" w:hAnsi="Times New Roman" w:eastAsia="宋体" w:cs="Times New Roman"/>
                <w:color w:val="auto"/>
                <w:szCs w:val="21"/>
                <w:highlight w:val="none"/>
                <w:lang w:val="zh-CN"/>
              </w:rPr>
              <w:t>得</w:t>
            </w:r>
            <w:r>
              <w:rPr>
                <w:rFonts w:hint="eastAsia" w:cs="Times New Roman"/>
                <w:color w:val="auto"/>
                <w:szCs w:val="21"/>
                <w:highlight w:val="none"/>
                <w:u w:val="none"/>
                <w:lang w:val="en-US" w:eastAsia="zh-CN"/>
              </w:rPr>
              <w:t>1.5</w:t>
            </w:r>
            <w:r>
              <w:rPr>
                <w:rFonts w:hint="eastAsia" w:ascii="Times New Roman" w:hAnsi="Times New Roman" w:eastAsia="宋体" w:cs="Times New Roman"/>
                <w:color w:val="auto"/>
                <w:szCs w:val="21"/>
                <w:highlight w:val="none"/>
                <w:lang w:val="zh-CN"/>
              </w:rPr>
              <w:t>分；</w:t>
            </w:r>
            <w:r>
              <w:rPr>
                <w:rFonts w:hint="eastAsia" w:ascii="宋体" w:hAnsi="宋体" w:cs="宋体"/>
                <w:color w:val="auto"/>
                <w:szCs w:val="21"/>
                <w:highlight w:val="none"/>
              </w:rPr>
              <w:t>具备</w:t>
            </w:r>
            <w:r>
              <w:rPr>
                <w:rFonts w:hint="eastAsia" w:ascii="宋体" w:hAnsi="宋体" w:cs="宋体"/>
                <w:color w:val="auto"/>
                <w:szCs w:val="21"/>
                <w:highlight w:val="none"/>
                <w:lang w:val="zh-CN"/>
              </w:rPr>
              <w:t>教授级（或正高级）高级工程</w:t>
            </w:r>
            <w:r>
              <w:rPr>
                <w:rFonts w:hint="eastAsia" w:ascii="Times New Roman" w:hAnsi="Times New Roman" w:eastAsia="宋体" w:cs="Times New Roman"/>
                <w:color w:val="auto"/>
                <w:szCs w:val="21"/>
                <w:highlight w:val="none"/>
                <w:lang w:val="zh-CN"/>
              </w:rPr>
              <w:t>师得1.5</w:t>
            </w:r>
            <w:r>
              <w:rPr>
                <w:rFonts w:hint="eastAsia" w:ascii="宋体" w:hAnsi="宋体" w:cs="宋体"/>
                <w:color w:val="auto"/>
                <w:szCs w:val="21"/>
                <w:highlight w:val="none"/>
                <w:lang w:val="zh-CN"/>
              </w:rPr>
              <w:t>分</w:t>
            </w: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u w:val="none"/>
                <w:lang w:val="zh-CN"/>
              </w:rPr>
              <w:t>本项最多得3分</w:t>
            </w:r>
            <w:r>
              <w:rPr>
                <w:rFonts w:hint="eastAsia" w:cs="Times New Roman"/>
                <w:color w:val="auto"/>
                <w:szCs w:val="21"/>
                <w:highlight w:val="none"/>
                <w:u w:val="none"/>
                <w:lang w:val="zh-CN"/>
              </w:rPr>
              <w:t>。</w:t>
            </w:r>
          </w:p>
          <w:p>
            <w:pPr>
              <w:numPr>
                <w:ilvl w:val="0"/>
                <w:numId w:val="0"/>
              </w:numPr>
              <w:wordWrap w:val="0"/>
              <w:topLinePunct/>
              <w:adjustRightInd w:val="0"/>
              <w:spacing w:line="300" w:lineRule="auto"/>
              <w:jc w:val="left"/>
              <w:rPr>
                <w:rFonts w:hint="eastAsia" w:ascii="Times New Roman" w:hAnsi="Times New Roman" w:eastAsia="宋体" w:cs="Times New Roman"/>
                <w:color w:val="auto"/>
                <w:szCs w:val="21"/>
                <w:highlight w:val="none"/>
                <w:u w:val="none"/>
                <w:lang w:val="zh-CN"/>
              </w:rPr>
            </w:pPr>
            <w:r>
              <w:rPr>
                <w:rFonts w:hint="eastAsia" w:ascii="Times New Roman" w:hAnsi="Times New Roman" w:eastAsia="宋体" w:cs="Times New Roman"/>
                <w:color w:val="auto"/>
                <w:szCs w:val="21"/>
                <w:highlight w:val="none"/>
                <w:u w:val="none"/>
                <w:lang w:val="zh-CN"/>
              </w:rPr>
              <w:t>（</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u w:val="none"/>
                <w:lang w:val="zh-CN"/>
              </w:rPr>
              <w:t>）近</w:t>
            </w:r>
            <w:r>
              <w:rPr>
                <w:rFonts w:hint="eastAsia" w:ascii="Times New Roman" w:hAnsi="Times New Roman" w:eastAsia="宋体" w:cs="Times New Roman"/>
                <w:color w:val="auto"/>
                <w:szCs w:val="21"/>
                <w:highlight w:val="none"/>
                <w:u w:val="none"/>
                <w:lang w:val="zh-CN" w:eastAsia="zh-CN"/>
              </w:rPr>
              <w:t>5</w:t>
            </w:r>
            <w:r>
              <w:rPr>
                <w:rFonts w:hint="eastAsia" w:ascii="Times New Roman" w:hAnsi="Times New Roman" w:eastAsia="宋体" w:cs="Times New Roman"/>
                <w:color w:val="auto"/>
                <w:szCs w:val="21"/>
                <w:highlight w:val="none"/>
                <w:u w:val="none"/>
                <w:lang w:val="zh-CN"/>
              </w:rPr>
              <w:t>年内参与设计的</w:t>
            </w:r>
            <w:r>
              <w:rPr>
                <w:rFonts w:hint="eastAsia" w:cs="Times New Roman"/>
                <w:color w:val="auto"/>
                <w:szCs w:val="21"/>
                <w:highlight w:val="none"/>
                <w:lang w:val="en-US" w:eastAsia="zh-CN"/>
              </w:rPr>
              <w:t>类似</w:t>
            </w:r>
            <w:r>
              <w:rPr>
                <w:rFonts w:hint="eastAsia" w:ascii="Times New Roman" w:hAnsi="Times New Roman" w:eastAsia="宋体" w:cs="Times New Roman"/>
                <w:color w:val="auto"/>
                <w:szCs w:val="21"/>
                <w:highlight w:val="none"/>
                <w:u w:val="none"/>
                <w:lang w:val="zh-CN"/>
              </w:rPr>
              <w:t>项目获</w:t>
            </w:r>
            <w:r>
              <w:rPr>
                <w:rFonts w:hint="eastAsia" w:ascii="宋体" w:hAnsi="宋体" w:cs="宋体"/>
                <w:color w:val="auto"/>
                <w:szCs w:val="21"/>
                <w:highlight w:val="none"/>
                <w:lang w:val="zh-CN"/>
              </w:rPr>
              <w:t>国家级奖项，每项得4分；</w:t>
            </w:r>
            <w:r>
              <w:rPr>
                <w:rFonts w:hint="eastAsia" w:ascii="Times New Roman" w:hAnsi="Times New Roman" w:eastAsia="宋体" w:cs="Times New Roman"/>
                <w:color w:val="auto"/>
                <w:szCs w:val="21"/>
                <w:highlight w:val="none"/>
                <w:u w:val="none"/>
                <w:lang w:val="zh-CN"/>
              </w:rPr>
              <w:t xml:space="preserve">获行业级奖项，每项得 </w:t>
            </w:r>
            <w:r>
              <w:rPr>
                <w:rFonts w:hint="eastAsia" w:ascii="Times New Roman" w:hAnsi="Times New Roman" w:eastAsia="宋体" w:cs="Times New Roman"/>
                <w:color w:val="auto"/>
                <w:szCs w:val="21"/>
                <w:highlight w:val="none"/>
                <w:u w:val="none"/>
                <w:lang w:val="zh-CN" w:eastAsia="zh-CN"/>
              </w:rPr>
              <w:t>3</w:t>
            </w:r>
            <w:r>
              <w:rPr>
                <w:rFonts w:hint="eastAsia" w:ascii="Times New Roman" w:hAnsi="Times New Roman" w:eastAsia="宋体" w:cs="Times New Roman"/>
                <w:color w:val="auto"/>
                <w:szCs w:val="21"/>
                <w:highlight w:val="none"/>
                <w:u w:val="none"/>
                <w:lang w:val="zh-CN"/>
              </w:rPr>
              <w:t xml:space="preserve"> 分；获得省级奖项的，每项得</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u w:val="none"/>
                <w:lang w:val="zh-CN"/>
              </w:rPr>
              <w:t>分；获市（</w:t>
            </w:r>
            <w:r>
              <w:rPr>
                <w:rFonts w:hint="eastAsia" w:ascii="Times New Roman" w:hAnsi="Times New Roman" w:eastAsia="宋体" w:cs="Times New Roman"/>
                <w:color w:val="auto"/>
                <w:szCs w:val="21"/>
                <w:highlight w:val="none"/>
                <w:u w:val="none"/>
                <w:lang w:val="zh-CN" w:eastAsia="zh-CN"/>
              </w:rPr>
              <w:t>副省级）</w:t>
            </w:r>
            <w:r>
              <w:rPr>
                <w:rFonts w:hint="eastAsia" w:ascii="Times New Roman" w:hAnsi="Times New Roman" w:eastAsia="宋体" w:cs="Times New Roman"/>
                <w:color w:val="auto"/>
                <w:szCs w:val="21"/>
                <w:highlight w:val="none"/>
                <w:u w:val="none"/>
                <w:lang w:val="zh-CN"/>
              </w:rPr>
              <w:t>奖项，每项得 1 分。本项最多得1</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u w:val="none"/>
                <w:lang w:val="zh-CN"/>
              </w:rPr>
              <w:t>分</w:t>
            </w:r>
            <w:r>
              <w:rPr>
                <w:rFonts w:hint="eastAsia" w:cs="Times New Roman"/>
                <w:color w:val="auto"/>
                <w:szCs w:val="21"/>
                <w:highlight w:val="none"/>
                <w:u w:val="none"/>
                <w:lang w:val="zh-CN"/>
              </w:rPr>
              <w:t>。</w:t>
            </w:r>
          </w:p>
          <w:p>
            <w:pPr>
              <w:numPr>
                <w:ilvl w:val="0"/>
                <w:numId w:val="0"/>
              </w:numPr>
              <w:wordWrap w:val="0"/>
              <w:topLinePunct/>
              <w:adjustRightInd w:val="0"/>
              <w:spacing w:line="300" w:lineRule="auto"/>
              <w:jc w:val="left"/>
              <w:rPr>
                <w:rFonts w:hint="eastAsia" w:ascii="Times New Roman" w:hAnsi="Times New Roman" w:eastAsia="宋体" w:cs="Times New Roman"/>
                <w:color w:val="auto"/>
                <w:szCs w:val="21"/>
                <w:highlight w:val="none"/>
                <w:u w:val="none"/>
                <w:lang w:val="zh-CN"/>
              </w:rPr>
            </w:pPr>
            <w:r>
              <w:rPr>
                <w:rFonts w:hint="eastAsia" w:ascii="Times New Roman" w:hAnsi="Times New Roman" w:eastAsia="宋体" w:cs="Times New Roman"/>
                <w:color w:val="auto"/>
                <w:szCs w:val="21"/>
                <w:highlight w:val="none"/>
                <w:u w:val="none"/>
                <w:lang w:val="zh-CN"/>
              </w:rPr>
              <w:t>以上</w:t>
            </w: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zh-CN" w:eastAsia="zh-CN"/>
              </w:rPr>
              <w:t>1</w:t>
            </w: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u w:val="none"/>
                <w:lang w:val="zh-CN"/>
              </w:rPr>
              <w:t>项合计最多得</w:t>
            </w:r>
            <w:r>
              <w:rPr>
                <w:rFonts w:hint="eastAsia" w:ascii="Times New Roman" w:hAnsi="Times New Roman" w:eastAsia="宋体" w:cs="Times New Roman"/>
                <w:color w:val="auto"/>
                <w:szCs w:val="21"/>
                <w:highlight w:val="none"/>
                <w:u w:val="none"/>
                <w:lang w:val="zh-CN" w:eastAsia="zh-CN"/>
              </w:rPr>
              <w:t>15</w:t>
            </w:r>
            <w:r>
              <w:rPr>
                <w:rFonts w:hint="eastAsia" w:ascii="Times New Roman" w:hAnsi="Times New Roman" w:eastAsia="宋体" w:cs="Times New Roman"/>
                <w:color w:val="auto"/>
                <w:szCs w:val="21"/>
                <w:highlight w:val="none"/>
                <w:u w:val="none"/>
                <w:lang w:val="zh-CN"/>
              </w:rPr>
              <w:t xml:space="preserve"> 分。</w:t>
            </w:r>
          </w:p>
          <w:p>
            <w:pPr>
              <w:autoSpaceDE w:val="0"/>
              <w:autoSpaceDN w:val="0"/>
              <w:adjustRightInd w:val="0"/>
              <w:spacing w:line="300" w:lineRule="auto"/>
              <w:rPr>
                <w:color w:val="auto"/>
                <w:szCs w:val="21"/>
                <w:highlight w:val="none"/>
                <w:lang w:val="zh-CN"/>
              </w:rPr>
            </w:pPr>
            <w:r>
              <w:rPr>
                <w:rFonts w:hint="eastAsia" w:ascii="Times New Roman" w:hAnsi="Times New Roman" w:eastAsia="宋体" w:cs="Times New Roman"/>
                <w:color w:val="auto"/>
                <w:szCs w:val="21"/>
                <w:highlight w:val="none"/>
                <w:lang w:val="zh-CN"/>
              </w:rPr>
              <w:t>注：①</w:t>
            </w:r>
            <w:r>
              <w:rPr>
                <w:rFonts w:hint="eastAsia" w:eastAsia="宋体"/>
                <w:bCs w:val="0"/>
                <w:color w:val="auto"/>
                <w:szCs w:val="21"/>
                <w:highlight w:val="none"/>
                <w:lang w:val="zh-CN"/>
              </w:rPr>
              <w:t>设计经历按毕业时间起算，需提供毕业证、职称证等相关证明材料。</w:t>
            </w:r>
            <w:r>
              <w:rPr>
                <w:rFonts w:hint="eastAsia" w:eastAsia="宋体"/>
                <w:color w:val="auto"/>
                <w:szCs w:val="21"/>
                <w:highlight w:val="none"/>
                <w:lang w:val="zh-CN"/>
              </w:rPr>
              <w:t>②</w:t>
            </w:r>
            <w:r>
              <w:rPr>
                <w:rFonts w:hint="eastAsia" w:ascii="Times New Roman" w:hAnsi="Times New Roman" w:eastAsia="宋体"/>
                <w:color w:val="auto"/>
                <w:sz w:val="21"/>
                <w:szCs w:val="21"/>
                <w:highlight w:val="none"/>
                <w:lang w:val="zh-CN"/>
              </w:rPr>
              <w:t>人员获奖必须提供</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扫描件需能</w:t>
            </w:r>
            <w:r>
              <w:rPr>
                <w:rFonts w:hint="eastAsia" w:eastAsia="宋体"/>
                <w:color w:val="auto"/>
                <w:szCs w:val="21"/>
                <w:highlight w:val="none"/>
                <w:lang w:val="zh-CN"/>
              </w:rPr>
              <w:t>体现参与设计人员名字；若获奖证书</w:t>
            </w:r>
            <w:r>
              <w:rPr>
                <w:rFonts w:hint="eastAsia" w:ascii="Times New Roman" w:hAnsi="Times New Roman" w:eastAsia="宋体"/>
                <w:color w:val="auto"/>
                <w:sz w:val="21"/>
                <w:szCs w:val="21"/>
                <w:highlight w:val="none"/>
                <w:lang w:val="zh-CN"/>
              </w:rPr>
              <w:t>扫描件不能</w:t>
            </w:r>
            <w:r>
              <w:rPr>
                <w:rFonts w:hint="eastAsia" w:eastAsia="宋体"/>
                <w:color w:val="auto"/>
                <w:szCs w:val="21"/>
                <w:highlight w:val="none"/>
                <w:lang w:val="zh-CN"/>
              </w:rPr>
              <w:t>体现参与设计人员名字，则需提供获奖证书</w:t>
            </w:r>
            <w:r>
              <w:rPr>
                <w:rFonts w:hint="eastAsia" w:ascii="Times New Roman" w:hAnsi="Times New Roman" w:eastAsia="宋体"/>
                <w:color w:val="auto"/>
                <w:sz w:val="21"/>
                <w:szCs w:val="21"/>
                <w:highlight w:val="none"/>
                <w:lang w:val="zh-CN"/>
              </w:rPr>
              <w:t>扫描件及</w:t>
            </w:r>
            <w:r>
              <w:rPr>
                <w:rFonts w:hint="eastAsia" w:ascii="Times New Roman" w:hAnsi="Times New Roman" w:eastAsia="宋体" w:cs="Times New Roman"/>
                <w:color w:val="auto"/>
                <w:szCs w:val="21"/>
                <w:highlight w:val="none"/>
                <w:lang w:val="zh-CN"/>
              </w:rPr>
              <w:t>获奖评选结果网页截图，网页截图需体现</w:t>
            </w:r>
            <w:r>
              <w:rPr>
                <w:rFonts w:hint="eastAsia" w:eastAsia="宋体"/>
                <w:color w:val="auto"/>
                <w:szCs w:val="21"/>
                <w:highlight w:val="none"/>
                <w:lang w:val="zh-CN"/>
              </w:rPr>
              <w:t>参与设计</w:t>
            </w:r>
            <w:r>
              <w:rPr>
                <w:rFonts w:hint="eastAsia" w:ascii="Times New Roman" w:hAnsi="Times New Roman" w:eastAsia="宋体" w:cs="Times New Roman"/>
                <w:color w:val="auto"/>
                <w:szCs w:val="21"/>
                <w:highlight w:val="none"/>
                <w:lang w:val="zh-CN"/>
              </w:rPr>
              <w:t>人员名字；若</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扫描件和</w:t>
            </w:r>
            <w:r>
              <w:rPr>
                <w:rFonts w:hint="eastAsia" w:ascii="Times New Roman" w:hAnsi="Times New Roman" w:eastAsia="宋体" w:cs="Times New Roman"/>
                <w:color w:val="auto"/>
                <w:szCs w:val="21"/>
                <w:highlight w:val="none"/>
                <w:lang w:val="zh-CN"/>
              </w:rPr>
              <w:t>获奖评选结果网页截图都不能体现</w:t>
            </w:r>
            <w:r>
              <w:rPr>
                <w:rFonts w:hint="eastAsia" w:eastAsia="宋体"/>
                <w:color w:val="auto"/>
                <w:szCs w:val="21"/>
                <w:highlight w:val="none"/>
                <w:lang w:val="zh-CN"/>
              </w:rPr>
              <w:t>参与设计</w:t>
            </w:r>
            <w:r>
              <w:rPr>
                <w:rFonts w:hint="eastAsia" w:ascii="Times New Roman" w:hAnsi="Times New Roman" w:eastAsia="宋体" w:cs="Times New Roman"/>
                <w:color w:val="auto"/>
                <w:szCs w:val="21"/>
                <w:highlight w:val="none"/>
                <w:lang w:val="zh-CN"/>
              </w:rPr>
              <w:t>人员名字，则需提供</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扫描件及</w:t>
            </w:r>
            <w:r>
              <w:rPr>
                <w:rFonts w:hint="eastAsia" w:ascii="Times New Roman" w:hAnsi="Times New Roman" w:eastAsia="宋体" w:cs="Times New Roman"/>
                <w:color w:val="auto"/>
                <w:szCs w:val="21"/>
                <w:highlight w:val="none"/>
                <w:lang w:val="zh-CN"/>
              </w:rPr>
              <w:t>建设单位出具的该人员获奖证明，获奖证明以建设单位加盖公章为准。</w:t>
            </w:r>
          </w:p>
        </w:tc>
        <w:tc>
          <w:tcPr>
            <w:tcW w:w="9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00" w:lineRule="auto"/>
              <w:jc w:val="center"/>
              <w:rPr>
                <w:color w:val="auto"/>
                <w:szCs w:val="21"/>
                <w:highlight w:val="none"/>
                <w:lang w:val="zh-CN"/>
              </w:rPr>
            </w:pPr>
          </w:p>
        </w:tc>
      </w:tr>
      <w:tr>
        <w:tblPrEx>
          <w:tblCellMar>
            <w:top w:w="0" w:type="dxa"/>
            <w:left w:w="108" w:type="dxa"/>
            <w:bottom w:w="0" w:type="dxa"/>
            <w:right w:w="108" w:type="dxa"/>
          </w:tblCellMar>
        </w:tblPrEx>
        <w:trPr>
          <w:trHeight w:val="540" w:hRule="atLeast"/>
        </w:trPr>
        <w:tc>
          <w:tcPr>
            <w:tcW w:w="5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cs="宋体"/>
                <w:color w:val="auto"/>
                <w:szCs w:val="21"/>
                <w:highlight w:val="none"/>
                <w:lang w:val="zh-CN"/>
              </w:rPr>
            </w:pPr>
          </w:p>
        </w:tc>
        <w:tc>
          <w:tcPr>
            <w:tcW w:w="897"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240" w:lineRule="exact"/>
              <w:jc w:val="center"/>
              <w:rPr>
                <w:rFonts w:ascii="宋体" w:cs="宋体"/>
                <w:color w:val="auto"/>
                <w:szCs w:val="21"/>
                <w:highlight w:val="none"/>
                <w:lang w:val="zh-CN"/>
              </w:rPr>
            </w:pPr>
          </w:p>
        </w:tc>
        <w:tc>
          <w:tcPr>
            <w:tcW w:w="139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color w:val="auto"/>
                <w:szCs w:val="21"/>
                <w:highlight w:val="none"/>
              </w:rPr>
            </w:pPr>
          </w:p>
        </w:tc>
        <w:tc>
          <w:tcPr>
            <w:tcW w:w="9857" w:type="dxa"/>
            <w:tcBorders>
              <w:top w:val="single" w:color="auto" w:sz="6" w:space="0"/>
              <w:left w:val="single" w:color="auto" w:sz="6" w:space="0"/>
              <w:bottom w:val="single" w:color="auto" w:sz="6" w:space="0"/>
              <w:right w:val="single" w:color="auto" w:sz="6" w:space="0"/>
            </w:tcBorders>
            <w:noWrap w:val="0"/>
            <w:vAlign w:val="center"/>
          </w:tcPr>
          <w:p>
            <w:pPr>
              <w:numPr>
                <w:ilvl w:val="0"/>
                <w:numId w:val="0"/>
              </w:numPr>
              <w:wordWrap w:val="0"/>
              <w:topLinePunct/>
              <w:autoSpaceDE w:val="0"/>
              <w:autoSpaceDN w:val="0"/>
              <w:adjustRightInd w:val="0"/>
              <w:spacing w:line="300" w:lineRule="auto"/>
              <w:jc w:val="left"/>
              <w:rPr>
                <w:rFonts w:hint="eastAsia" w:ascii="Times New Roman" w:hAnsi="Times New Roman" w:eastAsia="宋体" w:cs="Times New Roman"/>
                <w:color w:val="auto"/>
                <w:szCs w:val="21"/>
                <w:highlight w:val="none"/>
                <w:lang w:val="zh-CN"/>
              </w:rPr>
            </w:pPr>
            <w:r>
              <w:rPr>
                <w:rFonts w:hint="eastAsia" w:eastAsia="宋体"/>
                <w:color w:val="auto"/>
                <w:szCs w:val="21"/>
                <w:highlight w:val="none"/>
                <w:lang w:val="zh-CN" w:eastAsia="zh-CN"/>
              </w:rPr>
              <w:t>2</w:t>
            </w:r>
            <w:r>
              <w:rPr>
                <w:rFonts w:hint="eastAsia" w:ascii="Times New Roman" w:hAnsi="Times New Roman" w:eastAsia="宋体" w:cs="Times New Roman"/>
                <w:color w:val="auto"/>
                <w:szCs w:val="21"/>
                <w:highlight w:val="none"/>
                <w:lang w:val="zh-CN" w:eastAsia="zh-CN"/>
              </w:rPr>
              <w:t>.</w:t>
            </w:r>
            <w:r>
              <w:rPr>
                <w:rFonts w:hint="eastAsia" w:ascii="Times New Roman" w:hAnsi="Times New Roman" w:eastAsia="宋体" w:cs="Times New Roman"/>
                <w:color w:val="auto"/>
                <w:szCs w:val="21"/>
                <w:highlight w:val="none"/>
                <w:lang w:val="zh-CN"/>
              </w:rPr>
              <w:t>各专业负责人</w:t>
            </w:r>
            <w:r>
              <w:rPr>
                <w:rFonts w:hint="eastAsia" w:eastAsia="宋体" w:cs="Times New Roman"/>
                <w:color w:val="auto"/>
                <w:szCs w:val="21"/>
                <w:highlight w:val="none"/>
                <w:lang w:val="zh-CN"/>
              </w:rPr>
              <w:t>（不含项目负责人）</w:t>
            </w:r>
            <w:r>
              <w:rPr>
                <w:rFonts w:hint="eastAsia" w:ascii="Times New Roman" w:hAnsi="Times New Roman" w:eastAsia="宋体" w:cs="Times New Roman"/>
                <w:color w:val="auto"/>
                <w:szCs w:val="21"/>
                <w:highlight w:val="none"/>
                <w:lang w:val="zh-CN"/>
              </w:rPr>
              <w:t>设计经历及业务能力：</w:t>
            </w:r>
          </w:p>
          <w:p>
            <w:pPr>
              <w:numPr>
                <w:ilvl w:val="0"/>
                <w:numId w:val="0"/>
              </w:numPr>
              <w:wordWrap w:val="0"/>
              <w:topLinePunct/>
              <w:adjustRightInd w:val="0"/>
              <w:spacing w:line="300" w:lineRule="auto"/>
              <w:jc w:val="left"/>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zh-CN" w:eastAsia="zh-CN"/>
              </w:rPr>
              <w:t>1</w:t>
            </w:r>
            <w:r>
              <w:rPr>
                <w:rFonts w:hint="eastAsia" w:ascii="Times New Roman" w:hAnsi="Times New Roman" w:eastAsia="宋体" w:cs="Times New Roman"/>
                <w:color w:val="auto"/>
                <w:szCs w:val="21"/>
                <w:highlight w:val="none"/>
                <w:lang w:val="zh-CN"/>
              </w:rPr>
              <w:t>）各专业负责人</w:t>
            </w:r>
            <w:r>
              <w:rPr>
                <w:rFonts w:hint="eastAsia" w:eastAsia="宋体" w:cs="Times New Roman"/>
                <w:color w:val="auto"/>
                <w:szCs w:val="21"/>
                <w:highlight w:val="none"/>
                <w:lang w:val="zh-CN"/>
              </w:rPr>
              <w:t>（桥梁、结构、勘察、测量、造价）</w:t>
            </w:r>
            <w:r>
              <w:rPr>
                <w:rFonts w:hint="eastAsia" w:ascii="Times New Roman" w:hAnsi="Times New Roman" w:eastAsia="宋体" w:cs="Times New Roman"/>
                <w:color w:val="auto"/>
                <w:szCs w:val="21"/>
                <w:highlight w:val="none"/>
                <w:lang w:val="zh-CN"/>
              </w:rPr>
              <w:t>每</w:t>
            </w:r>
            <w:r>
              <w:rPr>
                <w:rFonts w:hint="eastAsia" w:ascii="Times New Roman" w:hAnsi="Times New Roman" w:eastAsia="宋体" w:cs="Times New Roman"/>
                <w:color w:val="auto"/>
                <w:szCs w:val="21"/>
                <w:highlight w:val="none"/>
                <w:lang w:val="zh-CN" w:eastAsia="zh-CN"/>
              </w:rPr>
              <w:t>1</w:t>
            </w:r>
            <w:r>
              <w:rPr>
                <w:rFonts w:hint="eastAsia" w:ascii="Times New Roman" w:hAnsi="Times New Roman" w:eastAsia="宋体" w:cs="Times New Roman"/>
                <w:color w:val="auto"/>
                <w:szCs w:val="21"/>
                <w:highlight w:val="none"/>
                <w:lang w:val="zh-CN"/>
              </w:rPr>
              <w:t>名为</w:t>
            </w:r>
            <w:r>
              <w:rPr>
                <w:rFonts w:hint="default" w:ascii="Times New Roman" w:hAnsi="Times New Roman" w:cs="Times New Roman"/>
                <w:color w:val="auto"/>
                <w:szCs w:val="21"/>
                <w:highlight w:val="none"/>
                <w:lang w:val="zh-CN"/>
              </w:rPr>
              <w:t>注册造价师或注册土木工程师或</w:t>
            </w:r>
            <w:r>
              <w:rPr>
                <w:rFonts w:hint="eastAsia" w:ascii="Times New Roman" w:hAnsi="Times New Roman" w:eastAsia="宋体" w:cs="Times New Roman"/>
                <w:color w:val="auto"/>
                <w:szCs w:val="21"/>
                <w:highlight w:val="none"/>
                <w:lang w:val="zh-CN"/>
              </w:rPr>
              <w:t>高级工程师（</w:t>
            </w:r>
            <w:r>
              <w:rPr>
                <w:rFonts w:hint="eastAsia" w:eastAsia="宋体" w:cs="Times New Roman"/>
                <w:color w:val="auto"/>
                <w:szCs w:val="21"/>
                <w:highlight w:val="none"/>
                <w:lang w:val="zh-CN" w:eastAsia="zh-CN"/>
              </w:rPr>
              <w:t>或以上职称</w:t>
            </w:r>
            <w:r>
              <w:rPr>
                <w:rFonts w:hint="eastAsia" w:ascii="Times New Roman" w:hAnsi="Times New Roman" w:eastAsia="宋体" w:cs="Times New Roman"/>
                <w:color w:val="auto"/>
                <w:szCs w:val="21"/>
                <w:highlight w:val="none"/>
                <w:lang w:val="zh-CN"/>
              </w:rPr>
              <w:t>）的得</w:t>
            </w:r>
            <w:r>
              <w:rPr>
                <w:rFonts w:hint="eastAsia" w:ascii="Times New Roman" w:hAnsi="Times New Roman" w:eastAsia="宋体" w:cs="Times New Roman"/>
                <w:color w:val="auto"/>
                <w:szCs w:val="21"/>
                <w:highlight w:val="none"/>
                <w:u w:val="none"/>
                <w:lang w:val="zh-CN" w:eastAsia="zh-CN"/>
              </w:rPr>
              <w:t>1</w:t>
            </w:r>
            <w:r>
              <w:rPr>
                <w:rFonts w:hint="eastAsia" w:ascii="Times New Roman" w:hAnsi="Times New Roman" w:eastAsia="宋体" w:cs="Times New Roman"/>
                <w:color w:val="auto"/>
                <w:szCs w:val="21"/>
                <w:highlight w:val="none"/>
                <w:lang w:val="zh-CN"/>
              </w:rPr>
              <w:t>分</w:t>
            </w:r>
            <w:r>
              <w:rPr>
                <w:rFonts w:hint="eastAsia" w:eastAsia="宋体" w:cs="Times New Roman"/>
                <w:color w:val="auto"/>
                <w:szCs w:val="21"/>
                <w:highlight w:val="none"/>
                <w:lang w:val="zh-CN" w:eastAsia="zh-CN"/>
              </w:rPr>
              <w:t>，</w:t>
            </w:r>
            <w:r>
              <w:rPr>
                <w:rFonts w:hint="eastAsia" w:eastAsia="宋体"/>
                <w:color w:val="auto"/>
                <w:szCs w:val="21"/>
                <w:highlight w:val="none"/>
                <w:lang w:val="zh-CN"/>
              </w:rPr>
              <w:t>每1名为中级职称</w:t>
            </w:r>
            <w:r>
              <w:rPr>
                <w:rFonts w:hint="eastAsia" w:ascii="Times New Roman" w:hAnsi="Times New Roman" w:eastAsia="宋体" w:cs="Times New Roman"/>
                <w:color w:val="auto"/>
                <w:szCs w:val="21"/>
                <w:highlight w:val="none"/>
                <w:lang w:val="zh-CN"/>
              </w:rPr>
              <w:t>的</w:t>
            </w:r>
            <w:r>
              <w:rPr>
                <w:rFonts w:hint="eastAsia" w:eastAsia="宋体"/>
                <w:color w:val="auto"/>
                <w:szCs w:val="21"/>
                <w:highlight w:val="none"/>
                <w:lang w:val="zh-CN"/>
              </w:rPr>
              <w:t>得</w:t>
            </w:r>
            <w:r>
              <w:rPr>
                <w:rFonts w:hint="eastAsia" w:eastAsia="宋体"/>
                <w:color w:val="auto"/>
                <w:szCs w:val="21"/>
                <w:highlight w:val="none"/>
                <w:u w:val="none"/>
                <w:lang w:val="zh-CN"/>
              </w:rPr>
              <w:t>0.</w:t>
            </w:r>
            <w:r>
              <w:rPr>
                <w:rFonts w:hint="eastAsia" w:eastAsia="宋体"/>
                <w:color w:val="auto"/>
                <w:szCs w:val="21"/>
                <w:highlight w:val="none"/>
                <w:u w:val="none"/>
                <w:lang w:val="zh-CN" w:eastAsia="zh-CN"/>
              </w:rPr>
              <w:t>5</w:t>
            </w:r>
            <w:r>
              <w:rPr>
                <w:rFonts w:hint="eastAsia" w:eastAsia="宋体"/>
                <w:color w:val="auto"/>
                <w:szCs w:val="21"/>
                <w:highlight w:val="none"/>
                <w:lang w:val="zh-CN"/>
              </w:rPr>
              <w:t>分，</w:t>
            </w:r>
            <w:r>
              <w:rPr>
                <w:rFonts w:hint="eastAsia" w:ascii="Times New Roman" w:hAnsi="Times New Roman" w:eastAsia="宋体" w:cs="Times New Roman"/>
                <w:color w:val="auto"/>
                <w:szCs w:val="21"/>
                <w:highlight w:val="none"/>
                <w:u w:val="none"/>
                <w:lang w:val="zh-CN"/>
              </w:rPr>
              <w:t>本项</w:t>
            </w:r>
            <w:r>
              <w:rPr>
                <w:rFonts w:hint="eastAsia" w:eastAsia="宋体"/>
                <w:color w:val="auto"/>
                <w:szCs w:val="21"/>
                <w:highlight w:val="none"/>
                <w:lang w:val="zh-CN"/>
              </w:rPr>
              <w:t>最多得</w:t>
            </w:r>
            <w:r>
              <w:rPr>
                <w:rFonts w:hint="eastAsia"/>
                <w:color w:val="auto"/>
                <w:szCs w:val="21"/>
                <w:highlight w:val="none"/>
                <w:lang w:val="en-US" w:eastAsia="zh-CN"/>
              </w:rPr>
              <w:t>3</w:t>
            </w:r>
            <w:r>
              <w:rPr>
                <w:rFonts w:hint="eastAsia" w:eastAsia="宋体"/>
                <w:color w:val="auto"/>
                <w:szCs w:val="21"/>
                <w:highlight w:val="none"/>
                <w:lang w:val="zh-CN"/>
              </w:rPr>
              <w:t>分。</w:t>
            </w:r>
          </w:p>
          <w:p>
            <w:pPr>
              <w:numPr>
                <w:ilvl w:val="0"/>
                <w:numId w:val="0"/>
              </w:numPr>
              <w:wordWrap w:val="0"/>
              <w:topLinePunct/>
              <w:adjustRightInd w:val="0"/>
              <w:spacing w:line="300" w:lineRule="auto"/>
              <w:jc w:val="left"/>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（2</w:t>
            </w:r>
            <w:r>
              <w:rPr>
                <w:rFonts w:hint="eastAsia" w:ascii="Times New Roman" w:hAnsi="Times New Roman" w:eastAsia="宋体" w:cs="Times New Roman"/>
                <w:color w:val="auto"/>
                <w:szCs w:val="21"/>
                <w:highlight w:val="none"/>
                <w:u w:val="none"/>
                <w:lang w:val="zh-CN"/>
              </w:rPr>
              <w:t>）各专业负责人在近5年内，</w:t>
            </w:r>
            <w:r>
              <w:rPr>
                <w:rFonts w:hint="eastAsia" w:ascii="Times New Roman" w:hAnsi="Times New Roman" w:eastAsia="宋体" w:cs="Times New Roman"/>
                <w:color w:val="auto"/>
                <w:szCs w:val="21"/>
                <w:highlight w:val="none"/>
                <w:lang w:val="zh-CN"/>
              </w:rPr>
              <w:t>每1名参与设计的</w:t>
            </w:r>
            <w:r>
              <w:rPr>
                <w:rFonts w:hint="eastAsia" w:cs="Times New Roman"/>
                <w:color w:val="auto"/>
                <w:szCs w:val="21"/>
                <w:highlight w:val="none"/>
                <w:lang w:val="en-US" w:eastAsia="zh-CN"/>
              </w:rPr>
              <w:t>类似</w:t>
            </w:r>
            <w:r>
              <w:rPr>
                <w:rFonts w:hint="eastAsia" w:ascii="Times New Roman" w:hAnsi="Times New Roman" w:eastAsia="宋体" w:cs="Times New Roman"/>
                <w:color w:val="auto"/>
                <w:szCs w:val="21"/>
                <w:highlight w:val="none"/>
                <w:lang w:val="zh-CN"/>
              </w:rPr>
              <w:t>项目</w:t>
            </w:r>
            <w:r>
              <w:rPr>
                <w:rFonts w:hint="eastAsia" w:ascii="Times New Roman" w:hAnsi="Times New Roman" w:eastAsia="宋体" w:cs="Times New Roman"/>
                <w:color w:val="auto"/>
                <w:szCs w:val="21"/>
                <w:highlight w:val="none"/>
                <w:u w:val="none"/>
                <w:lang w:val="zh-CN"/>
              </w:rPr>
              <w:t>获</w:t>
            </w:r>
            <w:r>
              <w:rPr>
                <w:rFonts w:hint="eastAsia" w:ascii="Times New Roman" w:hAnsi="Times New Roman" w:eastAsia="宋体" w:cs="Times New Roman"/>
                <w:color w:val="auto"/>
                <w:szCs w:val="21"/>
                <w:highlight w:val="none"/>
                <w:lang w:val="zh-CN"/>
              </w:rPr>
              <w:t>国家级奖项，每项得4分；</w:t>
            </w:r>
            <w:r>
              <w:rPr>
                <w:rFonts w:hint="eastAsia" w:ascii="Times New Roman" w:hAnsi="Times New Roman" w:eastAsia="宋体" w:cs="Times New Roman"/>
                <w:color w:val="auto"/>
                <w:szCs w:val="21"/>
                <w:highlight w:val="none"/>
                <w:u w:val="none"/>
                <w:lang w:val="zh-CN"/>
              </w:rPr>
              <w:t>获行业级奖项，每项得</w:t>
            </w:r>
            <w:r>
              <w:rPr>
                <w:rFonts w:hint="eastAsia" w:ascii="Times New Roman" w:hAnsi="Times New Roman" w:eastAsia="宋体" w:cs="Times New Roman"/>
                <w:color w:val="auto"/>
                <w:szCs w:val="21"/>
                <w:highlight w:val="none"/>
                <w:u w:val="none"/>
                <w:lang w:val="zh-CN" w:eastAsia="zh-CN"/>
              </w:rPr>
              <w:t>3</w:t>
            </w:r>
            <w:r>
              <w:rPr>
                <w:rFonts w:hint="eastAsia" w:ascii="Times New Roman" w:hAnsi="Times New Roman" w:eastAsia="宋体" w:cs="Times New Roman"/>
                <w:color w:val="auto"/>
                <w:szCs w:val="21"/>
                <w:highlight w:val="none"/>
                <w:u w:val="none"/>
                <w:lang w:val="zh-CN"/>
              </w:rPr>
              <w:t>分；</w:t>
            </w:r>
            <w:r>
              <w:rPr>
                <w:rFonts w:hint="eastAsia" w:ascii="Times New Roman" w:hAnsi="Times New Roman" w:eastAsia="宋体" w:cs="Times New Roman"/>
                <w:color w:val="auto"/>
                <w:szCs w:val="21"/>
                <w:highlight w:val="none"/>
                <w:lang w:val="zh-CN"/>
              </w:rPr>
              <w:t>获得省级奖项的，每项得</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lang w:val="zh-CN"/>
              </w:rPr>
              <w:t>分；获市（</w:t>
            </w:r>
            <w:r>
              <w:rPr>
                <w:rFonts w:hint="eastAsia" w:ascii="Times New Roman" w:hAnsi="Times New Roman" w:eastAsia="宋体" w:cs="Times New Roman"/>
                <w:color w:val="auto"/>
                <w:szCs w:val="21"/>
                <w:highlight w:val="none"/>
                <w:lang w:val="zh-CN" w:eastAsia="zh-CN"/>
              </w:rPr>
              <w:t>副省级）</w:t>
            </w:r>
            <w:r>
              <w:rPr>
                <w:rFonts w:hint="eastAsia" w:ascii="Times New Roman" w:hAnsi="Times New Roman" w:eastAsia="宋体" w:cs="Times New Roman"/>
                <w:color w:val="auto"/>
                <w:szCs w:val="21"/>
                <w:highlight w:val="none"/>
                <w:lang w:val="zh-CN"/>
              </w:rPr>
              <w:t>奖项，每项得</w:t>
            </w:r>
            <w:r>
              <w:rPr>
                <w:rFonts w:hint="eastAsia" w:ascii="Times New Roman" w:hAnsi="Times New Roman" w:eastAsia="宋体" w:cs="Times New Roman"/>
                <w:color w:val="auto"/>
                <w:szCs w:val="21"/>
                <w:highlight w:val="none"/>
                <w:u w:val="none"/>
                <w:lang w:val="zh-CN"/>
              </w:rPr>
              <w:t>1</w:t>
            </w:r>
            <w:r>
              <w:rPr>
                <w:rFonts w:hint="eastAsia" w:ascii="Times New Roman" w:hAnsi="Times New Roman" w:eastAsia="宋体" w:cs="Times New Roman"/>
                <w:color w:val="auto"/>
                <w:szCs w:val="21"/>
                <w:highlight w:val="none"/>
                <w:lang w:val="zh-CN"/>
              </w:rPr>
              <w:t>分。</w:t>
            </w:r>
            <w:r>
              <w:rPr>
                <w:rFonts w:hint="eastAsia" w:ascii="Times New Roman" w:hAnsi="Times New Roman" w:eastAsia="宋体" w:cs="Times New Roman"/>
                <w:color w:val="auto"/>
                <w:szCs w:val="21"/>
                <w:highlight w:val="none"/>
                <w:u w:val="none"/>
                <w:lang w:val="zh-CN"/>
              </w:rPr>
              <w:t>本项</w:t>
            </w:r>
            <w:r>
              <w:rPr>
                <w:rFonts w:hint="eastAsia" w:eastAsia="宋体"/>
                <w:color w:val="auto"/>
                <w:szCs w:val="21"/>
                <w:highlight w:val="none"/>
                <w:lang w:val="zh-CN"/>
              </w:rPr>
              <w:t>最多得</w:t>
            </w:r>
            <w:r>
              <w:rPr>
                <w:rFonts w:hint="eastAsia"/>
                <w:color w:val="auto"/>
                <w:szCs w:val="21"/>
                <w:highlight w:val="none"/>
                <w:lang w:val="en-US" w:eastAsia="zh-CN"/>
              </w:rPr>
              <w:t>7</w:t>
            </w:r>
            <w:r>
              <w:rPr>
                <w:rFonts w:hint="eastAsia" w:eastAsia="宋体"/>
                <w:color w:val="auto"/>
                <w:szCs w:val="21"/>
                <w:highlight w:val="none"/>
                <w:lang w:val="zh-CN"/>
              </w:rPr>
              <w:t>分</w:t>
            </w:r>
            <w:r>
              <w:rPr>
                <w:rFonts w:hint="eastAsia" w:ascii="Times New Roman" w:hAnsi="Times New Roman" w:eastAsia="宋体" w:cs="Times New Roman"/>
                <w:color w:val="auto"/>
                <w:szCs w:val="21"/>
                <w:highlight w:val="none"/>
                <w:lang w:val="zh-CN"/>
              </w:rPr>
              <w:t>。</w:t>
            </w:r>
          </w:p>
          <w:p>
            <w:pPr>
              <w:numPr>
                <w:ilvl w:val="0"/>
                <w:numId w:val="0"/>
              </w:numPr>
              <w:wordWrap w:val="0"/>
              <w:topLinePunct/>
              <w:adjustRightInd w:val="0"/>
              <w:spacing w:line="300" w:lineRule="auto"/>
              <w:jc w:val="left"/>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以上（</w:t>
            </w:r>
            <w:r>
              <w:rPr>
                <w:rFonts w:hint="eastAsia" w:ascii="Times New Roman" w:hAnsi="Times New Roman" w:eastAsia="宋体" w:cs="Times New Roman"/>
                <w:color w:val="auto"/>
                <w:szCs w:val="21"/>
                <w:highlight w:val="none"/>
                <w:lang w:val="zh-CN" w:eastAsia="zh-CN"/>
              </w:rPr>
              <w:t>1</w:t>
            </w: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zh-CN" w:eastAsia="zh-CN"/>
              </w:rPr>
              <w:t>2</w:t>
            </w:r>
            <w:r>
              <w:rPr>
                <w:rFonts w:hint="eastAsia" w:ascii="Times New Roman" w:hAnsi="Times New Roman" w:eastAsia="宋体" w:cs="Times New Roman"/>
                <w:color w:val="auto"/>
                <w:szCs w:val="21"/>
                <w:highlight w:val="none"/>
                <w:lang w:val="zh-CN"/>
              </w:rPr>
              <w:t>）项合计最多得</w:t>
            </w:r>
            <w:r>
              <w:rPr>
                <w:rFonts w:hint="eastAsia" w:cs="Times New Roman"/>
                <w:color w:val="auto"/>
                <w:szCs w:val="21"/>
                <w:highlight w:val="none"/>
                <w:lang w:val="en-US" w:eastAsia="zh-CN"/>
              </w:rPr>
              <w:t>1</w:t>
            </w:r>
            <w:r>
              <w:rPr>
                <w:rFonts w:hint="eastAsia" w:cs="Times New Roman"/>
                <w:color w:val="auto"/>
                <w:szCs w:val="21"/>
                <w:highlight w:val="none"/>
                <w:u w:val="none"/>
                <w:lang w:val="en-US" w:eastAsia="zh-CN"/>
              </w:rPr>
              <w:t>0</w:t>
            </w:r>
            <w:r>
              <w:rPr>
                <w:rFonts w:hint="eastAsia" w:ascii="Times New Roman" w:hAnsi="Times New Roman" w:eastAsia="宋体" w:cs="Times New Roman"/>
                <w:color w:val="auto"/>
                <w:szCs w:val="21"/>
                <w:highlight w:val="none"/>
                <w:lang w:val="zh-CN"/>
              </w:rPr>
              <w:t>分。</w:t>
            </w:r>
          </w:p>
          <w:p>
            <w:pPr>
              <w:autoSpaceDE w:val="0"/>
              <w:autoSpaceDN w:val="0"/>
              <w:adjustRightInd w:val="0"/>
              <w:spacing w:line="360" w:lineRule="auto"/>
              <w:rPr>
                <w:color w:val="auto"/>
                <w:szCs w:val="21"/>
                <w:highlight w:val="none"/>
                <w:lang w:val="zh-CN"/>
              </w:rPr>
            </w:pPr>
            <w:r>
              <w:rPr>
                <w:rFonts w:hint="eastAsia" w:ascii="Times New Roman" w:hAnsi="Times New Roman" w:eastAsia="宋体"/>
                <w:color w:val="auto"/>
                <w:sz w:val="21"/>
                <w:szCs w:val="21"/>
                <w:highlight w:val="none"/>
                <w:lang w:val="zh-CN"/>
              </w:rPr>
              <w:t>注：</w:t>
            </w:r>
            <w:r>
              <w:rPr>
                <w:rFonts w:hint="eastAsia" w:ascii="Times New Roman" w:hAnsi="Times New Roman" w:eastAsia="宋体" w:cs="Times New Roman"/>
                <w:color w:val="auto"/>
                <w:szCs w:val="21"/>
                <w:highlight w:val="none"/>
                <w:lang w:val="zh-CN"/>
              </w:rPr>
              <w:t>需提供职称或注册证、业绩获奖证明材料</w:t>
            </w:r>
            <w:r>
              <w:rPr>
                <w:rFonts w:hint="eastAsia" w:eastAsia="宋体" w:cs="Times New Roman"/>
                <w:color w:val="auto"/>
                <w:szCs w:val="21"/>
                <w:highlight w:val="none"/>
                <w:lang w:val="zh-CN"/>
              </w:rPr>
              <w:t>。</w:t>
            </w:r>
            <w:r>
              <w:rPr>
                <w:rFonts w:hint="eastAsia" w:ascii="Times New Roman" w:hAnsi="Times New Roman" w:eastAsia="宋体"/>
                <w:color w:val="auto"/>
                <w:sz w:val="21"/>
                <w:szCs w:val="21"/>
                <w:highlight w:val="none"/>
                <w:lang w:val="zh-CN"/>
              </w:rPr>
              <w:t>人员获奖必须提供</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扫描件需能</w:t>
            </w:r>
            <w:r>
              <w:rPr>
                <w:rFonts w:hint="eastAsia" w:eastAsia="宋体"/>
                <w:color w:val="auto"/>
                <w:szCs w:val="21"/>
                <w:highlight w:val="none"/>
                <w:lang w:val="zh-CN"/>
              </w:rPr>
              <w:t>体现参与设计人员名字；若获奖证书</w:t>
            </w:r>
            <w:r>
              <w:rPr>
                <w:rFonts w:hint="eastAsia" w:ascii="Times New Roman" w:hAnsi="Times New Roman" w:eastAsia="宋体"/>
                <w:color w:val="auto"/>
                <w:sz w:val="21"/>
                <w:szCs w:val="21"/>
                <w:highlight w:val="none"/>
                <w:lang w:val="zh-CN"/>
              </w:rPr>
              <w:t>扫描件不能</w:t>
            </w:r>
            <w:r>
              <w:rPr>
                <w:rFonts w:hint="eastAsia" w:eastAsia="宋体"/>
                <w:color w:val="auto"/>
                <w:szCs w:val="21"/>
                <w:highlight w:val="none"/>
                <w:lang w:val="zh-CN"/>
              </w:rPr>
              <w:t>体现参与设计人员名字，则需提供获奖证书</w:t>
            </w:r>
            <w:r>
              <w:rPr>
                <w:rFonts w:hint="eastAsia" w:ascii="Times New Roman" w:hAnsi="Times New Roman" w:eastAsia="宋体"/>
                <w:color w:val="auto"/>
                <w:sz w:val="21"/>
                <w:szCs w:val="21"/>
                <w:highlight w:val="none"/>
                <w:lang w:val="zh-CN"/>
              </w:rPr>
              <w:t>扫描件及</w:t>
            </w:r>
            <w:r>
              <w:rPr>
                <w:rFonts w:hint="eastAsia" w:ascii="Times New Roman" w:hAnsi="Times New Roman" w:eastAsia="宋体" w:cs="Times New Roman"/>
                <w:color w:val="auto"/>
                <w:szCs w:val="21"/>
                <w:highlight w:val="none"/>
                <w:lang w:val="zh-CN"/>
              </w:rPr>
              <w:t>获奖评选结果网页截图，网页截图需体现</w:t>
            </w:r>
            <w:r>
              <w:rPr>
                <w:rFonts w:hint="eastAsia" w:eastAsia="宋体"/>
                <w:color w:val="auto"/>
                <w:szCs w:val="21"/>
                <w:highlight w:val="none"/>
                <w:lang w:val="zh-CN"/>
              </w:rPr>
              <w:t>参与设计</w:t>
            </w:r>
            <w:r>
              <w:rPr>
                <w:rFonts w:hint="eastAsia" w:ascii="Times New Roman" w:hAnsi="Times New Roman" w:eastAsia="宋体" w:cs="Times New Roman"/>
                <w:color w:val="auto"/>
                <w:szCs w:val="21"/>
                <w:highlight w:val="none"/>
                <w:lang w:val="zh-CN"/>
              </w:rPr>
              <w:t>人员名字；若</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扫描件和</w:t>
            </w:r>
            <w:r>
              <w:rPr>
                <w:rFonts w:hint="eastAsia" w:ascii="Times New Roman" w:hAnsi="Times New Roman" w:eastAsia="宋体" w:cs="Times New Roman"/>
                <w:color w:val="auto"/>
                <w:szCs w:val="21"/>
                <w:highlight w:val="none"/>
                <w:lang w:val="zh-CN"/>
              </w:rPr>
              <w:t>获奖评选结果网页截图都不能体现</w:t>
            </w:r>
            <w:r>
              <w:rPr>
                <w:rFonts w:hint="eastAsia" w:eastAsia="宋体"/>
                <w:color w:val="auto"/>
                <w:szCs w:val="21"/>
                <w:highlight w:val="none"/>
                <w:lang w:val="zh-CN"/>
              </w:rPr>
              <w:t>参与设计</w:t>
            </w:r>
            <w:r>
              <w:rPr>
                <w:rFonts w:hint="eastAsia" w:ascii="Times New Roman" w:hAnsi="Times New Roman" w:eastAsia="宋体" w:cs="Times New Roman"/>
                <w:color w:val="auto"/>
                <w:szCs w:val="21"/>
                <w:highlight w:val="none"/>
                <w:lang w:val="zh-CN"/>
              </w:rPr>
              <w:t>人员名字，则需提供</w:t>
            </w:r>
            <w:r>
              <w:rPr>
                <w:rFonts w:hint="eastAsia" w:eastAsia="宋体"/>
                <w:color w:val="auto"/>
                <w:szCs w:val="21"/>
                <w:highlight w:val="none"/>
                <w:lang w:val="zh-CN"/>
              </w:rPr>
              <w:t>获奖证书</w:t>
            </w:r>
            <w:r>
              <w:rPr>
                <w:rFonts w:hint="eastAsia" w:ascii="Times New Roman" w:hAnsi="Times New Roman" w:eastAsia="宋体"/>
                <w:color w:val="auto"/>
                <w:sz w:val="21"/>
                <w:szCs w:val="21"/>
                <w:highlight w:val="none"/>
                <w:lang w:val="zh-CN"/>
              </w:rPr>
              <w:t>扫描件及</w:t>
            </w:r>
            <w:r>
              <w:rPr>
                <w:rFonts w:hint="eastAsia" w:ascii="Times New Roman" w:hAnsi="Times New Roman" w:eastAsia="宋体" w:cs="Times New Roman"/>
                <w:color w:val="auto"/>
                <w:szCs w:val="21"/>
                <w:highlight w:val="none"/>
                <w:lang w:val="zh-CN"/>
              </w:rPr>
              <w:t>建设单位出具的该人员获奖证明，获奖证明以建设单位加盖公章为准</w:t>
            </w:r>
            <w:r>
              <w:rPr>
                <w:rFonts w:hint="eastAsia" w:ascii="Times New Roman" w:hAnsi="Times New Roman" w:eastAsia="宋体"/>
                <w:color w:val="auto"/>
                <w:sz w:val="21"/>
                <w:szCs w:val="21"/>
                <w:highlight w:val="none"/>
                <w:lang w:val="zh-CN"/>
              </w:rPr>
              <w:t>。</w:t>
            </w:r>
          </w:p>
        </w:tc>
        <w:tc>
          <w:tcPr>
            <w:tcW w:w="9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color w:val="auto"/>
                <w:szCs w:val="21"/>
                <w:highlight w:val="none"/>
                <w:lang w:val="zh-CN"/>
              </w:rPr>
            </w:pPr>
          </w:p>
        </w:tc>
      </w:tr>
      <w:tr>
        <w:tblPrEx>
          <w:tblCellMar>
            <w:top w:w="0" w:type="dxa"/>
            <w:left w:w="108" w:type="dxa"/>
            <w:bottom w:w="0" w:type="dxa"/>
            <w:right w:w="108" w:type="dxa"/>
          </w:tblCellMar>
        </w:tblPrEx>
        <w:trPr>
          <w:trHeight w:val="1075"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eastAsia="宋体"/>
                <w:color w:val="auto"/>
                <w:szCs w:val="21"/>
                <w:highlight w:val="none"/>
                <w:lang w:eastAsia="zh-CN"/>
              </w:rPr>
            </w:pPr>
            <w:r>
              <w:rPr>
                <w:rFonts w:hint="eastAsia" w:ascii="宋体" w:hAnsi="宋体" w:eastAsia="宋体" w:cs="宋体"/>
                <w:color w:val="auto"/>
                <w:szCs w:val="21"/>
                <w:highlight w:val="none"/>
                <w:lang w:val="en-US" w:eastAsia="zh-CN"/>
              </w:rPr>
              <w:t>四</w:t>
            </w:r>
          </w:p>
        </w:tc>
        <w:tc>
          <w:tcPr>
            <w:tcW w:w="8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ascii="宋体" w:cs="宋体"/>
                <w:color w:val="auto"/>
                <w:szCs w:val="21"/>
                <w:highlight w:val="none"/>
                <w:lang w:val="zh-CN"/>
              </w:rPr>
            </w:pPr>
            <w:r>
              <w:rPr>
                <w:rFonts w:hint="eastAsia" w:ascii="宋体" w:cs="宋体"/>
                <w:color w:val="auto"/>
                <w:szCs w:val="21"/>
                <w:highlight w:val="none"/>
                <w:lang w:val="zh-CN"/>
              </w:rPr>
              <w:t>服务及措施</w:t>
            </w:r>
          </w:p>
        </w:tc>
        <w:tc>
          <w:tcPr>
            <w:tcW w:w="13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val="zh-CN"/>
              </w:rPr>
              <w:t>]</w:t>
            </w:r>
          </w:p>
        </w:tc>
        <w:tc>
          <w:tcPr>
            <w:tcW w:w="9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rPr>
                <w:color w:val="auto"/>
                <w:szCs w:val="21"/>
                <w:highlight w:val="none"/>
              </w:rPr>
            </w:pPr>
            <w:r>
              <w:rPr>
                <w:rFonts w:hint="default" w:ascii="Times New Roman" w:hAnsi="Times New Roman" w:cs="Times New Roman"/>
                <w:color w:val="auto"/>
                <w:szCs w:val="21"/>
                <w:highlight w:val="none"/>
                <w:lang w:val="zh-CN"/>
              </w:rPr>
              <w:t>有针对本项目所制定的设计进度安排、质量保证措施、协助业主确保工程质量、控制工程规模、降低工程造价、减少设计变更等措施的得</w:t>
            </w:r>
            <w:r>
              <w:rPr>
                <w:rFonts w:hint="eastAsia" w:cs="Times New Roman"/>
                <w:color w:val="auto"/>
                <w:szCs w:val="21"/>
                <w:highlight w:val="none"/>
                <w:u w:val="none"/>
                <w:lang w:val="en-US" w:eastAsia="zh-CN"/>
              </w:rPr>
              <w:t>8</w:t>
            </w:r>
            <w:r>
              <w:rPr>
                <w:rFonts w:hint="default" w:ascii="Times New Roman" w:hAnsi="Times New Roman" w:cs="Times New Roman"/>
                <w:color w:val="auto"/>
                <w:szCs w:val="21"/>
                <w:highlight w:val="none"/>
                <w:lang w:val="zh-CN"/>
              </w:rPr>
              <w:t>分,否则得0分。</w:t>
            </w:r>
          </w:p>
        </w:tc>
        <w:tc>
          <w:tcPr>
            <w:tcW w:w="9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color w:val="auto"/>
                <w:szCs w:val="21"/>
                <w:highlight w:val="none"/>
              </w:rPr>
            </w:pPr>
          </w:p>
        </w:tc>
      </w:tr>
      <w:tr>
        <w:tblPrEx>
          <w:tblCellMar>
            <w:top w:w="0" w:type="dxa"/>
            <w:left w:w="108" w:type="dxa"/>
            <w:bottom w:w="0" w:type="dxa"/>
            <w:right w:w="108" w:type="dxa"/>
          </w:tblCellMar>
        </w:tblPrEx>
        <w:trPr>
          <w:trHeight w:val="1218" w:hRule="atLeast"/>
        </w:trPr>
        <w:tc>
          <w:tcPr>
            <w:tcW w:w="540" w:type="dxa"/>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五</w:t>
            </w:r>
          </w:p>
        </w:tc>
        <w:tc>
          <w:tcPr>
            <w:tcW w:w="897" w:type="dxa"/>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hAnsi="宋体" w:eastAsia="宋体" w:cs="宋体"/>
                <w:color w:val="auto"/>
                <w:szCs w:val="21"/>
                <w:highlight w:val="none"/>
                <w:lang w:val="zh-CN"/>
              </w:rPr>
              <w:t>信誉</w:t>
            </w:r>
          </w:p>
        </w:tc>
        <w:tc>
          <w:tcPr>
            <w:tcW w:w="1394" w:type="dxa"/>
            <w:tcBorders>
              <w:top w:val="single" w:color="auto" w:sz="6" w:space="0"/>
              <w:left w:val="single" w:color="auto" w:sz="6" w:space="0"/>
              <w:right w:val="single" w:color="auto" w:sz="6" w:space="0"/>
            </w:tcBorders>
            <w:noWrap w:val="0"/>
            <w:vAlign w:val="center"/>
          </w:tcPr>
          <w:p>
            <w:pPr>
              <w:autoSpaceDE w:val="0"/>
              <w:autoSpaceDN w:val="0"/>
              <w:adjustRightInd w:val="0"/>
              <w:spacing w:line="260" w:lineRule="exact"/>
              <w:jc w:val="center"/>
              <w:rPr>
                <w:rFonts w:ascii="宋体" w:hAnsi="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zh-CN"/>
              </w:rPr>
              <w:t>]</w:t>
            </w:r>
          </w:p>
        </w:tc>
        <w:tc>
          <w:tcPr>
            <w:tcW w:w="9857" w:type="dxa"/>
            <w:tcBorders>
              <w:top w:val="single" w:color="auto" w:sz="6" w:space="0"/>
              <w:left w:val="single" w:color="auto" w:sz="6" w:space="0"/>
              <w:right w:val="single" w:color="auto" w:sz="6" w:space="0"/>
            </w:tcBorders>
            <w:noWrap w:val="0"/>
            <w:vAlign w:val="center"/>
          </w:tcPr>
          <w:p>
            <w:pPr>
              <w:autoSpaceDE w:val="0"/>
              <w:autoSpaceDN w:val="0"/>
              <w:adjustRightInd w:val="0"/>
              <w:spacing w:line="360" w:lineRule="auto"/>
              <w:rPr>
                <w:rFonts w:hint="default"/>
                <w:color w:val="auto"/>
                <w:highlight w:val="none"/>
                <w:lang w:val="en-US"/>
              </w:rPr>
            </w:pPr>
            <w:r>
              <w:rPr>
                <w:rFonts w:hint="default" w:ascii="Times New Roman" w:hAnsi="Times New Roman" w:cs="Times New Roman"/>
                <w:color w:val="auto"/>
                <w:kern w:val="2"/>
                <w:szCs w:val="21"/>
                <w:highlight w:val="none"/>
                <w:lang w:val="zh-CN"/>
              </w:rPr>
              <w:t>具有ISO质量管理体系认证、职业健康安全管理体系认证、环境管理体系认证且在有效期内的，</w:t>
            </w:r>
            <w:r>
              <w:rPr>
                <w:rFonts w:hint="default" w:ascii="Times New Roman" w:hAnsi="Times New Roman" w:cs="Times New Roman"/>
                <w:color w:val="auto"/>
                <w:kern w:val="2"/>
                <w:szCs w:val="21"/>
                <w:highlight w:val="none"/>
                <w:lang w:val="zh-CN" w:eastAsia="zh-CN"/>
              </w:rPr>
              <w:t>每具有1项认证证书得</w:t>
            </w:r>
            <w:r>
              <w:rPr>
                <w:rFonts w:hint="eastAsia" w:cs="Times New Roman"/>
                <w:color w:val="auto"/>
                <w:kern w:val="2"/>
                <w:szCs w:val="21"/>
                <w:highlight w:val="none"/>
                <w:lang w:val="en-US" w:eastAsia="zh-CN"/>
              </w:rPr>
              <w:t>4</w:t>
            </w:r>
            <w:r>
              <w:rPr>
                <w:rFonts w:hint="default" w:ascii="Times New Roman" w:hAnsi="Times New Roman" w:cs="Times New Roman"/>
                <w:color w:val="auto"/>
                <w:kern w:val="2"/>
                <w:szCs w:val="21"/>
                <w:highlight w:val="none"/>
                <w:lang w:val="zh-CN" w:eastAsia="zh-CN"/>
              </w:rPr>
              <w:t>分，最高得</w:t>
            </w:r>
            <w:r>
              <w:rPr>
                <w:rFonts w:hint="eastAsia" w:cs="Times New Roman"/>
                <w:color w:val="auto"/>
                <w:kern w:val="2"/>
                <w:szCs w:val="21"/>
                <w:highlight w:val="none"/>
                <w:lang w:val="en-US" w:eastAsia="zh-CN"/>
              </w:rPr>
              <w:t>12</w:t>
            </w:r>
            <w:r>
              <w:rPr>
                <w:rFonts w:hint="default" w:ascii="Times New Roman" w:hAnsi="Times New Roman" w:cs="Times New Roman"/>
                <w:color w:val="auto"/>
                <w:kern w:val="2"/>
                <w:szCs w:val="21"/>
                <w:highlight w:val="none"/>
                <w:lang w:val="zh-CN" w:eastAsia="zh-CN"/>
              </w:rPr>
              <w:t>分。</w:t>
            </w:r>
          </w:p>
        </w:tc>
        <w:tc>
          <w:tcPr>
            <w:tcW w:w="9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color w:val="auto"/>
                <w:szCs w:val="21"/>
                <w:highlight w:val="none"/>
              </w:rPr>
            </w:pPr>
          </w:p>
        </w:tc>
      </w:tr>
      <w:tr>
        <w:tblPrEx>
          <w:tblCellMar>
            <w:top w:w="0" w:type="dxa"/>
            <w:left w:w="108" w:type="dxa"/>
            <w:bottom w:w="0" w:type="dxa"/>
            <w:right w:w="108" w:type="dxa"/>
          </w:tblCellMar>
        </w:tblPrEx>
        <w:trPr>
          <w:trHeight w:val="615" w:hRule="atLeast"/>
        </w:trPr>
        <w:tc>
          <w:tcPr>
            <w:tcW w:w="14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color w:val="auto"/>
                <w:szCs w:val="21"/>
                <w:highlight w:val="none"/>
              </w:rPr>
            </w:pPr>
            <w:r>
              <w:rPr>
                <w:rFonts w:hint="eastAsia" w:ascii="宋体" w:cs="宋体"/>
                <w:color w:val="auto"/>
                <w:szCs w:val="21"/>
                <w:highlight w:val="none"/>
                <w:lang w:val="zh-CN"/>
              </w:rPr>
              <w:t>总计</w:t>
            </w:r>
          </w:p>
        </w:tc>
        <w:tc>
          <w:tcPr>
            <w:tcW w:w="13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c>
          <w:tcPr>
            <w:tcW w:w="9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color w:val="auto"/>
                <w:szCs w:val="21"/>
                <w:highlight w:val="none"/>
              </w:rPr>
            </w:pPr>
          </w:p>
        </w:tc>
        <w:tc>
          <w:tcPr>
            <w:tcW w:w="9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r>
      <w:tr>
        <w:tblPrEx>
          <w:tblCellMar>
            <w:top w:w="0" w:type="dxa"/>
            <w:left w:w="108" w:type="dxa"/>
            <w:bottom w:w="0" w:type="dxa"/>
            <w:right w:w="108" w:type="dxa"/>
          </w:tblCellMar>
        </w:tblPrEx>
        <w:trPr>
          <w:trHeight w:val="615" w:hRule="atLeast"/>
        </w:trPr>
        <w:tc>
          <w:tcPr>
            <w:tcW w:w="14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ascii="宋体" w:cs="宋体"/>
                <w:color w:val="auto"/>
                <w:szCs w:val="21"/>
                <w:highlight w:val="none"/>
                <w:lang w:val="zh-CN"/>
              </w:rPr>
            </w:pPr>
            <w:r>
              <w:rPr>
                <w:rFonts w:hint="eastAsia" w:ascii="宋体" w:cs="宋体"/>
                <w:color w:val="auto"/>
                <w:szCs w:val="21"/>
                <w:highlight w:val="none"/>
                <w:lang w:val="zh-CN"/>
              </w:rPr>
              <w:t>评审人员</w:t>
            </w:r>
          </w:p>
        </w:tc>
        <w:tc>
          <w:tcPr>
            <w:tcW w:w="1225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color w:val="auto"/>
                <w:szCs w:val="21"/>
                <w:highlight w:val="none"/>
              </w:rPr>
            </w:pPr>
          </w:p>
        </w:tc>
      </w:tr>
    </w:tbl>
    <w:p>
      <w:pPr>
        <w:spacing w:line="300" w:lineRule="auto"/>
        <w:rPr>
          <w:rFonts w:hAnsi="宋体"/>
          <w:color w:val="auto"/>
          <w:szCs w:val="21"/>
          <w:highlight w:val="none"/>
        </w:rPr>
      </w:pPr>
    </w:p>
    <w:p>
      <w:pPr>
        <w:spacing w:line="360" w:lineRule="auto"/>
        <w:outlineLvl w:val="1"/>
        <w:rPr>
          <w:rFonts w:hAnsi="宋体"/>
          <w:color w:val="auto"/>
          <w:szCs w:val="21"/>
          <w:highlight w:val="none"/>
        </w:rPr>
      </w:pPr>
    </w:p>
    <w:p>
      <w:pPr>
        <w:spacing w:line="360" w:lineRule="auto"/>
        <w:ind w:firstLine="420" w:firstLineChars="200"/>
        <w:jc w:val="left"/>
        <w:rPr>
          <w:rFonts w:hint="eastAsia" w:ascii="宋体" w:hAnsi="宋体" w:cs="宋体"/>
          <w:color w:val="auto"/>
          <w:szCs w:val="21"/>
          <w:highlight w:val="none"/>
          <w:lang w:val="zh-CN"/>
        </w:rPr>
      </w:pPr>
      <w:r>
        <w:rPr>
          <w:rFonts w:hint="eastAsia" w:ascii="宋体" w:hAnsi="宋体"/>
          <w:color w:val="auto"/>
          <w:highlight w:val="none"/>
        </w:rPr>
        <w:t>注</w:t>
      </w:r>
      <w:r>
        <w:rPr>
          <w:rFonts w:hint="eastAsia" w:ascii="宋体" w:hAnsi="宋体"/>
          <w:color w:val="auto"/>
          <w:szCs w:val="21"/>
          <w:highlight w:val="none"/>
        </w:rPr>
        <w:t>：1.</w:t>
      </w:r>
      <w:r>
        <w:rPr>
          <w:rFonts w:hint="eastAsia" w:ascii="宋体" w:hAnsi="宋体" w:cs="宋体"/>
          <w:color w:val="auto"/>
          <w:szCs w:val="21"/>
          <w:highlight w:val="none"/>
        </w:rPr>
        <w:t>设计类似业绩是指达到招标公告第1.2.3条（1）所述设计资质方能承接的类似的设计项目，需同时提供中标通知书或免招标的相关证明、设计合同及项目初步设计审查证明材料或初步设计会议评审纪要（或批复）或</w:t>
      </w:r>
      <w:r>
        <w:rPr>
          <w:rFonts w:hint="eastAsia" w:ascii="宋体" w:hAnsi="宋体" w:cs="宋体"/>
          <w:color w:val="auto"/>
          <w:szCs w:val="21"/>
          <w:highlight w:val="none"/>
          <w:lang w:val="zh-CN"/>
        </w:rPr>
        <w:t>项目主体施工图审查证明</w:t>
      </w:r>
      <w:r>
        <w:rPr>
          <w:rFonts w:hint="eastAsia" w:ascii="宋体" w:hAnsi="宋体" w:cs="宋体"/>
          <w:color w:val="auto"/>
          <w:szCs w:val="21"/>
          <w:highlight w:val="none"/>
        </w:rPr>
        <w:t>材料（复印件），提供不全者不得分</w:t>
      </w:r>
      <w:r>
        <w:rPr>
          <w:rFonts w:hint="eastAsia" w:ascii="宋体" w:hAnsi="宋体" w:cs="宋体"/>
          <w:color w:val="auto"/>
          <w:szCs w:val="21"/>
          <w:highlight w:val="none"/>
          <w:lang w:val="zh-CN"/>
        </w:rPr>
        <w:t>。如投标人参与评审的设计或勘察类似业绩为联合体形式完成的，投标人必须为承担类似设计业绩工作的一方，否则不得分（须提供合同或联合体协议书）。</w:t>
      </w:r>
    </w:p>
    <w:p>
      <w:pPr>
        <w:spacing w:line="360" w:lineRule="auto"/>
        <w:ind w:firstLine="840" w:firstLineChars="400"/>
        <w:jc w:val="left"/>
        <w:rPr>
          <w:rFonts w:hint="eastAsia" w:ascii="宋体" w:hAnsi="宋体" w:cs="宋体"/>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勘察类似业绩是指达到招标公告第1.2.3条</w:t>
      </w:r>
      <w:r>
        <w:rPr>
          <w:rFonts w:hint="eastAsia" w:ascii="宋体" w:hAnsi="宋体" w:cs="宋体"/>
          <w:color w:val="auto"/>
          <w:highlight w:val="none"/>
        </w:rPr>
        <w:t>（2）</w:t>
      </w:r>
      <w:r>
        <w:rPr>
          <w:rFonts w:hint="eastAsia" w:ascii="宋体" w:hAnsi="宋体" w:cs="宋体"/>
          <w:color w:val="auto"/>
          <w:szCs w:val="21"/>
          <w:highlight w:val="none"/>
        </w:rPr>
        <w:t>所述勘察资质方能承接的类似的勘察项目，需同时提供中标通知书或免招标的相关证明、勘察合同及</w:t>
      </w:r>
      <w:r>
        <w:rPr>
          <w:rFonts w:hint="eastAsia" w:ascii="宋体" w:hAnsi="宋体"/>
          <w:color w:val="auto"/>
          <w:szCs w:val="21"/>
          <w:highlight w:val="none"/>
        </w:rPr>
        <w:t>项目</w:t>
      </w:r>
      <w:r>
        <w:rPr>
          <w:rFonts w:hint="eastAsia" w:ascii="宋体" w:hAnsi="宋体"/>
          <w:color w:val="auto"/>
          <w:highlight w:val="none"/>
        </w:rPr>
        <w:t>初步设计审查证明材料</w:t>
      </w:r>
      <w:r>
        <w:rPr>
          <w:rFonts w:hint="eastAsia" w:ascii="宋体" w:hAnsi="宋体"/>
          <w:color w:val="auto"/>
          <w:szCs w:val="21"/>
          <w:highlight w:val="none"/>
        </w:rPr>
        <w:t>或初步设计会议评审纪要（或批复）</w:t>
      </w:r>
      <w:r>
        <w:rPr>
          <w:rFonts w:hint="eastAsia" w:ascii="宋体" w:hAnsi="宋体"/>
          <w:color w:val="auto"/>
          <w:highlight w:val="none"/>
        </w:rPr>
        <w:t>或</w:t>
      </w:r>
      <w:r>
        <w:rPr>
          <w:rFonts w:hint="eastAsia" w:ascii="宋体" w:cs="宋体"/>
          <w:color w:val="auto"/>
          <w:szCs w:val="21"/>
          <w:highlight w:val="none"/>
          <w:lang w:val="zh-CN"/>
        </w:rPr>
        <w:t>项目主体施工图审查证明</w:t>
      </w:r>
      <w:r>
        <w:rPr>
          <w:rFonts w:hint="eastAsia" w:ascii="宋体" w:hAnsi="宋体"/>
          <w:color w:val="auto"/>
          <w:highlight w:val="none"/>
        </w:rPr>
        <w:t>材料（复印件）或勘察成果主要页</w:t>
      </w:r>
      <w:r>
        <w:rPr>
          <w:rFonts w:hint="eastAsia" w:ascii="宋体" w:hAnsi="宋体" w:cs="宋体"/>
          <w:color w:val="auto"/>
          <w:szCs w:val="21"/>
          <w:highlight w:val="none"/>
        </w:rPr>
        <w:t>，</w:t>
      </w:r>
      <w:r>
        <w:rPr>
          <w:rFonts w:hint="eastAsia" w:ascii="宋体" w:hAnsi="宋体" w:cs="宋体"/>
          <w:color w:val="auto"/>
          <w:highlight w:val="none"/>
        </w:rPr>
        <w:t>提供不全者不得分。如投标人参与评审的设计或勘察类似业绩为联合体形式完成的，投标人必须为承担类似勘察业绩工作的一方，否则不得分（须提供合同或联合体协议书）。</w:t>
      </w:r>
    </w:p>
    <w:p>
      <w:pPr>
        <w:spacing w:line="360" w:lineRule="auto"/>
        <w:ind w:firstLine="840" w:firstLineChars="40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s="宋体"/>
          <w:color w:val="auto"/>
          <w:szCs w:val="21"/>
          <w:highlight w:val="none"/>
        </w:rPr>
        <w:t>设计类似业绩</w:t>
      </w:r>
      <w:r>
        <w:rPr>
          <w:rFonts w:hint="eastAsia" w:ascii="宋体" w:hAnsi="宋体" w:cs="宋体"/>
          <w:color w:val="auto"/>
          <w:szCs w:val="21"/>
          <w:highlight w:val="none"/>
          <w:lang w:val="zh-CN"/>
        </w:rPr>
        <w:t>时间以</w:t>
      </w:r>
      <w:r>
        <w:rPr>
          <w:rFonts w:ascii="宋体" w:hAnsi="宋体"/>
          <w:color w:val="auto"/>
          <w:szCs w:val="21"/>
          <w:highlight w:val="none"/>
        </w:rPr>
        <w:t>项目</w:t>
      </w:r>
      <w:r>
        <w:rPr>
          <w:rFonts w:ascii="宋体" w:hAnsi="宋体"/>
          <w:color w:val="auto"/>
          <w:highlight w:val="none"/>
        </w:rPr>
        <w:t>初步设计审查证明材料</w:t>
      </w:r>
      <w:r>
        <w:rPr>
          <w:rFonts w:ascii="宋体" w:hAnsi="宋体"/>
          <w:color w:val="auto"/>
          <w:szCs w:val="21"/>
          <w:highlight w:val="none"/>
        </w:rPr>
        <w:t>或初步设计会议评审纪要</w:t>
      </w:r>
      <w:r>
        <w:rPr>
          <w:rFonts w:ascii="宋体" w:hAnsi="宋体"/>
          <w:color w:val="auto"/>
          <w:highlight w:val="none"/>
        </w:rPr>
        <w:t>或</w:t>
      </w:r>
      <w:r>
        <w:rPr>
          <w:rFonts w:ascii="宋体" w:cs="宋体"/>
          <w:color w:val="auto"/>
          <w:szCs w:val="21"/>
          <w:highlight w:val="none"/>
        </w:rPr>
        <w:t>项目主体施工图审查证明</w:t>
      </w:r>
      <w:r>
        <w:rPr>
          <w:rFonts w:ascii="宋体" w:hAnsi="宋体"/>
          <w:color w:val="auto"/>
          <w:highlight w:val="none"/>
        </w:rPr>
        <w:t>材料</w:t>
      </w:r>
      <w:r>
        <w:rPr>
          <w:rFonts w:ascii="宋体" w:hAnsi="宋体" w:cs="宋体"/>
          <w:color w:val="auto"/>
          <w:szCs w:val="21"/>
          <w:highlight w:val="none"/>
        </w:rPr>
        <w:t>日期</w:t>
      </w:r>
      <w:r>
        <w:rPr>
          <w:rFonts w:hint="eastAsia" w:ascii="宋体" w:hAnsi="宋体" w:cs="宋体"/>
          <w:color w:val="auto"/>
          <w:szCs w:val="21"/>
          <w:highlight w:val="none"/>
          <w:lang w:val="zh-CN"/>
        </w:rPr>
        <w:t>为准</w:t>
      </w:r>
      <w:r>
        <w:rPr>
          <w:rFonts w:hint="eastAsia" w:ascii="宋体" w:hAnsi="宋体" w:cs="宋体"/>
          <w:color w:val="auto"/>
          <w:szCs w:val="21"/>
          <w:highlight w:val="none"/>
        </w:rPr>
        <w:t>，勘察类似业绩</w:t>
      </w:r>
      <w:r>
        <w:rPr>
          <w:rFonts w:hint="eastAsia" w:ascii="宋体" w:hAnsi="宋体" w:cs="宋体"/>
          <w:color w:val="auto"/>
          <w:szCs w:val="21"/>
          <w:highlight w:val="none"/>
          <w:lang w:val="zh-CN"/>
        </w:rPr>
        <w:t>时间以</w:t>
      </w:r>
      <w:r>
        <w:rPr>
          <w:rFonts w:ascii="宋体" w:hAnsi="宋体"/>
          <w:color w:val="auto"/>
          <w:szCs w:val="21"/>
          <w:highlight w:val="none"/>
        </w:rPr>
        <w:t>项目</w:t>
      </w:r>
      <w:r>
        <w:rPr>
          <w:rFonts w:ascii="宋体" w:hAnsi="宋体"/>
          <w:color w:val="auto"/>
          <w:highlight w:val="none"/>
        </w:rPr>
        <w:t>初步设计审查证明材料</w:t>
      </w:r>
      <w:r>
        <w:rPr>
          <w:rFonts w:ascii="宋体" w:hAnsi="宋体"/>
          <w:color w:val="auto"/>
          <w:szCs w:val="21"/>
          <w:highlight w:val="none"/>
        </w:rPr>
        <w:t>或初步设计会议评审纪要</w:t>
      </w:r>
      <w:r>
        <w:rPr>
          <w:rFonts w:ascii="宋体" w:hAnsi="宋体"/>
          <w:color w:val="auto"/>
          <w:highlight w:val="none"/>
        </w:rPr>
        <w:t>或</w:t>
      </w:r>
      <w:r>
        <w:rPr>
          <w:rFonts w:ascii="宋体" w:cs="宋体"/>
          <w:color w:val="auto"/>
          <w:szCs w:val="21"/>
          <w:highlight w:val="none"/>
        </w:rPr>
        <w:t>项目主体施工图审查证明</w:t>
      </w:r>
      <w:r>
        <w:rPr>
          <w:rFonts w:ascii="宋体" w:hAnsi="宋体"/>
          <w:color w:val="auto"/>
          <w:highlight w:val="none"/>
        </w:rPr>
        <w:t>材料</w:t>
      </w:r>
      <w:r>
        <w:rPr>
          <w:rFonts w:hint="eastAsia" w:ascii="宋体" w:hAnsi="宋体"/>
          <w:color w:val="auto"/>
          <w:highlight w:val="none"/>
        </w:rPr>
        <w:t>或勘察成果主要页</w:t>
      </w:r>
      <w:r>
        <w:rPr>
          <w:rFonts w:ascii="宋体" w:hAnsi="宋体" w:cs="宋体"/>
          <w:color w:val="auto"/>
          <w:szCs w:val="21"/>
          <w:highlight w:val="none"/>
        </w:rPr>
        <w:t>日期</w:t>
      </w:r>
      <w:r>
        <w:rPr>
          <w:rFonts w:hint="eastAsia" w:ascii="宋体" w:hAnsi="宋体" w:cs="宋体"/>
          <w:color w:val="auto"/>
          <w:szCs w:val="21"/>
          <w:highlight w:val="none"/>
          <w:lang w:val="zh-CN"/>
        </w:rPr>
        <w:t>为准</w:t>
      </w:r>
      <w:r>
        <w:rPr>
          <w:rFonts w:hint="eastAsia" w:ascii="宋体" w:hAnsi="宋体" w:cs="宋体"/>
          <w:color w:val="auto"/>
          <w:szCs w:val="21"/>
          <w:highlight w:val="none"/>
        </w:rPr>
        <w:t>（同一项目含勘察设计的满足上述要求各计算一次类似勘察和设计业绩）。</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近5年是指：2018年1月1日至今（以合同签订时间为准）。</w:t>
      </w:r>
    </w:p>
    <w:p>
      <w:pPr>
        <w:numPr>
          <w:ilvl w:val="0"/>
          <w:numId w:val="0"/>
        </w:numPr>
        <w:spacing w:line="360" w:lineRule="auto"/>
        <w:ind w:firstLine="840" w:firstLineChars="400"/>
        <w:jc w:val="left"/>
        <w:rPr>
          <w:rFonts w:hint="eastAsia" w:ascii="宋体" w:hAnsi="宋体" w:cs="宋体"/>
          <w:color w:val="auto"/>
          <w:highlight w:val="none"/>
        </w:rPr>
      </w:pPr>
      <w:r>
        <w:rPr>
          <w:rFonts w:hint="eastAsia" w:ascii="宋体" w:hAnsi="宋体"/>
          <w:color w:val="auto"/>
          <w:szCs w:val="21"/>
          <w:highlight w:val="none"/>
          <w:lang w:val="en-US" w:eastAsia="zh-CN"/>
        </w:rPr>
        <w:t>5.</w:t>
      </w:r>
      <w:r>
        <w:rPr>
          <w:rFonts w:hint="eastAsia" w:ascii="宋体" w:hAnsi="宋体" w:cs="宋体"/>
          <w:color w:val="auto"/>
          <w:szCs w:val="21"/>
          <w:highlight w:val="none"/>
        </w:rPr>
        <w:t>企业或人员</w:t>
      </w:r>
      <w:r>
        <w:rPr>
          <w:rFonts w:hint="eastAsia" w:ascii="宋体" w:hAnsi="宋体"/>
          <w:color w:val="auto"/>
          <w:szCs w:val="21"/>
          <w:highlight w:val="none"/>
        </w:rPr>
        <w:t>获奖奖项是指住建部颁发的全国优秀工程勘察设计奖</w:t>
      </w:r>
      <w:r>
        <w:rPr>
          <w:rFonts w:ascii="宋体" w:hAnsi="宋体"/>
          <w:color w:val="auto"/>
          <w:szCs w:val="21"/>
          <w:highlight w:val="none"/>
        </w:rPr>
        <w:t>、</w:t>
      </w:r>
      <w:r>
        <w:rPr>
          <w:rFonts w:hint="eastAsia" w:ascii="宋体" w:hAnsi="宋体"/>
          <w:color w:val="auto"/>
          <w:szCs w:val="21"/>
          <w:highlight w:val="none"/>
        </w:rPr>
        <w:t>中国勘察设计协会颁发的全国优秀工程勘察设计行业奖、省级（含副省级）</w:t>
      </w:r>
      <w:r>
        <w:rPr>
          <w:rFonts w:ascii="宋体" w:hAnsi="宋体"/>
          <w:color w:val="auto"/>
          <w:szCs w:val="21"/>
          <w:highlight w:val="none"/>
        </w:rPr>
        <w:t>工程勘察设计行业协会颁发的</w:t>
      </w:r>
      <w:r>
        <w:rPr>
          <w:rFonts w:hint="eastAsia" w:ascii="宋体" w:hAnsi="宋体"/>
          <w:color w:val="auto"/>
          <w:szCs w:val="21"/>
          <w:highlight w:val="none"/>
        </w:rPr>
        <w:t>省级（含副省级）</w:t>
      </w:r>
      <w:r>
        <w:rPr>
          <w:rFonts w:ascii="宋体" w:hAnsi="宋体"/>
          <w:color w:val="auto"/>
          <w:szCs w:val="21"/>
          <w:highlight w:val="none"/>
        </w:rPr>
        <w:t>优秀勘察设计奖</w:t>
      </w:r>
      <w:r>
        <w:rPr>
          <w:rFonts w:hint="eastAsia" w:ascii="宋体" w:hAnsi="宋体"/>
          <w:color w:val="auto"/>
          <w:szCs w:val="21"/>
          <w:highlight w:val="none"/>
        </w:rPr>
        <w:t>；由国务院颁发的国家科学技术</w:t>
      </w:r>
      <w:r>
        <w:rPr>
          <w:rFonts w:ascii="宋体" w:hAnsi="宋体"/>
          <w:color w:val="auto"/>
          <w:szCs w:val="21"/>
          <w:highlight w:val="none"/>
        </w:rPr>
        <w:t>奖、</w:t>
      </w:r>
      <w:r>
        <w:rPr>
          <w:rFonts w:hint="eastAsia" w:ascii="宋体" w:hAnsi="宋体"/>
          <w:color w:val="auto"/>
          <w:szCs w:val="21"/>
          <w:highlight w:val="none"/>
        </w:rPr>
        <w:t>住建部的华夏建设科学技术奖励委员会颁发的华夏建设科学技术奖、省级（含副省级）人民政府</w:t>
      </w:r>
      <w:r>
        <w:rPr>
          <w:rFonts w:ascii="宋体" w:hAnsi="宋体"/>
          <w:color w:val="auto"/>
          <w:szCs w:val="21"/>
          <w:highlight w:val="none"/>
        </w:rPr>
        <w:t>颁发的</w:t>
      </w:r>
      <w:r>
        <w:rPr>
          <w:rFonts w:hint="eastAsia" w:ascii="宋体" w:hAnsi="宋体"/>
          <w:color w:val="auto"/>
          <w:szCs w:val="21"/>
          <w:highlight w:val="none"/>
        </w:rPr>
        <w:t>省（含副省级）科学技术</w:t>
      </w:r>
      <w:r>
        <w:rPr>
          <w:rFonts w:ascii="宋体" w:hAnsi="宋体"/>
          <w:color w:val="auto"/>
          <w:szCs w:val="21"/>
          <w:highlight w:val="none"/>
        </w:rPr>
        <w:t>奖</w:t>
      </w:r>
      <w:r>
        <w:rPr>
          <w:rFonts w:hint="eastAsia" w:ascii="宋体" w:hAnsi="宋体"/>
          <w:color w:val="auto"/>
          <w:szCs w:val="21"/>
          <w:highlight w:val="none"/>
        </w:rPr>
        <w:t>。国家级（国家科学技术奖、全国优秀工程勘察设计奖）分值＞行业级（华夏建设科学技术奖、全国优秀工程勘察设计行业奖）分值＞省级（省科学技术奖、</w:t>
      </w:r>
      <w:r>
        <w:rPr>
          <w:rFonts w:ascii="宋体" w:hAnsi="宋体"/>
          <w:color w:val="auto"/>
          <w:szCs w:val="21"/>
          <w:highlight w:val="none"/>
        </w:rPr>
        <w:t>省优秀工程勘察设计奖</w:t>
      </w:r>
      <w:r>
        <w:rPr>
          <w:rFonts w:hint="eastAsia" w:ascii="宋体" w:hAnsi="宋体"/>
          <w:color w:val="auto"/>
          <w:szCs w:val="21"/>
          <w:highlight w:val="none"/>
        </w:rPr>
        <w:t>）分值</w:t>
      </w:r>
      <w:r>
        <w:rPr>
          <w:rFonts w:ascii="宋体" w:hAnsi="宋体"/>
          <w:color w:val="auto"/>
          <w:szCs w:val="21"/>
          <w:highlight w:val="none"/>
        </w:rPr>
        <w:t>&gt;</w:t>
      </w:r>
      <w:r>
        <w:rPr>
          <w:rFonts w:hint="eastAsia"/>
          <w:color w:val="auto"/>
          <w:szCs w:val="21"/>
          <w:highlight w:val="none"/>
          <w:lang w:val="zh-CN"/>
        </w:rPr>
        <w:t>市（副省级）</w:t>
      </w:r>
      <w:r>
        <w:rPr>
          <w:rFonts w:hint="eastAsia" w:ascii="宋体" w:hAnsi="宋体"/>
          <w:color w:val="auto"/>
          <w:szCs w:val="21"/>
          <w:highlight w:val="none"/>
        </w:rPr>
        <w:t>（市科学技术奖、市工程勘察设计奖）分值</w:t>
      </w:r>
      <w:r>
        <w:rPr>
          <w:rFonts w:hint="eastAsia" w:ascii="宋体" w:hAnsi="宋体"/>
          <w:b w:val="0"/>
          <w:color w:val="auto"/>
          <w:szCs w:val="21"/>
          <w:highlight w:val="none"/>
        </w:rPr>
        <w:t>，各级奖项的一等（金）奖、二等（银）奖、三等（铜）奖具体分值不再细分。</w:t>
      </w:r>
      <w:r>
        <w:rPr>
          <w:rFonts w:hint="eastAsia" w:ascii="宋体" w:hAnsi="宋体" w:cs="宋体"/>
          <w:color w:val="auto"/>
          <w:szCs w:val="21"/>
          <w:highlight w:val="none"/>
        </w:rPr>
        <w:t>企业或人员业绩获奖以颁发奖状时间为准，按最高奖项只计算一次，不重复计算。需</w:t>
      </w:r>
      <w:r>
        <w:rPr>
          <w:rFonts w:hint="eastAsia"/>
          <w:color w:val="auto"/>
          <w:highlight w:val="none"/>
        </w:rPr>
        <w:t>提供的获奖证明扫描件，若颁发机构非政府相关部门，还需提供该组织在中国社会组织政务服务平台（网址：https://chinanpo.mca.gov.cn/）“全国社会组织信用信息公示平台”栏查询结果截图，查询结果“状态”栏必须为“正常”。上述证明材料必须加盖投标人电子印章，不提供或不齐全均不得分。</w:t>
      </w:r>
    </w:p>
    <w:p>
      <w:pPr>
        <w:spacing w:line="360" w:lineRule="auto"/>
        <w:ind w:firstLine="840" w:firstLineChars="400"/>
        <w:rPr>
          <w:rFonts w:hint="eastAsia" w:ascii="宋体" w:hAnsi="宋体"/>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w:t>
      </w:r>
      <w:r>
        <w:rPr>
          <w:rFonts w:hint="eastAsia" w:ascii="宋体" w:hAnsi="宋体" w:cs="宋体"/>
          <w:color w:val="auto"/>
          <w:szCs w:val="21"/>
          <w:highlight w:val="none"/>
        </w:rPr>
        <w:t>社保证明：需提供近一个月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2023年6月）</w:t>
      </w:r>
      <w:r>
        <w:rPr>
          <w:rFonts w:hint="eastAsia" w:ascii="宋体" w:hAnsi="宋体" w:cs="宋体"/>
          <w:color w:val="auto"/>
          <w:szCs w:val="21"/>
          <w:highlight w:val="none"/>
        </w:rPr>
        <w:t>的社保证明为准。</w:t>
      </w:r>
    </w:p>
    <w:p>
      <w:pPr>
        <w:spacing w:line="360" w:lineRule="auto"/>
        <w:outlineLvl w:val="1"/>
        <w:rPr>
          <w:rFonts w:hAnsi="宋体"/>
          <w:b/>
          <w:color w:val="auto"/>
          <w:sz w:val="32"/>
          <w:highlight w:val="none"/>
        </w:rPr>
      </w:pPr>
      <w:r>
        <w:rPr>
          <w:rFonts w:hAnsi="宋体"/>
          <w:color w:val="auto"/>
          <w:szCs w:val="21"/>
          <w:highlight w:val="none"/>
        </w:rPr>
        <w:br w:type="page"/>
      </w:r>
      <w:r>
        <w:rPr>
          <w:rFonts w:hint="eastAsia" w:ascii="宋体" w:hAnsi="宋体"/>
          <w:b/>
          <w:color w:val="auto"/>
          <w:sz w:val="24"/>
          <w:highlight w:val="none"/>
        </w:rPr>
        <w:t>附录</w:t>
      </w:r>
      <w:r>
        <w:rPr>
          <w:rFonts w:ascii="宋体" w:hAnsi="宋体"/>
          <w:b/>
          <w:color w:val="auto"/>
          <w:sz w:val="24"/>
          <w:highlight w:val="none"/>
        </w:rPr>
        <w:t>15</w:t>
      </w:r>
    </w:p>
    <w:p>
      <w:pPr>
        <w:pStyle w:val="18"/>
        <w:jc w:val="center"/>
        <w:rPr>
          <w:rFonts w:hAnsi="宋体"/>
          <w:b/>
          <w:color w:val="auto"/>
          <w:sz w:val="32"/>
          <w:highlight w:val="none"/>
        </w:rPr>
      </w:pPr>
      <w:bookmarkStart w:id="29" w:name="技术文件有效性审查表"/>
      <w:r>
        <w:rPr>
          <w:rFonts w:hint="eastAsia" w:hAnsi="宋体"/>
          <w:b/>
          <w:color w:val="auto"/>
          <w:sz w:val="32"/>
          <w:highlight w:val="none"/>
        </w:rPr>
        <w:t>技术文件有效性审查表</w:t>
      </w:r>
      <w:bookmarkEnd w:id="29"/>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9"/>
        <w:tblW w:w="1378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525" w:type="dxa"/>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880" w:type="dxa"/>
          </w:tcPr>
          <w:p>
            <w:pPr>
              <w:rPr>
                <w:rFonts w:ascii="宋体" w:hAnsi="宋体"/>
                <w:color w:val="auto"/>
                <w:szCs w:val="21"/>
                <w:highlight w:val="none"/>
              </w:rPr>
            </w:pPr>
            <w:r>
              <w:rPr>
                <w:rFonts w:hint="eastAsia" w:ascii="宋体" w:hAnsi="宋体"/>
                <w:color w:val="auto"/>
                <w:szCs w:val="21"/>
                <w:highlight w:val="none"/>
              </w:rPr>
              <w:t xml:space="preserve">                                      设计方案编号</w:t>
            </w:r>
          </w:p>
          <w:p>
            <w:pPr>
              <w:rPr>
                <w:rFonts w:ascii="宋体" w:hAnsi="宋体"/>
                <w:color w:val="auto"/>
                <w:szCs w:val="21"/>
                <w:highlight w:val="none"/>
              </w:rPr>
            </w:pPr>
            <w:r>
              <w:rPr>
                <w:rFonts w:hint="eastAsia" w:ascii="宋体" w:hAnsi="宋体"/>
                <w:color w:val="auto"/>
                <w:szCs w:val="21"/>
                <w:highlight w:val="none"/>
              </w:rPr>
              <w:t>审查项目</w:t>
            </w: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880" w:type="dxa"/>
            <w:vAlign w:val="center"/>
          </w:tcPr>
          <w:p>
            <w:pPr>
              <w:spacing w:line="240" w:lineRule="exact"/>
              <w:rPr>
                <w:rFonts w:ascii="宋体" w:hAnsi="宋体"/>
                <w:i/>
                <w:color w:val="auto"/>
                <w:szCs w:val="21"/>
                <w:highlight w:val="none"/>
              </w:rPr>
            </w:pPr>
            <w:r>
              <w:rPr>
                <w:rFonts w:hint="eastAsia" w:ascii="宋体" w:hAnsi="宋体"/>
                <w:color w:val="auto"/>
                <w:szCs w:val="21"/>
                <w:highlight w:val="none"/>
              </w:rPr>
              <w:t>投标人在技术文件（设计方案）上标注名称、印章、商标等记认符号或显示投标报价信息，使人辨认出投标人或其专业技术人员的身份</w:t>
            </w:r>
            <w:r>
              <w:rPr>
                <w:rFonts w:ascii="宋体" w:hAnsi="宋体"/>
                <w:color w:val="auto"/>
                <w:szCs w:val="21"/>
                <w:highlight w:val="none"/>
              </w:rPr>
              <w:t xml:space="preserve"> </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未发现互相雷同和串通投标</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未发现明显抄袭行为</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未发现侵犯他人著作权和特许权</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880" w:type="dxa"/>
            <w:vAlign w:val="center"/>
          </w:tcPr>
          <w:p>
            <w:pPr>
              <w:spacing w:line="240" w:lineRule="exact"/>
              <w:rPr>
                <w:rFonts w:ascii="宋体" w:hAnsi="宋体"/>
                <w:color w:val="auto"/>
                <w:szCs w:val="21"/>
                <w:highlight w:val="none"/>
              </w:rPr>
            </w:pPr>
            <w:r>
              <w:rPr>
                <w:rFonts w:hint="eastAsia"/>
                <w:color w:val="auto"/>
                <w:szCs w:val="21"/>
                <w:highlight w:val="none"/>
              </w:rPr>
              <w:t>是否通过并进入下一阶段评审</w:t>
            </w:r>
          </w:p>
        </w:tc>
        <w:tc>
          <w:tcPr>
            <w:tcW w:w="1476" w:type="dxa"/>
            <w:vAlign w:val="center"/>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r>
    </w:tbl>
    <w:p>
      <w:pPr>
        <w:tabs>
          <w:tab w:val="left" w:pos="720"/>
        </w:tabs>
        <w:snapToGrid w:val="0"/>
        <w:spacing w:before="120"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20"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20"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20"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pStyle w:val="18"/>
        <w:rPr>
          <w:rFonts w:hAnsi="宋体"/>
          <w:b/>
          <w:color w:val="auto"/>
          <w:sz w:val="32"/>
          <w:highlight w:val="none"/>
        </w:rPr>
      </w:pPr>
      <w:r>
        <w:rPr>
          <w:rFonts w:hint="eastAsia"/>
          <w:color w:val="auto"/>
          <w:szCs w:val="21"/>
          <w:highlight w:val="none"/>
        </w:rPr>
        <w:t>评委签名：                     日期：</w:t>
      </w:r>
    </w:p>
    <w:p>
      <w:pPr>
        <w:spacing w:line="360" w:lineRule="auto"/>
        <w:rPr>
          <w:rFonts w:ascii="宋体" w:hAnsi="宋体"/>
          <w:b/>
          <w:bCs/>
          <w:color w:val="auto"/>
          <w:szCs w:val="21"/>
          <w:highlight w:val="none"/>
        </w:rPr>
      </w:pPr>
    </w:p>
    <w:p>
      <w:pPr>
        <w:spacing w:line="360" w:lineRule="auto"/>
        <w:rPr>
          <w:rFonts w:ascii="宋体" w:hAnsi="宋体"/>
          <w:color w:val="auto"/>
          <w:sz w:val="24"/>
          <w:highlight w:val="none"/>
        </w:rPr>
      </w:pPr>
    </w:p>
    <w:p>
      <w:pPr>
        <w:spacing w:line="360" w:lineRule="auto"/>
        <w:rPr>
          <w:rFonts w:ascii="宋体" w:hAnsi="宋体"/>
          <w:b/>
          <w:bCs/>
          <w:strike/>
          <w:color w:val="auto"/>
          <w:sz w:val="24"/>
          <w:highlight w:val="none"/>
        </w:rPr>
        <w:sectPr>
          <w:footerReference r:id="rId14" w:type="default"/>
          <w:pgSz w:w="16838" w:h="11906" w:orient="landscape"/>
          <w:pgMar w:top="1418" w:right="1418" w:bottom="1418" w:left="1418" w:header="851" w:footer="992" w:gutter="0"/>
          <w:pgNumType w:fmt="decimal"/>
          <w:cols w:space="720" w:num="1"/>
          <w:docGrid w:linePitch="312" w:charSpace="0"/>
        </w:sectPr>
      </w:pPr>
    </w:p>
    <w:p>
      <w:pPr>
        <w:spacing w:line="360" w:lineRule="auto"/>
        <w:outlineLvl w:val="1"/>
        <w:rPr>
          <w:rFonts w:ascii="宋体" w:hAnsi="宋体"/>
          <w:b/>
          <w:bCs/>
          <w:color w:val="auto"/>
          <w:sz w:val="24"/>
          <w:highlight w:val="none"/>
        </w:rPr>
      </w:pPr>
      <w:bookmarkStart w:id="30" w:name="_Toc44943477"/>
      <w:r>
        <w:rPr>
          <w:rFonts w:hint="eastAsia" w:ascii="宋体" w:hAnsi="宋体"/>
          <w:b/>
          <w:color w:val="auto"/>
          <w:sz w:val="24"/>
          <w:highlight w:val="none"/>
        </w:rPr>
        <w:t>附录</w:t>
      </w:r>
      <w:r>
        <w:rPr>
          <w:rFonts w:ascii="宋体" w:hAnsi="宋体"/>
          <w:b/>
          <w:color w:val="auto"/>
          <w:sz w:val="24"/>
          <w:highlight w:val="none"/>
        </w:rPr>
        <w:t>16</w:t>
      </w:r>
      <w:r>
        <w:rPr>
          <w:rFonts w:hint="eastAsia" w:ascii="宋体" w:hAnsi="宋体"/>
          <w:b/>
          <w:bCs/>
          <w:color w:val="auto"/>
          <w:sz w:val="24"/>
          <w:highlight w:val="none"/>
        </w:rPr>
        <w:t>（</w:t>
      </w:r>
      <w:r>
        <w:rPr>
          <w:rFonts w:hint="eastAsia" w:ascii="宋体" w:hAnsi="宋体"/>
          <w:color w:val="auto"/>
          <w:sz w:val="24"/>
          <w:highlight w:val="none"/>
        </w:rPr>
        <w:t>适用于综合评分法</w:t>
      </w:r>
      <w:r>
        <w:rPr>
          <w:rFonts w:hint="eastAsia" w:ascii="宋体" w:hAnsi="宋体"/>
          <w:b/>
          <w:bCs/>
          <w:color w:val="auto"/>
          <w:sz w:val="24"/>
          <w:highlight w:val="none"/>
        </w:rPr>
        <w:t>）</w:t>
      </w:r>
      <w:bookmarkEnd w:id="30"/>
    </w:p>
    <w:p>
      <w:pPr>
        <w:spacing w:line="360" w:lineRule="auto"/>
        <w:jc w:val="center"/>
        <w:rPr>
          <w:rFonts w:ascii="宋体" w:hAnsi="宋体"/>
          <w:b/>
          <w:bCs/>
          <w:color w:val="auto"/>
          <w:sz w:val="32"/>
          <w:szCs w:val="32"/>
          <w:highlight w:val="none"/>
        </w:rPr>
      </w:pPr>
      <w:bookmarkStart w:id="31" w:name="技术文件综合评分表"/>
      <w:bookmarkStart w:id="32" w:name="_Toc44943478"/>
      <w:r>
        <w:rPr>
          <w:rFonts w:hint="eastAsia" w:ascii="宋体" w:hAnsi="宋体"/>
          <w:b/>
          <w:bCs/>
          <w:color w:val="auto"/>
          <w:sz w:val="32"/>
          <w:szCs w:val="32"/>
          <w:highlight w:val="none"/>
        </w:rPr>
        <w:t>技术文件综合评分表</w:t>
      </w:r>
      <w:bookmarkEnd w:id="31"/>
      <w:bookmarkEnd w:id="32"/>
    </w:p>
    <w:p>
      <w:pPr>
        <w:spacing w:line="360" w:lineRule="auto"/>
        <w:rPr>
          <w:rFonts w:ascii="宋体" w:hAnsi="宋体"/>
          <w:b/>
          <w:bCs/>
          <w:color w:val="auto"/>
          <w:sz w:val="24"/>
          <w:highlight w:val="none"/>
        </w:rPr>
      </w:pPr>
    </w:p>
    <w:p>
      <w:pPr>
        <w:spacing w:line="360" w:lineRule="auto"/>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cs="宋体"/>
          <w:color w:val="auto"/>
          <w:szCs w:val="21"/>
          <w:highlight w:val="none"/>
          <w:lang w:val="zh-CN"/>
        </w:rPr>
        <w:t>投标单位名称：</w:t>
      </w:r>
      <w:r>
        <w:rPr>
          <w:rFonts w:hint="eastAsia" w:ascii="宋体" w:hAnsi="宋体"/>
          <w:color w:val="auto"/>
          <w:highlight w:val="none"/>
          <w:u w:val="single"/>
        </w:rPr>
        <w:t xml:space="preserve">                                   </w:t>
      </w:r>
    </w:p>
    <w:tbl>
      <w:tblPr>
        <w:tblStyle w:val="29"/>
        <w:tblW w:w="1379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1552"/>
        <w:gridCol w:w="2364"/>
        <w:gridCol w:w="2611"/>
        <w:gridCol w:w="4782"/>
        <w:gridCol w:w="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3352" w:type="dxa"/>
            <w:gridSpan w:val="3"/>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投标方案编号</w:t>
            </w:r>
          </w:p>
        </w:tc>
        <w:tc>
          <w:tcPr>
            <w:tcW w:w="2364" w:type="dxa"/>
            <w:noWrap w:val="0"/>
            <w:vAlign w:val="center"/>
          </w:tcPr>
          <w:p>
            <w:pPr>
              <w:autoSpaceDE w:val="0"/>
              <w:autoSpaceDN w:val="0"/>
              <w:adjustRightInd w:val="0"/>
              <w:spacing w:line="400" w:lineRule="exact"/>
              <w:jc w:val="center"/>
              <w:rPr>
                <w:color w:val="auto"/>
                <w:szCs w:val="21"/>
                <w:highlight w:val="none"/>
              </w:rPr>
            </w:pPr>
          </w:p>
        </w:tc>
        <w:tc>
          <w:tcPr>
            <w:tcW w:w="2611" w:type="dxa"/>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评标专家（签</w:t>
            </w:r>
            <w:r>
              <w:rPr>
                <w:rFonts w:hint="eastAsia"/>
                <w:color w:val="auto"/>
                <w:szCs w:val="21"/>
                <w:highlight w:val="none"/>
                <w:lang w:val="zh-CN"/>
              </w:rPr>
              <w:t>名</w:t>
            </w:r>
            <w:r>
              <w:rPr>
                <w:color w:val="auto"/>
                <w:szCs w:val="21"/>
                <w:highlight w:val="none"/>
                <w:lang w:val="zh-CN"/>
              </w:rPr>
              <w:t>）</w:t>
            </w:r>
          </w:p>
        </w:tc>
        <w:tc>
          <w:tcPr>
            <w:tcW w:w="5465" w:type="dxa"/>
            <w:gridSpan w:val="2"/>
            <w:noWrap w:val="0"/>
            <w:vAlign w:val="center"/>
          </w:tcPr>
          <w:p>
            <w:pPr>
              <w:autoSpaceDE w:val="0"/>
              <w:autoSpaceDN w:val="0"/>
              <w:adjustRightInd w:val="0"/>
              <w:spacing w:line="400" w:lineRule="exact"/>
              <w:jc w:val="center"/>
              <w:rPr>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720" w:type="dxa"/>
            <w:noWrap w:val="0"/>
            <w:textDirection w:val="tbRlV"/>
            <w:vAlign w:val="center"/>
          </w:tcPr>
          <w:p>
            <w:pPr>
              <w:autoSpaceDE w:val="0"/>
              <w:autoSpaceDN w:val="0"/>
              <w:adjustRightInd w:val="0"/>
              <w:spacing w:line="400" w:lineRule="exact"/>
              <w:ind w:left="113" w:right="113"/>
              <w:jc w:val="center"/>
              <w:rPr>
                <w:color w:val="auto"/>
                <w:szCs w:val="21"/>
                <w:highlight w:val="none"/>
              </w:rPr>
            </w:pPr>
            <w:r>
              <w:rPr>
                <w:color w:val="auto"/>
                <w:szCs w:val="21"/>
                <w:highlight w:val="none"/>
                <w:lang w:val="zh-CN"/>
              </w:rPr>
              <w:t>序号</w:t>
            </w:r>
          </w:p>
        </w:tc>
        <w:tc>
          <w:tcPr>
            <w:tcW w:w="1080" w:type="dxa"/>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项</w:t>
            </w:r>
            <w:r>
              <w:rPr>
                <w:color w:val="auto"/>
                <w:szCs w:val="21"/>
                <w:highlight w:val="none"/>
              </w:rPr>
              <w:t xml:space="preserve">   </w:t>
            </w:r>
            <w:r>
              <w:rPr>
                <w:color w:val="auto"/>
                <w:szCs w:val="21"/>
                <w:highlight w:val="none"/>
                <w:lang w:val="zh-CN"/>
              </w:rPr>
              <w:t>目</w:t>
            </w:r>
          </w:p>
        </w:tc>
        <w:tc>
          <w:tcPr>
            <w:tcW w:w="1552" w:type="dxa"/>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分值分配</w:t>
            </w:r>
          </w:p>
        </w:tc>
        <w:tc>
          <w:tcPr>
            <w:tcW w:w="9757" w:type="dxa"/>
            <w:gridSpan w:val="3"/>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内</w:t>
            </w:r>
            <w:r>
              <w:rPr>
                <w:color w:val="auto"/>
                <w:szCs w:val="21"/>
                <w:highlight w:val="none"/>
              </w:rPr>
              <w:t xml:space="preserve">    </w:t>
            </w:r>
            <w:r>
              <w:rPr>
                <w:color w:val="auto"/>
                <w:szCs w:val="21"/>
                <w:highlight w:val="none"/>
                <w:lang w:val="zh-CN"/>
              </w:rPr>
              <w:t>容</w:t>
            </w:r>
          </w:p>
        </w:tc>
        <w:tc>
          <w:tcPr>
            <w:tcW w:w="683" w:type="dxa"/>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20" w:type="dxa"/>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一</w:t>
            </w:r>
          </w:p>
        </w:tc>
        <w:tc>
          <w:tcPr>
            <w:tcW w:w="1080" w:type="dxa"/>
            <w:noWrap w:val="0"/>
            <w:vAlign w:val="center"/>
          </w:tcPr>
          <w:p>
            <w:pPr>
              <w:autoSpaceDE w:val="0"/>
              <w:autoSpaceDN w:val="0"/>
              <w:adjustRightInd w:val="0"/>
              <w:spacing w:line="260" w:lineRule="exact"/>
              <w:jc w:val="center"/>
              <w:rPr>
                <w:rFonts w:ascii="宋体" w:hAnsi="宋体"/>
                <w:color w:val="auto"/>
                <w:szCs w:val="21"/>
                <w:highlight w:val="none"/>
              </w:rPr>
            </w:pPr>
            <w:r>
              <w:rPr>
                <w:rFonts w:ascii="宋体" w:hAnsi="宋体"/>
                <w:color w:val="auto"/>
                <w:szCs w:val="21"/>
                <w:highlight w:val="none"/>
                <w:lang w:val="zh-CN"/>
              </w:rPr>
              <w:t>投标文件的符合性</w:t>
            </w:r>
          </w:p>
        </w:tc>
        <w:tc>
          <w:tcPr>
            <w:tcW w:w="1552" w:type="dxa"/>
            <w:noWrap w:val="0"/>
            <w:vAlign w:val="center"/>
          </w:tcPr>
          <w:p>
            <w:pPr>
              <w:autoSpaceDE w:val="0"/>
              <w:autoSpaceDN w:val="0"/>
              <w:adjustRightInd w:val="0"/>
              <w:spacing w:line="260" w:lineRule="exact"/>
              <w:jc w:val="center"/>
              <w:rPr>
                <w:rFonts w:ascii="宋体" w:hAnsi="宋体"/>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10</w:t>
            </w:r>
            <w:r>
              <w:rPr>
                <w:rFonts w:hint="eastAsia" w:ascii="宋体" w:hAnsi="宋体" w:cs="宋体"/>
                <w:color w:val="auto"/>
                <w:szCs w:val="21"/>
                <w:highlight w:val="none"/>
                <w:lang w:val="zh-CN"/>
              </w:rPr>
              <w:t>]</w:t>
            </w:r>
          </w:p>
        </w:tc>
        <w:tc>
          <w:tcPr>
            <w:tcW w:w="9757" w:type="dxa"/>
            <w:gridSpan w:val="3"/>
            <w:noWrap w:val="0"/>
            <w:vAlign w:val="center"/>
          </w:tcPr>
          <w:p>
            <w:pPr>
              <w:autoSpaceDE/>
              <w:autoSpaceDN/>
              <w:adjustRightInd w:val="0"/>
              <w:spacing w:line="240" w:lineRule="auto"/>
              <w:rPr>
                <w:rFonts w:hint="eastAsia" w:hAnsi="宋体"/>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rPr>
              <w:t>优】</w:t>
            </w:r>
            <w:r>
              <w:rPr>
                <w:rFonts w:hint="eastAsia" w:hAnsi="宋体"/>
                <w:color w:val="auto"/>
                <w:szCs w:val="21"/>
                <w:highlight w:val="none"/>
                <w:lang w:val="zh-CN"/>
              </w:rPr>
              <w:t>整个设计内容符合招标文件要求，内容全面，设计总说明书文字表达清楚、思路清晰、重点和难点突出，</w:t>
            </w:r>
            <w:r>
              <w:rPr>
                <w:rFonts w:hint="eastAsia" w:hAnsi="宋体"/>
                <w:color w:val="auto"/>
                <w:szCs w:val="21"/>
                <w:highlight w:val="none"/>
              </w:rPr>
              <w:t>图纸及文本编制质量高</w:t>
            </w:r>
            <w:r>
              <w:rPr>
                <w:rFonts w:hint="eastAsia" w:hAnsi="宋体"/>
                <w:color w:val="auto"/>
                <w:szCs w:val="21"/>
                <w:highlight w:val="none"/>
                <w:lang w:val="en-US" w:eastAsia="zh-CN"/>
              </w:rPr>
              <w:t>，</w:t>
            </w:r>
            <w:r>
              <w:rPr>
                <w:rFonts w:hint="eastAsia" w:hAnsi="宋体"/>
                <w:color w:val="auto"/>
                <w:szCs w:val="21"/>
                <w:highlight w:val="none"/>
              </w:rPr>
              <w:t>得</w:t>
            </w:r>
            <w:r>
              <w:rPr>
                <w:rFonts w:hint="eastAsia" w:hAnsi="宋体"/>
                <w:color w:val="auto"/>
                <w:szCs w:val="21"/>
                <w:highlight w:val="none"/>
                <w:lang w:val="zh-CN"/>
              </w:rPr>
              <w:t>10分；</w:t>
            </w:r>
          </w:p>
          <w:p>
            <w:pPr>
              <w:autoSpaceDE/>
              <w:autoSpaceDN/>
              <w:adjustRightInd w:val="0"/>
              <w:spacing w:line="240" w:lineRule="auto"/>
              <w:rPr>
                <w:rFonts w:hint="eastAsia" w:hAnsi="宋体"/>
                <w:color w:val="auto"/>
                <w:szCs w:val="21"/>
                <w:highlight w:val="none"/>
              </w:rPr>
            </w:pPr>
            <w:r>
              <w:rPr>
                <w:rFonts w:hint="eastAsia" w:hAnsi="宋体"/>
                <w:color w:val="auto"/>
                <w:szCs w:val="21"/>
                <w:highlight w:val="none"/>
                <w:lang w:val="zh-CN"/>
              </w:rPr>
              <w:t>【</w:t>
            </w:r>
            <w:r>
              <w:rPr>
                <w:rFonts w:hint="eastAsia" w:hAnsi="宋体"/>
                <w:color w:val="auto"/>
                <w:szCs w:val="21"/>
                <w:highlight w:val="none"/>
              </w:rPr>
              <w:t>良】整个设计内容符合招标文件要求，内容较全面，设计总说明书文字表达较清楚、思路较清晰、重点和难点较突出，图纸及文本编制质量较高</w:t>
            </w:r>
            <w:r>
              <w:rPr>
                <w:rFonts w:hint="eastAsia" w:hAnsi="宋体"/>
                <w:color w:val="auto"/>
                <w:szCs w:val="21"/>
                <w:highlight w:val="none"/>
                <w:lang w:eastAsia="zh-CN"/>
              </w:rPr>
              <w:t>，</w:t>
            </w:r>
            <w:r>
              <w:rPr>
                <w:rFonts w:hint="eastAsia" w:hAnsi="宋体"/>
                <w:color w:val="auto"/>
                <w:szCs w:val="21"/>
                <w:highlight w:val="none"/>
              </w:rPr>
              <w:t>得8</w:t>
            </w:r>
            <w:r>
              <w:rPr>
                <w:rFonts w:hint="eastAsia" w:hAnsi="宋体"/>
                <w:color w:val="auto"/>
                <w:szCs w:val="21"/>
                <w:highlight w:val="none"/>
                <w:lang w:val="zh-CN"/>
              </w:rPr>
              <w:t>分；</w:t>
            </w:r>
          </w:p>
          <w:p>
            <w:pPr>
              <w:autoSpaceDE/>
              <w:autoSpaceDN/>
              <w:adjustRightInd w:val="0"/>
              <w:spacing w:line="240" w:lineRule="auto"/>
              <w:rPr>
                <w:rFonts w:hint="eastAsia" w:hAnsi="宋体"/>
                <w:color w:val="auto"/>
                <w:szCs w:val="21"/>
                <w:highlight w:val="none"/>
              </w:rPr>
            </w:pPr>
            <w:r>
              <w:rPr>
                <w:rFonts w:hint="eastAsia" w:hAnsi="宋体"/>
                <w:color w:val="auto"/>
                <w:szCs w:val="21"/>
                <w:highlight w:val="none"/>
              </w:rPr>
              <w:t>【一般】整个设计内容符合招标文件要求，内容</w:t>
            </w:r>
            <w:r>
              <w:rPr>
                <w:rFonts w:hint="eastAsia" w:hAnsi="宋体"/>
                <w:color w:val="auto"/>
                <w:szCs w:val="21"/>
                <w:highlight w:val="none"/>
                <w:lang w:val="en-US" w:eastAsia="zh-CN"/>
              </w:rPr>
              <w:t>基本</w:t>
            </w:r>
            <w:r>
              <w:rPr>
                <w:rFonts w:hint="eastAsia" w:hAnsi="宋体"/>
                <w:color w:val="auto"/>
                <w:szCs w:val="21"/>
                <w:highlight w:val="none"/>
              </w:rPr>
              <w:t>全面，设计总说明书文字表达</w:t>
            </w:r>
            <w:r>
              <w:rPr>
                <w:rFonts w:hint="eastAsia" w:hAnsi="宋体"/>
                <w:color w:val="auto"/>
                <w:szCs w:val="21"/>
                <w:highlight w:val="none"/>
                <w:lang w:val="en-US" w:eastAsia="zh-CN"/>
              </w:rPr>
              <w:t>基本</w:t>
            </w:r>
            <w:r>
              <w:rPr>
                <w:rFonts w:hint="eastAsia" w:hAnsi="宋体"/>
                <w:color w:val="auto"/>
                <w:szCs w:val="21"/>
                <w:highlight w:val="none"/>
              </w:rPr>
              <w:t>清楚、思路</w:t>
            </w:r>
            <w:r>
              <w:rPr>
                <w:rFonts w:hint="eastAsia" w:hAnsi="宋体"/>
                <w:color w:val="auto"/>
                <w:szCs w:val="21"/>
                <w:highlight w:val="none"/>
                <w:lang w:val="en-US" w:eastAsia="zh-CN"/>
              </w:rPr>
              <w:t>基本</w:t>
            </w:r>
            <w:r>
              <w:rPr>
                <w:rFonts w:hint="eastAsia" w:hAnsi="宋体"/>
                <w:color w:val="auto"/>
                <w:szCs w:val="21"/>
                <w:highlight w:val="none"/>
              </w:rPr>
              <w:t>清晰，图纸及文本编制质量</w:t>
            </w:r>
            <w:r>
              <w:rPr>
                <w:rFonts w:hint="eastAsia" w:hAnsi="宋体"/>
                <w:color w:val="auto"/>
                <w:szCs w:val="21"/>
                <w:highlight w:val="none"/>
                <w:lang w:val="en-US" w:eastAsia="zh-CN"/>
              </w:rPr>
              <w:t>一般</w:t>
            </w:r>
            <w:r>
              <w:rPr>
                <w:rFonts w:hint="eastAsia" w:hAnsi="宋体"/>
                <w:color w:val="auto"/>
                <w:szCs w:val="21"/>
                <w:highlight w:val="none"/>
                <w:lang w:eastAsia="zh-CN"/>
              </w:rPr>
              <w:t>，</w:t>
            </w:r>
            <w:r>
              <w:rPr>
                <w:rFonts w:hint="eastAsia" w:hAnsi="宋体"/>
                <w:color w:val="auto"/>
                <w:szCs w:val="21"/>
                <w:highlight w:val="none"/>
              </w:rPr>
              <w:t>得6</w:t>
            </w:r>
            <w:r>
              <w:rPr>
                <w:rFonts w:hint="eastAsia" w:hAnsi="宋体"/>
                <w:color w:val="auto"/>
                <w:szCs w:val="21"/>
                <w:highlight w:val="none"/>
                <w:lang w:val="zh-CN"/>
              </w:rPr>
              <w:t>分；</w:t>
            </w:r>
          </w:p>
          <w:p>
            <w:pPr>
              <w:autoSpaceDE/>
              <w:autoSpaceDN/>
              <w:adjustRightInd w:val="0"/>
              <w:spacing w:line="240" w:lineRule="auto"/>
              <w:rPr>
                <w:rFonts w:hint="eastAsia" w:hAnsi="宋体"/>
                <w:color w:val="auto"/>
                <w:szCs w:val="21"/>
                <w:highlight w:val="none"/>
              </w:rPr>
            </w:pPr>
            <w:r>
              <w:rPr>
                <w:rFonts w:hint="eastAsia" w:hAnsi="宋体"/>
                <w:color w:val="auto"/>
                <w:szCs w:val="21"/>
                <w:highlight w:val="none"/>
                <w:lang w:val="zh-CN"/>
              </w:rPr>
              <w:t>无此部分内容得0分。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noWrap w:val="0"/>
            <w:vAlign w:val="center"/>
          </w:tcPr>
          <w:p>
            <w:pPr>
              <w:autoSpaceDE w:val="0"/>
              <w:autoSpaceDN w:val="0"/>
              <w:adjustRightInd w:val="0"/>
              <w:spacing w:line="400" w:lineRule="exact"/>
              <w:jc w:val="center"/>
              <w:rPr>
                <w:color w:val="auto"/>
                <w:szCs w:val="21"/>
                <w:highlight w:val="none"/>
                <w:lang w:val="zh-CN"/>
              </w:rPr>
            </w:pPr>
            <w:r>
              <w:rPr>
                <w:color w:val="auto"/>
                <w:szCs w:val="21"/>
                <w:highlight w:val="none"/>
                <w:lang w:val="zh-CN"/>
              </w:rPr>
              <w:t>二</w:t>
            </w:r>
          </w:p>
        </w:tc>
        <w:tc>
          <w:tcPr>
            <w:tcW w:w="1080" w:type="dxa"/>
            <w:vMerge w:val="restart"/>
            <w:noWrap w:val="0"/>
            <w:vAlign w:val="center"/>
          </w:tcPr>
          <w:p>
            <w:pPr>
              <w:autoSpaceDE w:val="0"/>
              <w:autoSpaceDN w:val="0"/>
              <w:adjustRightInd w:val="0"/>
              <w:spacing w:line="260" w:lineRule="exact"/>
              <w:jc w:val="center"/>
              <w:rPr>
                <w:rFonts w:hint="eastAsia" w:ascii="宋体" w:hAnsi="宋体"/>
                <w:color w:val="auto"/>
                <w:szCs w:val="21"/>
                <w:highlight w:val="none"/>
                <w:lang w:val="zh-CN"/>
              </w:rPr>
            </w:pPr>
            <w:r>
              <w:rPr>
                <w:rFonts w:ascii="宋体" w:hAnsi="宋体"/>
                <w:color w:val="auto"/>
                <w:szCs w:val="21"/>
                <w:highlight w:val="none"/>
                <w:lang w:val="zh-CN"/>
              </w:rPr>
              <w:t>设计方案及勘察</w:t>
            </w:r>
          </w:p>
          <w:p>
            <w:pPr>
              <w:autoSpaceDE w:val="0"/>
              <w:autoSpaceDN w:val="0"/>
              <w:adjustRightInd w:val="0"/>
              <w:spacing w:line="260" w:lineRule="exact"/>
              <w:jc w:val="center"/>
              <w:rPr>
                <w:rFonts w:ascii="宋体" w:hAnsi="宋体"/>
                <w:color w:val="auto"/>
                <w:szCs w:val="21"/>
                <w:highlight w:val="none"/>
                <w:lang w:val="zh-CN"/>
              </w:rPr>
            </w:pPr>
            <w:r>
              <w:rPr>
                <w:rFonts w:ascii="宋体" w:hAnsi="宋体"/>
                <w:color w:val="auto"/>
                <w:szCs w:val="21"/>
                <w:highlight w:val="none"/>
                <w:lang w:val="zh-CN"/>
              </w:rPr>
              <w:t>大纲</w:t>
            </w:r>
          </w:p>
          <w:p>
            <w:pPr>
              <w:autoSpaceDE w:val="0"/>
              <w:autoSpaceDN w:val="0"/>
              <w:adjustRightInd w:val="0"/>
              <w:spacing w:line="260" w:lineRule="exact"/>
              <w:jc w:val="center"/>
              <w:rPr>
                <w:color w:val="auto"/>
                <w:kern w:val="0"/>
                <w:szCs w:val="21"/>
                <w:highlight w:val="none"/>
                <w:lang w:val="zh-CN"/>
              </w:rPr>
            </w:pPr>
          </w:p>
        </w:tc>
        <w:tc>
          <w:tcPr>
            <w:tcW w:w="1552" w:type="dxa"/>
            <w:vMerge w:val="restart"/>
            <w:noWrap w:val="0"/>
            <w:vAlign w:val="center"/>
          </w:tcPr>
          <w:p>
            <w:pPr>
              <w:autoSpaceDE w:val="0"/>
              <w:autoSpaceDN w:val="0"/>
              <w:adjustRightInd w:val="0"/>
              <w:spacing w:line="260" w:lineRule="exact"/>
              <w:jc w:val="center"/>
              <w:rPr>
                <w:color w:val="auto"/>
                <w:szCs w:val="21"/>
                <w:highlight w:val="none"/>
              </w:rPr>
            </w:pPr>
            <w:r>
              <w:rPr>
                <w:rFonts w:ascii="宋体" w:hAnsi="宋体" w:cs="宋体"/>
                <w:color w:val="auto"/>
                <w:szCs w:val="21"/>
                <w:highlight w:val="none"/>
                <w:lang w:val="zh-CN"/>
              </w:rPr>
              <w:t>[</w:t>
            </w:r>
            <w:r>
              <w:rPr>
                <w:rFonts w:ascii="宋体" w:hAnsi="宋体"/>
                <w:color w:val="auto"/>
                <w:szCs w:val="21"/>
                <w:highlight w:val="none"/>
              </w:rPr>
              <w:t>80</w:t>
            </w:r>
            <w:r>
              <w:rPr>
                <w:rFonts w:ascii="宋体" w:hAnsi="宋体" w:cs="宋体"/>
                <w:color w:val="auto"/>
                <w:szCs w:val="21"/>
                <w:highlight w:val="none"/>
                <w:lang w:val="zh-CN"/>
              </w:rPr>
              <w:t>]</w:t>
            </w:r>
          </w:p>
        </w:tc>
        <w:tc>
          <w:tcPr>
            <w:tcW w:w="9757" w:type="dxa"/>
            <w:gridSpan w:val="3"/>
            <w:noWrap w:val="0"/>
            <w:vAlign w:val="center"/>
          </w:tcPr>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rPr>
              <w:t>优】</w:t>
            </w:r>
            <w:r>
              <w:rPr>
                <w:rFonts w:hint="eastAsia" w:ascii="Times New Roman" w:hAnsi="宋体" w:cs="Times New Roman"/>
                <w:color w:val="auto"/>
                <w:szCs w:val="21"/>
                <w:highlight w:val="none"/>
                <w:lang w:val="zh-CN"/>
              </w:rPr>
              <w:t>正确理解并执行本项目建设意图及意义，总体思路清晰，</w:t>
            </w:r>
            <w:r>
              <w:rPr>
                <w:rFonts w:hint="eastAsia" w:hAnsi="宋体"/>
                <w:color w:val="auto"/>
                <w:szCs w:val="21"/>
                <w:highlight w:val="none"/>
              </w:rPr>
              <w:t>得</w:t>
            </w:r>
            <w:r>
              <w:rPr>
                <w:rFonts w:hint="eastAsia" w:hAnsi="宋体"/>
                <w:color w:val="auto"/>
                <w:szCs w:val="21"/>
                <w:highlight w:val="none"/>
                <w:lang w:val="zh-CN"/>
              </w:rPr>
              <w:t>10分；</w:t>
            </w:r>
          </w:p>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rFonts w:hint="eastAsia" w:ascii="Times New Roman" w:hAnsi="宋体" w:cs="Times New Roman"/>
                <w:color w:val="auto"/>
                <w:szCs w:val="21"/>
                <w:highlight w:val="none"/>
                <w:lang w:val="en-US" w:eastAsia="zh-CN"/>
              </w:rPr>
              <w:t>对</w:t>
            </w:r>
            <w:r>
              <w:rPr>
                <w:rFonts w:hint="eastAsia" w:ascii="Times New Roman" w:hAnsi="宋体" w:cs="Times New Roman"/>
                <w:color w:val="auto"/>
                <w:szCs w:val="21"/>
                <w:highlight w:val="none"/>
                <w:lang w:val="zh-CN"/>
              </w:rPr>
              <w:t>执行本项目建设意图及意义</w:t>
            </w:r>
            <w:r>
              <w:rPr>
                <w:rFonts w:hint="eastAsia" w:ascii="Times New Roman" w:hAnsi="宋体" w:cs="Times New Roman"/>
                <w:color w:val="auto"/>
                <w:szCs w:val="21"/>
                <w:highlight w:val="none"/>
                <w:lang w:val="en-US" w:eastAsia="zh-CN"/>
              </w:rPr>
              <w:t>有</w:t>
            </w:r>
            <w:r>
              <w:rPr>
                <w:rFonts w:hint="eastAsia" w:hAnsi="宋体"/>
                <w:color w:val="auto"/>
                <w:szCs w:val="21"/>
                <w:highlight w:val="none"/>
                <w:lang w:val="en-US" w:eastAsia="zh-CN"/>
              </w:rPr>
              <w:t>较</w:t>
            </w:r>
            <w:r>
              <w:rPr>
                <w:rFonts w:hint="eastAsia" w:ascii="Times New Roman" w:hAnsi="宋体" w:cs="Times New Roman"/>
                <w:color w:val="auto"/>
                <w:szCs w:val="21"/>
                <w:highlight w:val="none"/>
                <w:lang w:val="zh-CN"/>
              </w:rPr>
              <w:t>正确</w:t>
            </w:r>
            <w:r>
              <w:rPr>
                <w:rFonts w:hint="eastAsia" w:ascii="Times New Roman" w:hAnsi="宋体" w:cs="Times New Roman"/>
                <w:color w:val="auto"/>
                <w:szCs w:val="21"/>
                <w:highlight w:val="none"/>
                <w:lang w:val="en-US" w:eastAsia="zh-CN"/>
              </w:rPr>
              <w:t>的</w:t>
            </w:r>
            <w:r>
              <w:rPr>
                <w:rFonts w:hint="eastAsia" w:ascii="Times New Roman" w:hAnsi="宋体" w:cs="Times New Roman"/>
                <w:color w:val="auto"/>
                <w:szCs w:val="21"/>
                <w:highlight w:val="none"/>
                <w:lang w:val="zh-CN"/>
              </w:rPr>
              <w:t>理解，总体思路</w:t>
            </w:r>
            <w:r>
              <w:rPr>
                <w:rFonts w:hint="eastAsia" w:ascii="Times New Roman" w:hAnsi="宋体" w:cs="Times New Roman"/>
                <w:color w:val="auto"/>
                <w:szCs w:val="21"/>
                <w:highlight w:val="none"/>
                <w:lang w:val="en-US" w:eastAsia="zh-CN"/>
              </w:rPr>
              <w:t>较</w:t>
            </w:r>
            <w:r>
              <w:rPr>
                <w:rFonts w:hint="eastAsia" w:ascii="Times New Roman" w:hAnsi="宋体" w:cs="Times New Roman"/>
                <w:color w:val="auto"/>
                <w:szCs w:val="21"/>
                <w:highlight w:val="none"/>
                <w:lang w:val="zh-CN"/>
              </w:rPr>
              <w:t>清晰，</w:t>
            </w:r>
            <w:r>
              <w:rPr>
                <w:rFonts w:hint="eastAsia" w:hAnsi="宋体"/>
                <w:color w:val="auto"/>
                <w:szCs w:val="21"/>
                <w:highlight w:val="none"/>
              </w:rPr>
              <w:t>得8</w:t>
            </w:r>
            <w:r>
              <w:rPr>
                <w:rFonts w:hint="eastAsia" w:hAnsi="宋体"/>
                <w:color w:val="auto"/>
                <w:szCs w:val="21"/>
                <w:highlight w:val="none"/>
                <w:lang w:val="zh-CN"/>
              </w:rPr>
              <w:t>分；</w:t>
            </w:r>
          </w:p>
          <w:p>
            <w:pPr>
              <w:autoSpaceDE/>
              <w:autoSpaceDN/>
              <w:adjustRightInd w:val="0"/>
              <w:spacing w:line="240" w:lineRule="auto"/>
              <w:rPr>
                <w:rFonts w:hint="eastAsia" w:hAnsi="宋体"/>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rFonts w:hint="eastAsia" w:ascii="Times New Roman" w:hAnsi="宋体" w:cs="Times New Roman"/>
                <w:color w:val="auto"/>
                <w:szCs w:val="21"/>
                <w:highlight w:val="none"/>
                <w:lang w:val="en-US" w:eastAsia="zh-CN"/>
              </w:rPr>
              <w:t>对</w:t>
            </w:r>
            <w:r>
              <w:rPr>
                <w:rFonts w:hint="eastAsia" w:ascii="Times New Roman" w:hAnsi="宋体" w:cs="Times New Roman"/>
                <w:color w:val="auto"/>
                <w:szCs w:val="21"/>
                <w:highlight w:val="none"/>
                <w:lang w:val="zh-CN"/>
              </w:rPr>
              <w:t>执行本项目建设意图及意义</w:t>
            </w:r>
            <w:r>
              <w:rPr>
                <w:rFonts w:hint="eastAsia" w:ascii="Times New Roman" w:hAnsi="宋体" w:cs="Times New Roman"/>
                <w:color w:val="auto"/>
                <w:szCs w:val="21"/>
                <w:highlight w:val="none"/>
                <w:lang w:val="en-US" w:eastAsia="zh-CN"/>
              </w:rPr>
              <w:t>的理解</w:t>
            </w:r>
            <w:r>
              <w:rPr>
                <w:rFonts w:hint="eastAsia" w:hAnsi="宋体"/>
                <w:color w:val="auto"/>
                <w:szCs w:val="21"/>
                <w:highlight w:val="none"/>
              </w:rPr>
              <w:t>一般</w:t>
            </w:r>
            <w:r>
              <w:rPr>
                <w:rFonts w:hint="eastAsia" w:ascii="Times New Roman" w:hAnsi="宋体" w:cs="Times New Roman"/>
                <w:color w:val="auto"/>
                <w:szCs w:val="21"/>
                <w:highlight w:val="none"/>
                <w:lang w:val="zh-CN"/>
              </w:rPr>
              <w:t>，总体思路</w:t>
            </w:r>
            <w:r>
              <w:rPr>
                <w:rFonts w:hint="eastAsia" w:hAnsi="宋体"/>
                <w:color w:val="auto"/>
                <w:szCs w:val="21"/>
                <w:highlight w:val="none"/>
              </w:rPr>
              <w:t>一般</w:t>
            </w:r>
            <w:r>
              <w:rPr>
                <w:rFonts w:hint="eastAsia" w:ascii="Times New Roman" w:hAnsi="宋体" w:cs="Times New Roman"/>
                <w:color w:val="auto"/>
                <w:szCs w:val="21"/>
                <w:highlight w:val="none"/>
                <w:lang w:val="zh-CN"/>
              </w:rPr>
              <w:t>，</w:t>
            </w:r>
            <w:r>
              <w:rPr>
                <w:rFonts w:hint="eastAsia" w:hAnsi="宋体"/>
                <w:color w:val="auto"/>
                <w:szCs w:val="21"/>
                <w:highlight w:val="none"/>
              </w:rPr>
              <w:t>得6</w:t>
            </w:r>
            <w:r>
              <w:rPr>
                <w:rFonts w:hint="eastAsia" w:hAnsi="宋体"/>
                <w:color w:val="auto"/>
                <w:szCs w:val="21"/>
                <w:highlight w:val="none"/>
                <w:lang w:val="zh-CN"/>
              </w:rPr>
              <w:t>分；</w:t>
            </w:r>
          </w:p>
          <w:p>
            <w:pPr>
              <w:autoSpaceDE/>
              <w:autoSpaceDN/>
              <w:adjustRightInd w:val="0"/>
              <w:spacing w:line="240" w:lineRule="auto"/>
              <w:rPr>
                <w:rFonts w:hint="eastAsia" w:hAnsi="宋体"/>
                <w:color w:val="auto"/>
                <w:szCs w:val="21"/>
                <w:highlight w:val="none"/>
                <w:lang w:val="zh-CN"/>
              </w:rPr>
            </w:pPr>
            <w:r>
              <w:rPr>
                <w:rFonts w:hint="eastAsia" w:ascii="宋体" w:hAnsi="宋体" w:cs="宋体"/>
                <w:color w:val="auto"/>
                <w:szCs w:val="21"/>
                <w:highlight w:val="none"/>
                <w:lang w:val="zh-CN"/>
              </w:rPr>
              <w:t>无此部分内容得</w:t>
            </w:r>
            <w:r>
              <w:rPr>
                <w:rFonts w:hint="eastAsia" w:ascii="宋体" w:hAnsi="宋体" w:cs="宋体"/>
                <w:b/>
                <w:bCs/>
                <w:color w:val="auto"/>
                <w:szCs w:val="21"/>
                <w:highlight w:val="none"/>
                <w:lang w:val="zh-CN"/>
              </w:rPr>
              <w:t>0</w:t>
            </w:r>
            <w:r>
              <w:rPr>
                <w:rFonts w:hint="eastAsia" w:ascii="宋体" w:hAnsi="宋体" w:cs="宋体"/>
                <w:color w:val="auto"/>
                <w:szCs w:val="21"/>
                <w:highlight w:val="none"/>
                <w:lang w:val="zh-CN"/>
              </w:rPr>
              <w:t>分。</w:t>
            </w:r>
          </w:p>
        </w:tc>
        <w:tc>
          <w:tcPr>
            <w:tcW w:w="683" w:type="dxa"/>
            <w:noWrap w:val="0"/>
            <w:vAlign w:val="center"/>
          </w:tcPr>
          <w:p>
            <w:pPr>
              <w:autoSpaceDE w:val="0"/>
              <w:autoSpaceDN w:val="0"/>
              <w:adjustRightInd w:val="0"/>
              <w:spacing w:line="400" w:lineRule="exact"/>
              <w:jc w:val="center"/>
              <w:rPr>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lang w:val="zh-CN"/>
              </w:rPr>
            </w:pPr>
          </w:p>
        </w:tc>
        <w:tc>
          <w:tcPr>
            <w:tcW w:w="1080" w:type="dxa"/>
            <w:vMerge w:val="continue"/>
            <w:noWrap w:val="0"/>
            <w:textDirection w:val="tbRlV"/>
            <w:vAlign w:val="center"/>
          </w:tcPr>
          <w:p>
            <w:pPr>
              <w:autoSpaceDE w:val="0"/>
              <w:autoSpaceDN w:val="0"/>
              <w:adjustRightInd w:val="0"/>
              <w:spacing w:line="400" w:lineRule="exact"/>
              <w:ind w:left="113" w:right="113"/>
              <w:jc w:val="center"/>
              <w:rPr>
                <w:color w:val="auto"/>
                <w:kern w:val="0"/>
                <w:szCs w:val="21"/>
                <w:highlight w:val="none"/>
                <w:lang w:val="zh-CN"/>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rPr>
              <w:t>优】</w:t>
            </w:r>
            <w:r>
              <w:rPr>
                <w:rFonts w:hint="eastAsia" w:ascii="Times New Roman" w:hAnsi="宋体" w:cs="Times New Roman"/>
                <w:color w:val="auto"/>
                <w:szCs w:val="21"/>
                <w:highlight w:val="none"/>
              </w:rPr>
              <w:t>基础资料、调查数据详实，对</w:t>
            </w:r>
            <w:r>
              <w:rPr>
                <w:rFonts w:hint="eastAsia" w:ascii="Times New Roman" w:hAnsi="宋体" w:eastAsia="宋体" w:cs="Times New Roman"/>
                <w:color w:val="auto"/>
                <w:szCs w:val="21"/>
                <w:highlight w:val="none"/>
                <w:lang w:eastAsia="zh-CN"/>
              </w:rPr>
              <w:t>本</w:t>
            </w:r>
            <w:r>
              <w:rPr>
                <w:rFonts w:hint="eastAsia" w:ascii="Times New Roman" w:hAnsi="宋体" w:eastAsia="宋体" w:cs="Times New Roman"/>
                <w:color w:val="auto"/>
                <w:sz w:val="21"/>
                <w:szCs w:val="21"/>
                <w:highlight w:val="none"/>
                <w:u w:val="none"/>
                <w:lang w:eastAsia="zh-CN"/>
              </w:rPr>
              <w:t>项目</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rPr>
              <w:t>的必要性剖析到位，定位合理</w:t>
            </w:r>
            <w:r>
              <w:rPr>
                <w:rFonts w:hint="eastAsia" w:ascii="Times New Roman" w:hAnsi="宋体" w:cs="Times New Roman"/>
                <w:color w:val="auto"/>
                <w:szCs w:val="21"/>
                <w:highlight w:val="none"/>
                <w:lang w:eastAsia="zh-CN"/>
              </w:rPr>
              <w:t>，</w:t>
            </w:r>
            <w:r>
              <w:rPr>
                <w:rFonts w:hint="eastAsia" w:hAnsi="宋体"/>
                <w:color w:val="auto"/>
                <w:szCs w:val="21"/>
                <w:highlight w:val="none"/>
              </w:rPr>
              <w:t>得</w:t>
            </w:r>
            <w:r>
              <w:rPr>
                <w:rFonts w:hint="eastAsia" w:hAnsi="宋体"/>
                <w:color w:val="auto"/>
                <w:szCs w:val="21"/>
                <w:highlight w:val="none"/>
                <w:lang w:val="zh-CN"/>
              </w:rPr>
              <w:t>10分；</w:t>
            </w:r>
          </w:p>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rFonts w:hint="eastAsia" w:ascii="Times New Roman" w:hAnsi="宋体" w:cs="Times New Roman"/>
                <w:color w:val="auto"/>
                <w:szCs w:val="21"/>
                <w:highlight w:val="none"/>
              </w:rPr>
              <w:t>基础资料、调查数据</w:t>
            </w:r>
            <w:r>
              <w:rPr>
                <w:rFonts w:hint="eastAsia" w:ascii="Times New Roman" w:hAnsi="宋体" w:cs="Times New Roman"/>
                <w:color w:val="auto"/>
                <w:szCs w:val="21"/>
                <w:highlight w:val="none"/>
                <w:lang w:val="en-US" w:eastAsia="zh-CN"/>
              </w:rPr>
              <w:t>较</w:t>
            </w:r>
            <w:r>
              <w:rPr>
                <w:rFonts w:hint="eastAsia" w:ascii="Times New Roman" w:hAnsi="宋体" w:cs="Times New Roman"/>
                <w:color w:val="auto"/>
                <w:szCs w:val="21"/>
                <w:highlight w:val="none"/>
              </w:rPr>
              <w:t>详实，对</w:t>
            </w:r>
            <w:r>
              <w:rPr>
                <w:rFonts w:hint="eastAsia" w:ascii="Times New Roman" w:hAnsi="宋体" w:eastAsia="宋体" w:cs="Times New Roman"/>
                <w:color w:val="auto"/>
                <w:szCs w:val="21"/>
                <w:highlight w:val="none"/>
                <w:lang w:eastAsia="zh-CN"/>
              </w:rPr>
              <w:t>本</w:t>
            </w:r>
            <w:r>
              <w:rPr>
                <w:rFonts w:hint="eastAsia" w:ascii="Times New Roman" w:hAnsi="宋体" w:eastAsia="宋体" w:cs="Times New Roman"/>
                <w:color w:val="auto"/>
                <w:sz w:val="21"/>
                <w:szCs w:val="21"/>
                <w:highlight w:val="none"/>
                <w:u w:val="none"/>
                <w:lang w:eastAsia="zh-CN"/>
              </w:rPr>
              <w:t>项目</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rPr>
              <w:t>的必要性剖析</w:t>
            </w:r>
            <w:r>
              <w:rPr>
                <w:rFonts w:hint="eastAsia" w:ascii="Times New Roman" w:hAnsi="宋体" w:cs="Times New Roman"/>
                <w:color w:val="auto"/>
                <w:szCs w:val="21"/>
                <w:highlight w:val="none"/>
                <w:lang w:val="en-US" w:eastAsia="zh-CN"/>
              </w:rPr>
              <w:t>较</w:t>
            </w:r>
            <w:r>
              <w:rPr>
                <w:rFonts w:hint="eastAsia" w:ascii="Times New Roman" w:hAnsi="宋体" w:cs="Times New Roman"/>
                <w:color w:val="auto"/>
                <w:szCs w:val="21"/>
                <w:highlight w:val="none"/>
              </w:rPr>
              <w:t>到位，定位</w:t>
            </w:r>
            <w:r>
              <w:rPr>
                <w:rFonts w:hint="eastAsia" w:ascii="Times New Roman" w:hAnsi="宋体" w:cs="Times New Roman"/>
                <w:color w:val="auto"/>
                <w:szCs w:val="21"/>
                <w:highlight w:val="none"/>
                <w:lang w:val="en-US" w:eastAsia="zh-CN"/>
              </w:rPr>
              <w:t>较</w:t>
            </w:r>
            <w:r>
              <w:rPr>
                <w:rFonts w:hint="eastAsia" w:ascii="Times New Roman" w:hAnsi="宋体" w:cs="Times New Roman"/>
                <w:color w:val="auto"/>
                <w:szCs w:val="21"/>
                <w:highlight w:val="none"/>
              </w:rPr>
              <w:t>合理</w:t>
            </w:r>
            <w:r>
              <w:rPr>
                <w:rFonts w:hint="eastAsia" w:ascii="Times New Roman" w:hAnsi="宋体" w:cs="Times New Roman"/>
                <w:color w:val="auto"/>
                <w:szCs w:val="21"/>
                <w:highlight w:val="none"/>
                <w:lang w:eastAsia="zh-CN"/>
              </w:rPr>
              <w:t>，</w:t>
            </w:r>
            <w:r>
              <w:rPr>
                <w:rFonts w:hint="eastAsia" w:hAnsi="宋体"/>
                <w:color w:val="auto"/>
                <w:szCs w:val="21"/>
                <w:highlight w:val="none"/>
              </w:rPr>
              <w:t>得8</w:t>
            </w:r>
            <w:r>
              <w:rPr>
                <w:rFonts w:hint="eastAsia" w:hAnsi="宋体"/>
                <w:color w:val="auto"/>
                <w:szCs w:val="21"/>
                <w:highlight w:val="none"/>
                <w:lang w:val="zh-CN"/>
              </w:rPr>
              <w:t>分；</w:t>
            </w:r>
          </w:p>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rFonts w:hint="eastAsia" w:ascii="Times New Roman" w:hAnsi="宋体" w:cs="Times New Roman"/>
                <w:color w:val="auto"/>
                <w:szCs w:val="21"/>
                <w:highlight w:val="none"/>
              </w:rPr>
              <w:t>基础资料、调查数据</w:t>
            </w:r>
            <w:r>
              <w:rPr>
                <w:rFonts w:hint="eastAsia" w:ascii="Times New Roman" w:hAnsi="宋体" w:cs="Times New Roman"/>
                <w:color w:val="auto"/>
                <w:szCs w:val="21"/>
                <w:highlight w:val="none"/>
                <w:lang w:val="en-US" w:eastAsia="zh-CN"/>
              </w:rPr>
              <w:t>基本</w:t>
            </w:r>
            <w:r>
              <w:rPr>
                <w:rFonts w:hint="eastAsia" w:ascii="Times New Roman" w:hAnsi="宋体" w:cs="Times New Roman"/>
                <w:color w:val="auto"/>
                <w:szCs w:val="21"/>
                <w:highlight w:val="none"/>
              </w:rPr>
              <w:t>详实，对</w:t>
            </w:r>
            <w:r>
              <w:rPr>
                <w:rFonts w:hint="eastAsia" w:ascii="Times New Roman" w:hAnsi="宋体" w:eastAsia="宋体" w:cs="Times New Roman"/>
                <w:color w:val="auto"/>
                <w:szCs w:val="21"/>
                <w:highlight w:val="none"/>
                <w:lang w:eastAsia="zh-CN"/>
              </w:rPr>
              <w:t>本</w:t>
            </w:r>
            <w:r>
              <w:rPr>
                <w:rFonts w:hint="eastAsia" w:ascii="Times New Roman" w:hAnsi="宋体" w:eastAsia="宋体" w:cs="Times New Roman"/>
                <w:color w:val="auto"/>
                <w:sz w:val="21"/>
                <w:szCs w:val="21"/>
                <w:highlight w:val="none"/>
                <w:u w:val="none"/>
                <w:lang w:eastAsia="zh-CN"/>
              </w:rPr>
              <w:t>项目</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rPr>
              <w:t>的必要性剖析</w:t>
            </w:r>
            <w:r>
              <w:rPr>
                <w:rFonts w:hint="eastAsia" w:ascii="Times New Roman" w:hAnsi="宋体" w:cs="Times New Roman"/>
                <w:color w:val="auto"/>
                <w:szCs w:val="21"/>
                <w:highlight w:val="none"/>
                <w:lang w:val="en-US" w:eastAsia="zh-CN"/>
              </w:rPr>
              <w:t>及</w:t>
            </w:r>
            <w:r>
              <w:rPr>
                <w:rFonts w:hint="eastAsia" w:ascii="Times New Roman" w:hAnsi="宋体" w:cs="Times New Roman"/>
                <w:color w:val="auto"/>
                <w:szCs w:val="21"/>
                <w:highlight w:val="none"/>
              </w:rPr>
              <w:t>定位</w:t>
            </w:r>
            <w:r>
              <w:rPr>
                <w:rFonts w:hint="eastAsia" w:ascii="Times New Roman" w:hAnsi="宋体" w:cs="Times New Roman"/>
                <w:color w:val="auto"/>
                <w:szCs w:val="21"/>
                <w:highlight w:val="none"/>
                <w:lang w:val="en-US" w:eastAsia="zh-CN"/>
              </w:rPr>
              <w:t>一般</w:t>
            </w:r>
            <w:r>
              <w:rPr>
                <w:rFonts w:hint="eastAsia" w:ascii="Times New Roman" w:hAnsi="宋体" w:cs="Times New Roman"/>
                <w:color w:val="auto"/>
                <w:szCs w:val="21"/>
                <w:highlight w:val="none"/>
                <w:lang w:eastAsia="zh-CN"/>
              </w:rPr>
              <w:t>，</w:t>
            </w:r>
            <w:r>
              <w:rPr>
                <w:rFonts w:hint="eastAsia" w:ascii="Times New Roman" w:hAnsi="宋体" w:cs="Times New Roman"/>
                <w:color w:val="auto"/>
                <w:szCs w:val="21"/>
                <w:highlight w:val="none"/>
                <w:lang w:val="en-US" w:eastAsia="zh-CN"/>
              </w:rPr>
              <w:t>得</w:t>
            </w:r>
            <w:r>
              <w:rPr>
                <w:rFonts w:hint="eastAsia" w:hAnsi="宋体"/>
                <w:color w:val="auto"/>
                <w:szCs w:val="21"/>
                <w:highlight w:val="none"/>
              </w:rPr>
              <w:t>6</w:t>
            </w:r>
            <w:r>
              <w:rPr>
                <w:rFonts w:hint="eastAsia" w:hAnsi="宋体"/>
                <w:color w:val="auto"/>
                <w:szCs w:val="21"/>
                <w:highlight w:val="none"/>
                <w:lang w:val="zh-CN"/>
              </w:rPr>
              <w:t>分；</w:t>
            </w:r>
          </w:p>
          <w:p>
            <w:pPr>
              <w:autoSpaceDE w:val="0"/>
              <w:autoSpaceDN w:val="0"/>
              <w:adjustRightInd w:val="0"/>
              <w:spacing w:line="240" w:lineRule="exact"/>
              <w:rPr>
                <w:color w:val="auto"/>
                <w:szCs w:val="21"/>
                <w:highlight w:val="none"/>
              </w:rPr>
            </w:pPr>
            <w:r>
              <w:rPr>
                <w:rFonts w:hint="eastAsia" w:ascii="宋体" w:hAnsi="宋体" w:cs="宋体"/>
                <w:color w:val="auto"/>
                <w:szCs w:val="21"/>
                <w:highlight w:val="none"/>
                <w:lang w:val="zh-CN"/>
              </w:rPr>
              <w:t>无此部分内容得</w:t>
            </w:r>
            <w:r>
              <w:rPr>
                <w:rFonts w:hint="eastAsia" w:ascii="宋体" w:hAnsi="宋体" w:cs="宋体"/>
                <w:b/>
                <w:bCs/>
                <w:color w:val="auto"/>
                <w:szCs w:val="21"/>
                <w:highlight w:val="none"/>
                <w:lang w:val="zh-CN"/>
              </w:rPr>
              <w:t>0</w:t>
            </w:r>
            <w:r>
              <w:rPr>
                <w:rFonts w:hint="eastAsia" w:ascii="宋体" w:hAnsi="宋体" w:cs="宋体"/>
                <w:color w:val="auto"/>
                <w:szCs w:val="21"/>
                <w:highlight w:val="none"/>
                <w:lang w:val="zh-CN"/>
              </w:rPr>
              <w:t>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lang w:val="zh-CN"/>
              </w:rPr>
            </w:pPr>
          </w:p>
        </w:tc>
        <w:tc>
          <w:tcPr>
            <w:tcW w:w="1080" w:type="dxa"/>
            <w:vMerge w:val="continue"/>
            <w:noWrap w:val="0"/>
            <w:textDirection w:val="tbRlV"/>
            <w:vAlign w:val="center"/>
          </w:tcPr>
          <w:p>
            <w:pPr>
              <w:autoSpaceDE w:val="0"/>
              <w:autoSpaceDN w:val="0"/>
              <w:adjustRightInd w:val="0"/>
              <w:spacing w:line="400" w:lineRule="exact"/>
              <w:ind w:left="113" w:right="113"/>
              <w:jc w:val="center"/>
              <w:rPr>
                <w:color w:val="auto"/>
                <w:kern w:val="0"/>
                <w:szCs w:val="21"/>
                <w:highlight w:val="none"/>
                <w:lang w:val="zh-CN"/>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autoSpaceDE/>
              <w:autoSpaceDN/>
              <w:adjustRightInd w:val="0"/>
              <w:spacing w:line="240" w:lineRule="auto"/>
              <w:ind w:right="0"/>
              <w:rPr>
                <w:rFonts w:hint="eastAsia" w:ascii="Times New Roman" w:hAnsi="宋体" w:cs="Times New Roman"/>
                <w:color w:val="auto"/>
                <w:szCs w:val="21"/>
                <w:highlight w:val="none"/>
              </w:rPr>
            </w:pPr>
            <w:r>
              <w:rPr>
                <w:rFonts w:hint="eastAsia" w:hAnsi="宋体"/>
                <w:color w:val="auto"/>
                <w:szCs w:val="21"/>
                <w:highlight w:val="none"/>
                <w:lang w:val="zh-CN"/>
              </w:rPr>
              <w:t>【</w:t>
            </w:r>
            <w:r>
              <w:rPr>
                <w:rFonts w:hint="eastAsia" w:hAnsi="宋体"/>
                <w:color w:val="auto"/>
                <w:szCs w:val="21"/>
                <w:highlight w:val="none"/>
              </w:rPr>
              <w:t>优】</w:t>
            </w:r>
            <w:r>
              <w:rPr>
                <w:rFonts w:hint="eastAsia" w:ascii="Times New Roman" w:hAnsi="宋体" w:eastAsia="宋体" w:cs="Times New Roman"/>
                <w:color w:val="auto"/>
                <w:sz w:val="21"/>
                <w:szCs w:val="21"/>
                <w:highlight w:val="none"/>
                <w:u w:val="none"/>
              </w:rPr>
              <w:t>独柱墩桥梁</w:t>
            </w:r>
            <w:r>
              <w:rPr>
                <w:rFonts w:hint="eastAsia" w:hAnsi="宋体" w:cs="Times New Roman"/>
                <w:color w:val="auto"/>
                <w:szCs w:val="21"/>
                <w:highlight w:val="none"/>
                <w:lang w:val="en-US" w:eastAsia="zh-CN"/>
              </w:rPr>
              <w:t>加固方案（包含桥梁抗倾覆加固、</w:t>
            </w:r>
            <w:r>
              <w:rPr>
                <w:rFonts w:hint="eastAsia" w:ascii="Times New Roman" w:hAnsi="宋体" w:eastAsia="宋体" w:cs="Times New Roman"/>
                <w:color w:val="auto"/>
                <w:sz w:val="21"/>
                <w:szCs w:val="21"/>
                <w:highlight w:val="none"/>
                <w:u w:val="none"/>
              </w:rPr>
              <w:t>独柱墩</w:t>
            </w:r>
            <w:r>
              <w:rPr>
                <w:rFonts w:hint="eastAsia" w:hAnsi="宋体" w:cs="Times New Roman"/>
                <w:color w:val="auto"/>
                <w:sz w:val="21"/>
                <w:szCs w:val="21"/>
                <w:highlight w:val="none"/>
                <w:u w:val="none"/>
                <w:lang w:val="en-US" w:eastAsia="zh-CN"/>
              </w:rPr>
              <w:t>强度加固</w:t>
            </w:r>
            <w:r>
              <w:rPr>
                <w:rFonts w:hint="eastAsia" w:hAnsi="宋体" w:cs="Times New Roman"/>
                <w:color w:val="auto"/>
                <w:szCs w:val="21"/>
                <w:highlight w:val="none"/>
                <w:lang w:val="en-US" w:eastAsia="zh-CN"/>
              </w:rPr>
              <w:t>等初步构思）</w:t>
            </w:r>
            <w:r>
              <w:rPr>
                <w:rFonts w:hint="eastAsia" w:ascii="Times New Roman" w:hAnsi="宋体" w:cs="Times New Roman"/>
                <w:color w:val="auto"/>
                <w:szCs w:val="21"/>
                <w:highlight w:val="none"/>
              </w:rPr>
              <w:t>设计合理，</w:t>
            </w:r>
            <w:r>
              <w:rPr>
                <w:rFonts w:hint="eastAsia" w:ascii="Times New Roman" w:hAnsi="宋体" w:eastAsia="宋体" w:cs="Times New Roman"/>
                <w:color w:val="auto"/>
                <w:szCs w:val="21"/>
                <w:highlight w:val="none"/>
                <w:lang w:eastAsia="zh-CN"/>
              </w:rPr>
              <w:t>功能满足要求，</w:t>
            </w:r>
            <w:r>
              <w:rPr>
                <w:rFonts w:hint="eastAsia" w:ascii="Times New Roman" w:hAnsi="宋体" w:cs="Times New Roman"/>
                <w:color w:val="auto"/>
                <w:szCs w:val="21"/>
                <w:highlight w:val="none"/>
              </w:rPr>
              <w:t>技术措施</w:t>
            </w:r>
            <w:r>
              <w:rPr>
                <w:rFonts w:hint="eastAsia" w:ascii="Times New Roman" w:hAnsi="宋体" w:cs="Times New Roman"/>
                <w:color w:val="auto"/>
                <w:szCs w:val="21"/>
                <w:highlight w:val="none"/>
                <w:lang w:val="en-US" w:eastAsia="zh-CN"/>
              </w:rPr>
              <w:t>科学合理</w:t>
            </w:r>
            <w:r>
              <w:rPr>
                <w:rFonts w:hint="eastAsia" w:ascii="Times New Roman" w:hAnsi="宋体" w:cs="Times New Roman"/>
                <w:color w:val="auto"/>
                <w:szCs w:val="21"/>
                <w:highlight w:val="none"/>
                <w:lang w:eastAsia="zh-CN"/>
              </w:rPr>
              <w:t>，</w:t>
            </w:r>
            <w:r>
              <w:rPr>
                <w:rFonts w:hint="eastAsia" w:hAnsi="宋体"/>
                <w:color w:val="auto"/>
                <w:szCs w:val="21"/>
                <w:highlight w:val="none"/>
              </w:rPr>
              <w:t>得</w:t>
            </w:r>
            <w:r>
              <w:rPr>
                <w:rFonts w:hint="eastAsia" w:hAnsi="宋体"/>
                <w:color w:val="auto"/>
                <w:szCs w:val="21"/>
                <w:highlight w:val="none"/>
                <w:lang w:val="zh-CN"/>
              </w:rPr>
              <w:t>10分；</w:t>
            </w:r>
          </w:p>
          <w:p>
            <w:pPr>
              <w:autoSpaceDE/>
              <w:autoSpaceDN/>
              <w:adjustRightInd w:val="0"/>
              <w:spacing w:line="240" w:lineRule="auto"/>
              <w:ind w:right="0"/>
              <w:rPr>
                <w:rFonts w:hint="eastAsia" w:ascii="Times New Roman" w:hAnsi="宋体" w:cs="Times New Roman"/>
                <w:color w:val="auto"/>
                <w:szCs w:val="21"/>
                <w:highlight w:val="none"/>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rFonts w:hint="eastAsia" w:ascii="Times New Roman" w:hAnsi="宋体" w:eastAsia="宋体" w:cs="Times New Roman"/>
                <w:color w:val="auto"/>
                <w:sz w:val="21"/>
                <w:szCs w:val="21"/>
                <w:highlight w:val="none"/>
                <w:u w:val="none"/>
              </w:rPr>
              <w:t>独柱墩桥梁</w:t>
            </w:r>
            <w:r>
              <w:rPr>
                <w:rFonts w:hint="eastAsia" w:hAnsi="宋体" w:cs="Times New Roman"/>
                <w:color w:val="auto"/>
                <w:szCs w:val="21"/>
                <w:highlight w:val="none"/>
                <w:lang w:val="en-US" w:eastAsia="zh-CN"/>
              </w:rPr>
              <w:t>加固方案（包含桥梁抗倾覆加固、</w:t>
            </w:r>
            <w:r>
              <w:rPr>
                <w:rFonts w:hint="eastAsia" w:ascii="Times New Roman" w:hAnsi="宋体" w:eastAsia="宋体" w:cs="Times New Roman"/>
                <w:color w:val="auto"/>
                <w:sz w:val="21"/>
                <w:szCs w:val="21"/>
                <w:highlight w:val="none"/>
                <w:u w:val="none"/>
              </w:rPr>
              <w:t>独柱墩</w:t>
            </w:r>
            <w:r>
              <w:rPr>
                <w:rFonts w:hint="eastAsia" w:hAnsi="宋体" w:cs="Times New Roman"/>
                <w:color w:val="auto"/>
                <w:sz w:val="21"/>
                <w:szCs w:val="21"/>
                <w:highlight w:val="none"/>
                <w:u w:val="none"/>
                <w:lang w:val="en-US" w:eastAsia="zh-CN"/>
              </w:rPr>
              <w:t>强度加固</w:t>
            </w:r>
            <w:r>
              <w:rPr>
                <w:rFonts w:hint="eastAsia" w:hAnsi="宋体" w:cs="Times New Roman"/>
                <w:color w:val="auto"/>
                <w:szCs w:val="21"/>
                <w:highlight w:val="none"/>
                <w:lang w:val="en-US" w:eastAsia="zh-CN"/>
              </w:rPr>
              <w:t>等初步构思）</w:t>
            </w:r>
            <w:r>
              <w:rPr>
                <w:rFonts w:hint="eastAsia" w:ascii="Times New Roman" w:hAnsi="宋体" w:cs="Times New Roman"/>
                <w:color w:val="auto"/>
                <w:szCs w:val="21"/>
                <w:highlight w:val="none"/>
              </w:rPr>
              <w:t>设计</w:t>
            </w:r>
            <w:r>
              <w:rPr>
                <w:rFonts w:hint="eastAsia" w:ascii="Times New Roman" w:hAnsi="宋体" w:cs="Times New Roman"/>
                <w:color w:val="auto"/>
                <w:szCs w:val="21"/>
                <w:highlight w:val="none"/>
                <w:lang w:val="en-US" w:eastAsia="zh-CN"/>
              </w:rPr>
              <w:t>较</w:t>
            </w:r>
            <w:r>
              <w:rPr>
                <w:rFonts w:hint="eastAsia" w:ascii="Times New Roman" w:hAnsi="宋体" w:cs="Times New Roman"/>
                <w:color w:val="auto"/>
                <w:szCs w:val="21"/>
                <w:highlight w:val="none"/>
              </w:rPr>
              <w:t>合理，</w:t>
            </w:r>
            <w:r>
              <w:rPr>
                <w:rFonts w:hint="eastAsia" w:ascii="Times New Roman" w:hAnsi="宋体" w:eastAsia="宋体" w:cs="Times New Roman"/>
                <w:color w:val="auto"/>
                <w:szCs w:val="21"/>
                <w:highlight w:val="none"/>
                <w:lang w:eastAsia="zh-CN"/>
              </w:rPr>
              <w:t>功能满足要求，</w:t>
            </w:r>
            <w:r>
              <w:rPr>
                <w:rFonts w:hint="eastAsia" w:ascii="Times New Roman" w:hAnsi="宋体" w:cs="Times New Roman"/>
                <w:color w:val="auto"/>
                <w:szCs w:val="21"/>
                <w:highlight w:val="none"/>
              </w:rPr>
              <w:t>技术措施</w:t>
            </w:r>
            <w:r>
              <w:rPr>
                <w:rFonts w:hint="eastAsia" w:ascii="Times New Roman" w:hAnsi="宋体" w:cs="Times New Roman"/>
                <w:color w:val="auto"/>
                <w:szCs w:val="21"/>
                <w:highlight w:val="none"/>
                <w:lang w:val="en-US" w:eastAsia="zh-CN"/>
              </w:rPr>
              <w:t>较合理</w:t>
            </w:r>
            <w:r>
              <w:rPr>
                <w:rFonts w:hint="eastAsia" w:ascii="Times New Roman" w:hAnsi="宋体" w:cs="Times New Roman"/>
                <w:color w:val="auto"/>
                <w:szCs w:val="21"/>
                <w:highlight w:val="none"/>
                <w:lang w:eastAsia="zh-CN"/>
              </w:rPr>
              <w:t>，</w:t>
            </w:r>
            <w:r>
              <w:rPr>
                <w:rFonts w:hint="eastAsia" w:hAnsi="宋体"/>
                <w:color w:val="auto"/>
                <w:szCs w:val="21"/>
                <w:highlight w:val="none"/>
              </w:rPr>
              <w:t>得8</w:t>
            </w:r>
            <w:r>
              <w:rPr>
                <w:rFonts w:hint="eastAsia" w:hAnsi="宋体"/>
                <w:color w:val="auto"/>
                <w:szCs w:val="21"/>
                <w:highlight w:val="none"/>
                <w:lang w:val="zh-CN"/>
              </w:rPr>
              <w:t>分；</w:t>
            </w:r>
          </w:p>
          <w:p>
            <w:pPr>
              <w:autoSpaceDE/>
              <w:autoSpaceDN/>
              <w:adjustRightInd w:val="0"/>
              <w:spacing w:line="240" w:lineRule="auto"/>
              <w:ind w:right="0"/>
              <w:rPr>
                <w:rFonts w:hint="eastAsia" w:ascii="Times New Roman" w:hAnsi="宋体" w:cs="Times New Roman"/>
                <w:color w:val="auto"/>
                <w:szCs w:val="21"/>
                <w:highlight w:val="none"/>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rFonts w:hint="eastAsia" w:ascii="Times New Roman" w:hAnsi="宋体" w:eastAsia="宋体" w:cs="Times New Roman"/>
                <w:color w:val="auto"/>
                <w:sz w:val="21"/>
                <w:szCs w:val="21"/>
                <w:highlight w:val="none"/>
                <w:u w:val="none"/>
              </w:rPr>
              <w:t>独柱墩桥梁</w:t>
            </w:r>
            <w:r>
              <w:rPr>
                <w:rFonts w:hint="eastAsia" w:hAnsi="宋体" w:cs="Times New Roman"/>
                <w:color w:val="auto"/>
                <w:szCs w:val="21"/>
                <w:highlight w:val="none"/>
                <w:lang w:val="en-US" w:eastAsia="zh-CN"/>
              </w:rPr>
              <w:t>加固方案（包含桥梁抗倾覆加固、</w:t>
            </w:r>
            <w:r>
              <w:rPr>
                <w:rFonts w:hint="eastAsia" w:ascii="Times New Roman" w:hAnsi="宋体" w:eastAsia="宋体" w:cs="Times New Roman"/>
                <w:color w:val="auto"/>
                <w:sz w:val="21"/>
                <w:szCs w:val="21"/>
                <w:highlight w:val="none"/>
                <w:u w:val="none"/>
              </w:rPr>
              <w:t>独柱墩</w:t>
            </w:r>
            <w:r>
              <w:rPr>
                <w:rFonts w:hint="eastAsia" w:hAnsi="宋体" w:cs="Times New Roman"/>
                <w:color w:val="auto"/>
                <w:sz w:val="21"/>
                <w:szCs w:val="21"/>
                <w:highlight w:val="none"/>
                <w:u w:val="none"/>
                <w:lang w:val="en-US" w:eastAsia="zh-CN"/>
              </w:rPr>
              <w:t>强度加固</w:t>
            </w:r>
            <w:r>
              <w:rPr>
                <w:rFonts w:hint="eastAsia" w:hAnsi="宋体" w:cs="Times New Roman"/>
                <w:color w:val="auto"/>
                <w:szCs w:val="21"/>
                <w:highlight w:val="none"/>
                <w:lang w:val="en-US" w:eastAsia="zh-CN"/>
              </w:rPr>
              <w:t>等初步构思）</w:t>
            </w:r>
            <w:r>
              <w:rPr>
                <w:rFonts w:hint="eastAsia" w:ascii="Times New Roman" w:hAnsi="宋体" w:cs="Times New Roman"/>
                <w:color w:val="auto"/>
                <w:szCs w:val="21"/>
                <w:highlight w:val="none"/>
              </w:rPr>
              <w:t>设计合理</w:t>
            </w:r>
            <w:r>
              <w:rPr>
                <w:rFonts w:hint="eastAsia" w:hAnsi="宋体" w:cs="Times New Roman"/>
                <w:color w:val="auto"/>
                <w:szCs w:val="21"/>
                <w:highlight w:val="none"/>
                <w:lang w:eastAsia="zh-CN"/>
              </w:rPr>
              <w:t>性一般</w:t>
            </w:r>
            <w:r>
              <w:rPr>
                <w:rFonts w:hint="eastAsia" w:ascii="Times New Roman" w:hAnsi="宋体" w:cs="Times New Roman"/>
                <w:color w:val="auto"/>
                <w:szCs w:val="21"/>
                <w:highlight w:val="none"/>
              </w:rPr>
              <w:t>，</w:t>
            </w:r>
            <w:r>
              <w:rPr>
                <w:rFonts w:hint="eastAsia" w:ascii="Times New Roman" w:hAnsi="宋体" w:eastAsia="宋体" w:cs="Times New Roman"/>
                <w:color w:val="auto"/>
                <w:szCs w:val="21"/>
                <w:highlight w:val="none"/>
                <w:lang w:eastAsia="zh-CN"/>
              </w:rPr>
              <w:t>功能</w:t>
            </w:r>
            <w:r>
              <w:rPr>
                <w:rFonts w:hint="eastAsia" w:ascii="Times New Roman" w:hAnsi="宋体" w:cs="Times New Roman"/>
                <w:color w:val="auto"/>
                <w:szCs w:val="21"/>
                <w:highlight w:val="none"/>
                <w:lang w:val="en-US" w:eastAsia="zh-CN"/>
              </w:rPr>
              <w:t>基本</w:t>
            </w:r>
            <w:r>
              <w:rPr>
                <w:rFonts w:hint="eastAsia" w:ascii="Times New Roman" w:hAnsi="宋体" w:eastAsia="宋体" w:cs="Times New Roman"/>
                <w:color w:val="auto"/>
                <w:szCs w:val="21"/>
                <w:highlight w:val="none"/>
                <w:lang w:eastAsia="zh-CN"/>
              </w:rPr>
              <w:t>满足要求，</w:t>
            </w:r>
            <w:r>
              <w:rPr>
                <w:rFonts w:hint="eastAsia" w:ascii="Times New Roman" w:hAnsi="宋体" w:cs="Times New Roman"/>
                <w:color w:val="auto"/>
                <w:szCs w:val="21"/>
                <w:highlight w:val="none"/>
              </w:rPr>
              <w:t>技术措施</w:t>
            </w:r>
            <w:r>
              <w:rPr>
                <w:rFonts w:hint="eastAsia" w:ascii="Times New Roman" w:hAnsi="宋体" w:cs="Times New Roman"/>
                <w:color w:val="auto"/>
                <w:szCs w:val="21"/>
                <w:highlight w:val="none"/>
                <w:lang w:val="en-US" w:eastAsia="zh-CN"/>
              </w:rPr>
              <w:t>合理</w:t>
            </w:r>
            <w:r>
              <w:rPr>
                <w:rFonts w:hint="eastAsia" w:hAnsi="宋体" w:cs="Times New Roman"/>
                <w:color w:val="auto"/>
                <w:szCs w:val="21"/>
                <w:highlight w:val="none"/>
                <w:lang w:val="en-US" w:eastAsia="zh-CN"/>
              </w:rPr>
              <w:t>性一般</w:t>
            </w:r>
            <w:r>
              <w:rPr>
                <w:rFonts w:hint="eastAsia" w:ascii="Times New Roman" w:hAnsi="宋体" w:cs="Times New Roman"/>
                <w:color w:val="auto"/>
                <w:szCs w:val="21"/>
                <w:highlight w:val="none"/>
                <w:lang w:eastAsia="zh-CN"/>
              </w:rPr>
              <w:t>，</w:t>
            </w:r>
            <w:r>
              <w:rPr>
                <w:rFonts w:hint="eastAsia" w:ascii="Times New Roman" w:hAnsi="宋体" w:cs="Times New Roman"/>
                <w:color w:val="auto"/>
                <w:szCs w:val="21"/>
                <w:highlight w:val="none"/>
                <w:lang w:val="en-US" w:eastAsia="zh-CN"/>
              </w:rPr>
              <w:t>得</w:t>
            </w:r>
            <w:r>
              <w:rPr>
                <w:rFonts w:hint="eastAsia" w:hAnsi="宋体"/>
                <w:color w:val="auto"/>
                <w:szCs w:val="21"/>
                <w:highlight w:val="none"/>
              </w:rPr>
              <w:t>6</w:t>
            </w:r>
            <w:r>
              <w:rPr>
                <w:rFonts w:hint="eastAsia" w:hAnsi="宋体"/>
                <w:color w:val="auto"/>
                <w:szCs w:val="21"/>
                <w:highlight w:val="none"/>
                <w:lang w:val="zh-CN"/>
              </w:rPr>
              <w:t>分；</w:t>
            </w:r>
          </w:p>
          <w:p>
            <w:pPr>
              <w:autoSpaceDE w:val="0"/>
              <w:autoSpaceDN w:val="0"/>
              <w:adjustRightInd w:val="0"/>
              <w:spacing w:line="240" w:lineRule="exact"/>
              <w:rPr>
                <w:rFonts w:hAnsi="宋体"/>
                <w:color w:val="auto"/>
                <w:szCs w:val="21"/>
                <w:highlight w:val="none"/>
                <w:lang w:val="zh-CN"/>
              </w:rPr>
            </w:pPr>
            <w:r>
              <w:rPr>
                <w:rFonts w:hint="eastAsia" w:ascii="宋体" w:hAnsi="宋体" w:cs="宋体"/>
                <w:color w:val="auto"/>
                <w:szCs w:val="21"/>
                <w:highlight w:val="none"/>
                <w:lang w:val="zh-CN"/>
              </w:rPr>
              <w:t>无此部分内容得</w:t>
            </w:r>
            <w:r>
              <w:rPr>
                <w:rFonts w:hint="eastAsia" w:ascii="宋体" w:hAnsi="宋体" w:cs="宋体"/>
                <w:b/>
                <w:bCs/>
                <w:color w:val="auto"/>
                <w:szCs w:val="21"/>
                <w:highlight w:val="none"/>
                <w:lang w:val="zh-CN"/>
              </w:rPr>
              <w:t>0</w:t>
            </w:r>
            <w:r>
              <w:rPr>
                <w:rFonts w:hint="eastAsia" w:ascii="宋体" w:hAnsi="宋体" w:cs="宋体"/>
                <w:color w:val="auto"/>
                <w:szCs w:val="21"/>
                <w:highlight w:val="none"/>
                <w:lang w:val="zh-CN"/>
              </w:rPr>
              <w:t>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lang w:val="zh-CN"/>
              </w:rPr>
            </w:pPr>
          </w:p>
        </w:tc>
        <w:tc>
          <w:tcPr>
            <w:tcW w:w="1080" w:type="dxa"/>
            <w:vMerge w:val="continue"/>
            <w:noWrap w:val="0"/>
            <w:textDirection w:val="tbRlV"/>
            <w:vAlign w:val="center"/>
          </w:tcPr>
          <w:p>
            <w:pPr>
              <w:autoSpaceDE w:val="0"/>
              <w:autoSpaceDN w:val="0"/>
              <w:adjustRightInd w:val="0"/>
              <w:spacing w:line="400" w:lineRule="exact"/>
              <w:ind w:left="113" w:right="113"/>
              <w:jc w:val="center"/>
              <w:rPr>
                <w:color w:val="auto"/>
                <w:kern w:val="0"/>
                <w:szCs w:val="21"/>
                <w:highlight w:val="none"/>
                <w:lang w:val="zh-CN"/>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rPr>
              <w:t>优】</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lang w:val="zh-CN"/>
              </w:rPr>
              <w:t>方案科学合理，</w:t>
            </w:r>
            <w:r>
              <w:rPr>
                <w:rFonts w:hint="eastAsia" w:hAnsi="宋体"/>
                <w:color w:val="auto"/>
                <w:szCs w:val="21"/>
                <w:highlight w:val="none"/>
                <w:lang w:val="zh-CN"/>
              </w:rPr>
              <w:t>满足安全性、经济性、施工工艺</w:t>
            </w:r>
            <w:r>
              <w:rPr>
                <w:rFonts w:hint="eastAsia" w:ascii="Times New Roman" w:hAnsi="宋体" w:eastAsia="宋体" w:cs="Times New Roman"/>
                <w:color w:val="auto"/>
                <w:szCs w:val="21"/>
                <w:highlight w:val="none"/>
                <w:lang w:val="zh-CN"/>
              </w:rPr>
              <w:t>及</w:t>
            </w:r>
            <w:r>
              <w:rPr>
                <w:rFonts w:hint="eastAsia" w:hAnsi="宋体"/>
                <w:color w:val="auto"/>
                <w:szCs w:val="21"/>
                <w:highlight w:val="none"/>
                <w:lang w:val="zh-CN"/>
              </w:rPr>
              <w:t>工期要求</w:t>
            </w:r>
            <w:r>
              <w:rPr>
                <w:rFonts w:hint="eastAsia" w:ascii="Times New Roman" w:hAnsi="宋体" w:eastAsia="宋体" w:cs="Times New Roman"/>
                <w:color w:val="auto"/>
                <w:szCs w:val="21"/>
                <w:highlight w:val="none"/>
                <w:lang w:val="zh-CN"/>
              </w:rPr>
              <w:t>，</w:t>
            </w:r>
            <w:r>
              <w:rPr>
                <w:rFonts w:hint="eastAsia" w:hAnsi="宋体"/>
                <w:color w:val="auto"/>
                <w:szCs w:val="21"/>
                <w:highlight w:val="none"/>
              </w:rPr>
              <w:t>得</w:t>
            </w:r>
            <w:r>
              <w:rPr>
                <w:rFonts w:hint="eastAsia" w:hAnsi="宋体"/>
                <w:color w:val="auto"/>
                <w:szCs w:val="21"/>
                <w:highlight w:val="none"/>
                <w:lang w:val="zh-CN"/>
              </w:rPr>
              <w:t>10分；</w:t>
            </w:r>
          </w:p>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lang w:val="zh-CN"/>
              </w:rPr>
              <w:t>方案</w:t>
            </w:r>
            <w:r>
              <w:rPr>
                <w:rFonts w:hint="eastAsia" w:ascii="Times New Roman" w:hAnsi="宋体" w:cs="Times New Roman"/>
                <w:color w:val="auto"/>
                <w:szCs w:val="21"/>
                <w:highlight w:val="none"/>
                <w:lang w:val="en-US" w:eastAsia="zh-CN"/>
              </w:rPr>
              <w:t>较</w:t>
            </w:r>
            <w:r>
              <w:rPr>
                <w:rFonts w:hint="eastAsia" w:ascii="Times New Roman" w:hAnsi="宋体" w:cs="Times New Roman"/>
                <w:color w:val="auto"/>
                <w:szCs w:val="21"/>
                <w:highlight w:val="none"/>
                <w:lang w:val="zh-CN"/>
              </w:rPr>
              <w:t>科学合理，</w:t>
            </w:r>
            <w:r>
              <w:rPr>
                <w:rFonts w:hint="eastAsia" w:ascii="Times New Roman" w:hAnsi="宋体" w:cs="Times New Roman"/>
                <w:color w:val="auto"/>
                <w:szCs w:val="21"/>
                <w:highlight w:val="none"/>
                <w:lang w:val="en-US" w:eastAsia="zh-CN"/>
              </w:rPr>
              <w:t>较</w:t>
            </w:r>
            <w:r>
              <w:rPr>
                <w:rFonts w:hint="eastAsia" w:hAnsi="宋体"/>
                <w:color w:val="auto"/>
                <w:szCs w:val="21"/>
                <w:highlight w:val="none"/>
                <w:lang w:val="zh-CN"/>
              </w:rPr>
              <w:t>满足安全性、经济性、施工工艺</w:t>
            </w:r>
            <w:r>
              <w:rPr>
                <w:rFonts w:hint="eastAsia" w:ascii="Times New Roman" w:hAnsi="宋体" w:eastAsia="宋体" w:cs="Times New Roman"/>
                <w:color w:val="auto"/>
                <w:szCs w:val="21"/>
                <w:highlight w:val="none"/>
                <w:lang w:val="zh-CN"/>
              </w:rPr>
              <w:t>及</w:t>
            </w:r>
            <w:r>
              <w:rPr>
                <w:rFonts w:hint="eastAsia" w:hAnsi="宋体"/>
                <w:color w:val="auto"/>
                <w:szCs w:val="21"/>
                <w:highlight w:val="none"/>
                <w:lang w:val="zh-CN"/>
              </w:rPr>
              <w:t>工期要求</w:t>
            </w:r>
            <w:r>
              <w:rPr>
                <w:rFonts w:hint="eastAsia" w:ascii="Times New Roman" w:hAnsi="宋体" w:eastAsia="宋体" w:cs="Times New Roman"/>
                <w:color w:val="auto"/>
                <w:szCs w:val="21"/>
                <w:highlight w:val="none"/>
                <w:lang w:val="zh-CN"/>
              </w:rPr>
              <w:t>，</w:t>
            </w:r>
            <w:r>
              <w:rPr>
                <w:rFonts w:hint="eastAsia" w:hAnsi="宋体"/>
                <w:color w:val="auto"/>
                <w:szCs w:val="21"/>
                <w:highlight w:val="none"/>
              </w:rPr>
              <w:t>得8</w:t>
            </w:r>
            <w:r>
              <w:rPr>
                <w:rFonts w:hint="eastAsia" w:hAnsi="宋体"/>
                <w:color w:val="auto"/>
                <w:szCs w:val="21"/>
                <w:highlight w:val="none"/>
                <w:lang w:val="zh-CN"/>
              </w:rPr>
              <w:t>分；</w:t>
            </w:r>
          </w:p>
          <w:p>
            <w:pPr>
              <w:adjustRightInd w:val="0"/>
              <w:rPr>
                <w:rFonts w:hint="eastAsia" w:ascii="Times New Roman" w:hAnsi="宋体" w:cs="Times New Roman"/>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lang w:val="zh-CN"/>
              </w:rPr>
              <w:t>方案合理</w:t>
            </w:r>
            <w:r>
              <w:rPr>
                <w:rFonts w:hint="eastAsia" w:hAnsi="宋体" w:cs="Times New Roman"/>
                <w:color w:val="auto"/>
                <w:szCs w:val="21"/>
                <w:highlight w:val="none"/>
                <w:lang w:val="zh-CN"/>
              </w:rPr>
              <w:t>性一般</w:t>
            </w:r>
            <w:r>
              <w:rPr>
                <w:rFonts w:hint="eastAsia" w:ascii="Times New Roman" w:hAnsi="宋体" w:cs="Times New Roman"/>
                <w:color w:val="auto"/>
                <w:szCs w:val="21"/>
                <w:highlight w:val="none"/>
                <w:lang w:val="zh-CN"/>
              </w:rPr>
              <w:t>，</w:t>
            </w:r>
            <w:r>
              <w:rPr>
                <w:rFonts w:hint="eastAsia" w:ascii="Times New Roman" w:hAnsi="宋体" w:cs="Times New Roman"/>
                <w:color w:val="auto"/>
                <w:szCs w:val="21"/>
                <w:highlight w:val="none"/>
                <w:lang w:val="en-US" w:eastAsia="zh-CN"/>
              </w:rPr>
              <w:t>基本</w:t>
            </w:r>
            <w:r>
              <w:rPr>
                <w:rFonts w:hint="eastAsia" w:hAnsi="宋体"/>
                <w:color w:val="auto"/>
                <w:szCs w:val="21"/>
                <w:highlight w:val="none"/>
                <w:lang w:val="zh-CN"/>
              </w:rPr>
              <w:t>满足安全性、经济性、施工工艺</w:t>
            </w:r>
            <w:r>
              <w:rPr>
                <w:rFonts w:hint="eastAsia" w:ascii="Times New Roman" w:hAnsi="宋体" w:eastAsia="宋体" w:cs="Times New Roman"/>
                <w:color w:val="auto"/>
                <w:szCs w:val="21"/>
                <w:highlight w:val="none"/>
                <w:lang w:val="zh-CN"/>
              </w:rPr>
              <w:t>及</w:t>
            </w:r>
            <w:r>
              <w:rPr>
                <w:rFonts w:hint="eastAsia" w:hAnsi="宋体"/>
                <w:color w:val="auto"/>
                <w:szCs w:val="21"/>
                <w:highlight w:val="none"/>
                <w:lang w:val="zh-CN"/>
              </w:rPr>
              <w:t>工期要求</w:t>
            </w:r>
            <w:r>
              <w:rPr>
                <w:rFonts w:hint="eastAsia" w:ascii="Times New Roman" w:hAnsi="宋体" w:eastAsia="宋体" w:cs="Times New Roman"/>
                <w:color w:val="auto"/>
                <w:szCs w:val="21"/>
                <w:highlight w:val="none"/>
                <w:lang w:val="zh-CN"/>
              </w:rPr>
              <w:t>，</w:t>
            </w:r>
            <w:r>
              <w:rPr>
                <w:rFonts w:hint="eastAsia" w:ascii="Times New Roman" w:hAnsi="宋体" w:cs="Times New Roman"/>
                <w:color w:val="auto"/>
                <w:szCs w:val="21"/>
                <w:highlight w:val="none"/>
                <w:lang w:val="en-US" w:eastAsia="zh-CN"/>
              </w:rPr>
              <w:t>得</w:t>
            </w:r>
            <w:r>
              <w:rPr>
                <w:rFonts w:hint="eastAsia" w:hAnsi="宋体"/>
                <w:color w:val="auto"/>
                <w:szCs w:val="21"/>
                <w:highlight w:val="none"/>
              </w:rPr>
              <w:t>6</w:t>
            </w:r>
            <w:r>
              <w:rPr>
                <w:rFonts w:hint="eastAsia" w:hAnsi="宋体"/>
                <w:color w:val="auto"/>
                <w:szCs w:val="21"/>
                <w:highlight w:val="none"/>
                <w:lang w:val="zh-CN"/>
              </w:rPr>
              <w:t>分；</w:t>
            </w:r>
          </w:p>
          <w:p>
            <w:pPr>
              <w:adjustRightInd w:val="0"/>
              <w:rPr>
                <w:color w:val="auto"/>
                <w:szCs w:val="21"/>
                <w:highlight w:val="none"/>
              </w:rPr>
            </w:pPr>
            <w:r>
              <w:rPr>
                <w:rFonts w:hint="eastAsia" w:ascii="宋体" w:hAnsi="宋体" w:cs="宋体"/>
                <w:color w:val="auto"/>
                <w:szCs w:val="21"/>
                <w:highlight w:val="none"/>
                <w:lang w:val="zh-CN"/>
              </w:rPr>
              <w:t>无此部分内容得</w:t>
            </w:r>
            <w:r>
              <w:rPr>
                <w:rFonts w:hint="eastAsia" w:ascii="宋体" w:hAnsi="宋体" w:cs="宋体"/>
                <w:b/>
                <w:bCs/>
                <w:color w:val="auto"/>
                <w:szCs w:val="21"/>
                <w:highlight w:val="none"/>
                <w:lang w:val="zh-CN"/>
              </w:rPr>
              <w:t>0</w:t>
            </w:r>
            <w:r>
              <w:rPr>
                <w:rFonts w:hint="eastAsia" w:ascii="宋体" w:hAnsi="宋体" w:cs="宋体"/>
                <w:color w:val="auto"/>
                <w:szCs w:val="21"/>
                <w:highlight w:val="none"/>
                <w:lang w:val="zh-CN"/>
              </w:rPr>
              <w:t>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rPr>
            </w:pPr>
          </w:p>
        </w:tc>
        <w:tc>
          <w:tcPr>
            <w:tcW w:w="1080" w:type="dxa"/>
            <w:vMerge w:val="continue"/>
            <w:noWrap w:val="0"/>
            <w:textDirection w:val="tbRlV"/>
            <w:vAlign w:val="center"/>
          </w:tcPr>
          <w:p>
            <w:pPr>
              <w:autoSpaceDE w:val="0"/>
              <w:autoSpaceDN w:val="0"/>
              <w:adjustRightInd w:val="0"/>
              <w:spacing w:line="400" w:lineRule="exact"/>
              <w:ind w:left="113" w:right="113"/>
              <w:jc w:val="center"/>
              <w:rPr>
                <w:color w:val="auto"/>
                <w:szCs w:val="21"/>
                <w:highlight w:val="none"/>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wordWrap w:val="0"/>
              <w:topLinePunct/>
              <w:adjustRightInd w:val="0"/>
              <w:spacing w:line="240" w:lineRule="exact"/>
              <w:rPr>
                <w:rFonts w:hint="default" w:eastAsia="宋体"/>
                <w:color w:val="auto"/>
                <w:szCs w:val="21"/>
                <w:highlight w:val="none"/>
                <w:lang w:val="en-US" w:eastAsia="zh-CN"/>
              </w:rPr>
            </w:pPr>
            <w:r>
              <w:rPr>
                <w:rFonts w:hint="eastAsia" w:hAnsi="宋体"/>
                <w:color w:val="auto"/>
                <w:szCs w:val="21"/>
                <w:highlight w:val="none"/>
                <w:lang w:val="zh-CN"/>
              </w:rPr>
              <w:t>【</w:t>
            </w:r>
            <w:r>
              <w:rPr>
                <w:rFonts w:hint="eastAsia" w:hAnsi="宋体"/>
                <w:color w:val="auto"/>
                <w:szCs w:val="21"/>
                <w:highlight w:val="none"/>
              </w:rPr>
              <w:t>优】</w:t>
            </w:r>
            <w:r>
              <w:rPr>
                <w:rFonts w:hint="eastAsia"/>
                <w:color w:val="auto"/>
                <w:szCs w:val="21"/>
                <w:highlight w:val="none"/>
                <w:lang w:val="en-US" w:eastAsia="zh-CN"/>
              </w:rPr>
              <w:t>采用新技术、新工艺，科学</w:t>
            </w:r>
            <w:r>
              <w:rPr>
                <w:rFonts w:hint="eastAsia"/>
                <w:color w:val="auto"/>
                <w:szCs w:val="21"/>
                <w:highlight w:val="none"/>
                <w:lang w:val="zh-CN"/>
              </w:rPr>
              <w:t>选用</w:t>
            </w:r>
            <w:r>
              <w:rPr>
                <w:rFonts w:hint="eastAsia"/>
                <w:color w:val="auto"/>
                <w:szCs w:val="21"/>
                <w:highlight w:val="none"/>
                <w:lang w:val="en-US" w:eastAsia="zh-CN"/>
              </w:rPr>
              <w:t>工程</w:t>
            </w:r>
            <w:r>
              <w:rPr>
                <w:rFonts w:hint="eastAsia"/>
                <w:color w:val="auto"/>
                <w:szCs w:val="21"/>
                <w:highlight w:val="none"/>
                <w:lang w:val="zh-CN"/>
              </w:rPr>
              <w:t>材料，</w:t>
            </w:r>
            <w:r>
              <w:rPr>
                <w:rFonts w:hint="eastAsia"/>
                <w:color w:val="auto"/>
                <w:szCs w:val="21"/>
                <w:highlight w:val="none"/>
                <w:lang w:val="en-US" w:eastAsia="zh-CN"/>
              </w:rPr>
              <w:t>有效提升桥梁抗倾覆能力和结构安全性，</w:t>
            </w:r>
            <w:r>
              <w:rPr>
                <w:rFonts w:hint="eastAsia" w:hAnsi="宋体"/>
                <w:color w:val="auto"/>
                <w:szCs w:val="21"/>
                <w:highlight w:val="none"/>
              </w:rPr>
              <w:t>得</w:t>
            </w:r>
            <w:r>
              <w:rPr>
                <w:rFonts w:hint="eastAsia" w:hAnsi="宋体"/>
                <w:color w:val="auto"/>
                <w:szCs w:val="21"/>
                <w:highlight w:val="none"/>
                <w:lang w:val="zh-CN"/>
              </w:rPr>
              <w:t>10分；</w:t>
            </w:r>
          </w:p>
          <w:p>
            <w:pPr>
              <w:wordWrap w:val="0"/>
              <w:topLinePunct/>
              <w:adjustRightInd w:val="0"/>
              <w:spacing w:line="240" w:lineRule="exact"/>
              <w:rPr>
                <w:rFonts w:hint="default" w:eastAsia="宋体"/>
                <w:color w:val="auto"/>
                <w:szCs w:val="21"/>
                <w:highlight w:val="none"/>
                <w:lang w:val="en-US" w:eastAsia="zh-CN"/>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rFonts w:hint="eastAsia"/>
                <w:color w:val="auto"/>
                <w:szCs w:val="21"/>
                <w:highlight w:val="none"/>
                <w:lang w:val="en-US" w:eastAsia="zh-CN"/>
              </w:rPr>
              <w:t>采用新技术、新工艺，较科学</w:t>
            </w:r>
            <w:r>
              <w:rPr>
                <w:rFonts w:hint="eastAsia"/>
                <w:color w:val="auto"/>
                <w:szCs w:val="21"/>
                <w:highlight w:val="none"/>
                <w:lang w:val="zh-CN"/>
              </w:rPr>
              <w:t>选用</w:t>
            </w:r>
            <w:r>
              <w:rPr>
                <w:rFonts w:hint="eastAsia"/>
                <w:color w:val="auto"/>
                <w:szCs w:val="21"/>
                <w:highlight w:val="none"/>
                <w:lang w:val="en-US" w:eastAsia="zh-CN"/>
              </w:rPr>
              <w:t>工程</w:t>
            </w:r>
            <w:r>
              <w:rPr>
                <w:rFonts w:hint="eastAsia"/>
                <w:color w:val="auto"/>
                <w:szCs w:val="21"/>
                <w:highlight w:val="none"/>
                <w:lang w:val="zh-CN"/>
              </w:rPr>
              <w:t>材料，</w:t>
            </w:r>
            <w:r>
              <w:rPr>
                <w:rFonts w:hint="eastAsia"/>
                <w:color w:val="auto"/>
                <w:szCs w:val="21"/>
                <w:highlight w:val="none"/>
                <w:lang w:val="en-US" w:eastAsia="zh-CN"/>
              </w:rPr>
              <w:t>较有效提升桥梁抗倾覆能力和结构安全性，</w:t>
            </w:r>
            <w:r>
              <w:rPr>
                <w:rFonts w:hint="eastAsia" w:hAnsi="宋体"/>
                <w:color w:val="auto"/>
                <w:szCs w:val="21"/>
                <w:highlight w:val="none"/>
              </w:rPr>
              <w:t>得8</w:t>
            </w:r>
            <w:r>
              <w:rPr>
                <w:rFonts w:hint="eastAsia" w:hAnsi="宋体"/>
                <w:color w:val="auto"/>
                <w:szCs w:val="21"/>
                <w:highlight w:val="none"/>
                <w:lang w:val="zh-CN"/>
              </w:rPr>
              <w:t>分；</w:t>
            </w:r>
          </w:p>
          <w:p>
            <w:pPr>
              <w:wordWrap w:val="0"/>
              <w:topLinePunct/>
              <w:adjustRightInd w:val="0"/>
              <w:spacing w:line="240" w:lineRule="exact"/>
              <w:rPr>
                <w:rFonts w:hint="default" w:eastAsia="宋体"/>
                <w:color w:val="auto"/>
                <w:szCs w:val="21"/>
                <w:highlight w:val="none"/>
                <w:lang w:val="en-US" w:eastAsia="zh-CN"/>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rFonts w:hint="eastAsia"/>
                <w:color w:val="auto"/>
                <w:szCs w:val="21"/>
                <w:highlight w:val="none"/>
                <w:lang w:val="en-US" w:eastAsia="zh-CN"/>
              </w:rPr>
              <w:t>采用新技术、新工艺，</w:t>
            </w:r>
            <w:r>
              <w:rPr>
                <w:rFonts w:hint="eastAsia"/>
                <w:color w:val="auto"/>
                <w:szCs w:val="21"/>
                <w:highlight w:val="none"/>
                <w:lang w:val="zh-CN"/>
              </w:rPr>
              <w:t>基本合理选用</w:t>
            </w:r>
            <w:r>
              <w:rPr>
                <w:rFonts w:hint="eastAsia"/>
                <w:color w:val="auto"/>
                <w:szCs w:val="21"/>
                <w:highlight w:val="none"/>
                <w:lang w:val="en-US" w:eastAsia="zh-CN"/>
              </w:rPr>
              <w:t>工程</w:t>
            </w:r>
            <w:r>
              <w:rPr>
                <w:rFonts w:hint="eastAsia"/>
                <w:color w:val="auto"/>
                <w:szCs w:val="21"/>
                <w:highlight w:val="none"/>
                <w:lang w:val="zh-CN"/>
              </w:rPr>
              <w:t>材料，</w:t>
            </w:r>
            <w:r>
              <w:rPr>
                <w:rFonts w:hint="eastAsia"/>
                <w:color w:val="auto"/>
                <w:szCs w:val="21"/>
                <w:highlight w:val="none"/>
                <w:lang w:val="en-US" w:eastAsia="zh-CN"/>
              </w:rPr>
              <w:t>基本满足桥梁抗倾覆能力和结构安全性，</w:t>
            </w:r>
            <w:r>
              <w:rPr>
                <w:rFonts w:hint="eastAsia" w:ascii="Times New Roman" w:hAnsi="宋体" w:cs="Times New Roman"/>
                <w:color w:val="auto"/>
                <w:szCs w:val="21"/>
                <w:highlight w:val="none"/>
                <w:lang w:val="en-US" w:eastAsia="zh-CN"/>
              </w:rPr>
              <w:t>得</w:t>
            </w:r>
            <w:r>
              <w:rPr>
                <w:rFonts w:hint="eastAsia" w:hAnsi="宋体"/>
                <w:color w:val="auto"/>
                <w:szCs w:val="21"/>
                <w:highlight w:val="none"/>
              </w:rPr>
              <w:t>6</w:t>
            </w:r>
            <w:r>
              <w:rPr>
                <w:rFonts w:hint="eastAsia" w:hAnsi="宋体"/>
                <w:color w:val="auto"/>
                <w:szCs w:val="21"/>
                <w:highlight w:val="none"/>
                <w:lang w:val="zh-CN"/>
              </w:rPr>
              <w:t>分；</w:t>
            </w:r>
          </w:p>
          <w:p>
            <w:pPr>
              <w:autoSpaceDE w:val="0"/>
              <w:autoSpaceDN w:val="0"/>
              <w:adjustRightInd w:val="0"/>
              <w:spacing w:line="240" w:lineRule="exact"/>
              <w:rPr>
                <w:color w:val="auto"/>
                <w:szCs w:val="21"/>
                <w:highlight w:val="none"/>
              </w:rPr>
            </w:pPr>
            <w:r>
              <w:rPr>
                <w:rFonts w:hint="eastAsia" w:ascii="Times New Roman" w:hAnsi="宋体" w:eastAsia="宋体" w:cs="Times New Roman"/>
                <w:color w:val="auto"/>
                <w:szCs w:val="21"/>
                <w:highlight w:val="none"/>
                <w:lang w:val="zh-CN"/>
              </w:rPr>
              <w:t>无此部分内容得0分。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rPr>
            </w:pPr>
          </w:p>
        </w:tc>
        <w:tc>
          <w:tcPr>
            <w:tcW w:w="1080" w:type="dxa"/>
            <w:vMerge w:val="continue"/>
            <w:noWrap w:val="0"/>
            <w:vAlign w:val="center"/>
          </w:tcPr>
          <w:p>
            <w:pPr>
              <w:autoSpaceDE w:val="0"/>
              <w:autoSpaceDN w:val="0"/>
              <w:adjustRightInd w:val="0"/>
              <w:spacing w:line="400" w:lineRule="exact"/>
              <w:jc w:val="center"/>
              <w:rPr>
                <w:color w:val="auto"/>
                <w:szCs w:val="21"/>
                <w:highlight w:val="none"/>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wordWrap w:val="0"/>
              <w:topLinePunct/>
              <w:autoSpaceDE/>
              <w:autoSpaceDN/>
              <w:adjustRightInd w:val="0"/>
              <w:spacing w:line="240" w:lineRule="auto"/>
              <w:rPr>
                <w:rFonts w:hint="eastAsia"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rPr>
              <w:t>【</w:t>
            </w:r>
            <w:r>
              <w:rPr>
                <w:rFonts w:hint="eastAsia" w:ascii="Times New Roman" w:hAnsi="Times New Roman" w:eastAsia="宋体" w:cs="Times New Roman"/>
                <w:color w:val="auto"/>
                <w:szCs w:val="21"/>
                <w:highlight w:val="none"/>
              </w:rPr>
              <w:t>优】</w:t>
            </w:r>
            <w:r>
              <w:rPr>
                <w:rFonts w:hint="eastAsia" w:ascii="Times New Roman" w:hAnsi="Times New Roman" w:eastAsia="宋体" w:cs="Times New Roman"/>
                <w:color w:val="auto"/>
                <w:szCs w:val="21"/>
                <w:highlight w:val="none"/>
                <w:lang w:val="en-US"/>
              </w:rPr>
              <w:t>本项目建设工作的重点、难点分析透彻，解决方法、措施充分合理</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rPr>
              <w:t>得</w:t>
            </w:r>
            <w:r>
              <w:rPr>
                <w:rFonts w:hint="eastAsia" w:ascii="Times New Roman" w:hAnsi="Times New Roman" w:eastAsia="宋体" w:cs="Times New Roman"/>
                <w:color w:val="auto"/>
                <w:szCs w:val="21"/>
                <w:highlight w:val="none"/>
                <w:lang w:val="en-US"/>
              </w:rPr>
              <w:t>10分；</w:t>
            </w:r>
          </w:p>
          <w:p>
            <w:pPr>
              <w:wordWrap w:val="0"/>
              <w:topLinePunct/>
              <w:autoSpaceDE/>
              <w:autoSpaceDN/>
              <w:adjustRightInd w:val="0"/>
              <w:spacing w:line="240" w:lineRule="auto"/>
              <w:rPr>
                <w:rFonts w:hint="eastAsia"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rPr>
              <w:t>【</w:t>
            </w:r>
            <w:r>
              <w:rPr>
                <w:rFonts w:hint="eastAsia" w:ascii="Times New Roman" w:hAnsi="Times New Roman" w:eastAsia="宋体" w:cs="Times New Roman"/>
                <w:color w:val="auto"/>
                <w:szCs w:val="21"/>
                <w:highlight w:val="none"/>
                <w:lang w:val="en-US" w:eastAsia="zh-CN"/>
              </w:rPr>
              <w:t>良</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rPr>
              <w:t>本项目建设工作的重点、难点分析</w:t>
            </w:r>
            <w:r>
              <w:rPr>
                <w:rFonts w:hint="eastAsia" w:ascii="Times New Roman" w:hAnsi="Times New Roman" w:eastAsia="宋体" w:cs="Times New Roman"/>
                <w:color w:val="auto"/>
                <w:szCs w:val="21"/>
                <w:highlight w:val="none"/>
                <w:lang w:val="en-US" w:eastAsia="zh-CN"/>
              </w:rPr>
              <w:t>较</w:t>
            </w:r>
            <w:r>
              <w:rPr>
                <w:rFonts w:hint="eastAsia" w:ascii="Times New Roman" w:hAnsi="Times New Roman" w:eastAsia="宋体" w:cs="Times New Roman"/>
                <w:color w:val="auto"/>
                <w:szCs w:val="21"/>
                <w:highlight w:val="none"/>
                <w:lang w:val="en-US"/>
              </w:rPr>
              <w:t>透彻，解决方法、措施</w:t>
            </w:r>
            <w:r>
              <w:rPr>
                <w:rFonts w:hint="eastAsia" w:ascii="Times New Roman" w:hAnsi="Times New Roman" w:eastAsia="宋体" w:cs="Times New Roman"/>
                <w:color w:val="auto"/>
                <w:szCs w:val="21"/>
                <w:highlight w:val="none"/>
                <w:lang w:val="en-US" w:eastAsia="zh-CN"/>
              </w:rPr>
              <w:t>较</w:t>
            </w:r>
            <w:r>
              <w:rPr>
                <w:rFonts w:hint="eastAsia" w:ascii="Times New Roman" w:hAnsi="Times New Roman" w:eastAsia="宋体" w:cs="Times New Roman"/>
                <w:color w:val="auto"/>
                <w:szCs w:val="21"/>
                <w:highlight w:val="none"/>
                <w:lang w:val="en-US"/>
              </w:rPr>
              <w:t>合理</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rPr>
              <w:t>得8</w:t>
            </w:r>
            <w:r>
              <w:rPr>
                <w:rFonts w:hint="eastAsia" w:ascii="Times New Roman" w:hAnsi="Times New Roman" w:eastAsia="宋体" w:cs="Times New Roman"/>
                <w:color w:val="auto"/>
                <w:szCs w:val="21"/>
                <w:highlight w:val="none"/>
                <w:lang w:val="en-US"/>
              </w:rPr>
              <w:t xml:space="preserve">分； </w:t>
            </w:r>
          </w:p>
          <w:p>
            <w:pPr>
              <w:wordWrap w:val="0"/>
              <w:topLinePunct/>
              <w:autoSpaceDE/>
              <w:autoSpaceDN/>
              <w:adjustRightInd w:val="0"/>
              <w:spacing w:line="240" w:lineRule="auto"/>
              <w:rPr>
                <w:rFonts w:hint="eastAsia"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rPr>
              <w:t>【</w:t>
            </w:r>
            <w:r>
              <w:rPr>
                <w:rFonts w:hint="eastAsia" w:ascii="Times New Roman" w:hAnsi="Times New Roman" w:eastAsia="宋体" w:cs="Times New Roman"/>
                <w:color w:val="auto"/>
                <w:szCs w:val="21"/>
                <w:highlight w:val="none"/>
                <w:lang w:val="en-US" w:eastAsia="zh-CN"/>
              </w:rPr>
              <w:t>一般</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rPr>
              <w:t>本项目建设工作的重点、难点分析</w:t>
            </w:r>
            <w:r>
              <w:rPr>
                <w:rFonts w:hint="eastAsia" w:ascii="Times New Roman" w:hAnsi="Times New Roman" w:eastAsia="宋体" w:cs="Times New Roman"/>
                <w:color w:val="auto"/>
                <w:szCs w:val="21"/>
                <w:highlight w:val="none"/>
                <w:lang w:val="en-US" w:eastAsia="zh-CN"/>
              </w:rPr>
              <w:t>基本合理</w:t>
            </w:r>
            <w:r>
              <w:rPr>
                <w:rFonts w:hint="eastAsia" w:ascii="Times New Roman" w:hAnsi="Times New Roman" w:eastAsia="宋体" w:cs="Times New Roman"/>
                <w:color w:val="auto"/>
                <w:szCs w:val="21"/>
                <w:highlight w:val="none"/>
                <w:lang w:val="en-US"/>
              </w:rPr>
              <w:t>，解决方法、措施</w:t>
            </w:r>
            <w:r>
              <w:rPr>
                <w:rFonts w:hint="eastAsia"/>
                <w:color w:val="auto"/>
                <w:szCs w:val="21"/>
                <w:highlight w:val="none"/>
                <w:lang w:val="zh-CN"/>
              </w:rPr>
              <w:t>合理性一般</w:t>
            </w:r>
            <w:r>
              <w:rPr>
                <w:rFonts w:hint="eastAsia" w:ascii="Times New Roman" w:hAnsi="Times New Roman" w:eastAsia="宋体" w:cs="Times New Roman"/>
                <w:color w:val="auto"/>
                <w:szCs w:val="21"/>
                <w:highlight w:val="none"/>
                <w:lang w:val="en-US" w:eastAsia="zh-CN"/>
              </w:rPr>
              <w:t>，得</w:t>
            </w:r>
            <w:r>
              <w:rPr>
                <w:rFonts w:hint="eastAsia"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lang w:val="en-US"/>
              </w:rPr>
              <w:t xml:space="preserve">分；  </w:t>
            </w:r>
          </w:p>
          <w:p>
            <w:pPr>
              <w:wordWrap w:val="0"/>
              <w:topLinePunct/>
              <w:autoSpaceDE/>
              <w:autoSpaceDN/>
              <w:adjustRightInd w:val="0"/>
              <w:spacing w:line="24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rPr>
              <w:t>无此部分内容得0分。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rPr>
            </w:pPr>
          </w:p>
        </w:tc>
        <w:tc>
          <w:tcPr>
            <w:tcW w:w="1080" w:type="dxa"/>
            <w:vMerge w:val="continue"/>
            <w:noWrap w:val="0"/>
            <w:vAlign w:val="center"/>
          </w:tcPr>
          <w:p>
            <w:pPr>
              <w:autoSpaceDE w:val="0"/>
              <w:autoSpaceDN w:val="0"/>
              <w:adjustRightInd w:val="0"/>
              <w:spacing w:line="400" w:lineRule="exact"/>
              <w:jc w:val="center"/>
              <w:rPr>
                <w:color w:val="auto"/>
                <w:szCs w:val="21"/>
                <w:highlight w:val="none"/>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wordWrap w:val="0"/>
              <w:topLinePunct/>
              <w:autoSpaceDE/>
              <w:autoSpaceDN/>
              <w:adjustRightInd w:val="0"/>
              <w:spacing w:line="240" w:lineRule="auto"/>
              <w:rPr>
                <w:rFonts w:hint="eastAsia"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rPr>
              <w:t>【</w:t>
            </w:r>
            <w:r>
              <w:rPr>
                <w:rFonts w:hint="eastAsia" w:ascii="Times New Roman" w:hAnsi="Times New Roman" w:eastAsia="宋体" w:cs="Times New Roman"/>
                <w:color w:val="auto"/>
                <w:szCs w:val="21"/>
                <w:highlight w:val="none"/>
              </w:rPr>
              <w:t>优】</w:t>
            </w:r>
            <w:r>
              <w:rPr>
                <w:rFonts w:hint="eastAsia" w:ascii="Times New Roman" w:hAnsi="Times New Roman" w:eastAsia="宋体" w:cs="Times New Roman"/>
                <w:color w:val="auto"/>
                <w:szCs w:val="21"/>
                <w:highlight w:val="none"/>
                <w:lang w:val="en-US"/>
              </w:rPr>
              <w:t>结合道路桥梁实际情况，方案充分考虑交通组织、施工交通疏解、地下管线等设计条件，切合实际、合理可行</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rPr>
              <w:t>得</w:t>
            </w:r>
            <w:r>
              <w:rPr>
                <w:rFonts w:hint="eastAsia" w:ascii="Times New Roman" w:hAnsi="Times New Roman" w:eastAsia="宋体" w:cs="Times New Roman"/>
                <w:color w:val="auto"/>
                <w:szCs w:val="21"/>
                <w:highlight w:val="none"/>
                <w:lang w:val="en-US"/>
              </w:rPr>
              <w:t xml:space="preserve">10分； </w:t>
            </w:r>
          </w:p>
          <w:p>
            <w:pPr>
              <w:wordWrap w:val="0"/>
              <w:topLinePunct/>
              <w:autoSpaceDE/>
              <w:autoSpaceDN/>
              <w:adjustRightInd w:val="0"/>
              <w:spacing w:line="240" w:lineRule="auto"/>
              <w:rPr>
                <w:rFonts w:hint="eastAsia"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rPr>
              <w:t>【</w:t>
            </w:r>
            <w:r>
              <w:rPr>
                <w:rFonts w:hint="eastAsia" w:ascii="Times New Roman" w:hAnsi="Times New Roman" w:eastAsia="宋体" w:cs="Times New Roman"/>
                <w:color w:val="auto"/>
                <w:szCs w:val="21"/>
                <w:highlight w:val="none"/>
                <w:lang w:val="en-US" w:eastAsia="zh-CN"/>
              </w:rPr>
              <w:t>良</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rPr>
              <w:t>结合道路桥梁实际情况，方案</w:t>
            </w:r>
            <w:r>
              <w:rPr>
                <w:rFonts w:hint="eastAsia" w:cs="Times New Roman"/>
                <w:color w:val="auto"/>
                <w:szCs w:val="21"/>
                <w:highlight w:val="none"/>
                <w:lang w:val="en-US" w:eastAsia="zh-CN"/>
              </w:rPr>
              <w:t>较好</w:t>
            </w:r>
            <w:r>
              <w:rPr>
                <w:rFonts w:hint="eastAsia" w:ascii="Times New Roman" w:hAnsi="Times New Roman" w:eastAsia="宋体" w:cs="Times New Roman"/>
                <w:color w:val="auto"/>
                <w:szCs w:val="21"/>
                <w:highlight w:val="none"/>
                <w:lang w:val="en-US"/>
              </w:rPr>
              <w:t>考虑交通组织、施工交通疏解、地下管线等设计条件，</w:t>
            </w:r>
            <w:r>
              <w:rPr>
                <w:rFonts w:hint="eastAsia" w:ascii="Times New Roman" w:hAnsi="Times New Roman" w:eastAsia="宋体" w:cs="Times New Roman"/>
                <w:color w:val="auto"/>
                <w:szCs w:val="21"/>
                <w:highlight w:val="none"/>
                <w:lang w:val="en-US" w:eastAsia="zh-CN"/>
              </w:rPr>
              <w:t>较</w:t>
            </w:r>
            <w:r>
              <w:rPr>
                <w:rFonts w:hint="eastAsia" w:ascii="Times New Roman" w:hAnsi="Times New Roman" w:eastAsia="宋体" w:cs="Times New Roman"/>
                <w:color w:val="auto"/>
                <w:szCs w:val="21"/>
                <w:highlight w:val="none"/>
                <w:lang w:val="en-US"/>
              </w:rPr>
              <w:t>切合实际、</w:t>
            </w:r>
            <w:r>
              <w:rPr>
                <w:rFonts w:hint="eastAsia" w:ascii="Times New Roman" w:hAnsi="Times New Roman" w:eastAsia="宋体" w:cs="Times New Roman"/>
                <w:color w:val="auto"/>
                <w:szCs w:val="21"/>
                <w:highlight w:val="none"/>
                <w:lang w:val="en-US" w:eastAsia="zh-CN"/>
              </w:rPr>
              <w:t>较</w:t>
            </w:r>
            <w:r>
              <w:rPr>
                <w:rFonts w:hint="eastAsia" w:ascii="Times New Roman" w:hAnsi="Times New Roman" w:eastAsia="宋体" w:cs="Times New Roman"/>
                <w:color w:val="auto"/>
                <w:szCs w:val="21"/>
                <w:highlight w:val="none"/>
                <w:lang w:val="en-US"/>
              </w:rPr>
              <w:t>合理可行</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rPr>
              <w:t>得8</w:t>
            </w:r>
            <w:r>
              <w:rPr>
                <w:rFonts w:hint="eastAsia" w:ascii="Times New Roman" w:hAnsi="Times New Roman" w:eastAsia="宋体" w:cs="Times New Roman"/>
                <w:color w:val="auto"/>
                <w:szCs w:val="21"/>
                <w:highlight w:val="none"/>
                <w:lang w:val="en-US"/>
              </w:rPr>
              <w:t xml:space="preserve">分； </w:t>
            </w:r>
          </w:p>
          <w:p>
            <w:pPr>
              <w:wordWrap w:val="0"/>
              <w:topLinePunct/>
              <w:autoSpaceDE/>
              <w:autoSpaceDN/>
              <w:adjustRightInd w:val="0"/>
              <w:spacing w:line="240" w:lineRule="auto"/>
              <w:rPr>
                <w:rFonts w:hint="eastAsia"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rPr>
              <w:t>【</w:t>
            </w:r>
            <w:r>
              <w:rPr>
                <w:rFonts w:hint="eastAsia" w:ascii="Times New Roman" w:hAnsi="Times New Roman" w:eastAsia="宋体" w:cs="Times New Roman"/>
                <w:color w:val="auto"/>
                <w:szCs w:val="21"/>
                <w:highlight w:val="none"/>
                <w:lang w:val="en-US" w:eastAsia="zh-CN"/>
              </w:rPr>
              <w:t>一般</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rPr>
              <w:t>结合道路桥梁实际情况，方案</w:t>
            </w:r>
            <w:r>
              <w:rPr>
                <w:rFonts w:hint="eastAsia" w:ascii="Times New Roman" w:hAnsi="Times New Roman" w:eastAsia="宋体" w:cs="Times New Roman"/>
                <w:color w:val="auto"/>
                <w:szCs w:val="21"/>
                <w:highlight w:val="none"/>
                <w:lang w:val="en-US" w:eastAsia="zh-CN"/>
              </w:rPr>
              <w:t>基本</w:t>
            </w:r>
            <w:r>
              <w:rPr>
                <w:rFonts w:hint="eastAsia" w:ascii="Times New Roman" w:hAnsi="Times New Roman" w:eastAsia="宋体" w:cs="Times New Roman"/>
                <w:color w:val="auto"/>
                <w:szCs w:val="21"/>
                <w:highlight w:val="none"/>
                <w:lang w:val="en-US"/>
              </w:rPr>
              <w:t>考虑交通组织、施工交通疏解、地下管线等设计条件，</w:t>
            </w:r>
            <w:r>
              <w:rPr>
                <w:rFonts w:hint="eastAsia" w:ascii="Times New Roman" w:hAnsi="Times New Roman" w:eastAsia="宋体" w:cs="Times New Roman"/>
                <w:color w:val="auto"/>
                <w:szCs w:val="21"/>
                <w:highlight w:val="none"/>
                <w:lang w:val="en-US" w:eastAsia="zh-CN"/>
              </w:rPr>
              <w:t>基本</w:t>
            </w:r>
            <w:r>
              <w:rPr>
                <w:rFonts w:hint="eastAsia" w:ascii="Times New Roman" w:hAnsi="Times New Roman" w:eastAsia="宋体" w:cs="Times New Roman"/>
                <w:color w:val="auto"/>
                <w:szCs w:val="21"/>
                <w:highlight w:val="none"/>
                <w:lang w:val="en-US"/>
              </w:rPr>
              <w:t>合理</w:t>
            </w:r>
            <w:r>
              <w:rPr>
                <w:rFonts w:hint="eastAsia" w:ascii="Times New Roman" w:hAnsi="Times New Roman" w:eastAsia="宋体" w:cs="Times New Roman"/>
                <w:color w:val="auto"/>
                <w:szCs w:val="21"/>
                <w:highlight w:val="none"/>
                <w:lang w:val="en-US" w:eastAsia="zh-CN"/>
              </w:rPr>
              <w:t>，得</w:t>
            </w:r>
            <w:r>
              <w:rPr>
                <w:rFonts w:hint="eastAsia"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lang w:val="en-US"/>
              </w:rPr>
              <w:t>分；</w:t>
            </w:r>
          </w:p>
          <w:p>
            <w:pPr>
              <w:wordWrap w:val="0"/>
              <w:topLinePunct/>
              <w:autoSpaceDE/>
              <w:autoSpaceDN/>
              <w:adjustRightInd w:val="0"/>
              <w:spacing w:line="24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rPr>
              <w:t>无此部分内容得0分。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rPr>
            </w:pPr>
          </w:p>
        </w:tc>
        <w:tc>
          <w:tcPr>
            <w:tcW w:w="1080" w:type="dxa"/>
            <w:vMerge w:val="continue"/>
            <w:noWrap w:val="0"/>
            <w:vAlign w:val="center"/>
          </w:tcPr>
          <w:p>
            <w:pPr>
              <w:autoSpaceDE w:val="0"/>
              <w:autoSpaceDN w:val="0"/>
              <w:adjustRightInd w:val="0"/>
              <w:spacing w:line="400" w:lineRule="exact"/>
              <w:jc w:val="center"/>
              <w:rPr>
                <w:color w:val="auto"/>
                <w:szCs w:val="21"/>
                <w:highlight w:val="none"/>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autoSpaceDE w:val="0"/>
              <w:autoSpaceDN w:val="0"/>
              <w:adjustRightInd w:val="0"/>
              <w:spacing w:line="240" w:lineRule="auto"/>
              <w:rPr>
                <w:color w:val="auto"/>
                <w:highlight w:val="none"/>
              </w:rPr>
            </w:pPr>
            <w:r>
              <w:rPr>
                <w:rFonts w:hint="eastAsia" w:hAnsi="宋体"/>
                <w:color w:val="auto"/>
                <w:szCs w:val="21"/>
                <w:highlight w:val="none"/>
                <w:lang w:val="zh-CN"/>
              </w:rPr>
              <w:t>【</w:t>
            </w:r>
            <w:r>
              <w:rPr>
                <w:rFonts w:hint="eastAsia" w:hAnsi="宋体"/>
                <w:color w:val="auto"/>
                <w:szCs w:val="21"/>
                <w:highlight w:val="none"/>
              </w:rPr>
              <w:t>优】</w:t>
            </w:r>
            <w:r>
              <w:rPr>
                <w:color w:val="auto"/>
                <w:highlight w:val="none"/>
              </w:rPr>
              <w:t>勘察方案</w:t>
            </w:r>
            <w:r>
              <w:rPr>
                <w:rFonts w:hint="eastAsia"/>
                <w:color w:val="auto"/>
                <w:highlight w:val="none"/>
              </w:rPr>
              <w:t>合理</w:t>
            </w:r>
            <w:r>
              <w:rPr>
                <w:color w:val="auto"/>
                <w:highlight w:val="none"/>
              </w:rPr>
              <w:t>可行，</w:t>
            </w:r>
            <w:r>
              <w:rPr>
                <w:rFonts w:hint="eastAsia"/>
                <w:color w:val="auto"/>
                <w:highlight w:val="none"/>
                <w:lang w:val="en-US" w:eastAsia="zh-CN"/>
              </w:rPr>
              <w:t>对</w:t>
            </w:r>
            <w:r>
              <w:rPr>
                <w:color w:val="auto"/>
                <w:highlight w:val="none"/>
              </w:rPr>
              <w:t>勘察</w:t>
            </w:r>
            <w:r>
              <w:rPr>
                <w:rFonts w:hint="eastAsia"/>
                <w:color w:val="auto"/>
                <w:highlight w:val="none"/>
                <w:lang w:val="en-US" w:eastAsia="zh-CN"/>
              </w:rPr>
              <w:t>工作</w:t>
            </w:r>
            <w:r>
              <w:rPr>
                <w:color w:val="auto"/>
                <w:highlight w:val="none"/>
              </w:rPr>
              <w:t>的</w:t>
            </w:r>
            <w:r>
              <w:rPr>
                <w:rFonts w:hint="eastAsia"/>
                <w:color w:val="auto"/>
                <w:highlight w:val="none"/>
              </w:rPr>
              <w:t>重点、</w:t>
            </w:r>
            <w:r>
              <w:rPr>
                <w:color w:val="auto"/>
                <w:highlight w:val="none"/>
              </w:rPr>
              <w:t>难点理解准确，</w:t>
            </w:r>
            <w:r>
              <w:rPr>
                <w:rFonts w:hint="eastAsia"/>
                <w:color w:val="auto"/>
                <w:highlight w:val="none"/>
              </w:rPr>
              <w:t>建议</w:t>
            </w:r>
            <w:r>
              <w:rPr>
                <w:rFonts w:hint="eastAsia"/>
                <w:color w:val="auto"/>
                <w:highlight w:val="none"/>
                <w:lang w:val="en-US" w:eastAsia="zh-CN"/>
              </w:rPr>
              <w:t>科学合理</w:t>
            </w:r>
            <w:r>
              <w:rPr>
                <w:color w:val="auto"/>
                <w:highlight w:val="none"/>
              </w:rPr>
              <w:t>；勘察工作流程规范，工期进度计划</w:t>
            </w:r>
            <w:r>
              <w:rPr>
                <w:rFonts w:hint="eastAsia"/>
                <w:color w:val="auto"/>
                <w:highlight w:val="none"/>
                <w:lang w:val="en-US" w:eastAsia="zh-CN"/>
              </w:rPr>
              <w:t>满足要求</w:t>
            </w:r>
            <w:r>
              <w:rPr>
                <w:rFonts w:hint="eastAsia"/>
                <w:color w:val="auto"/>
                <w:highlight w:val="none"/>
                <w:lang w:eastAsia="zh-CN"/>
              </w:rPr>
              <w:t>，</w:t>
            </w:r>
            <w:r>
              <w:rPr>
                <w:rFonts w:hint="eastAsia" w:hAnsi="宋体"/>
                <w:color w:val="auto"/>
                <w:szCs w:val="21"/>
                <w:highlight w:val="none"/>
              </w:rPr>
              <w:t>得</w:t>
            </w:r>
            <w:r>
              <w:rPr>
                <w:rFonts w:hint="eastAsia" w:hAnsi="宋体"/>
                <w:color w:val="auto"/>
                <w:szCs w:val="21"/>
                <w:highlight w:val="none"/>
                <w:lang w:val="zh-CN"/>
              </w:rPr>
              <w:t xml:space="preserve">10分； </w:t>
            </w:r>
          </w:p>
          <w:p>
            <w:pPr>
              <w:autoSpaceDE w:val="0"/>
              <w:autoSpaceDN w:val="0"/>
              <w:adjustRightInd w:val="0"/>
              <w:spacing w:line="240" w:lineRule="auto"/>
              <w:rPr>
                <w:color w:val="auto"/>
                <w:highlight w:val="none"/>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color w:val="auto"/>
                <w:highlight w:val="none"/>
              </w:rPr>
              <w:t>勘察方案</w:t>
            </w:r>
            <w:r>
              <w:rPr>
                <w:rFonts w:hint="eastAsia"/>
                <w:color w:val="auto"/>
                <w:highlight w:val="none"/>
                <w:lang w:val="en-US" w:eastAsia="zh-CN"/>
              </w:rPr>
              <w:t>较</w:t>
            </w:r>
            <w:r>
              <w:rPr>
                <w:rFonts w:hint="eastAsia"/>
                <w:color w:val="auto"/>
                <w:highlight w:val="none"/>
              </w:rPr>
              <w:t>合理</w:t>
            </w:r>
            <w:r>
              <w:rPr>
                <w:color w:val="auto"/>
                <w:highlight w:val="none"/>
              </w:rPr>
              <w:t>可行，</w:t>
            </w:r>
            <w:r>
              <w:rPr>
                <w:rFonts w:hint="eastAsia"/>
                <w:color w:val="auto"/>
                <w:highlight w:val="none"/>
                <w:lang w:val="en-US" w:eastAsia="zh-CN"/>
              </w:rPr>
              <w:t>对</w:t>
            </w:r>
            <w:r>
              <w:rPr>
                <w:color w:val="auto"/>
                <w:highlight w:val="none"/>
              </w:rPr>
              <w:t>勘察</w:t>
            </w:r>
            <w:r>
              <w:rPr>
                <w:rFonts w:hint="eastAsia"/>
                <w:color w:val="auto"/>
                <w:highlight w:val="none"/>
                <w:lang w:val="en-US" w:eastAsia="zh-CN"/>
              </w:rPr>
              <w:t>工作</w:t>
            </w:r>
            <w:r>
              <w:rPr>
                <w:color w:val="auto"/>
                <w:highlight w:val="none"/>
              </w:rPr>
              <w:t>的</w:t>
            </w:r>
            <w:r>
              <w:rPr>
                <w:rFonts w:hint="eastAsia"/>
                <w:color w:val="auto"/>
                <w:highlight w:val="none"/>
              </w:rPr>
              <w:t>重点、</w:t>
            </w:r>
            <w:r>
              <w:rPr>
                <w:color w:val="auto"/>
                <w:highlight w:val="none"/>
              </w:rPr>
              <w:t>难点理解</w:t>
            </w:r>
            <w:r>
              <w:rPr>
                <w:rFonts w:hint="eastAsia"/>
                <w:color w:val="auto"/>
                <w:highlight w:val="none"/>
                <w:lang w:val="en-US" w:eastAsia="zh-CN"/>
              </w:rPr>
              <w:t>较</w:t>
            </w:r>
            <w:r>
              <w:rPr>
                <w:color w:val="auto"/>
                <w:highlight w:val="none"/>
              </w:rPr>
              <w:t>准确，</w:t>
            </w:r>
            <w:r>
              <w:rPr>
                <w:rFonts w:hint="eastAsia"/>
                <w:color w:val="auto"/>
                <w:highlight w:val="none"/>
              </w:rPr>
              <w:t>建议</w:t>
            </w:r>
            <w:r>
              <w:rPr>
                <w:rFonts w:hint="eastAsia"/>
                <w:color w:val="auto"/>
                <w:highlight w:val="none"/>
                <w:lang w:val="en-US" w:eastAsia="zh-CN"/>
              </w:rPr>
              <w:t>较合理</w:t>
            </w:r>
            <w:r>
              <w:rPr>
                <w:color w:val="auto"/>
                <w:highlight w:val="none"/>
              </w:rPr>
              <w:t>；勘察工作流程规范，工期进度计划</w:t>
            </w:r>
            <w:r>
              <w:rPr>
                <w:rFonts w:hint="eastAsia"/>
                <w:color w:val="auto"/>
                <w:highlight w:val="none"/>
                <w:lang w:val="en-US" w:eastAsia="zh-CN"/>
              </w:rPr>
              <w:t>较满足要求</w:t>
            </w:r>
            <w:r>
              <w:rPr>
                <w:rFonts w:hint="eastAsia"/>
                <w:color w:val="auto"/>
                <w:highlight w:val="none"/>
                <w:lang w:eastAsia="zh-CN"/>
              </w:rPr>
              <w:t>，</w:t>
            </w:r>
            <w:r>
              <w:rPr>
                <w:rFonts w:hint="eastAsia" w:hAnsi="宋体"/>
                <w:color w:val="auto"/>
                <w:szCs w:val="21"/>
                <w:highlight w:val="none"/>
              </w:rPr>
              <w:t>得8</w:t>
            </w:r>
            <w:r>
              <w:rPr>
                <w:rFonts w:hint="eastAsia" w:hAnsi="宋体"/>
                <w:color w:val="auto"/>
                <w:szCs w:val="21"/>
                <w:highlight w:val="none"/>
                <w:lang w:val="zh-CN"/>
              </w:rPr>
              <w:t>分；</w:t>
            </w:r>
          </w:p>
          <w:p>
            <w:pPr>
              <w:autoSpaceDE w:val="0"/>
              <w:autoSpaceDN w:val="0"/>
              <w:adjustRightInd w:val="0"/>
              <w:spacing w:line="240" w:lineRule="auto"/>
              <w:rPr>
                <w:color w:val="auto"/>
                <w:highlight w:val="none"/>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color w:val="auto"/>
                <w:highlight w:val="none"/>
              </w:rPr>
              <w:t>勘察方案</w:t>
            </w:r>
            <w:r>
              <w:rPr>
                <w:rFonts w:hint="eastAsia" w:ascii="Times New Roman" w:hAnsi="宋体" w:cs="Times New Roman"/>
                <w:color w:val="auto"/>
                <w:szCs w:val="21"/>
                <w:highlight w:val="none"/>
                <w:lang w:val="en-US" w:eastAsia="zh-CN"/>
              </w:rPr>
              <w:t>合理</w:t>
            </w:r>
            <w:r>
              <w:rPr>
                <w:rFonts w:hint="eastAsia" w:hAnsi="宋体" w:cs="Times New Roman"/>
                <w:color w:val="auto"/>
                <w:szCs w:val="21"/>
                <w:highlight w:val="none"/>
                <w:lang w:val="en-US" w:eastAsia="zh-CN"/>
              </w:rPr>
              <w:t>性一般</w:t>
            </w:r>
            <w:r>
              <w:rPr>
                <w:color w:val="auto"/>
                <w:highlight w:val="none"/>
              </w:rPr>
              <w:t>，</w:t>
            </w:r>
            <w:r>
              <w:rPr>
                <w:rFonts w:hint="eastAsia"/>
                <w:color w:val="auto"/>
                <w:highlight w:val="none"/>
                <w:lang w:val="en-US" w:eastAsia="zh-CN"/>
              </w:rPr>
              <w:t>对</w:t>
            </w:r>
            <w:r>
              <w:rPr>
                <w:color w:val="auto"/>
                <w:highlight w:val="none"/>
              </w:rPr>
              <w:t>勘察</w:t>
            </w:r>
            <w:r>
              <w:rPr>
                <w:rFonts w:hint="eastAsia"/>
                <w:color w:val="auto"/>
                <w:highlight w:val="none"/>
                <w:lang w:val="en-US" w:eastAsia="zh-CN"/>
              </w:rPr>
              <w:t>工作</w:t>
            </w:r>
            <w:r>
              <w:rPr>
                <w:color w:val="auto"/>
                <w:highlight w:val="none"/>
              </w:rPr>
              <w:t>的</w:t>
            </w:r>
            <w:r>
              <w:rPr>
                <w:rFonts w:hint="eastAsia"/>
                <w:color w:val="auto"/>
                <w:highlight w:val="none"/>
              </w:rPr>
              <w:t>重点、</w:t>
            </w:r>
            <w:r>
              <w:rPr>
                <w:color w:val="auto"/>
                <w:highlight w:val="none"/>
              </w:rPr>
              <w:t>难点理解</w:t>
            </w:r>
            <w:r>
              <w:rPr>
                <w:rFonts w:hint="eastAsia"/>
                <w:color w:val="auto"/>
                <w:highlight w:val="none"/>
                <w:lang w:val="en-US" w:eastAsia="zh-CN"/>
              </w:rPr>
              <w:t>基本</w:t>
            </w:r>
            <w:r>
              <w:rPr>
                <w:color w:val="auto"/>
                <w:highlight w:val="none"/>
              </w:rPr>
              <w:t>准确，</w:t>
            </w:r>
            <w:r>
              <w:rPr>
                <w:rFonts w:hint="eastAsia"/>
                <w:color w:val="auto"/>
                <w:highlight w:val="none"/>
              </w:rPr>
              <w:t>建议</w:t>
            </w:r>
            <w:r>
              <w:rPr>
                <w:rFonts w:hint="eastAsia"/>
                <w:color w:val="auto"/>
                <w:highlight w:val="none"/>
                <w:lang w:val="en-US" w:eastAsia="zh-CN"/>
              </w:rPr>
              <w:t>基本合理</w:t>
            </w:r>
            <w:r>
              <w:rPr>
                <w:color w:val="auto"/>
                <w:highlight w:val="none"/>
              </w:rPr>
              <w:t>；勘察工作流程</w:t>
            </w:r>
            <w:r>
              <w:rPr>
                <w:rFonts w:hint="eastAsia"/>
                <w:color w:val="auto"/>
                <w:highlight w:val="none"/>
                <w:lang w:val="en-US" w:eastAsia="zh-CN"/>
              </w:rPr>
              <w:t>基本</w:t>
            </w:r>
            <w:r>
              <w:rPr>
                <w:color w:val="auto"/>
                <w:highlight w:val="none"/>
              </w:rPr>
              <w:t>规范，工期进度计划</w:t>
            </w:r>
            <w:r>
              <w:rPr>
                <w:rFonts w:hint="eastAsia"/>
                <w:color w:val="auto"/>
                <w:highlight w:val="none"/>
                <w:lang w:val="en-US" w:eastAsia="zh-CN"/>
              </w:rPr>
              <w:t>基本满足要求</w:t>
            </w:r>
            <w:r>
              <w:rPr>
                <w:rFonts w:hint="eastAsia"/>
                <w:color w:val="auto"/>
                <w:highlight w:val="none"/>
                <w:lang w:eastAsia="zh-CN"/>
              </w:rPr>
              <w:t>，</w:t>
            </w:r>
            <w:r>
              <w:rPr>
                <w:rFonts w:hint="eastAsia" w:ascii="Times New Roman" w:hAnsi="宋体" w:cs="Times New Roman"/>
                <w:color w:val="auto"/>
                <w:szCs w:val="21"/>
                <w:highlight w:val="none"/>
                <w:lang w:val="en-US" w:eastAsia="zh-CN"/>
              </w:rPr>
              <w:t>得</w:t>
            </w:r>
            <w:r>
              <w:rPr>
                <w:rFonts w:hint="eastAsia" w:hAnsi="宋体"/>
                <w:color w:val="auto"/>
                <w:szCs w:val="21"/>
                <w:highlight w:val="none"/>
              </w:rPr>
              <w:t>6</w:t>
            </w:r>
            <w:r>
              <w:rPr>
                <w:rFonts w:hint="eastAsia" w:hAnsi="宋体"/>
                <w:color w:val="auto"/>
                <w:szCs w:val="21"/>
                <w:highlight w:val="none"/>
                <w:lang w:val="zh-CN"/>
              </w:rPr>
              <w:t>分；</w:t>
            </w:r>
          </w:p>
          <w:p>
            <w:pPr>
              <w:autoSpaceDE w:val="0"/>
              <w:autoSpaceDN w:val="0"/>
              <w:adjustRightInd w:val="0"/>
              <w:spacing w:line="240" w:lineRule="auto"/>
              <w:rPr>
                <w:color w:val="auto"/>
                <w:szCs w:val="21"/>
                <w:highlight w:val="none"/>
              </w:rPr>
            </w:pPr>
            <w:r>
              <w:rPr>
                <w:rFonts w:hint="eastAsia" w:ascii="Times New Roman" w:hAnsi="宋体" w:eastAsia="宋体" w:cs="Times New Roman"/>
                <w:color w:val="auto"/>
                <w:szCs w:val="21"/>
                <w:highlight w:val="none"/>
                <w:lang w:val="zh-CN"/>
              </w:rPr>
              <w:t>无此部分内容得0分。</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Merge w:val="restart"/>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三</w:t>
            </w:r>
          </w:p>
        </w:tc>
        <w:tc>
          <w:tcPr>
            <w:tcW w:w="1080" w:type="dxa"/>
            <w:vMerge w:val="restart"/>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投资控制</w:t>
            </w:r>
          </w:p>
        </w:tc>
        <w:tc>
          <w:tcPr>
            <w:tcW w:w="1552" w:type="dxa"/>
            <w:vMerge w:val="restart"/>
            <w:noWrap w:val="0"/>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10</w:t>
            </w:r>
            <w:r>
              <w:rPr>
                <w:rFonts w:hint="eastAsia" w:ascii="宋体" w:hAnsi="宋体" w:cs="宋体"/>
                <w:color w:val="auto"/>
                <w:szCs w:val="21"/>
                <w:highlight w:val="none"/>
                <w:lang w:val="zh-CN"/>
              </w:rPr>
              <w:t>]</w:t>
            </w:r>
          </w:p>
        </w:tc>
        <w:tc>
          <w:tcPr>
            <w:tcW w:w="9757" w:type="dxa"/>
            <w:gridSpan w:val="3"/>
            <w:noWrap w:val="0"/>
            <w:vAlign w:val="center"/>
          </w:tcPr>
          <w:p>
            <w:pPr>
              <w:numPr>
                <w:ilvl w:val="0"/>
                <w:numId w:val="0"/>
              </w:numPr>
              <w:autoSpaceDE w:val="0"/>
              <w:autoSpaceDN w:val="0"/>
              <w:adjustRightInd w:val="0"/>
              <w:spacing w:line="240" w:lineRule="auto"/>
              <w:ind w:left="0" w:firstLine="0"/>
              <w:rPr>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rPr>
              <w:t>优】</w:t>
            </w:r>
            <w:r>
              <w:rPr>
                <w:color w:val="auto"/>
                <w:szCs w:val="21"/>
                <w:highlight w:val="none"/>
                <w:lang w:val="zh-CN"/>
              </w:rPr>
              <w:t>工程总投资合理，节约工程总投资的措施及理由可信、可行</w:t>
            </w:r>
            <w:r>
              <w:rPr>
                <w:rFonts w:hint="eastAsia"/>
                <w:color w:val="auto"/>
                <w:szCs w:val="21"/>
                <w:highlight w:val="none"/>
                <w:lang w:val="zh-CN"/>
              </w:rPr>
              <w:t>，</w:t>
            </w:r>
            <w:r>
              <w:rPr>
                <w:rFonts w:hint="eastAsia" w:hAnsi="宋体"/>
                <w:color w:val="auto"/>
                <w:szCs w:val="21"/>
                <w:highlight w:val="none"/>
              </w:rPr>
              <w:t>得</w:t>
            </w:r>
            <w:r>
              <w:rPr>
                <w:rFonts w:hint="eastAsia" w:hAnsi="宋体"/>
                <w:color w:val="auto"/>
                <w:szCs w:val="21"/>
                <w:highlight w:val="none"/>
                <w:lang w:val="en-US" w:eastAsia="zh-CN"/>
              </w:rPr>
              <w:t>5</w:t>
            </w:r>
            <w:r>
              <w:rPr>
                <w:rFonts w:hint="eastAsia" w:hAnsi="宋体"/>
                <w:color w:val="auto"/>
                <w:szCs w:val="21"/>
                <w:highlight w:val="none"/>
                <w:lang w:val="zh-CN"/>
              </w:rPr>
              <w:t xml:space="preserve">分； </w:t>
            </w:r>
          </w:p>
          <w:p>
            <w:pPr>
              <w:numPr>
                <w:ilvl w:val="0"/>
                <w:numId w:val="0"/>
              </w:numPr>
              <w:autoSpaceDE w:val="0"/>
              <w:autoSpaceDN w:val="0"/>
              <w:adjustRightInd w:val="0"/>
              <w:spacing w:line="240" w:lineRule="auto"/>
              <w:ind w:left="0" w:firstLine="0"/>
              <w:rPr>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color w:val="auto"/>
                <w:szCs w:val="21"/>
                <w:highlight w:val="none"/>
                <w:lang w:val="zh-CN"/>
              </w:rPr>
              <w:t>工程总投资</w:t>
            </w:r>
            <w:r>
              <w:rPr>
                <w:rFonts w:hint="eastAsia"/>
                <w:color w:val="auto"/>
                <w:szCs w:val="21"/>
                <w:highlight w:val="none"/>
                <w:lang w:val="en-US" w:eastAsia="zh-CN"/>
              </w:rPr>
              <w:t>较</w:t>
            </w:r>
            <w:r>
              <w:rPr>
                <w:color w:val="auto"/>
                <w:szCs w:val="21"/>
                <w:highlight w:val="none"/>
                <w:lang w:val="zh-CN"/>
              </w:rPr>
              <w:t>合理，节约工程总投资的措施及理由</w:t>
            </w:r>
            <w:r>
              <w:rPr>
                <w:rFonts w:hint="eastAsia"/>
                <w:color w:val="auto"/>
                <w:szCs w:val="21"/>
                <w:highlight w:val="none"/>
                <w:lang w:val="en-US" w:eastAsia="zh-CN"/>
              </w:rPr>
              <w:t>较</w:t>
            </w:r>
            <w:r>
              <w:rPr>
                <w:color w:val="auto"/>
                <w:szCs w:val="21"/>
                <w:highlight w:val="none"/>
                <w:lang w:val="zh-CN"/>
              </w:rPr>
              <w:t>可信、</w:t>
            </w:r>
            <w:r>
              <w:rPr>
                <w:rFonts w:hint="eastAsia"/>
                <w:color w:val="auto"/>
                <w:szCs w:val="21"/>
                <w:highlight w:val="none"/>
                <w:lang w:val="en-US" w:eastAsia="zh-CN"/>
              </w:rPr>
              <w:t>较</w:t>
            </w:r>
            <w:r>
              <w:rPr>
                <w:color w:val="auto"/>
                <w:szCs w:val="21"/>
                <w:highlight w:val="none"/>
                <w:lang w:val="zh-CN"/>
              </w:rPr>
              <w:t>可行</w:t>
            </w:r>
            <w:r>
              <w:rPr>
                <w:rFonts w:hint="eastAsia"/>
                <w:color w:val="auto"/>
                <w:szCs w:val="21"/>
                <w:highlight w:val="none"/>
                <w:lang w:val="zh-CN"/>
              </w:rPr>
              <w:t>，</w:t>
            </w:r>
            <w:r>
              <w:rPr>
                <w:rFonts w:hint="eastAsia" w:hAnsi="宋体"/>
                <w:color w:val="auto"/>
                <w:szCs w:val="21"/>
                <w:highlight w:val="none"/>
              </w:rPr>
              <w:t>得</w:t>
            </w:r>
            <w:r>
              <w:rPr>
                <w:rFonts w:hint="eastAsia" w:hAnsi="宋体"/>
                <w:color w:val="auto"/>
                <w:szCs w:val="21"/>
                <w:highlight w:val="none"/>
                <w:lang w:val="en-US" w:eastAsia="zh-CN"/>
              </w:rPr>
              <w:t>4</w:t>
            </w:r>
            <w:r>
              <w:rPr>
                <w:rFonts w:hint="eastAsia" w:hAnsi="宋体"/>
                <w:color w:val="auto"/>
                <w:szCs w:val="21"/>
                <w:highlight w:val="none"/>
                <w:lang w:val="zh-CN"/>
              </w:rPr>
              <w:t xml:space="preserve">分； </w:t>
            </w:r>
          </w:p>
          <w:p>
            <w:pPr>
              <w:numPr>
                <w:ilvl w:val="0"/>
                <w:numId w:val="0"/>
              </w:numPr>
              <w:autoSpaceDE w:val="0"/>
              <w:autoSpaceDN w:val="0"/>
              <w:adjustRightInd w:val="0"/>
              <w:spacing w:line="240" w:lineRule="auto"/>
              <w:ind w:left="0" w:firstLine="0"/>
              <w:rPr>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color w:val="auto"/>
                <w:szCs w:val="21"/>
                <w:highlight w:val="none"/>
                <w:lang w:val="zh-CN"/>
              </w:rPr>
              <w:t>工程总投资</w:t>
            </w:r>
            <w:r>
              <w:rPr>
                <w:rFonts w:hint="eastAsia"/>
                <w:color w:val="auto"/>
                <w:szCs w:val="21"/>
                <w:highlight w:val="none"/>
                <w:lang w:val="en-US" w:eastAsia="zh-CN"/>
              </w:rPr>
              <w:t>基本</w:t>
            </w:r>
            <w:r>
              <w:rPr>
                <w:color w:val="auto"/>
                <w:szCs w:val="21"/>
                <w:highlight w:val="none"/>
                <w:lang w:val="zh-CN"/>
              </w:rPr>
              <w:t>合理，节约工程总投资的措施及理由</w:t>
            </w:r>
            <w:r>
              <w:rPr>
                <w:rFonts w:hint="eastAsia"/>
                <w:color w:val="auto"/>
                <w:szCs w:val="21"/>
                <w:highlight w:val="none"/>
                <w:lang w:val="en-US" w:eastAsia="zh-CN"/>
              </w:rPr>
              <w:t>基本</w:t>
            </w:r>
            <w:r>
              <w:rPr>
                <w:color w:val="auto"/>
                <w:szCs w:val="21"/>
                <w:highlight w:val="none"/>
                <w:lang w:val="zh-CN"/>
              </w:rPr>
              <w:t>可信、</w:t>
            </w:r>
            <w:r>
              <w:rPr>
                <w:rFonts w:hint="eastAsia"/>
                <w:color w:val="auto"/>
                <w:szCs w:val="21"/>
                <w:highlight w:val="none"/>
                <w:lang w:val="en-US" w:eastAsia="zh-CN"/>
              </w:rPr>
              <w:t>基本</w:t>
            </w:r>
            <w:r>
              <w:rPr>
                <w:color w:val="auto"/>
                <w:szCs w:val="21"/>
                <w:highlight w:val="none"/>
                <w:lang w:val="zh-CN"/>
              </w:rPr>
              <w:t>可行</w:t>
            </w:r>
            <w:r>
              <w:rPr>
                <w:rFonts w:hint="eastAsia"/>
                <w:color w:val="auto"/>
                <w:szCs w:val="21"/>
                <w:highlight w:val="none"/>
                <w:lang w:val="zh-CN"/>
              </w:rPr>
              <w:t>，</w:t>
            </w:r>
            <w:r>
              <w:rPr>
                <w:rFonts w:hint="eastAsia" w:hAnsi="宋体"/>
                <w:color w:val="auto"/>
                <w:szCs w:val="21"/>
                <w:highlight w:val="none"/>
              </w:rPr>
              <w:t>得</w:t>
            </w:r>
            <w:r>
              <w:rPr>
                <w:rFonts w:hint="eastAsia" w:hAnsi="宋体"/>
                <w:color w:val="auto"/>
                <w:szCs w:val="21"/>
                <w:highlight w:val="none"/>
                <w:lang w:val="en-US" w:eastAsia="zh-CN"/>
              </w:rPr>
              <w:t>3</w:t>
            </w:r>
            <w:r>
              <w:rPr>
                <w:rFonts w:hint="eastAsia" w:hAnsi="宋体"/>
                <w:color w:val="auto"/>
                <w:szCs w:val="21"/>
                <w:highlight w:val="none"/>
                <w:lang w:val="zh-CN"/>
              </w:rPr>
              <w:t xml:space="preserve">分； </w:t>
            </w:r>
          </w:p>
          <w:p>
            <w:pPr>
              <w:autoSpaceDE w:val="0"/>
              <w:autoSpaceDN w:val="0"/>
              <w:adjustRightInd w:val="0"/>
              <w:spacing w:line="240" w:lineRule="auto"/>
              <w:rPr>
                <w:color w:val="auto"/>
                <w:szCs w:val="21"/>
                <w:highlight w:val="none"/>
              </w:rPr>
            </w:pPr>
            <w:r>
              <w:rPr>
                <w:rFonts w:hint="eastAsia"/>
                <w:color w:val="auto"/>
                <w:szCs w:val="21"/>
                <w:highlight w:val="none"/>
                <w:lang w:val="zh-CN"/>
              </w:rPr>
              <w:t>无此部分内容得0分</w:t>
            </w:r>
            <w:r>
              <w:rPr>
                <w:rFonts w:hint="eastAsia" w:ascii="宋体" w:hAnsi="宋体" w:cs="宋体"/>
                <w:color w:val="auto"/>
                <w:szCs w:val="21"/>
                <w:highlight w:val="none"/>
                <w:lang w:val="zh-CN"/>
              </w:rPr>
              <w:t>。</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720" w:type="dxa"/>
            <w:vMerge w:val="continue"/>
            <w:noWrap w:val="0"/>
            <w:vAlign w:val="center"/>
          </w:tcPr>
          <w:p>
            <w:pPr>
              <w:autoSpaceDE w:val="0"/>
              <w:autoSpaceDN w:val="0"/>
              <w:adjustRightInd w:val="0"/>
              <w:spacing w:line="400" w:lineRule="exact"/>
              <w:jc w:val="center"/>
              <w:rPr>
                <w:color w:val="auto"/>
                <w:szCs w:val="21"/>
                <w:highlight w:val="none"/>
              </w:rPr>
            </w:pPr>
          </w:p>
        </w:tc>
        <w:tc>
          <w:tcPr>
            <w:tcW w:w="1080" w:type="dxa"/>
            <w:vMerge w:val="continue"/>
            <w:noWrap w:val="0"/>
            <w:vAlign w:val="center"/>
          </w:tcPr>
          <w:p>
            <w:pPr>
              <w:autoSpaceDE w:val="0"/>
              <w:autoSpaceDN w:val="0"/>
              <w:adjustRightInd w:val="0"/>
              <w:spacing w:line="400" w:lineRule="exact"/>
              <w:jc w:val="center"/>
              <w:rPr>
                <w:color w:val="auto"/>
                <w:szCs w:val="21"/>
                <w:highlight w:val="none"/>
              </w:rPr>
            </w:pPr>
          </w:p>
        </w:tc>
        <w:tc>
          <w:tcPr>
            <w:tcW w:w="1552" w:type="dxa"/>
            <w:vMerge w:val="continue"/>
            <w:noWrap w:val="0"/>
            <w:vAlign w:val="center"/>
          </w:tcPr>
          <w:p>
            <w:pPr>
              <w:autoSpaceDE w:val="0"/>
              <w:autoSpaceDN w:val="0"/>
              <w:adjustRightInd w:val="0"/>
              <w:spacing w:line="400" w:lineRule="exact"/>
              <w:jc w:val="center"/>
              <w:rPr>
                <w:color w:val="auto"/>
                <w:szCs w:val="21"/>
                <w:highlight w:val="none"/>
              </w:rPr>
            </w:pPr>
          </w:p>
        </w:tc>
        <w:tc>
          <w:tcPr>
            <w:tcW w:w="9757" w:type="dxa"/>
            <w:gridSpan w:val="3"/>
            <w:noWrap w:val="0"/>
            <w:vAlign w:val="center"/>
          </w:tcPr>
          <w:p>
            <w:pPr>
              <w:numPr>
                <w:ilvl w:val="0"/>
                <w:numId w:val="0"/>
              </w:numPr>
              <w:autoSpaceDE w:val="0"/>
              <w:autoSpaceDN w:val="0"/>
              <w:adjustRightInd w:val="0"/>
              <w:spacing w:line="240" w:lineRule="auto"/>
              <w:ind w:left="0" w:firstLine="0"/>
              <w:rPr>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rPr>
              <w:t>优】</w:t>
            </w:r>
            <w:r>
              <w:rPr>
                <w:color w:val="auto"/>
                <w:szCs w:val="21"/>
                <w:highlight w:val="none"/>
                <w:lang w:val="zh-CN"/>
              </w:rPr>
              <w:t>投资估算编制依据正确，达到相应的深度要求，编制质量高</w:t>
            </w:r>
            <w:r>
              <w:rPr>
                <w:rFonts w:hint="eastAsia"/>
                <w:color w:val="auto"/>
                <w:szCs w:val="21"/>
                <w:highlight w:val="none"/>
                <w:lang w:val="zh-CN"/>
              </w:rPr>
              <w:t>，</w:t>
            </w:r>
            <w:r>
              <w:rPr>
                <w:rFonts w:hint="eastAsia" w:hAnsi="宋体"/>
                <w:color w:val="auto"/>
                <w:szCs w:val="21"/>
                <w:highlight w:val="none"/>
              </w:rPr>
              <w:t>得</w:t>
            </w:r>
            <w:r>
              <w:rPr>
                <w:rFonts w:hint="eastAsia" w:hAnsi="宋体"/>
                <w:color w:val="auto"/>
                <w:szCs w:val="21"/>
                <w:highlight w:val="none"/>
                <w:lang w:val="en-US" w:eastAsia="zh-CN"/>
              </w:rPr>
              <w:t>5</w:t>
            </w:r>
            <w:r>
              <w:rPr>
                <w:rFonts w:hint="eastAsia" w:hAnsi="宋体"/>
                <w:color w:val="auto"/>
                <w:szCs w:val="21"/>
                <w:highlight w:val="none"/>
                <w:lang w:val="zh-CN"/>
              </w:rPr>
              <w:t>分；</w:t>
            </w:r>
          </w:p>
          <w:p>
            <w:pPr>
              <w:numPr>
                <w:ilvl w:val="0"/>
                <w:numId w:val="0"/>
              </w:numPr>
              <w:autoSpaceDE w:val="0"/>
              <w:autoSpaceDN w:val="0"/>
              <w:adjustRightInd w:val="0"/>
              <w:spacing w:line="240" w:lineRule="auto"/>
              <w:ind w:left="0" w:firstLine="0"/>
              <w:rPr>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良</w:t>
            </w:r>
            <w:r>
              <w:rPr>
                <w:rFonts w:hint="eastAsia" w:hAnsi="宋体"/>
                <w:color w:val="auto"/>
                <w:szCs w:val="21"/>
                <w:highlight w:val="none"/>
              </w:rPr>
              <w:t>】</w:t>
            </w:r>
            <w:r>
              <w:rPr>
                <w:color w:val="auto"/>
                <w:szCs w:val="21"/>
                <w:highlight w:val="none"/>
                <w:lang w:val="zh-CN"/>
              </w:rPr>
              <w:t>投资估算编制依据</w:t>
            </w:r>
            <w:r>
              <w:rPr>
                <w:rFonts w:hint="eastAsia"/>
                <w:color w:val="auto"/>
                <w:szCs w:val="21"/>
                <w:highlight w:val="none"/>
                <w:lang w:val="en-US" w:eastAsia="zh-CN"/>
              </w:rPr>
              <w:t>较</w:t>
            </w:r>
            <w:r>
              <w:rPr>
                <w:color w:val="auto"/>
                <w:szCs w:val="21"/>
                <w:highlight w:val="none"/>
                <w:lang w:val="zh-CN"/>
              </w:rPr>
              <w:t>正确，</w:t>
            </w:r>
            <w:r>
              <w:rPr>
                <w:rFonts w:hint="eastAsia"/>
                <w:color w:val="auto"/>
                <w:szCs w:val="21"/>
                <w:highlight w:val="none"/>
                <w:lang w:val="en-US" w:eastAsia="zh-CN"/>
              </w:rPr>
              <w:t>较好</w:t>
            </w:r>
            <w:r>
              <w:rPr>
                <w:color w:val="auto"/>
                <w:szCs w:val="21"/>
                <w:highlight w:val="none"/>
                <w:lang w:val="zh-CN"/>
              </w:rPr>
              <w:t>达到相应的深度要求，编制质量</w:t>
            </w:r>
            <w:r>
              <w:rPr>
                <w:rFonts w:hint="eastAsia"/>
                <w:color w:val="auto"/>
                <w:szCs w:val="21"/>
                <w:highlight w:val="none"/>
                <w:lang w:val="en-US" w:eastAsia="zh-CN"/>
              </w:rPr>
              <w:t>较</w:t>
            </w:r>
            <w:r>
              <w:rPr>
                <w:color w:val="auto"/>
                <w:szCs w:val="21"/>
                <w:highlight w:val="none"/>
                <w:lang w:val="zh-CN"/>
              </w:rPr>
              <w:t>高</w:t>
            </w:r>
            <w:r>
              <w:rPr>
                <w:rFonts w:hint="eastAsia"/>
                <w:color w:val="auto"/>
                <w:szCs w:val="21"/>
                <w:highlight w:val="none"/>
                <w:lang w:val="zh-CN"/>
              </w:rPr>
              <w:t>，</w:t>
            </w:r>
            <w:r>
              <w:rPr>
                <w:rFonts w:hint="eastAsia" w:hAnsi="宋体"/>
                <w:color w:val="auto"/>
                <w:szCs w:val="21"/>
                <w:highlight w:val="none"/>
              </w:rPr>
              <w:t>得</w:t>
            </w:r>
            <w:r>
              <w:rPr>
                <w:rFonts w:hint="eastAsia" w:hAnsi="宋体"/>
                <w:color w:val="auto"/>
                <w:szCs w:val="21"/>
                <w:highlight w:val="none"/>
                <w:lang w:val="en-US" w:eastAsia="zh-CN"/>
              </w:rPr>
              <w:t>4</w:t>
            </w:r>
            <w:r>
              <w:rPr>
                <w:rFonts w:hint="eastAsia" w:hAnsi="宋体"/>
                <w:color w:val="auto"/>
                <w:szCs w:val="21"/>
                <w:highlight w:val="none"/>
                <w:lang w:val="zh-CN"/>
              </w:rPr>
              <w:t>分；</w:t>
            </w:r>
          </w:p>
          <w:p>
            <w:pPr>
              <w:numPr>
                <w:ilvl w:val="0"/>
                <w:numId w:val="0"/>
              </w:numPr>
              <w:autoSpaceDE w:val="0"/>
              <w:autoSpaceDN w:val="0"/>
              <w:adjustRightInd w:val="0"/>
              <w:spacing w:line="240" w:lineRule="auto"/>
              <w:ind w:left="0" w:firstLine="0"/>
              <w:rPr>
                <w:color w:val="auto"/>
                <w:szCs w:val="21"/>
                <w:highlight w:val="none"/>
                <w:lang w:val="zh-CN"/>
              </w:rPr>
            </w:pPr>
            <w:r>
              <w:rPr>
                <w:rFonts w:hint="eastAsia" w:hAnsi="宋体"/>
                <w:color w:val="auto"/>
                <w:szCs w:val="21"/>
                <w:highlight w:val="none"/>
                <w:lang w:val="zh-CN"/>
              </w:rPr>
              <w:t>【</w:t>
            </w:r>
            <w:r>
              <w:rPr>
                <w:rFonts w:hint="eastAsia" w:hAnsi="宋体"/>
                <w:color w:val="auto"/>
                <w:szCs w:val="21"/>
                <w:highlight w:val="none"/>
                <w:lang w:val="en-US" w:eastAsia="zh-CN"/>
              </w:rPr>
              <w:t>一般</w:t>
            </w:r>
            <w:r>
              <w:rPr>
                <w:rFonts w:hint="eastAsia" w:hAnsi="宋体"/>
                <w:color w:val="auto"/>
                <w:szCs w:val="21"/>
                <w:highlight w:val="none"/>
              </w:rPr>
              <w:t>】</w:t>
            </w:r>
            <w:r>
              <w:rPr>
                <w:color w:val="auto"/>
                <w:szCs w:val="21"/>
                <w:highlight w:val="none"/>
                <w:lang w:val="zh-CN"/>
              </w:rPr>
              <w:t>投资估算编制依据</w:t>
            </w:r>
            <w:r>
              <w:rPr>
                <w:rFonts w:hint="eastAsia"/>
                <w:color w:val="auto"/>
                <w:szCs w:val="21"/>
                <w:highlight w:val="none"/>
                <w:lang w:val="en-US" w:eastAsia="zh-CN"/>
              </w:rPr>
              <w:t>基本</w:t>
            </w:r>
            <w:r>
              <w:rPr>
                <w:color w:val="auto"/>
                <w:szCs w:val="21"/>
                <w:highlight w:val="none"/>
                <w:lang w:val="zh-CN"/>
              </w:rPr>
              <w:t>正确，</w:t>
            </w:r>
            <w:r>
              <w:rPr>
                <w:rFonts w:hint="eastAsia"/>
                <w:color w:val="auto"/>
                <w:szCs w:val="21"/>
                <w:highlight w:val="none"/>
                <w:lang w:val="en-US" w:eastAsia="zh-CN"/>
              </w:rPr>
              <w:t>基本</w:t>
            </w:r>
            <w:r>
              <w:rPr>
                <w:color w:val="auto"/>
                <w:szCs w:val="21"/>
                <w:highlight w:val="none"/>
                <w:lang w:val="zh-CN"/>
              </w:rPr>
              <w:t>达到相应的深度要求，编制质量</w:t>
            </w:r>
            <w:r>
              <w:rPr>
                <w:rFonts w:hint="eastAsia"/>
                <w:color w:val="auto"/>
                <w:szCs w:val="21"/>
                <w:highlight w:val="none"/>
                <w:lang w:val="en-US" w:eastAsia="zh-CN"/>
              </w:rPr>
              <w:t>基本满足项目要求</w:t>
            </w:r>
            <w:r>
              <w:rPr>
                <w:rFonts w:hint="eastAsia"/>
                <w:color w:val="auto"/>
                <w:szCs w:val="21"/>
                <w:highlight w:val="none"/>
                <w:lang w:val="zh-CN"/>
              </w:rPr>
              <w:t>，</w:t>
            </w:r>
            <w:r>
              <w:rPr>
                <w:rFonts w:hint="eastAsia" w:hAnsi="宋体"/>
                <w:color w:val="auto"/>
                <w:szCs w:val="21"/>
                <w:highlight w:val="none"/>
              </w:rPr>
              <w:t>得</w:t>
            </w:r>
            <w:r>
              <w:rPr>
                <w:rFonts w:hint="eastAsia" w:hAnsi="宋体"/>
                <w:color w:val="auto"/>
                <w:szCs w:val="21"/>
                <w:highlight w:val="none"/>
                <w:lang w:val="en-US" w:eastAsia="zh-CN"/>
              </w:rPr>
              <w:t>3</w:t>
            </w:r>
            <w:r>
              <w:rPr>
                <w:rFonts w:hint="eastAsia" w:hAnsi="宋体"/>
                <w:color w:val="auto"/>
                <w:szCs w:val="21"/>
                <w:highlight w:val="none"/>
                <w:lang w:val="zh-CN"/>
              </w:rPr>
              <w:t>分；</w:t>
            </w:r>
          </w:p>
          <w:p>
            <w:pPr>
              <w:autoSpaceDE w:val="0"/>
              <w:autoSpaceDN w:val="0"/>
              <w:adjustRightInd w:val="0"/>
              <w:spacing w:line="240" w:lineRule="auto"/>
              <w:rPr>
                <w:color w:val="auto"/>
                <w:szCs w:val="21"/>
                <w:highlight w:val="none"/>
              </w:rPr>
            </w:pPr>
            <w:r>
              <w:rPr>
                <w:rFonts w:hint="eastAsia"/>
                <w:color w:val="auto"/>
                <w:szCs w:val="21"/>
                <w:highlight w:val="none"/>
                <w:lang w:val="zh-CN"/>
              </w:rPr>
              <w:t>无此部分内容得0分</w:t>
            </w:r>
            <w:r>
              <w:rPr>
                <w:rFonts w:hint="eastAsia" w:ascii="宋体" w:hAnsi="宋体" w:cs="宋体"/>
                <w:color w:val="auto"/>
                <w:szCs w:val="21"/>
                <w:highlight w:val="none"/>
                <w:lang w:val="zh-CN"/>
              </w:rPr>
              <w:t>。</w:t>
            </w:r>
          </w:p>
        </w:tc>
        <w:tc>
          <w:tcPr>
            <w:tcW w:w="683" w:type="dxa"/>
            <w:noWrap w:val="0"/>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800" w:type="dxa"/>
            <w:gridSpan w:val="2"/>
            <w:noWrap w:val="0"/>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总计</w:t>
            </w:r>
          </w:p>
        </w:tc>
        <w:tc>
          <w:tcPr>
            <w:tcW w:w="1552" w:type="dxa"/>
            <w:noWrap w:val="0"/>
            <w:vAlign w:val="center"/>
          </w:tcPr>
          <w:p>
            <w:pPr>
              <w:autoSpaceDE w:val="0"/>
              <w:autoSpaceDN w:val="0"/>
              <w:adjustRightInd w:val="0"/>
              <w:spacing w:line="400" w:lineRule="exact"/>
              <w:jc w:val="center"/>
              <w:rPr>
                <w:color w:val="auto"/>
                <w:szCs w:val="21"/>
                <w:highlight w:val="none"/>
              </w:rPr>
            </w:pPr>
            <w:r>
              <w:rPr>
                <w:color w:val="auto"/>
                <w:szCs w:val="21"/>
                <w:highlight w:val="none"/>
              </w:rPr>
              <w:t>100</w:t>
            </w:r>
          </w:p>
        </w:tc>
        <w:tc>
          <w:tcPr>
            <w:tcW w:w="9757" w:type="dxa"/>
            <w:gridSpan w:val="3"/>
            <w:noWrap w:val="0"/>
            <w:vAlign w:val="center"/>
          </w:tcPr>
          <w:p>
            <w:pPr>
              <w:autoSpaceDE w:val="0"/>
              <w:autoSpaceDN w:val="0"/>
              <w:adjustRightInd w:val="0"/>
              <w:spacing w:line="400" w:lineRule="exact"/>
              <w:jc w:val="center"/>
              <w:rPr>
                <w:color w:val="auto"/>
                <w:szCs w:val="21"/>
                <w:highlight w:val="none"/>
              </w:rPr>
            </w:pPr>
          </w:p>
        </w:tc>
        <w:tc>
          <w:tcPr>
            <w:tcW w:w="683" w:type="dxa"/>
            <w:noWrap w:val="0"/>
            <w:vAlign w:val="center"/>
          </w:tcPr>
          <w:p>
            <w:pPr>
              <w:autoSpaceDE w:val="0"/>
              <w:autoSpaceDN w:val="0"/>
              <w:adjustRightInd w:val="0"/>
              <w:spacing w:line="400" w:lineRule="exact"/>
              <w:jc w:val="center"/>
              <w:rPr>
                <w:color w:val="auto"/>
                <w:szCs w:val="21"/>
                <w:highlight w:val="none"/>
              </w:rPr>
            </w:pPr>
            <w:r>
              <w:rPr>
                <w:color w:val="auto"/>
                <w:szCs w:val="21"/>
                <w:highlight w:val="none"/>
              </w:rPr>
              <w:t>100</w:t>
            </w:r>
          </w:p>
        </w:tc>
      </w:tr>
    </w:tbl>
    <w:p>
      <w:pPr>
        <w:rPr>
          <w:rFonts w:ascii="宋体" w:hAnsi="宋体" w:cs="宋体"/>
          <w:b/>
          <w:bCs/>
          <w:color w:val="auto"/>
          <w:szCs w:val="21"/>
          <w:highlight w:val="none"/>
        </w:rPr>
      </w:pPr>
      <w:r>
        <w:rPr>
          <w:rFonts w:hint="eastAsia" w:ascii="宋体" w:hAnsi="宋体" w:cs="宋体"/>
          <w:b/>
          <w:bCs/>
          <w:color w:val="auto"/>
          <w:szCs w:val="21"/>
          <w:highlight w:val="none"/>
        </w:rPr>
        <w:t>备注：</w:t>
      </w:r>
    </w:p>
    <w:p>
      <w:pPr>
        <w:rPr>
          <w:rFonts w:ascii="宋体" w:hAnsi="宋体"/>
          <w:b/>
          <w:bCs/>
          <w:color w:val="auto"/>
          <w:sz w:val="24"/>
          <w:highlight w:val="none"/>
        </w:rPr>
      </w:pPr>
    </w:p>
    <w:p>
      <w:pPr>
        <w:rPr>
          <w:rFonts w:ascii="宋体" w:hAnsi="宋体"/>
          <w:b/>
          <w:bCs/>
          <w:color w:val="auto"/>
          <w:sz w:val="24"/>
          <w:highlight w:val="none"/>
        </w:rPr>
        <w:sectPr>
          <w:pgSz w:w="16838" w:h="11906" w:orient="landscape"/>
          <w:pgMar w:top="1417" w:right="1418" w:bottom="1417" w:left="1418" w:header="851" w:footer="992" w:gutter="0"/>
          <w:pgNumType w:fmt="decimal"/>
          <w:cols w:space="0" w:num="1"/>
          <w:rtlGutter w:val="0"/>
          <w:docGrid w:linePitch="312" w:charSpace="0"/>
        </w:sectPr>
      </w:pPr>
    </w:p>
    <w:p>
      <w:pPr>
        <w:outlineLvl w:val="1"/>
        <w:rPr>
          <w:rFonts w:ascii="宋体" w:hAnsi="宋体"/>
          <w:b/>
          <w:bCs/>
          <w:strike/>
          <w:color w:val="auto"/>
          <w:sz w:val="24"/>
          <w:highlight w:val="none"/>
        </w:rPr>
      </w:pPr>
      <w:r>
        <w:rPr>
          <w:rFonts w:hint="eastAsia" w:ascii="宋体" w:hAnsi="宋体"/>
          <w:b/>
          <w:bCs/>
          <w:strike/>
          <w:color w:val="auto"/>
          <w:sz w:val="24"/>
          <w:highlight w:val="none"/>
        </w:rPr>
        <w:t>附录17</w:t>
      </w:r>
      <w:r>
        <w:rPr>
          <w:rFonts w:hint="eastAsia" w:ascii="宋体" w:hAnsi="宋体"/>
          <w:strike/>
          <w:color w:val="auto"/>
          <w:sz w:val="24"/>
          <w:highlight w:val="none"/>
        </w:rPr>
        <w:t>（适用于投票法）</w:t>
      </w:r>
    </w:p>
    <w:p>
      <w:pPr>
        <w:jc w:val="center"/>
        <w:rPr>
          <w:rFonts w:ascii="宋体" w:hAnsi="宋体"/>
          <w:b/>
          <w:strike/>
          <w:color w:val="auto"/>
          <w:sz w:val="32"/>
          <w:highlight w:val="none"/>
        </w:rPr>
      </w:pPr>
      <w:bookmarkStart w:id="33" w:name="投票汇总表格"/>
      <w:r>
        <w:rPr>
          <w:rFonts w:hint="eastAsia" w:ascii="宋体" w:hAnsi="宋体"/>
          <w:b/>
          <w:strike/>
          <w:color w:val="auto"/>
          <w:sz w:val="32"/>
          <w:highlight w:val="none"/>
        </w:rPr>
        <w:t>投票汇总表格</w:t>
      </w:r>
    </w:p>
    <w:bookmarkEnd w:id="33"/>
    <w:p>
      <w:pPr>
        <w:rPr>
          <w:rFonts w:ascii="宋体" w:hAnsi="宋体"/>
          <w:strike/>
          <w:color w:val="auto"/>
          <w:highlight w:val="none"/>
        </w:rPr>
      </w:pPr>
      <w:r>
        <w:rPr>
          <w:rFonts w:hint="eastAsia" w:ascii="宋体" w:hAnsi="宋体"/>
          <w:strike/>
          <w:color w:val="auto"/>
          <w:highlight w:val="none"/>
        </w:rPr>
        <w:t>项目名称：                                                                                       日期：       年    月    日</w:t>
      </w:r>
    </w:p>
    <w:tbl>
      <w:tblPr>
        <w:tblStyle w:val="29"/>
        <w:tblW w:w="141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方案编号</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第一轮得票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第二轮得票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第三轮得票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第四轮得票</w:t>
            </w:r>
          </w:p>
        </w:tc>
        <w:tc>
          <w:tcPr>
            <w:tcW w:w="2708" w:type="dxa"/>
            <w:gridSpan w:val="4"/>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每轮得票相同的排序</w:t>
            </w:r>
          </w:p>
        </w:tc>
        <w:tc>
          <w:tcPr>
            <w:tcW w:w="1275"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排列名次</w:t>
            </w:r>
          </w:p>
        </w:tc>
        <w:tc>
          <w:tcPr>
            <w:tcW w:w="3045"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投标人名称</w:t>
            </w:r>
          </w:p>
          <w:p>
            <w:pPr>
              <w:spacing w:line="360" w:lineRule="auto"/>
              <w:jc w:val="center"/>
              <w:rPr>
                <w:rFonts w:ascii="宋体" w:hAnsi="宋体"/>
                <w:strike/>
                <w:color w:val="auto"/>
                <w:highlight w:val="none"/>
              </w:rPr>
            </w:pPr>
            <w:r>
              <w:rPr>
                <w:rFonts w:hint="eastAsia" w:ascii="宋体" w:hAnsi="宋体"/>
                <w:strike/>
                <w:color w:val="auto"/>
                <w:highlight w:val="none"/>
              </w:rPr>
              <w:t>（代表）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1</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2</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3</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4</w:t>
            </w:r>
          </w:p>
        </w:tc>
        <w:tc>
          <w:tcPr>
            <w:tcW w:w="1275" w:type="dxa"/>
            <w:vMerge w:val="continue"/>
          </w:tcPr>
          <w:p>
            <w:pPr>
              <w:spacing w:line="360" w:lineRule="auto"/>
              <w:jc w:val="center"/>
              <w:rPr>
                <w:rFonts w:ascii="宋体" w:hAnsi="宋体"/>
                <w:strike/>
                <w:color w:val="auto"/>
                <w:highlight w:val="none"/>
              </w:rPr>
            </w:pPr>
          </w:p>
        </w:tc>
        <w:tc>
          <w:tcPr>
            <w:tcW w:w="3045" w:type="dxa"/>
            <w:vMerge w:val="continue"/>
          </w:tcPr>
          <w:p>
            <w:pPr>
              <w:spacing w:line="360" w:lineRule="auto"/>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1</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2</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3</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4</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5</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6</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7</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8</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9</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10</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vAlign w:val="bottom"/>
          </w:tcPr>
          <w:p>
            <w:pPr>
              <w:spacing w:line="480" w:lineRule="auto"/>
              <w:jc w:val="center"/>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1275" w:type="dxa"/>
            <w:vAlign w:val="bottom"/>
          </w:tcPr>
          <w:p>
            <w:pPr>
              <w:spacing w:line="480" w:lineRule="auto"/>
              <w:jc w:val="center"/>
              <w:rPr>
                <w:rFonts w:ascii="宋体" w:hAnsi="宋体"/>
                <w:strike/>
                <w:color w:val="auto"/>
                <w:highlight w:val="none"/>
              </w:rPr>
            </w:pPr>
          </w:p>
        </w:tc>
        <w:tc>
          <w:tcPr>
            <w:tcW w:w="3045" w:type="dxa"/>
            <w:vAlign w:val="bottom"/>
          </w:tcPr>
          <w:p>
            <w:pPr>
              <w:spacing w:line="480" w:lineRule="auto"/>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vAlign w:val="bottom"/>
          </w:tcPr>
          <w:p>
            <w:pPr>
              <w:spacing w:line="480" w:lineRule="auto"/>
              <w:jc w:val="center"/>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1275" w:type="dxa"/>
            <w:vAlign w:val="bottom"/>
          </w:tcPr>
          <w:p>
            <w:pPr>
              <w:spacing w:line="480" w:lineRule="auto"/>
              <w:jc w:val="center"/>
              <w:rPr>
                <w:rFonts w:ascii="宋体" w:hAnsi="宋体"/>
                <w:strike/>
                <w:color w:val="auto"/>
                <w:highlight w:val="none"/>
              </w:rPr>
            </w:pPr>
          </w:p>
        </w:tc>
        <w:tc>
          <w:tcPr>
            <w:tcW w:w="3045" w:type="dxa"/>
            <w:vAlign w:val="bottom"/>
          </w:tcPr>
          <w:p>
            <w:pPr>
              <w:spacing w:line="480" w:lineRule="auto"/>
              <w:jc w:val="center"/>
              <w:rPr>
                <w:rFonts w:ascii="宋体" w:hAnsi="宋体"/>
                <w:strike/>
                <w:color w:val="auto"/>
                <w:highlight w:val="none"/>
              </w:rPr>
            </w:pPr>
          </w:p>
        </w:tc>
      </w:tr>
    </w:tbl>
    <w:p>
      <w:pPr>
        <w:rPr>
          <w:rFonts w:ascii="宋体" w:hAnsi="宋体"/>
          <w:strike/>
          <w:color w:val="auto"/>
          <w:highlight w:val="none"/>
        </w:rPr>
      </w:pPr>
      <w:r>
        <w:rPr>
          <w:rFonts w:hint="eastAsia" w:ascii="宋体" w:hAnsi="宋体"/>
          <w:strike/>
          <w:color w:val="auto"/>
          <w:highlight w:val="none"/>
        </w:rPr>
        <w:t>计票人：           见证人：           代理机构代表：             评标委员会全体成员签字：</w:t>
      </w:r>
    </w:p>
    <w:p>
      <w:pPr>
        <w:outlineLvl w:val="1"/>
        <w:rPr>
          <w:rFonts w:ascii="宋体" w:hAnsi="宋体"/>
          <w:strike/>
          <w:color w:val="auto"/>
          <w:sz w:val="24"/>
          <w:highlight w:val="none"/>
        </w:rPr>
      </w:pPr>
      <w:r>
        <w:rPr>
          <w:rFonts w:ascii="宋体" w:hAnsi="宋体"/>
          <w:strike/>
          <w:color w:val="auto"/>
          <w:highlight w:val="none"/>
        </w:rPr>
        <w:br w:type="page"/>
      </w:r>
      <w:r>
        <w:rPr>
          <w:rFonts w:ascii="宋体" w:hAnsi="宋体"/>
          <w:b/>
          <w:bCs/>
          <w:strike/>
          <w:color w:val="auto"/>
          <w:sz w:val="24"/>
          <w:highlight w:val="none"/>
        </w:rPr>
        <w:t xml:space="preserve"> </w:t>
      </w:r>
      <w:r>
        <w:rPr>
          <w:rFonts w:hint="eastAsia" w:ascii="宋体" w:hAnsi="宋体"/>
          <w:b/>
          <w:bCs/>
          <w:strike/>
          <w:color w:val="auto"/>
          <w:sz w:val="24"/>
          <w:highlight w:val="none"/>
        </w:rPr>
        <w:t>附录18</w:t>
      </w:r>
      <w:r>
        <w:rPr>
          <w:rFonts w:hint="eastAsia" w:ascii="宋体" w:hAnsi="宋体"/>
          <w:bCs/>
          <w:strike/>
          <w:color w:val="auto"/>
          <w:sz w:val="24"/>
          <w:highlight w:val="none"/>
        </w:rPr>
        <w:t>（适用于投票法）</w:t>
      </w:r>
    </w:p>
    <w:p>
      <w:pPr>
        <w:jc w:val="center"/>
        <w:rPr>
          <w:rFonts w:ascii="宋体" w:hAnsi="宋体"/>
          <w:strike/>
          <w:color w:val="auto"/>
          <w:sz w:val="24"/>
          <w:highlight w:val="none"/>
        </w:rPr>
      </w:pPr>
      <w:bookmarkStart w:id="34" w:name="市政工程设计方案评审记录表"/>
      <w:r>
        <w:rPr>
          <w:rFonts w:hint="eastAsia" w:ascii="宋体" w:hAnsi="宋体"/>
          <w:b/>
          <w:bCs/>
          <w:strike/>
          <w:color w:val="auto"/>
          <w:sz w:val="32"/>
          <w:highlight w:val="none"/>
        </w:rPr>
        <w:t>市政工程设计方案评审记录表</w:t>
      </w:r>
    </w:p>
    <w:bookmarkEnd w:id="34"/>
    <w:p>
      <w:pPr>
        <w:rPr>
          <w:rFonts w:ascii="宋体" w:hAnsi="宋体"/>
          <w:strike/>
          <w:color w:val="auto"/>
          <w:highlight w:val="none"/>
        </w:rPr>
      </w:pPr>
      <w:r>
        <w:rPr>
          <w:rFonts w:hint="eastAsia" w:ascii="宋体" w:hAnsi="宋体"/>
          <w:strike/>
          <w:color w:val="auto"/>
          <w:highlight w:val="none"/>
        </w:rPr>
        <w:t>项目名称：</w:t>
      </w:r>
    </w:p>
    <w:tbl>
      <w:tblPr>
        <w:tblStyle w:val="29"/>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tcPr>
          <w:p>
            <w:pPr>
              <w:jc w:val="center"/>
              <w:rPr>
                <w:rFonts w:ascii="宋体" w:hAnsi="宋体"/>
                <w:strike/>
                <w:color w:val="auto"/>
                <w:highlight w:val="none"/>
              </w:rPr>
            </w:pPr>
            <w:r>
              <w:rPr>
                <w:rFonts w:hint="eastAsia" w:ascii="宋体" w:hAnsi="宋体"/>
                <w:strike/>
                <w:color w:val="auto"/>
                <w:highlight w:val="none"/>
              </w:rPr>
              <w:t>序号</w:t>
            </w:r>
          </w:p>
        </w:tc>
        <w:tc>
          <w:tcPr>
            <w:tcW w:w="7992" w:type="dxa"/>
          </w:tcPr>
          <w:p>
            <w:pPr>
              <w:jc w:val="center"/>
              <w:rPr>
                <w:rFonts w:ascii="宋体" w:hAnsi="宋体"/>
                <w:strike/>
                <w:color w:val="auto"/>
                <w:highlight w:val="none"/>
              </w:rPr>
            </w:pPr>
            <w:r>
              <w:rPr>
                <w:rFonts w:hint="eastAsia" w:ascii="宋体" w:hAnsi="宋体"/>
                <w:strike/>
                <w:color w:val="auto"/>
                <w:highlight w:val="none"/>
              </w:rPr>
              <w:t>主要评判因素</w:t>
            </w:r>
          </w:p>
        </w:tc>
        <w:tc>
          <w:tcPr>
            <w:tcW w:w="1548" w:type="dxa"/>
          </w:tcPr>
          <w:p>
            <w:pPr>
              <w:jc w:val="center"/>
              <w:rPr>
                <w:rFonts w:ascii="宋体" w:hAnsi="宋体"/>
                <w:strike/>
                <w:color w:val="auto"/>
                <w:highlight w:val="none"/>
              </w:rPr>
            </w:pPr>
            <w:r>
              <w:rPr>
                <w:rFonts w:hint="eastAsia" w:ascii="宋体" w:hAnsi="宋体"/>
                <w:strike/>
                <w:color w:val="auto"/>
                <w:highlight w:val="none"/>
              </w:rPr>
              <w:t>较好方案</w:t>
            </w:r>
          </w:p>
        </w:tc>
        <w:tc>
          <w:tcPr>
            <w:tcW w:w="1440" w:type="dxa"/>
          </w:tcPr>
          <w:p>
            <w:pPr>
              <w:jc w:val="center"/>
              <w:rPr>
                <w:rFonts w:ascii="宋体" w:hAnsi="宋体"/>
                <w:strike/>
                <w:color w:val="auto"/>
                <w:highlight w:val="none"/>
              </w:rPr>
            </w:pPr>
            <w:r>
              <w:rPr>
                <w:rFonts w:hint="eastAsia" w:ascii="宋体" w:hAnsi="宋体"/>
                <w:strike/>
                <w:color w:val="auto"/>
                <w:highlight w:val="none"/>
              </w:rPr>
              <w:t>一般方案</w:t>
            </w:r>
          </w:p>
        </w:tc>
        <w:tc>
          <w:tcPr>
            <w:tcW w:w="1440" w:type="dxa"/>
          </w:tcPr>
          <w:p>
            <w:pPr>
              <w:jc w:val="center"/>
              <w:rPr>
                <w:rFonts w:ascii="宋体" w:hAnsi="宋体"/>
                <w:strike/>
                <w:color w:val="auto"/>
                <w:highlight w:val="none"/>
              </w:rPr>
            </w:pPr>
            <w:r>
              <w:rPr>
                <w:rFonts w:hint="eastAsia" w:ascii="宋体" w:hAnsi="宋体"/>
                <w:strike/>
                <w:color w:val="auto"/>
                <w:highlight w:val="non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 xml:space="preserve">1整体设计 </w:t>
            </w:r>
          </w:p>
        </w:tc>
        <w:tc>
          <w:tcPr>
            <w:tcW w:w="7992" w:type="dxa"/>
            <w:vAlign w:val="center"/>
          </w:tcPr>
          <w:p>
            <w:pPr>
              <w:rPr>
                <w:rFonts w:ascii="宋体" w:hAnsi="宋体"/>
                <w:strike/>
                <w:color w:val="auto"/>
                <w:highlight w:val="none"/>
              </w:rPr>
            </w:pPr>
            <w:r>
              <w:rPr>
                <w:strike/>
                <w:color w:val="auto"/>
                <w:szCs w:val="21"/>
                <w:highlight w:val="none"/>
                <w:lang w:val="zh-CN"/>
              </w:rPr>
              <w:t>整个设计内容符合招标文件要求，内容全面，设计总说明书文字表达清楚、思路清晰、重点和难点突出、图纸及文卷质量高。</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2规划</w:t>
            </w:r>
          </w:p>
        </w:tc>
        <w:tc>
          <w:tcPr>
            <w:tcW w:w="7992" w:type="dxa"/>
            <w:vAlign w:val="center"/>
          </w:tcPr>
          <w:p>
            <w:pPr>
              <w:rPr>
                <w:rFonts w:ascii="宋体" w:hAnsi="宋体"/>
                <w:strike/>
                <w:color w:val="auto"/>
                <w:highlight w:val="none"/>
              </w:rPr>
            </w:pPr>
            <w:r>
              <w:rPr>
                <w:rFonts w:hAnsi="宋体"/>
                <w:strike/>
                <w:color w:val="auto"/>
                <w:szCs w:val="21"/>
                <w:highlight w:val="none"/>
                <w:lang w:val="zh-CN"/>
              </w:rPr>
              <w:t>正确理解并执行规划建设意图，与周边路网、管网规划协调一致；对区域内路网的交通组织完善合理，总体思路清晰；路线平、纵、横等设计科学合理；道路、桥涵、排水之间的关系处理得当。</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3</w:t>
            </w:r>
            <w:r>
              <w:rPr>
                <w:rFonts w:hAnsi="宋体"/>
                <w:strike/>
                <w:color w:val="auto"/>
                <w:szCs w:val="21"/>
                <w:highlight w:val="none"/>
                <w:lang w:val="zh-CN"/>
              </w:rPr>
              <w:t>交叉节点</w:t>
            </w:r>
          </w:p>
        </w:tc>
        <w:tc>
          <w:tcPr>
            <w:tcW w:w="7992" w:type="dxa"/>
            <w:vAlign w:val="center"/>
          </w:tcPr>
          <w:p>
            <w:pPr>
              <w:rPr>
                <w:rFonts w:ascii="宋体" w:hAnsi="宋体"/>
                <w:strike/>
                <w:color w:val="auto"/>
                <w:highlight w:val="none"/>
              </w:rPr>
            </w:pPr>
            <w:r>
              <w:rPr>
                <w:rFonts w:hAnsi="宋体"/>
                <w:strike/>
                <w:color w:val="auto"/>
                <w:szCs w:val="21"/>
                <w:highlight w:val="none"/>
                <w:lang w:val="zh-CN"/>
              </w:rPr>
              <w:t>交叉节点功能定位合理；平、纵、横等设计指标符合规范且标准较高，技术措施优良。</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4</w:t>
            </w:r>
            <w:r>
              <w:rPr>
                <w:rFonts w:hAnsi="宋体"/>
                <w:strike/>
                <w:color w:val="auto"/>
                <w:szCs w:val="21"/>
                <w:highlight w:val="none"/>
                <w:lang w:val="zh-CN"/>
              </w:rPr>
              <w:t>桥梁</w:t>
            </w:r>
          </w:p>
        </w:tc>
        <w:tc>
          <w:tcPr>
            <w:tcW w:w="7992" w:type="dxa"/>
            <w:vAlign w:val="center"/>
          </w:tcPr>
          <w:p>
            <w:pPr>
              <w:rPr>
                <w:rFonts w:ascii="宋体" w:hAnsi="宋体"/>
                <w:strike/>
                <w:color w:val="auto"/>
                <w:highlight w:val="none"/>
              </w:rPr>
            </w:pPr>
            <w:r>
              <w:rPr>
                <w:rFonts w:hAnsi="宋体"/>
                <w:strike/>
                <w:color w:val="auto"/>
                <w:szCs w:val="21"/>
                <w:highlight w:val="none"/>
                <w:lang w:val="zh-CN"/>
              </w:rPr>
              <w:t>桥梁结构方案合理，满足安全性、经济性、工艺可行、有所创新、造型优美；各构件体量比例恰当、景观与功能协调统一。</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5</w:t>
            </w:r>
            <w:r>
              <w:rPr>
                <w:rFonts w:hAnsi="宋体"/>
                <w:strike/>
                <w:color w:val="auto"/>
                <w:szCs w:val="21"/>
                <w:highlight w:val="none"/>
                <w:lang w:val="zh-CN"/>
              </w:rPr>
              <w:t>路基</w:t>
            </w:r>
          </w:p>
        </w:tc>
        <w:tc>
          <w:tcPr>
            <w:tcW w:w="7992" w:type="dxa"/>
            <w:vAlign w:val="center"/>
          </w:tcPr>
          <w:p>
            <w:pPr>
              <w:rPr>
                <w:rFonts w:ascii="宋体" w:hAnsi="宋体"/>
                <w:strike/>
                <w:color w:val="auto"/>
                <w:highlight w:val="none"/>
              </w:rPr>
            </w:pPr>
            <w:r>
              <w:rPr>
                <w:rFonts w:hAnsi="宋体"/>
                <w:strike/>
                <w:color w:val="auto"/>
                <w:szCs w:val="21"/>
                <w:highlight w:val="none"/>
                <w:lang w:val="zh-CN"/>
              </w:rPr>
              <w:t>路基路面、不良地基处理、护坡及挡土墙等基础工程的设计安全、合理、经济且能满足工期的要求；土方平衡合理。</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6</w:t>
            </w:r>
            <w:r>
              <w:rPr>
                <w:rFonts w:hAnsi="宋体"/>
                <w:strike/>
                <w:color w:val="auto"/>
                <w:szCs w:val="21"/>
                <w:highlight w:val="none"/>
                <w:lang w:val="zh-CN"/>
              </w:rPr>
              <w:t>公用设施</w:t>
            </w:r>
          </w:p>
        </w:tc>
        <w:tc>
          <w:tcPr>
            <w:tcW w:w="7992" w:type="dxa"/>
            <w:vAlign w:val="center"/>
          </w:tcPr>
          <w:p>
            <w:pPr>
              <w:rPr>
                <w:rFonts w:ascii="宋体" w:hAnsi="宋体"/>
                <w:strike/>
                <w:color w:val="auto"/>
                <w:highlight w:val="none"/>
              </w:rPr>
            </w:pPr>
            <w:r>
              <w:rPr>
                <w:rFonts w:hAnsi="宋体"/>
                <w:strike/>
                <w:color w:val="auto"/>
                <w:szCs w:val="21"/>
                <w:highlight w:val="none"/>
                <w:lang w:val="zh-CN"/>
              </w:rPr>
              <w:t>道路公用设施（公共交通站点布置、绿化照明、行人设施、道路元素等）设计科学合理、处理得当、特点鲜明。</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7</w:t>
            </w:r>
            <w:r>
              <w:rPr>
                <w:rFonts w:hAnsi="宋体"/>
                <w:strike/>
                <w:color w:val="auto"/>
                <w:szCs w:val="21"/>
                <w:highlight w:val="none"/>
                <w:lang w:val="zh-CN"/>
              </w:rPr>
              <w:t>综合管线</w:t>
            </w:r>
          </w:p>
        </w:tc>
        <w:tc>
          <w:tcPr>
            <w:tcW w:w="7992" w:type="dxa"/>
            <w:vAlign w:val="center"/>
          </w:tcPr>
          <w:p>
            <w:pPr>
              <w:rPr>
                <w:rFonts w:ascii="宋体" w:hAnsi="宋体"/>
                <w:strike/>
                <w:color w:val="auto"/>
                <w:highlight w:val="none"/>
              </w:rPr>
            </w:pPr>
            <w:r>
              <w:rPr>
                <w:rFonts w:hAnsi="宋体"/>
                <w:strike/>
                <w:color w:val="auto"/>
                <w:szCs w:val="21"/>
                <w:highlight w:val="none"/>
                <w:lang w:val="zh-CN"/>
              </w:rPr>
              <w:t>综合管线的布置形式系统、合理、经济、实用；管理模式先进合理；能充分考虑与市政道路的衔接与协调。</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8排水设施</w:t>
            </w:r>
          </w:p>
        </w:tc>
        <w:tc>
          <w:tcPr>
            <w:tcW w:w="7992" w:type="dxa"/>
            <w:vAlign w:val="center"/>
          </w:tcPr>
          <w:p>
            <w:pPr>
              <w:rPr>
                <w:rFonts w:ascii="宋体" w:hAnsi="宋体"/>
                <w:strike/>
                <w:color w:val="auto"/>
                <w:highlight w:val="none"/>
              </w:rPr>
            </w:pPr>
            <w:r>
              <w:rPr>
                <w:strike/>
                <w:color w:val="auto"/>
                <w:highlight w:val="none"/>
              </w:rPr>
              <w:t>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r>
              <w:rPr>
                <w:rFonts w:hint="eastAsia"/>
                <w:strike/>
                <w:color w:val="auto"/>
                <w:highlight w:val="none"/>
              </w:rPr>
              <w:t>。</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9施工期交通</w:t>
            </w:r>
          </w:p>
        </w:tc>
        <w:tc>
          <w:tcPr>
            <w:tcW w:w="7992" w:type="dxa"/>
            <w:vAlign w:val="center"/>
          </w:tcPr>
          <w:p>
            <w:pPr>
              <w:rPr>
                <w:rFonts w:ascii="宋体" w:hAnsi="宋体"/>
                <w:strike/>
                <w:color w:val="auto"/>
                <w:highlight w:val="none"/>
              </w:rPr>
            </w:pPr>
            <w:r>
              <w:rPr>
                <w:rFonts w:hAnsi="宋体"/>
                <w:strike/>
                <w:color w:val="auto"/>
                <w:szCs w:val="21"/>
                <w:highlight w:val="none"/>
                <w:lang w:val="zh-CN"/>
              </w:rPr>
              <w:t>施工期间交通组织、施工实施方案切合实际。</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10重点难点分析</w:t>
            </w:r>
          </w:p>
        </w:tc>
        <w:tc>
          <w:tcPr>
            <w:tcW w:w="7992" w:type="dxa"/>
            <w:vAlign w:val="center"/>
          </w:tcPr>
          <w:p>
            <w:pPr>
              <w:rPr>
                <w:rFonts w:ascii="宋体" w:hAnsi="宋体"/>
                <w:strike/>
                <w:color w:val="auto"/>
                <w:highlight w:val="none"/>
              </w:rPr>
            </w:pPr>
            <w:r>
              <w:rPr>
                <w:rFonts w:hAnsi="宋体"/>
                <w:strike/>
                <w:color w:val="auto"/>
                <w:szCs w:val="21"/>
                <w:highlight w:val="none"/>
                <w:lang w:val="zh-CN"/>
              </w:rPr>
              <w:t>工程建设和使用的重点、难点分析透彻，解决措施合理。</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11勘察方案</w:t>
            </w:r>
          </w:p>
        </w:tc>
        <w:tc>
          <w:tcPr>
            <w:tcW w:w="7992" w:type="dxa"/>
            <w:vAlign w:val="center"/>
          </w:tcPr>
          <w:p>
            <w:pPr>
              <w:rPr>
                <w:rFonts w:ascii="宋体" w:hAnsi="宋体"/>
                <w:strike/>
                <w:color w:val="auto"/>
                <w:highlight w:val="none"/>
              </w:rPr>
            </w:pPr>
            <w:r>
              <w:rPr>
                <w:strike/>
                <w:color w:val="auto"/>
                <w:highlight w:val="none"/>
              </w:rPr>
              <w:t>勘察方案</w:t>
            </w:r>
            <w:r>
              <w:rPr>
                <w:rFonts w:hint="eastAsia"/>
                <w:strike/>
                <w:color w:val="auto"/>
                <w:highlight w:val="none"/>
              </w:rPr>
              <w:t>合理</w:t>
            </w:r>
            <w:r>
              <w:rPr>
                <w:strike/>
                <w:color w:val="auto"/>
                <w:highlight w:val="none"/>
              </w:rPr>
              <w:t>可行，勘察的</w:t>
            </w:r>
            <w:r>
              <w:rPr>
                <w:rFonts w:hint="eastAsia"/>
                <w:strike/>
                <w:color w:val="auto"/>
                <w:highlight w:val="none"/>
              </w:rPr>
              <w:t>重点、</w:t>
            </w:r>
            <w:r>
              <w:rPr>
                <w:strike/>
                <w:color w:val="auto"/>
                <w:highlight w:val="none"/>
              </w:rPr>
              <w:t>难点理解准确，</w:t>
            </w:r>
            <w:r>
              <w:rPr>
                <w:rFonts w:hint="eastAsia"/>
                <w:strike/>
                <w:color w:val="auto"/>
                <w:highlight w:val="none"/>
              </w:rPr>
              <w:t>建议</w:t>
            </w:r>
            <w:r>
              <w:rPr>
                <w:strike/>
                <w:color w:val="auto"/>
                <w:highlight w:val="none"/>
              </w:rPr>
              <w:t>合理可行；勘察工作流程规范，工期进度计划合理可行</w:t>
            </w:r>
            <w:r>
              <w:rPr>
                <w:rFonts w:hint="eastAsia"/>
                <w:strike/>
                <w:color w:val="auto"/>
                <w:highlight w:val="none"/>
              </w:rPr>
              <w:t>。</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12总投资</w:t>
            </w:r>
          </w:p>
        </w:tc>
        <w:tc>
          <w:tcPr>
            <w:tcW w:w="7992" w:type="dxa"/>
            <w:vAlign w:val="center"/>
          </w:tcPr>
          <w:p>
            <w:pPr>
              <w:rPr>
                <w:rFonts w:ascii="宋体" w:hAnsi="宋体"/>
                <w:strike/>
                <w:color w:val="auto"/>
                <w:highlight w:val="none"/>
              </w:rPr>
            </w:pPr>
            <w:r>
              <w:rPr>
                <w:strike/>
                <w:color w:val="auto"/>
                <w:szCs w:val="21"/>
                <w:highlight w:val="none"/>
                <w:lang w:val="zh-CN"/>
              </w:rPr>
              <w:t>工程总投资合理，节约工程总投资的措施及理由合理、可信、可行。</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13投资估算</w:t>
            </w:r>
          </w:p>
        </w:tc>
        <w:tc>
          <w:tcPr>
            <w:tcW w:w="7992" w:type="dxa"/>
            <w:vAlign w:val="center"/>
          </w:tcPr>
          <w:p>
            <w:pPr>
              <w:rPr>
                <w:rFonts w:ascii="宋体" w:hAnsi="宋体"/>
                <w:strike/>
                <w:color w:val="auto"/>
                <w:highlight w:val="none"/>
              </w:rPr>
            </w:pPr>
            <w:r>
              <w:rPr>
                <w:strike/>
                <w:color w:val="auto"/>
                <w:szCs w:val="21"/>
                <w:highlight w:val="none"/>
                <w:lang w:val="zh-CN"/>
              </w:rPr>
              <w:t>投资估算编制依据正确，达到相应的深度要求，编制质量高。</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vAlign w:val="center"/>
          </w:tcPr>
          <w:p>
            <w:pPr>
              <w:jc w:val="center"/>
              <w:rPr>
                <w:rFonts w:ascii="宋体" w:hAnsi="宋体"/>
                <w:strike/>
                <w:color w:val="auto"/>
                <w:highlight w:val="none"/>
              </w:rPr>
            </w:pPr>
            <w:r>
              <w:rPr>
                <w:rFonts w:hint="eastAsia" w:ascii="宋体" w:hAnsi="宋体"/>
                <w:strike/>
                <w:color w:val="auto"/>
                <w:highlight w:val="none"/>
              </w:rPr>
              <w:t>综合评价</w:t>
            </w:r>
          </w:p>
        </w:tc>
        <w:tc>
          <w:tcPr>
            <w:tcW w:w="7992" w:type="dxa"/>
          </w:tcPr>
          <w:p>
            <w:pPr>
              <w:rPr>
                <w:rFonts w:ascii="宋体" w:hAnsi="宋体"/>
                <w:strike/>
                <w:color w:val="auto"/>
                <w:highlight w:val="none"/>
              </w:rPr>
            </w:pP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bl>
    <w:p>
      <w:pPr>
        <w:rPr>
          <w:rFonts w:ascii="宋体" w:hAnsi="宋体"/>
          <w:strike/>
          <w:color w:val="auto"/>
          <w:highlight w:val="none"/>
        </w:rPr>
      </w:pPr>
      <w:r>
        <w:rPr>
          <w:rFonts w:hint="eastAsia" w:ascii="宋体" w:hAnsi="宋体"/>
          <w:strike/>
          <w:color w:val="auto"/>
          <w:highlight w:val="none"/>
        </w:rPr>
        <w:t>招标人可以根据项目类型、特点、设计价值观等情况增删评判因素。</w:t>
      </w:r>
    </w:p>
    <w:p>
      <w:pPr>
        <w:rPr>
          <w:rFonts w:ascii="宋体" w:hAnsi="宋体"/>
          <w:b/>
          <w:bCs/>
          <w:strike/>
          <w:color w:val="auto"/>
          <w:sz w:val="24"/>
          <w:highlight w:val="none"/>
        </w:rPr>
      </w:pPr>
      <w:r>
        <w:rPr>
          <w:rFonts w:hint="eastAsia" w:ascii="宋体" w:hAnsi="宋体"/>
          <w:strike/>
          <w:color w:val="auto"/>
          <w:highlight w:val="none"/>
        </w:rPr>
        <w:t>评委签名：                                                                                       日期：       年    月    日</w:t>
      </w:r>
    </w:p>
    <w:p>
      <w:pPr>
        <w:rPr>
          <w:rFonts w:ascii="宋体" w:hAnsi="宋体"/>
          <w:strike/>
          <w:color w:val="auto"/>
          <w:sz w:val="24"/>
          <w:highlight w:val="none"/>
        </w:rPr>
        <w:sectPr>
          <w:pgSz w:w="16838" w:h="11906" w:orient="landscape"/>
          <w:pgMar w:top="1418" w:right="1418" w:bottom="1418" w:left="1418" w:header="851" w:footer="992" w:gutter="0"/>
          <w:pgNumType w:fmt="decimal"/>
          <w:cols w:space="720" w:num="1"/>
          <w:docGrid w:linePitch="312" w:charSpace="0"/>
        </w:sectPr>
      </w:pPr>
    </w:p>
    <w:p>
      <w:pPr>
        <w:outlineLvl w:val="1"/>
        <w:rPr>
          <w:rFonts w:ascii="宋体" w:hAnsi="宋体"/>
          <w:b/>
          <w:bCs/>
          <w:strike/>
          <w:color w:val="auto"/>
          <w:sz w:val="24"/>
          <w:highlight w:val="none"/>
        </w:rPr>
      </w:pPr>
      <w:r>
        <w:rPr>
          <w:rFonts w:hint="eastAsia" w:ascii="宋体" w:hAnsi="宋体"/>
          <w:b/>
          <w:bCs/>
          <w:strike/>
          <w:color w:val="auto"/>
          <w:sz w:val="24"/>
          <w:highlight w:val="none"/>
        </w:rPr>
        <w:t>附录19</w:t>
      </w:r>
      <w:r>
        <w:rPr>
          <w:rFonts w:hint="eastAsia" w:ascii="宋体" w:hAnsi="宋体"/>
          <w:strike/>
          <w:color w:val="auto"/>
          <w:sz w:val="24"/>
          <w:highlight w:val="none"/>
        </w:rPr>
        <w:t>（适用于投票法）</w:t>
      </w:r>
    </w:p>
    <w:p>
      <w:pPr>
        <w:pStyle w:val="18"/>
        <w:jc w:val="center"/>
        <w:rPr>
          <w:rFonts w:hAnsi="宋体"/>
          <w:b/>
          <w:strike/>
          <w:color w:val="auto"/>
          <w:sz w:val="32"/>
          <w:highlight w:val="none"/>
        </w:rPr>
      </w:pPr>
      <w:bookmarkStart w:id="35" w:name="投票表格"/>
      <w:r>
        <w:rPr>
          <w:rFonts w:hint="eastAsia" w:hAnsi="宋体"/>
          <w:b/>
          <w:strike/>
          <w:color w:val="auto"/>
          <w:sz w:val="32"/>
          <w:highlight w:val="none"/>
        </w:rPr>
        <w:t>投票表格</w:t>
      </w:r>
    </w:p>
    <w:bookmarkEnd w:id="35"/>
    <w:p>
      <w:pPr>
        <w:rPr>
          <w:rFonts w:ascii="宋体" w:hAnsi="宋体"/>
          <w:strike/>
          <w:color w:val="auto"/>
          <w:sz w:val="24"/>
          <w:highlight w:val="none"/>
        </w:rPr>
      </w:pPr>
    </w:p>
    <w:p>
      <w:pPr>
        <w:spacing w:line="400" w:lineRule="exact"/>
        <w:rPr>
          <w:rFonts w:ascii="宋体" w:hAnsi="宋体"/>
          <w:strike/>
          <w:color w:val="auto"/>
          <w:highlight w:val="none"/>
        </w:rPr>
      </w:pPr>
      <w:r>
        <w:rPr>
          <w:rFonts w:hint="eastAsia" w:ascii="宋体" w:hAnsi="宋体"/>
          <w:strike/>
          <w:color w:val="auto"/>
          <w:highlight w:val="none"/>
        </w:rPr>
        <w:t>项目名称：</w:t>
      </w:r>
      <w:r>
        <w:rPr>
          <w:rFonts w:hint="eastAsia" w:ascii="宋体" w:hAnsi="宋体"/>
          <w:strike/>
          <w:color w:val="auto"/>
          <w:highlight w:val="none"/>
          <w:u w:val="single"/>
        </w:rPr>
        <w:t xml:space="preserve">                             </w:t>
      </w:r>
    </w:p>
    <w:p>
      <w:pPr>
        <w:spacing w:line="400" w:lineRule="exact"/>
        <w:rPr>
          <w:rFonts w:ascii="宋体" w:hAnsi="宋体"/>
          <w:strike/>
          <w:color w:val="auto"/>
          <w:highlight w:val="none"/>
        </w:rPr>
      </w:pPr>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917" w:type="dxa"/>
            <w:tcBorders>
              <w:top w:val="double" w:color="auto" w:sz="4" w:space="0"/>
              <w:left w:val="sing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7"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7"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7"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right w:val="double" w:color="auto" w:sz="4" w:space="0"/>
            </w:tcBorders>
          </w:tcPr>
          <w:p>
            <w:pPr>
              <w:spacing w:line="400" w:lineRule="exac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1835" w:type="dxa"/>
            <w:gridSpan w:val="2"/>
            <w:tcBorders>
              <w:top w:val="double" w:color="auto" w:sz="4" w:space="0"/>
              <w:left w:val="single" w:color="auto" w:sz="4" w:space="0"/>
              <w:bottom w:val="double" w:color="auto" w:sz="4" w:space="0"/>
            </w:tcBorders>
          </w:tcPr>
          <w:p>
            <w:pPr>
              <w:spacing w:line="400" w:lineRule="exact"/>
              <w:rPr>
                <w:rFonts w:ascii="宋体" w:hAnsi="宋体"/>
                <w:strike/>
                <w:color w:val="auto"/>
                <w:highlight w:val="none"/>
              </w:rPr>
            </w:pPr>
          </w:p>
        </w:tc>
        <w:tc>
          <w:tcPr>
            <w:tcW w:w="1835" w:type="dxa"/>
            <w:gridSpan w:val="2"/>
            <w:tcBorders>
              <w:top w:val="double" w:color="auto" w:sz="4" w:space="0"/>
              <w:bottom w:val="double" w:color="auto" w:sz="4" w:space="0"/>
            </w:tcBorders>
          </w:tcPr>
          <w:p>
            <w:pPr>
              <w:spacing w:line="400" w:lineRule="exact"/>
              <w:rPr>
                <w:rFonts w:ascii="宋体" w:hAnsi="宋体"/>
                <w:strike/>
                <w:color w:val="auto"/>
                <w:highlight w:val="none"/>
              </w:rPr>
            </w:pPr>
          </w:p>
        </w:tc>
        <w:tc>
          <w:tcPr>
            <w:tcW w:w="1835" w:type="dxa"/>
            <w:gridSpan w:val="2"/>
            <w:tcBorders>
              <w:top w:val="double" w:color="auto" w:sz="4" w:space="0"/>
              <w:bottom w:val="double" w:color="auto" w:sz="4" w:space="0"/>
            </w:tcBorders>
          </w:tcPr>
          <w:p>
            <w:pPr>
              <w:spacing w:line="400" w:lineRule="exact"/>
              <w:rPr>
                <w:rFonts w:ascii="宋体" w:hAnsi="宋体"/>
                <w:strike/>
                <w:color w:val="auto"/>
                <w:highlight w:val="none"/>
              </w:rPr>
            </w:pPr>
          </w:p>
        </w:tc>
        <w:tc>
          <w:tcPr>
            <w:tcW w:w="1835" w:type="dxa"/>
            <w:gridSpan w:val="2"/>
            <w:tcBorders>
              <w:top w:val="double" w:color="auto" w:sz="4" w:space="0"/>
              <w:bottom w:val="double" w:color="auto" w:sz="4" w:space="0"/>
              <w:right w:val="double" w:color="auto" w:sz="4" w:space="0"/>
            </w:tcBorders>
          </w:tcPr>
          <w:p>
            <w:pPr>
              <w:spacing w:line="400" w:lineRule="exac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3670" w:type="dxa"/>
            <w:gridSpan w:val="4"/>
            <w:tcBorders>
              <w:top w:val="double" w:color="auto" w:sz="4" w:space="0"/>
              <w:left w:val="single" w:color="auto" w:sz="4" w:space="0"/>
              <w:bottom w:val="double" w:color="auto" w:sz="4" w:space="0"/>
            </w:tcBorders>
          </w:tcPr>
          <w:p>
            <w:pPr>
              <w:spacing w:line="400" w:lineRule="exact"/>
              <w:rPr>
                <w:rFonts w:ascii="宋体" w:hAnsi="宋体"/>
                <w:strike/>
                <w:color w:val="auto"/>
                <w:highlight w:val="none"/>
              </w:rPr>
            </w:pPr>
          </w:p>
        </w:tc>
        <w:tc>
          <w:tcPr>
            <w:tcW w:w="3670" w:type="dxa"/>
            <w:gridSpan w:val="4"/>
            <w:tcBorders>
              <w:top w:val="double" w:color="auto" w:sz="4" w:space="0"/>
              <w:bottom w:val="double" w:color="auto" w:sz="4" w:space="0"/>
              <w:right w:val="double" w:color="auto" w:sz="4" w:space="0"/>
            </w:tcBorders>
          </w:tcPr>
          <w:p>
            <w:pPr>
              <w:spacing w:line="400" w:lineRule="exac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tcPr>
          <w:p>
            <w:pPr>
              <w:spacing w:line="400" w:lineRule="exact"/>
              <w:rPr>
                <w:rFonts w:ascii="宋体" w:hAnsi="宋体"/>
                <w:strike/>
                <w:color w:val="auto"/>
                <w:highlight w:val="none"/>
              </w:rPr>
            </w:pPr>
          </w:p>
        </w:tc>
      </w:tr>
    </w:tbl>
    <w:p>
      <w:pPr>
        <w:spacing w:line="400" w:lineRule="exact"/>
        <w:rPr>
          <w:rFonts w:ascii="宋体" w:hAnsi="宋体"/>
          <w:strike/>
          <w:color w:val="auto"/>
          <w:highlight w:val="none"/>
        </w:rPr>
      </w:pPr>
      <w:r>
        <w:rPr>
          <w:rFonts w:hint="eastAsia" w:ascii="宋体" w:hAnsi="宋体"/>
          <w:strike/>
          <w:color w:val="auto"/>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color w:val="auto"/>
          <w:szCs w:val="18"/>
          <w:highlight w:val="none"/>
        </w:rPr>
        <w:t>以得票多的方案当选为</w:t>
      </w:r>
      <w:r>
        <w:rPr>
          <w:rFonts w:hint="eastAsia" w:ascii="宋体" w:hAnsi="宋体"/>
          <w:strike/>
          <w:color w:val="auto"/>
          <w:highlight w:val="none"/>
        </w:rPr>
        <w:t>下一轮投票的候选方案</w:t>
      </w:r>
      <w:r>
        <w:rPr>
          <w:rFonts w:hint="eastAsia" w:ascii="宋体" w:hAnsi="宋体" w:cs="Arial"/>
          <w:strike/>
          <w:color w:val="auto"/>
          <w:szCs w:val="18"/>
          <w:highlight w:val="none"/>
        </w:rPr>
        <w:t>。</w:t>
      </w:r>
      <w:r>
        <w:rPr>
          <w:rFonts w:hint="eastAsia" w:ascii="宋体" w:hAnsi="宋体"/>
          <w:strike/>
          <w:color w:val="auto"/>
          <w:highlight w:val="none"/>
        </w:rPr>
        <w:t>不能进入下一轮的方案，根据本轮得票数量确定名次。</w:t>
      </w:r>
      <w:r>
        <w:rPr>
          <w:rFonts w:hint="eastAsia" w:ascii="宋体" w:hAnsi="宋体" w:cs="Arial"/>
          <w:strike/>
          <w:color w:val="auto"/>
          <w:szCs w:val="18"/>
          <w:highlight w:val="none"/>
        </w:rPr>
        <w:t>遇票数相等不能确定入选下一轮的投标方案时，</w:t>
      </w:r>
      <w:r>
        <w:rPr>
          <w:rFonts w:hint="eastAsia"/>
          <w:strike/>
          <w:color w:val="auto"/>
          <w:highlight w:val="none"/>
        </w:rPr>
        <w:t>应进行附加投票，以确定名次。</w:t>
      </w:r>
      <w:r>
        <w:rPr>
          <w:rFonts w:hint="eastAsia" w:ascii="宋体" w:hAnsi="宋体"/>
          <w:strike/>
          <w:color w:val="auto"/>
          <w:highlight w:val="non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9"/>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Pr>
          <w:p>
            <w:pPr>
              <w:spacing w:line="400" w:lineRule="exact"/>
              <w:rPr>
                <w:rFonts w:ascii="宋体" w:hAnsi="宋体"/>
                <w:strike/>
                <w:color w:val="auto"/>
                <w:highlight w:val="none"/>
              </w:rPr>
            </w:pPr>
          </w:p>
        </w:tc>
        <w:tc>
          <w:tcPr>
            <w:tcW w:w="6120" w:type="dxa"/>
            <w:gridSpan w:val="3"/>
          </w:tcPr>
          <w:p>
            <w:pPr>
              <w:spacing w:line="400" w:lineRule="exact"/>
              <w:jc w:val="center"/>
              <w:rPr>
                <w:rFonts w:ascii="宋体" w:hAnsi="宋体"/>
                <w:strike/>
                <w:color w:val="auto"/>
                <w:highlight w:val="none"/>
              </w:rPr>
            </w:pPr>
            <w:r>
              <w:rPr>
                <w:rFonts w:hint="eastAsia" w:ascii="宋体" w:hAnsi="宋体"/>
                <w:strike/>
                <w:color w:val="auto"/>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投标人数</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3至4</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5至8</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第1轮</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2</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4</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第2轮</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1</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2</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第3轮</w:t>
            </w:r>
          </w:p>
        </w:tc>
        <w:tc>
          <w:tcPr>
            <w:tcW w:w="1980" w:type="dxa"/>
          </w:tcPr>
          <w:p>
            <w:pPr>
              <w:spacing w:line="400" w:lineRule="exact"/>
              <w:jc w:val="center"/>
              <w:rPr>
                <w:rFonts w:ascii="宋体" w:hAnsi="宋体"/>
                <w:strike/>
                <w:color w:val="auto"/>
                <w:highlight w:val="none"/>
              </w:rPr>
            </w:pP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1</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第4轮</w:t>
            </w:r>
          </w:p>
        </w:tc>
        <w:tc>
          <w:tcPr>
            <w:tcW w:w="1980" w:type="dxa"/>
          </w:tcPr>
          <w:p>
            <w:pPr>
              <w:spacing w:line="400" w:lineRule="exact"/>
              <w:jc w:val="center"/>
              <w:rPr>
                <w:rFonts w:ascii="宋体" w:hAnsi="宋体"/>
                <w:strike/>
                <w:color w:val="auto"/>
                <w:highlight w:val="none"/>
              </w:rPr>
            </w:pPr>
          </w:p>
        </w:tc>
        <w:tc>
          <w:tcPr>
            <w:tcW w:w="1980" w:type="dxa"/>
          </w:tcPr>
          <w:p>
            <w:pPr>
              <w:spacing w:line="400" w:lineRule="exact"/>
              <w:jc w:val="center"/>
              <w:rPr>
                <w:rFonts w:ascii="宋体" w:hAnsi="宋体"/>
                <w:strike/>
                <w:color w:val="auto"/>
                <w:highlight w:val="none"/>
              </w:rPr>
            </w:pP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1</w:t>
            </w:r>
          </w:p>
        </w:tc>
      </w:tr>
    </w:tbl>
    <w:p>
      <w:pPr>
        <w:spacing w:line="400" w:lineRule="exact"/>
        <w:rPr>
          <w:rFonts w:ascii="宋体" w:hAnsi="宋体"/>
          <w:strike/>
          <w:color w:val="auto"/>
          <w:highlight w:val="none"/>
        </w:rPr>
      </w:pPr>
      <w:r>
        <w:rPr>
          <w:rFonts w:hint="eastAsia" w:ascii="宋体" w:hAnsi="宋体"/>
          <w:strike/>
          <w:color w:val="auto"/>
          <w:highlight w:val="none"/>
        </w:rPr>
        <w:t xml:space="preserve">    (1) </w:t>
      </w:r>
      <w:r>
        <w:rPr>
          <w:rFonts w:hint="eastAsia" w:ascii="宋体" w:hAnsi="宋体" w:cs="Arial"/>
          <w:strike/>
          <w:color w:val="auto"/>
          <w:szCs w:val="18"/>
          <w:highlight w:val="none"/>
        </w:rPr>
        <w:t>投票结束后，</w:t>
      </w:r>
      <w:r>
        <w:rPr>
          <w:rFonts w:hint="eastAsia" w:ascii="宋体" w:hAnsi="宋体"/>
          <w:strike/>
          <w:color w:val="auto"/>
          <w:highlight w:val="none"/>
        </w:rPr>
        <w:t>点票人员</w:t>
      </w:r>
      <w:r>
        <w:rPr>
          <w:rFonts w:hint="eastAsia" w:ascii="宋体" w:hAnsi="宋体" w:cs="Arial"/>
          <w:strike/>
          <w:color w:val="auto"/>
          <w:szCs w:val="18"/>
          <w:highlight w:val="none"/>
        </w:rPr>
        <w:t>对投票人数、票数和每票应选方案总数加以核对和统计，作废的选票不得统计，并向</w:t>
      </w:r>
      <w:r>
        <w:rPr>
          <w:rFonts w:hint="eastAsia" w:ascii="宋体" w:hAnsi="宋体"/>
          <w:strike/>
          <w:color w:val="auto"/>
          <w:highlight w:val="none"/>
        </w:rPr>
        <w:t>评标委员会</w:t>
      </w:r>
      <w:r>
        <w:rPr>
          <w:rFonts w:hint="eastAsia" w:ascii="宋体" w:hAnsi="宋体" w:cs="Arial"/>
          <w:strike/>
          <w:color w:val="auto"/>
          <w:szCs w:val="18"/>
          <w:highlight w:val="none"/>
        </w:rPr>
        <w:t>报告。</w:t>
      </w:r>
    </w:p>
    <w:p>
      <w:pPr>
        <w:spacing w:line="400" w:lineRule="exact"/>
        <w:rPr>
          <w:rFonts w:ascii="宋体" w:hAnsi="宋体"/>
          <w:strike/>
          <w:color w:val="auto"/>
          <w:highlight w:val="none"/>
        </w:rPr>
      </w:pPr>
      <w:r>
        <w:rPr>
          <w:rFonts w:hint="eastAsia" w:ascii="宋体" w:hAnsi="宋体"/>
          <w:strike/>
          <w:color w:val="auto"/>
          <w:highlight w:val="none"/>
        </w:rPr>
        <w:t xml:space="preserve">    (2)评标委员会成员应当独立投票，自投票开始至最终排名统计结果公布期间，任何人不得非法干预、影响投票过程，不得透露、协商、改变投票结果，不得使用通信联络工具。</w:t>
      </w:r>
    </w:p>
    <w:p>
      <w:pPr>
        <w:spacing w:line="400" w:lineRule="exact"/>
        <w:rPr>
          <w:rFonts w:ascii="宋体" w:hAnsi="宋体"/>
          <w:strike/>
          <w:color w:val="auto"/>
          <w:highlight w:val="none"/>
        </w:rPr>
      </w:pPr>
      <w:r>
        <w:rPr>
          <w:rFonts w:hint="eastAsia" w:ascii="宋体" w:hAnsi="宋体"/>
          <w:strike/>
          <w:color w:val="auto"/>
          <w:highlight w:val="none"/>
        </w:rPr>
        <w:t>评委签名：                                        日期：       年    月    日</w:t>
      </w:r>
    </w:p>
    <w:p>
      <w:pPr>
        <w:rPr>
          <w:rFonts w:ascii="宋体" w:hAnsi="宋体"/>
          <w:color w:val="auto"/>
          <w:highlight w:val="none"/>
        </w:rPr>
      </w:pPr>
    </w:p>
    <w:p>
      <w:pPr>
        <w:rPr>
          <w:rFonts w:ascii="宋体" w:hAnsi="宋体"/>
          <w:color w:val="auto"/>
          <w:sz w:val="24"/>
          <w:highlight w:val="none"/>
        </w:rPr>
      </w:pPr>
    </w:p>
    <w:p>
      <w:pPr>
        <w:rPr>
          <w:rFonts w:ascii="宋体" w:hAnsi="宋体"/>
          <w:color w:val="auto"/>
          <w:sz w:val="24"/>
          <w:highlight w:val="none"/>
        </w:rPr>
        <w:sectPr>
          <w:footerReference r:id="rId15" w:type="default"/>
          <w:footerReference r:id="rId16" w:type="even"/>
          <w:pgSz w:w="11906" w:h="16838"/>
          <w:pgMar w:top="1418" w:right="1418" w:bottom="1418" w:left="1418" w:header="851" w:footer="992" w:gutter="0"/>
          <w:pgNumType w:fmt="decimal"/>
          <w:cols w:space="720" w:num="1"/>
          <w:docGrid w:linePitch="312" w:charSpace="0"/>
        </w:sectPr>
      </w:pPr>
    </w:p>
    <w:p>
      <w:pPr>
        <w:spacing w:line="288" w:lineRule="auto"/>
        <w:outlineLvl w:val="1"/>
        <w:rPr>
          <w:rFonts w:ascii="宋体" w:hAnsi="宋体"/>
          <w:color w:val="auto"/>
          <w:highlight w:val="none"/>
        </w:rPr>
      </w:pPr>
      <w:r>
        <w:rPr>
          <w:rFonts w:hint="eastAsia" w:ascii="宋体" w:hAnsi="宋体"/>
          <w:b/>
          <w:bCs/>
          <w:color w:val="auto"/>
          <w:highlight w:val="none"/>
        </w:rPr>
        <w:t>附录20</w:t>
      </w:r>
    </w:p>
    <w:p>
      <w:pPr>
        <w:jc w:val="center"/>
        <w:rPr>
          <w:rFonts w:hint="eastAsia" w:ascii="宋体" w:hAnsi="宋体"/>
          <w:b/>
          <w:color w:val="auto"/>
          <w:sz w:val="44"/>
          <w:szCs w:val="44"/>
          <w:highlight w:val="none"/>
        </w:rPr>
      </w:pPr>
      <w:bookmarkStart w:id="36" w:name="基础资料和勘察设计任务书"/>
      <w:bookmarkStart w:id="37" w:name="_Toc44943486"/>
    </w:p>
    <w:p>
      <w:pPr>
        <w:jc w:val="center"/>
        <w:rPr>
          <w:rFonts w:ascii="宋体" w:hAnsi="宋体"/>
          <w:b/>
          <w:color w:val="auto"/>
          <w:sz w:val="44"/>
          <w:szCs w:val="44"/>
          <w:highlight w:val="none"/>
        </w:rPr>
      </w:pPr>
      <w:r>
        <w:rPr>
          <w:rFonts w:hint="eastAsia" w:ascii="宋体" w:hAnsi="宋体"/>
          <w:b/>
          <w:color w:val="auto"/>
          <w:sz w:val="44"/>
          <w:szCs w:val="44"/>
          <w:highlight w:val="none"/>
        </w:rPr>
        <w:t>基础资料和</w:t>
      </w:r>
      <w:r>
        <w:rPr>
          <w:rFonts w:hint="eastAsia" w:ascii="宋体" w:hAnsi="宋体"/>
          <w:b/>
          <w:color w:val="auto"/>
          <w:sz w:val="44"/>
          <w:szCs w:val="44"/>
          <w:highlight w:val="none"/>
          <w:lang w:eastAsia="zh-CN"/>
        </w:rPr>
        <w:t>勘察</w:t>
      </w:r>
      <w:r>
        <w:rPr>
          <w:rFonts w:hint="eastAsia" w:ascii="宋体" w:hAnsi="宋体"/>
          <w:b/>
          <w:color w:val="auto"/>
          <w:sz w:val="44"/>
          <w:szCs w:val="44"/>
          <w:highlight w:val="none"/>
        </w:rPr>
        <w:t>设计任务书</w:t>
      </w:r>
      <w:bookmarkEnd w:id="36"/>
      <w:bookmarkEnd w:id="37"/>
    </w:p>
    <w:p>
      <w:pPr>
        <w:adjustRightInd w:val="0"/>
        <w:snapToGrid/>
        <w:spacing w:line="500" w:lineRule="exact"/>
        <w:ind w:firstLine="482" w:firstLineChars="200"/>
        <w:jc w:val="left"/>
        <w:outlineLvl w:val="0"/>
        <w:rPr>
          <w:rFonts w:hint="default" w:ascii="Times New Roman" w:hAnsi="Times New Roman" w:cs="Times New Roman"/>
          <w:b/>
          <w:color w:val="auto"/>
          <w:sz w:val="24"/>
          <w:szCs w:val="24"/>
          <w:highlight w:val="none"/>
        </w:rPr>
      </w:pP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bookmarkStart w:id="38" w:name="_Toc44943513"/>
      <w:r>
        <w:rPr>
          <w:rFonts w:hint="default" w:ascii="Times New Roman" w:hAnsi="Times New Roman" w:cs="Times New Roman"/>
          <w:b/>
          <w:color w:val="auto"/>
          <w:sz w:val="28"/>
          <w:szCs w:val="28"/>
          <w:highlight w:val="none"/>
        </w:rPr>
        <w:t>一、项目概况</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1.1工程名称</w:t>
      </w:r>
    </w:p>
    <w:p>
      <w:pPr>
        <w:adjustRightInd w:val="0"/>
        <w:snapToGrid/>
        <w:spacing w:line="500" w:lineRule="exact"/>
        <w:ind w:firstLine="560" w:firstLineChars="200"/>
        <w:jc w:val="both"/>
        <w:rPr>
          <w:rFonts w:hint="eastAsia" w:ascii="Times New Roman" w:hAnsi="Times New Roman" w:eastAsia="宋体" w:cs="Times New Roman"/>
          <w:bCs/>
          <w:color w:val="auto"/>
          <w:sz w:val="28"/>
          <w:szCs w:val="28"/>
          <w:highlight w:val="none"/>
          <w:lang w:eastAsia="zh-CN"/>
        </w:rPr>
      </w:pPr>
      <w:r>
        <w:rPr>
          <w:rFonts w:hint="default" w:ascii="Times New Roman" w:hAnsi="Times New Roman" w:cs="Times New Roman"/>
          <w:bCs/>
          <w:color w:val="auto"/>
          <w:sz w:val="28"/>
          <w:szCs w:val="28"/>
          <w:highlight w:val="none"/>
        </w:rPr>
        <w:t>城维计划-桥梁中修专项经费-八条重要市政道路及开创立交独柱墩桥梁加固工程</w:t>
      </w:r>
      <w:r>
        <w:rPr>
          <w:rFonts w:hint="eastAsia" w:ascii="Times New Roman" w:hAnsi="Times New Roman" w:cs="Times New Roman"/>
          <w:bCs/>
          <w:color w:val="auto"/>
          <w:sz w:val="28"/>
          <w:szCs w:val="28"/>
          <w:highlight w:val="none"/>
          <w:lang w:eastAsia="zh-CN"/>
        </w:rPr>
        <w:t>。</w:t>
      </w:r>
    </w:p>
    <w:p>
      <w:pPr>
        <w:adjustRightInd w:val="0"/>
        <w:snapToGrid/>
        <w:spacing w:line="500" w:lineRule="exact"/>
        <w:ind w:firstLine="562" w:firstLineChars="200"/>
        <w:jc w:val="left"/>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1.2项目背景</w:t>
      </w:r>
    </w:p>
    <w:p>
      <w:pPr>
        <w:adjustRightInd/>
        <w:spacing w:line="500" w:lineRule="exact"/>
        <w:ind w:firstLine="560" w:firstLineChars="200"/>
        <w:jc w:val="both"/>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为</w:t>
      </w:r>
      <w:r>
        <w:rPr>
          <w:rFonts w:hint="eastAsia" w:ascii="宋体" w:hAnsi="宋体" w:eastAsia="宋体" w:cs="宋体"/>
          <w:bCs w:val="0"/>
          <w:color w:val="auto"/>
          <w:sz w:val="28"/>
          <w:szCs w:val="28"/>
          <w:highlight w:val="none"/>
        </w:rPr>
        <w:t>确保市重要市政道路桥梁运营安全，</w:t>
      </w:r>
      <w:r>
        <w:rPr>
          <w:rFonts w:hint="eastAsia" w:ascii="宋体" w:hAnsi="宋体" w:cs="宋体"/>
          <w:bCs w:val="0"/>
          <w:color w:val="auto"/>
          <w:sz w:val="28"/>
          <w:szCs w:val="28"/>
          <w:highlight w:val="none"/>
          <w:lang w:eastAsia="zh-CN"/>
        </w:rPr>
        <w:t>根据前期</w:t>
      </w:r>
      <w:r>
        <w:rPr>
          <w:rFonts w:hint="eastAsia" w:ascii="宋体" w:hAnsi="宋体" w:eastAsia="宋体" w:cs="宋体"/>
          <w:bCs w:val="0"/>
          <w:color w:val="auto"/>
          <w:sz w:val="28"/>
          <w:szCs w:val="28"/>
          <w:highlight w:val="none"/>
        </w:rPr>
        <w:t>对八条重要市政道路及开创立</w:t>
      </w:r>
      <w:r>
        <w:rPr>
          <w:rFonts w:hint="eastAsia" w:ascii="宋体" w:hAnsi="宋体" w:cs="宋体"/>
          <w:bCs w:val="0"/>
          <w:color w:val="auto"/>
          <w:sz w:val="28"/>
          <w:szCs w:val="28"/>
          <w:highlight w:val="none"/>
          <w:lang w:val="en-US" w:eastAsia="zh-CN"/>
        </w:rPr>
        <w:t>交范围内</w:t>
      </w:r>
      <w:r>
        <w:rPr>
          <w:rFonts w:hint="eastAsia" w:ascii="宋体" w:hAnsi="宋体" w:eastAsia="宋体" w:cs="宋体"/>
          <w:bCs w:val="0"/>
          <w:color w:val="auto"/>
          <w:sz w:val="28"/>
          <w:szCs w:val="28"/>
          <w:highlight w:val="none"/>
        </w:rPr>
        <w:t>独柱墩桥梁</w:t>
      </w:r>
      <w:r>
        <w:rPr>
          <w:rFonts w:hint="eastAsia" w:ascii="宋体" w:hAnsi="宋体" w:cs="宋体"/>
          <w:bCs w:val="0"/>
          <w:color w:val="auto"/>
          <w:sz w:val="28"/>
          <w:szCs w:val="28"/>
          <w:highlight w:val="none"/>
          <w:lang w:eastAsia="zh-CN"/>
        </w:rPr>
        <w:t>的</w:t>
      </w:r>
      <w:r>
        <w:rPr>
          <w:rFonts w:hint="eastAsia" w:ascii="宋体" w:hAnsi="宋体" w:eastAsia="宋体" w:cs="宋体"/>
          <w:color w:val="auto"/>
          <w:sz w:val="28"/>
          <w:szCs w:val="28"/>
          <w:highlight w:val="none"/>
          <w:lang w:val="en-US" w:eastAsia="zh-CN"/>
        </w:rPr>
        <w:t>现场摸查或</w:t>
      </w:r>
      <w:r>
        <w:rPr>
          <w:rFonts w:hint="eastAsia" w:ascii="宋体" w:hAnsi="宋体" w:eastAsia="宋体" w:cs="宋体"/>
          <w:bCs w:val="0"/>
          <w:color w:val="auto"/>
          <w:sz w:val="28"/>
          <w:szCs w:val="28"/>
          <w:highlight w:val="none"/>
        </w:rPr>
        <w:t>抗倾覆验算排查</w:t>
      </w:r>
      <w:r>
        <w:rPr>
          <w:rFonts w:hint="eastAsia" w:ascii="宋体" w:hAnsi="宋体" w:cs="宋体"/>
          <w:bCs w:val="0"/>
          <w:color w:val="auto"/>
          <w:sz w:val="28"/>
          <w:szCs w:val="28"/>
          <w:highlight w:val="none"/>
          <w:lang w:eastAsia="zh-CN"/>
        </w:rPr>
        <w:t>初步结果</w:t>
      </w:r>
      <w:r>
        <w:rPr>
          <w:rFonts w:hint="eastAsia" w:ascii="宋体" w:hAnsi="宋体" w:eastAsia="宋体" w:cs="宋体"/>
          <w:bCs w:val="0"/>
          <w:color w:val="auto"/>
          <w:sz w:val="28"/>
          <w:szCs w:val="28"/>
          <w:highlight w:val="none"/>
        </w:rPr>
        <w:t>，</w:t>
      </w:r>
      <w:r>
        <w:rPr>
          <w:rFonts w:hint="eastAsia" w:ascii="宋体" w:hAnsi="宋体" w:eastAsia="宋体" w:cs="宋体"/>
          <w:bCs w:val="0"/>
          <w:color w:val="auto"/>
          <w:sz w:val="28"/>
          <w:szCs w:val="28"/>
          <w:highlight w:val="none"/>
          <w:lang w:val="en-US" w:eastAsia="zh-CN"/>
        </w:rPr>
        <w:t>计划</w:t>
      </w:r>
      <w:r>
        <w:rPr>
          <w:rFonts w:hint="eastAsia" w:ascii="宋体" w:hAnsi="宋体" w:eastAsia="宋体" w:cs="宋体"/>
          <w:bCs w:val="0"/>
          <w:color w:val="auto"/>
          <w:sz w:val="28"/>
          <w:szCs w:val="28"/>
          <w:highlight w:val="none"/>
        </w:rPr>
        <w:t>进行抗倾覆加固。</w:t>
      </w:r>
    </w:p>
    <w:p>
      <w:pPr>
        <w:adjustRightInd w:val="0"/>
        <w:spacing w:line="500" w:lineRule="exact"/>
        <w:ind w:firstLine="562" w:firstLineChars="200"/>
        <w:jc w:val="left"/>
        <w:outlineLvl w:val="0"/>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1.3</w:t>
      </w:r>
      <w:r>
        <w:rPr>
          <w:rFonts w:hint="eastAsia" w:ascii="Times New Roman" w:hAnsi="Times New Roman" w:cs="Times New Roman"/>
          <w:b/>
          <w:bCs w:val="0"/>
          <w:color w:val="auto"/>
          <w:sz w:val="28"/>
          <w:szCs w:val="28"/>
          <w:highlight w:val="none"/>
          <w:lang w:val="en-US" w:eastAsia="zh-CN"/>
        </w:rPr>
        <w:t>项目</w:t>
      </w:r>
      <w:r>
        <w:rPr>
          <w:rFonts w:hint="default" w:ascii="Times New Roman" w:hAnsi="Times New Roman" w:eastAsia="宋体" w:cs="Times New Roman"/>
          <w:b/>
          <w:bCs w:val="0"/>
          <w:color w:val="auto"/>
          <w:sz w:val="28"/>
          <w:szCs w:val="28"/>
          <w:highlight w:val="none"/>
          <w:lang w:val="en-US" w:eastAsia="zh-CN"/>
        </w:rPr>
        <w:t>范围</w:t>
      </w:r>
    </w:p>
    <w:p>
      <w:pPr>
        <w:spacing w:line="500" w:lineRule="exact"/>
        <w:ind w:firstLine="560" w:firstLineChars="200"/>
        <w:rPr>
          <w:rFonts w:hint="eastAsia" w:ascii="Times New Roman" w:hAnsi="Times New Roman"/>
          <w:bCs/>
          <w:color w:val="auto"/>
          <w:sz w:val="28"/>
          <w:szCs w:val="28"/>
          <w:highlight w:val="none"/>
          <w:lang w:val="en-US" w:eastAsia="zh-CN"/>
        </w:rPr>
      </w:pPr>
      <w:r>
        <w:rPr>
          <w:rFonts w:hint="eastAsia" w:ascii="宋体" w:hAnsi="宋体" w:eastAsia="宋体" w:cs="宋体"/>
          <w:color w:val="auto"/>
          <w:sz w:val="28"/>
          <w:szCs w:val="28"/>
          <w:highlight w:val="none"/>
          <w:lang w:eastAsia="zh-CN"/>
        </w:rPr>
        <w:t>根据前期现场摸查和验算排查初步结果，计划</w:t>
      </w:r>
      <w:r>
        <w:rPr>
          <w:rFonts w:hint="eastAsia" w:ascii="宋体" w:hAnsi="宋体" w:eastAsia="宋体" w:cs="宋体"/>
          <w:color w:val="auto"/>
          <w:sz w:val="28"/>
          <w:szCs w:val="28"/>
          <w:highlight w:val="none"/>
        </w:rPr>
        <w:t>对八条重要市政道路及开创立交</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rPr>
        <w:t>不满足抗倾覆要求的</w:t>
      </w:r>
      <w:r>
        <w:rPr>
          <w:rFonts w:hint="eastAsia" w:ascii="宋体" w:hAnsi="宋体" w:eastAsia="宋体" w:cs="宋体"/>
          <w:color w:val="auto"/>
          <w:sz w:val="28"/>
          <w:szCs w:val="28"/>
          <w:highlight w:val="none"/>
          <w:lang w:val="en-US" w:eastAsia="zh-CN"/>
        </w:rPr>
        <w:t>独柱墩</w:t>
      </w:r>
      <w:r>
        <w:rPr>
          <w:rFonts w:hint="eastAsia" w:ascii="宋体" w:hAnsi="宋体" w:eastAsia="宋体" w:cs="宋体"/>
          <w:color w:val="auto"/>
          <w:sz w:val="28"/>
          <w:szCs w:val="28"/>
          <w:highlight w:val="none"/>
        </w:rPr>
        <w:t>桥梁进行抗倾覆加固</w:t>
      </w:r>
      <w:r>
        <w:rPr>
          <w:rFonts w:hint="eastAsia" w:ascii="宋体" w:hAnsi="宋体" w:cs="宋体"/>
          <w:color w:val="auto"/>
          <w:sz w:val="28"/>
          <w:szCs w:val="28"/>
          <w:highlight w:val="none"/>
          <w:lang w:val="en-US" w:eastAsia="zh-CN"/>
        </w:rPr>
        <w:t>，</w:t>
      </w:r>
      <w:r>
        <w:rPr>
          <w:rFonts w:hint="default" w:ascii="Times New Roman" w:hAnsi="Times New Roman" w:eastAsia="宋体" w:cs="Times New Roman"/>
          <w:bCs/>
          <w:color w:val="auto"/>
          <w:sz w:val="28"/>
          <w:szCs w:val="28"/>
          <w:highlight w:val="none"/>
          <w:lang w:eastAsia="zh-CN"/>
        </w:rPr>
        <w:t>包括但不限于</w:t>
      </w:r>
      <w:r>
        <w:rPr>
          <w:rFonts w:hint="default" w:ascii="Times New Roman" w:hAnsi="Times New Roman" w:eastAsia="宋体" w:cs="Times New Roman"/>
          <w:bCs/>
          <w:color w:val="auto"/>
          <w:sz w:val="28"/>
          <w:szCs w:val="28"/>
          <w:highlight w:val="none"/>
        </w:rPr>
        <w:t>沙河立交（南北向）-广园禺东西立交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沙河立交（东西向）-广园路立交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广深公路-开创大道立交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东风路先烈路立交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东风路德坭立交</w:t>
      </w:r>
      <w:r>
        <w:rPr>
          <w:rFonts w:hint="eastAsia" w:cs="Times New Roman"/>
          <w:bCs/>
          <w:color w:val="auto"/>
          <w:sz w:val="28"/>
          <w:szCs w:val="28"/>
          <w:highlight w:val="none"/>
          <w:lang w:eastAsia="zh-CN"/>
        </w:rPr>
        <w:t>等桥段</w:t>
      </w:r>
      <w:r>
        <w:rPr>
          <w:rFonts w:hint="default" w:ascii="Times New Roman" w:hAnsi="Times New Roman" w:eastAsia="宋体" w:cs="Times New Roman"/>
          <w:bCs/>
          <w:color w:val="auto"/>
          <w:sz w:val="28"/>
          <w:szCs w:val="28"/>
          <w:highlight w:val="none"/>
          <w:lang w:eastAsia="zh-CN"/>
        </w:rPr>
        <w:t>。</w:t>
      </w:r>
    </w:p>
    <w:p>
      <w:pPr>
        <w:adjustRightInd w:val="0"/>
        <w:snapToGrid/>
        <w:spacing w:line="500" w:lineRule="exact"/>
        <w:ind w:firstLine="562" w:firstLineChars="200"/>
        <w:jc w:val="left"/>
        <w:outlineLvl w:val="0"/>
        <w:rPr>
          <w:rFonts w:hint="eastAsia" w:ascii="Times New Roman" w:hAnsi="Times New Roman" w:cs="Times New Roman"/>
          <w:b/>
          <w:color w:val="auto"/>
          <w:sz w:val="28"/>
          <w:szCs w:val="28"/>
          <w:highlight w:val="none"/>
          <w:lang w:eastAsia="zh-CN"/>
        </w:rPr>
      </w:pPr>
      <w:r>
        <w:rPr>
          <w:rFonts w:hint="default" w:ascii="Times New Roman" w:hAnsi="Times New Roman" w:cs="Times New Roman"/>
          <w:b/>
          <w:color w:val="auto"/>
          <w:sz w:val="28"/>
          <w:szCs w:val="28"/>
          <w:highlight w:val="none"/>
        </w:rPr>
        <w:t>二、</w:t>
      </w:r>
      <w:r>
        <w:rPr>
          <w:rFonts w:hint="eastAsia" w:ascii="Times New Roman" w:hAnsi="Times New Roman" w:cs="Times New Roman"/>
          <w:b/>
          <w:color w:val="auto"/>
          <w:sz w:val="28"/>
          <w:szCs w:val="28"/>
          <w:highlight w:val="none"/>
          <w:lang w:eastAsia="zh-CN"/>
        </w:rPr>
        <w:t>勘察范围及要求</w:t>
      </w:r>
    </w:p>
    <w:p>
      <w:pPr>
        <w:pStyle w:val="18"/>
        <w:snapToGrid/>
        <w:spacing w:line="500" w:lineRule="exact"/>
        <w:ind w:firstLine="560" w:firstLineChars="200"/>
        <w:rPr>
          <w:rFonts w:hint="default" w:ascii="Times New Roman" w:hAnsi="Times New Roman" w:cs="Times New Roman"/>
          <w:bCs/>
          <w:color w:val="auto"/>
          <w:sz w:val="28"/>
          <w:szCs w:val="28"/>
          <w:highlight w:val="none"/>
          <w:lang w:eastAsia="zh-CN"/>
        </w:rPr>
      </w:pPr>
      <w:r>
        <w:rPr>
          <w:rFonts w:hint="default" w:ascii="Times New Roman" w:hAnsi="Times New Roman" w:cs="Times New Roman"/>
          <w:bCs/>
          <w:color w:val="auto"/>
          <w:sz w:val="28"/>
          <w:szCs w:val="28"/>
          <w:highlight w:val="none"/>
        </w:rPr>
        <w:t>对</w:t>
      </w:r>
      <w:r>
        <w:rPr>
          <w:rFonts w:hint="eastAsia" w:ascii="Times New Roman" w:hAnsi="Times New Roman" w:cs="Times New Roman"/>
          <w:bCs/>
          <w:color w:val="auto"/>
          <w:sz w:val="28"/>
          <w:szCs w:val="28"/>
          <w:highlight w:val="none"/>
          <w:lang w:val="en-US" w:eastAsia="zh-CN"/>
        </w:rPr>
        <w:t>项目范围的独柱墩桥梁进行</w:t>
      </w:r>
      <w:r>
        <w:rPr>
          <w:rFonts w:hint="eastAsia" w:ascii="Times New Roman" w:hAnsi="Times New Roman" w:cs="Times New Roman"/>
          <w:bCs/>
          <w:color w:val="auto"/>
          <w:sz w:val="28"/>
          <w:szCs w:val="28"/>
          <w:highlight w:val="none"/>
          <w:lang w:eastAsia="zh-CN"/>
        </w:rPr>
        <w:t>工程勘察，</w:t>
      </w:r>
      <w:r>
        <w:rPr>
          <w:rFonts w:hint="default" w:ascii="Times New Roman" w:hAnsi="Times New Roman" w:cs="Times New Roman"/>
          <w:bCs/>
          <w:color w:val="auto"/>
          <w:sz w:val="28"/>
          <w:szCs w:val="28"/>
          <w:highlight w:val="none"/>
        </w:rPr>
        <w:t>内容主要为工程物探（含管线探测）和工程测量</w:t>
      </w:r>
      <w:r>
        <w:rPr>
          <w:rFonts w:hint="eastAsia" w:ascii="Times New Roman" w:hAnsi="Times New Roman" w:cs="Times New Roman"/>
          <w:bCs/>
          <w:color w:val="auto"/>
          <w:sz w:val="28"/>
          <w:szCs w:val="28"/>
          <w:highlight w:val="none"/>
          <w:lang w:eastAsia="zh-CN"/>
        </w:rPr>
        <w:t>，</w:t>
      </w:r>
      <w:r>
        <w:rPr>
          <w:rFonts w:hint="eastAsia" w:ascii="Times New Roman" w:hAnsi="Times New Roman" w:cs="Times New Roman"/>
          <w:bCs/>
          <w:color w:val="auto"/>
          <w:sz w:val="28"/>
          <w:szCs w:val="28"/>
          <w:highlight w:val="none"/>
          <w:lang w:val="en-US" w:eastAsia="zh-CN"/>
        </w:rPr>
        <w:t>具体的勘察范围及工程量根据现场实际需要加以明确</w:t>
      </w:r>
      <w:r>
        <w:rPr>
          <w:rFonts w:hint="default" w:ascii="Times New Roman" w:hAnsi="Times New Roman" w:cs="Times New Roman"/>
          <w:bCs/>
          <w:color w:val="auto"/>
          <w:sz w:val="28"/>
          <w:szCs w:val="28"/>
          <w:highlight w:val="none"/>
        </w:rPr>
        <w:t>。勘察成果必须满足设计要求。</w:t>
      </w:r>
    </w:p>
    <w:p>
      <w:pPr>
        <w:adjustRightInd w:val="0"/>
        <w:snapToGrid/>
        <w:spacing w:line="500" w:lineRule="exact"/>
        <w:ind w:firstLine="562" w:firstLineChars="200"/>
        <w:outlineLvl w:val="0"/>
        <w:rPr>
          <w:rFonts w:hint="eastAsia" w:ascii="Times New Roman" w:hAnsi="Times New Roman" w:eastAsia="宋体"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 xml:space="preserve">2.1 </w:t>
      </w:r>
      <w:r>
        <w:rPr>
          <w:rFonts w:hint="default" w:ascii="Times New Roman" w:hAnsi="Times New Roman" w:cs="Times New Roman"/>
          <w:b/>
          <w:color w:val="auto"/>
          <w:sz w:val="28"/>
          <w:szCs w:val="28"/>
          <w:highlight w:val="none"/>
        </w:rPr>
        <w:t>测量、工程物探</w:t>
      </w:r>
      <w:r>
        <w:rPr>
          <w:rFonts w:hint="eastAsia" w:ascii="Times New Roman" w:hAnsi="Times New Roman" w:cs="Times New Roman"/>
          <w:b/>
          <w:color w:val="auto"/>
          <w:sz w:val="28"/>
          <w:szCs w:val="28"/>
          <w:highlight w:val="none"/>
          <w:lang w:eastAsia="zh-CN"/>
        </w:rPr>
        <w:t>要求</w:t>
      </w:r>
    </w:p>
    <w:p>
      <w:pPr>
        <w:snapToGrid/>
        <w:spacing w:line="500" w:lineRule="exact"/>
        <w:ind w:firstLine="560" w:firstLineChars="200"/>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.1.1严格执行基本建设程序，遵循落实先勘察后设计的原则。</w:t>
      </w:r>
      <w:r>
        <w:rPr>
          <w:rFonts w:hint="default" w:ascii="Times New Roman" w:hAnsi="Times New Roman" w:cs="Times New Roman"/>
          <w:color w:val="auto"/>
          <w:sz w:val="28"/>
          <w:szCs w:val="28"/>
          <w:highlight w:val="none"/>
          <w:lang w:val="en-US" w:eastAsia="zh-CN"/>
        </w:rPr>
        <w:t>根据初勘、详勘成果资料分别开展方案设计和施工图设计。</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eastAsia="宋体" w:cs="Times New Roman"/>
          <w:color w:val="auto"/>
          <w:kern w:val="2"/>
          <w:sz w:val="28"/>
          <w:szCs w:val="28"/>
          <w:highlight w:val="none"/>
          <w:lang w:val="en-US" w:eastAsia="zh-CN" w:bidi="ar"/>
        </w:rPr>
        <w:t>2</w:t>
      </w:r>
      <w:r>
        <w:rPr>
          <w:rFonts w:hint="default" w:ascii="Times New Roman" w:hAnsi="Times New Roman" w:eastAsia="宋体" w:cs="Times New Roman"/>
          <w:color w:val="auto"/>
          <w:kern w:val="2"/>
          <w:sz w:val="28"/>
          <w:szCs w:val="28"/>
          <w:highlight w:val="none"/>
          <w:lang w:val="en-US" w:eastAsia="zh-CN" w:bidi="ar"/>
        </w:rPr>
        <w:t>.1.2勘察相关工作开展前，如需城市道路占用挖掘，应结合工作实际编报城市道路占用挖掘计划，并按规定办理《广州市城市道路临时占用许可证》、《广州市城市道路挖掘许可证》等手续。</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需接受</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安排的现场监督工作。</w:t>
      </w:r>
    </w:p>
    <w:p>
      <w:pPr>
        <w:snapToGrid/>
        <w:spacing w:line="500" w:lineRule="exact"/>
        <w:ind w:left="0"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勘察工作须全面细致，满足设计进度和深度的要求。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测量工作应尽量利用已有的现状地形成果，避免工作重复。</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工程物探需详细探明管线类型、位置、直径、标高、埋深等情况，管线探测需准确。</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勘察安全生产管理工作</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（1）勘察大纲制定前应进行现场踏勘，并充分结合管线摸查、现状地形图等资料进行编制。</w:t>
      </w:r>
    </w:p>
    <w:p>
      <w:pPr>
        <w:keepNext w:val="0"/>
        <w:keepLines w:val="0"/>
        <w:widowControl w:val="0"/>
        <w:suppressLineNumbers w:val="0"/>
        <w:snapToGrid/>
        <w:spacing w:before="0" w:beforeAutospacing="0" w:after="0" w:afterAutospacing="0" w:line="500" w:lineRule="exact"/>
        <w:ind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（2）制定勘察安全保障方案及安全应急预案，随勘察大纲一并报送</w:t>
      </w:r>
      <w:r>
        <w:rPr>
          <w:rFonts w:hint="eastAsia" w:ascii="Times New Roman" w:hAnsi="Times New Roman" w:cs="Times New Roman"/>
          <w:color w:val="auto"/>
          <w:kern w:val="2"/>
          <w:sz w:val="28"/>
          <w:szCs w:val="28"/>
          <w:highlight w:val="none"/>
          <w:lang w:val="en-US" w:eastAsia="zh-CN" w:bidi="ar"/>
        </w:rPr>
        <w:t>发包人</w:t>
      </w:r>
      <w:r>
        <w:rPr>
          <w:rFonts w:hint="default" w:ascii="Times New Roman" w:hAnsi="Times New Roman" w:eastAsia="宋体" w:cs="Times New Roman"/>
          <w:color w:val="auto"/>
          <w:kern w:val="2"/>
          <w:sz w:val="28"/>
          <w:szCs w:val="28"/>
          <w:highlight w:val="none"/>
          <w:lang w:val="en-US" w:eastAsia="zh-CN" w:bidi="ar"/>
        </w:rPr>
        <w:t>审核。安全保障方案需针对各项目现场情况制定具体安全措施，落实管线等单位提出的安全工作要求；应急预案需明确安全责任人、安全事故上报机制及安全应急处理措施。</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（3）如需交通管控，根据交警部门的要求做好交通疏解工作，合理设置安全护拦，安排专职交通协管员进行现场交通疏导。</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（4）密切留意勘察过程对周边社会、环境可能造成的影响及破坏，出现安全隐患需及时报</w:t>
      </w:r>
      <w:r>
        <w:rPr>
          <w:rFonts w:hint="eastAsia" w:ascii="Times New Roman" w:hAnsi="Times New Roman" w:cs="Times New Roman"/>
          <w:color w:val="auto"/>
          <w:kern w:val="2"/>
          <w:sz w:val="28"/>
          <w:szCs w:val="28"/>
          <w:highlight w:val="none"/>
          <w:lang w:val="en-US" w:eastAsia="zh-CN" w:bidi="ar"/>
        </w:rPr>
        <w:t>发包人</w:t>
      </w:r>
      <w:r>
        <w:rPr>
          <w:rFonts w:hint="default" w:ascii="Times New Roman" w:hAnsi="Times New Roman" w:eastAsia="宋体" w:cs="Times New Roman"/>
          <w:color w:val="auto"/>
          <w:kern w:val="2"/>
          <w:sz w:val="28"/>
          <w:szCs w:val="28"/>
          <w:highlight w:val="none"/>
          <w:lang w:val="en-US" w:eastAsia="zh-CN" w:bidi="ar"/>
        </w:rPr>
        <w:t>。</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lang w:val="en-US" w:eastAsia="zh-CN" w:bidi="ar"/>
        </w:rPr>
      </w:pPr>
      <w:r>
        <w:rPr>
          <w:rFonts w:hint="default" w:ascii="Times New Roman" w:hAnsi="Times New Roman" w:eastAsia="宋体" w:cs="Times New Roman"/>
          <w:color w:val="auto"/>
          <w:kern w:val="2"/>
          <w:sz w:val="28"/>
          <w:szCs w:val="28"/>
          <w:highlight w:val="none"/>
          <w:lang w:val="en-US" w:eastAsia="zh-CN" w:bidi="ar"/>
        </w:rPr>
        <w:t>（5）发生安全事故时立即启动安全应急预案并及时报告</w:t>
      </w:r>
      <w:r>
        <w:rPr>
          <w:rFonts w:hint="eastAsia" w:ascii="Times New Roman" w:hAnsi="Times New Roman" w:cs="Times New Roman"/>
          <w:color w:val="auto"/>
          <w:kern w:val="2"/>
          <w:sz w:val="28"/>
          <w:szCs w:val="28"/>
          <w:highlight w:val="none"/>
          <w:lang w:val="en-US" w:eastAsia="zh-CN" w:bidi="ar"/>
        </w:rPr>
        <w:t>发包人</w:t>
      </w:r>
      <w:r>
        <w:rPr>
          <w:rFonts w:hint="default" w:ascii="Times New Roman" w:hAnsi="Times New Roman" w:eastAsia="宋体" w:cs="Times New Roman"/>
          <w:color w:val="auto"/>
          <w:kern w:val="2"/>
          <w:sz w:val="28"/>
          <w:szCs w:val="28"/>
          <w:highlight w:val="none"/>
          <w:lang w:val="en-US" w:eastAsia="zh-CN" w:bidi="ar"/>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2</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2</w:t>
      </w:r>
      <w:r>
        <w:rPr>
          <w:rFonts w:hint="default" w:ascii="Times New Roman" w:hAnsi="Times New Roman" w:cs="Times New Roman"/>
          <w:b/>
          <w:color w:val="auto"/>
          <w:sz w:val="28"/>
          <w:szCs w:val="28"/>
          <w:highlight w:val="none"/>
        </w:rPr>
        <w:t>桥梁工程</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.1桥梁工程支座脱空抗倾覆加固在方案阶段应根据测量断面确定合理的加固方案。</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.2桥梁工程墩柱强度加固时应摸查桥墩周边管线情况，并结合地下管线情况进行桩基础设计，尽量避开现状管线，减少管线迁改。</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.3桥梁工程方案设计阶段时，应提供完整旧桥平面、断面测量资料及物探资料。</w:t>
      </w:r>
    </w:p>
    <w:p>
      <w:pPr>
        <w:numPr>
          <w:ilvl w:val="0"/>
          <w:numId w:val="0"/>
        </w:numPr>
        <w:adjustRightInd w:val="0"/>
        <w:snapToGrid/>
        <w:spacing w:line="500" w:lineRule="exact"/>
        <w:ind w:firstLine="562" w:firstLineChars="200"/>
        <w:jc w:val="left"/>
        <w:outlineLvl w:val="0"/>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eastAsia="zh-CN"/>
        </w:rPr>
        <w:t>三、</w:t>
      </w:r>
      <w:r>
        <w:rPr>
          <w:rFonts w:hint="default" w:ascii="Times New Roman" w:hAnsi="Times New Roman" w:eastAsia="宋体" w:cs="Times New Roman"/>
          <w:b/>
          <w:color w:val="auto"/>
          <w:sz w:val="28"/>
          <w:szCs w:val="28"/>
          <w:highlight w:val="none"/>
        </w:rPr>
        <w:t>测量、工程物探</w:t>
      </w:r>
      <w:r>
        <w:rPr>
          <w:rFonts w:hint="default" w:ascii="Times New Roman" w:hAnsi="Times New Roman" w:eastAsia="宋体" w:cs="Times New Roman"/>
          <w:b/>
          <w:color w:val="auto"/>
          <w:sz w:val="28"/>
          <w:szCs w:val="28"/>
          <w:highlight w:val="none"/>
          <w:lang w:val="en-US" w:eastAsia="zh-CN"/>
        </w:rPr>
        <w:t>内容</w:t>
      </w:r>
    </w:p>
    <w:p>
      <w:pPr>
        <w:ind w:firstLine="560" w:firstLineChars="200"/>
        <w:rPr>
          <w:rFonts w:hint="eastAsia" w:ascii="Times New Roman" w:hAnsi="Times New Roman" w:eastAsia="宋体" w:cs="Times New Roman"/>
          <w:b w:val="0"/>
          <w:bCs w:val="0"/>
          <w:color w:val="auto"/>
          <w:sz w:val="28"/>
          <w:szCs w:val="28"/>
          <w:highlight w:val="none"/>
        </w:rPr>
      </w:pPr>
      <w:r>
        <w:rPr>
          <w:rFonts w:hint="default" w:ascii="Times New Roman" w:hAnsi="Times New Roman" w:cs="Times New Roman"/>
          <w:color w:val="auto"/>
          <w:sz w:val="28"/>
          <w:szCs w:val="28"/>
          <w:highlight w:val="none"/>
        </w:rPr>
        <w:t>工程测量工作应符合现行相关规范、规程的要求，具体</w:t>
      </w:r>
      <w:r>
        <w:rPr>
          <w:rFonts w:hint="default" w:ascii="Times New Roman" w:hAnsi="Times New Roman" w:cs="Times New Roman"/>
          <w:color w:val="auto"/>
          <w:sz w:val="28"/>
          <w:szCs w:val="28"/>
          <w:highlight w:val="none"/>
          <w:lang w:val="en-US" w:eastAsia="zh-CN"/>
        </w:rPr>
        <w:t>包括</w:t>
      </w:r>
      <w:r>
        <w:rPr>
          <w:rFonts w:hint="default" w:ascii="Times New Roman" w:hAnsi="Times New Roman" w:cs="Times New Roman"/>
          <w:color w:val="auto"/>
          <w:sz w:val="28"/>
          <w:szCs w:val="28"/>
          <w:highlight w:val="none"/>
        </w:rPr>
        <w:t>：布设满足项目要求的控制网</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测量1:500地形图全面反映测量范围内的地形地物特征</w:t>
      </w:r>
      <w:r>
        <w:rPr>
          <w:rFonts w:hint="default"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测量桥墩平、立面</w:t>
      </w:r>
      <w:r>
        <w:rPr>
          <w:rFonts w:hint="eastAsia"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为准确反映设计方案周边地形情况</w:t>
      </w:r>
      <w:r>
        <w:rPr>
          <w:rFonts w:hint="eastAsia" w:ascii="Times New Roman" w:hAnsi="Times New Roman" w:cs="Times New Roman"/>
          <w:color w:val="auto"/>
          <w:sz w:val="28"/>
          <w:szCs w:val="28"/>
          <w:highlight w:val="none"/>
          <w:lang w:val="en-US" w:eastAsia="zh-CN"/>
        </w:rPr>
        <w:t>暂定</w:t>
      </w:r>
      <w:r>
        <w:rPr>
          <w:rFonts w:hint="default" w:ascii="Times New Roman" w:hAnsi="Times New Roman" w:cs="Times New Roman"/>
          <w:color w:val="auto"/>
          <w:sz w:val="28"/>
          <w:szCs w:val="28"/>
          <w:highlight w:val="none"/>
        </w:rPr>
        <w:t>进行小型工程测量，如：</w:t>
      </w:r>
      <w:r>
        <w:rPr>
          <w:rFonts w:hint="eastAsia" w:ascii="Times New Roman" w:hAnsi="Times New Roman" w:cs="Times New Roman"/>
          <w:color w:val="auto"/>
          <w:sz w:val="28"/>
          <w:szCs w:val="28"/>
          <w:highlight w:val="none"/>
          <w:lang w:val="en-US" w:eastAsia="zh-CN"/>
        </w:rPr>
        <w:t>建构筑物细部点测量、</w:t>
      </w:r>
      <w:r>
        <w:rPr>
          <w:rFonts w:hint="default" w:ascii="Times New Roman" w:hAnsi="Times New Roman" w:cs="Times New Roman"/>
          <w:color w:val="auto"/>
          <w:sz w:val="28"/>
          <w:szCs w:val="28"/>
          <w:highlight w:val="none"/>
        </w:rPr>
        <w:t>线高净空高测量、</w:t>
      </w:r>
      <w:r>
        <w:rPr>
          <w:rFonts w:hint="eastAsia" w:ascii="Times New Roman" w:hAnsi="Times New Roman" w:cs="Times New Roman"/>
          <w:color w:val="auto"/>
          <w:sz w:val="28"/>
          <w:szCs w:val="28"/>
          <w:highlight w:val="none"/>
          <w:lang w:val="en-US" w:eastAsia="zh-CN"/>
        </w:rPr>
        <w:t>其他小型工程测量</w:t>
      </w:r>
      <w:r>
        <w:rPr>
          <w:rFonts w:hint="default" w:ascii="Times New Roman" w:hAnsi="Times New Roman" w:cs="Times New Roman"/>
          <w:color w:val="auto"/>
          <w:sz w:val="28"/>
          <w:szCs w:val="28"/>
          <w:highlight w:val="none"/>
        </w:rPr>
        <w:t>，并表示在地形图上。</w:t>
      </w:r>
      <w:r>
        <w:rPr>
          <w:rFonts w:hint="eastAsia" w:ascii="Times New Roman" w:hAnsi="Times New Roman" w:cs="Times New Roman"/>
          <w:color w:val="auto"/>
          <w:sz w:val="28"/>
          <w:szCs w:val="28"/>
          <w:highlight w:val="none"/>
          <w:lang w:val="en-US" w:eastAsia="zh-CN"/>
        </w:rPr>
        <w:t>工程物探主要包括查明</w:t>
      </w:r>
      <w:r>
        <w:rPr>
          <w:rFonts w:hint="default" w:ascii="Times New Roman" w:hAnsi="Times New Roman" w:cs="Times New Roman"/>
          <w:strike w:val="0"/>
          <w:color w:val="auto"/>
          <w:sz w:val="28"/>
          <w:szCs w:val="28"/>
          <w:highlight w:val="none"/>
        </w:rPr>
        <w:t>综合地下管线</w:t>
      </w:r>
      <w:r>
        <w:rPr>
          <w:rFonts w:hint="eastAsia" w:ascii="Times New Roman" w:hAnsi="Times New Roman" w:cs="Times New Roman"/>
          <w:strike w:val="0"/>
          <w:color w:val="auto"/>
          <w:sz w:val="28"/>
          <w:szCs w:val="28"/>
          <w:highlight w:val="none"/>
          <w:lang w:val="en-US" w:eastAsia="zh-CN"/>
        </w:rPr>
        <w:t>的具体情况，满足施工开挖前基本要求</w:t>
      </w:r>
      <w:r>
        <w:rPr>
          <w:rFonts w:hint="default" w:ascii="Times New Roman" w:hAnsi="Times New Roman" w:cs="Times New Roman"/>
          <w:strike w:val="0"/>
          <w:color w:val="auto"/>
          <w:sz w:val="28"/>
          <w:szCs w:val="28"/>
          <w:highlight w:val="none"/>
        </w:rPr>
        <w:t>。</w:t>
      </w:r>
      <w:r>
        <w:rPr>
          <w:rFonts w:hint="default" w:ascii="Times New Roman" w:hAnsi="Times New Roman" w:cs="Times New Roman"/>
          <w:color w:val="auto"/>
          <w:sz w:val="28"/>
          <w:szCs w:val="28"/>
          <w:highlight w:val="none"/>
          <w:lang w:val="en-US" w:eastAsia="zh-CN"/>
        </w:rPr>
        <w:t>具体</w:t>
      </w:r>
      <w:r>
        <w:rPr>
          <w:rFonts w:hint="default" w:ascii="Times New Roman" w:hAnsi="Times New Roman" w:cs="Times New Roman"/>
          <w:color w:val="auto"/>
          <w:sz w:val="28"/>
          <w:szCs w:val="28"/>
          <w:highlight w:val="none"/>
        </w:rPr>
        <w:t>测量</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物探</w:t>
      </w:r>
      <w:r>
        <w:rPr>
          <w:rFonts w:hint="default" w:ascii="Times New Roman" w:hAnsi="Times New Roman" w:cs="Times New Roman"/>
          <w:color w:val="auto"/>
          <w:sz w:val="28"/>
          <w:szCs w:val="28"/>
          <w:highlight w:val="none"/>
        </w:rPr>
        <w:t>范围及作业内容最终以设计方案需要为准，报送</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审核批复后再实施</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b w:val="0"/>
          <w:bCs w:val="0"/>
          <w:color w:val="auto"/>
          <w:sz w:val="28"/>
          <w:szCs w:val="28"/>
          <w:highlight w:val="none"/>
        </w:rPr>
        <w:t>按上述任务和要求提交工程</w:t>
      </w:r>
      <w:r>
        <w:rPr>
          <w:rFonts w:hint="eastAsia" w:ascii="Times New Roman" w:hAnsi="Times New Roman" w:eastAsia="宋体" w:cs="Times New Roman"/>
          <w:b w:val="0"/>
          <w:bCs w:val="0"/>
          <w:color w:val="auto"/>
          <w:kern w:val="2"/>
          <w:sz w:val="28"/>
          <w:szCs w:val="28"/>
          <w:highlight w:val="none"/>
          <w:lang w:val="en-US" w:eastAsia="zh-CN" w:bidi="ar-SA"/>
        </w:rPr>
        <w:t>测量、物探成果报告</w:t>
      </w:r>
      <w:r>
        <w:rPr>
          <w:rFonts w:hint="eastAsia" w:ascii="Times New Roman" w:hAnsi="Times New Roman" w:eastAsia="宋体" w:cs="Times New Roman"/>
          <w:b w:val="0"/>
          <w:bCs w:val="0"/>
          <w:color w:val="auto"/>
          <w:sz w:val="28"/>
          <w:szCs w:val="28"/>
          <w:highlight w:val="none"/>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1</w:t>
      </w:r>
      <w:r>
        <w:rPr>
          <w:rFonts w:hint="default" w:ascii="Times New Roman" w:hAnsi="Times New Roman" w:cs="Times New Roman"/>
          <w:b/>
          <w:color w:val="auto"/>
          <w:sz w:val="28"/>
          <w:szCs w:val="28"/>
          <w:highlight w:val="none"/>
        </w:rPr>
        <w:t>控制测量</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平面坐标采用广州2000坐标系，高程基准采用广州市高程系统。</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对测区范围内的已有控制点进行复核，观测值符合相关要求后再进行测量利用。布设GNSS-E级点作为本工程的平面首级控制网点，布设四等水准路线联测首级平面控制点。</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2</w:t>
      </w:r>
      <w:r>
        <w:rPr>
          <w:rFonts w:hint="default" w:ascii="Times New Roman" w:hAnsi="Times New Roman" w:cs="Times New Roman"/>
          <w:b/>
          <w:color w:val="auto"/>
          <w:sz w:val="28"/>
          <w:szCs w:val="28"/>
          <w:highlight w:val="none"/>
        </w:rPr>
        <w:t>地形测量</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 测量目的</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测量1:500地形图全面反映设计范围内的地形地物特征，准确反映现场的实际情况，为设计和施工提供可靠的地形资料。</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.2 测量范围</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对</w:t>
      </w:r>
      <w:r>
        <w:rPr>
          <w:rFonts w:hint="default" w:ascii="Times New Roman" w:hAnsi="Times New Roman" w:cs="Times New Roman"/>
          <w:color w:val="auto"/>
          <w:sz w:val="28"/>
          <w:szCs w:val="28"/>
          <w:highlight w:val="none"/>
          <w:lang w:val="en-US" w:eastAsia="zh-CN"/>
        </w:rPr>
        <w:t>项目范围内</w:t>
      </w:r>
      <w:r>
        <w:rPr>
          <w:rFonts w:hint="default" w:ascii="Times New Roman" w:hAnsi="Times New Roman" w:cs="Times New Roman"/>
          <w:color w:val="auto"/>
          <w:sz w:val="28"/>
          <w:szCs w:val="28"/>
          <w:highlight w:val="none"/>
        </w:rPr>
        <w:t>的</w:t>
      </w:r>
      <w:r>
        <w:rPr>
          <w:rFonts w:hint="default" w:ascii="Times New Roman" w:hAnsi="Times New Roman" w:cs="Times New Roman"/>
          <w:color w:val="auto"/>
          <w:sz w:val="28"/>
          <w:szCs w:val="28"/>
          <w:highlight w:val="none"/>
          <w:lang w:val="en-US" w:eastAsia="zh-CN"/>
        </w:rPr>
        <w:t>独柱墩</w:t>
      </w:r>
      <w:r>
        <w:rPr>
          <w:rFonts w:hint="default" w:ascii="Times New Roman" w:hAnsi="Times New Roman" w:cs="Times New Roman"/>
          <w:color w:val="auto"/>
          <w:sz w:val="28"/>
          <w:szCs w:val="28"/>
          <w:highlight w:val="none"/>
        </w:rPr>
        <w:t>桥梁路段进行1:500地形图测量，测量范围为所在地面道路中线至同侧道路辅道边线。测量宽度及作业内容最终以设计方案需要为准，并报送</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审核批复后再实施。</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.3  测量技术要求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测图比例尺1：500，基本等高距0.5m。</w:t>
      </w:r>
    </w:p>
    <w:p>
      <w:pPr>
        <w:snapToGrid/>
        <w:spacing w:line="500" w:lineRule="exact"/>
        <w:ind w:firstLine="560" w:firstLineChars="20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用全站仪、GPS-RTK等对测区进行1：500地形测量，道路桥梁边线、地形地貌、市政及交通设施等均需详细测绘，室内利用专业成图软件编辑成图，并在AutoCAD中进行拼图、接边、整饰和修改，最后生成成果图，生成*.dwg格式文件。</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桥梁平、立面测量</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.1  测量目的</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为了准确测量已建桥梁桥墩、箱梁的尺寸，为墩柱的平</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立面布置设计及结构选型提供可靠准确的数据资料。</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.2  测量内容及比例尺</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对</w:t>
      </w:r>
      <w:r>
        <w:rPr>
          <w:rFonts w:hint="eastAsia" w:ascii="Times New Roman" w:hAnsi="Times New Roman" w:cs="Times New Roman"/>
          <w:color w:val="auto"/>
          <w:sz w:val="28"/>
          <w:szCs w:val="28"/>
          <w:highlight w:val="none"/>
          <w:lang w:val="en-US" w:eastAsia="zh-CN"/>
        </w:rPr>
        <w:t>项目范围内</w:t>
      </w:r>
      <w:r>
        <w:rPr>
          <w:rFonts w:hint="default" w:ascii="Times New Roman" w:hAnsi="Times New Roman" w:cs="Times New Roman"/>
          <w:color w:val="auto"/>
          <w:sz w:val="28"/>
          <w:szCs w:val="28"/>
          <w:highlight w:val="none"/>
        </w:rPr>
        <w:t>的</w:t>
      </w:r>
      <w:r>
        <w:rPr>
          <w:rFonts w:hint="eastAsia" w:ascii="Times New Roman" w:hAnsi="Times New Roman" w:cs="Times New Roman"/>
          <w:color w:val="auto"/>
          <w:sz w:val="28"/>
          <w:szCs w:val="28"/>
          <w:highlight w:val="none"/>
          <w:lang w:eastAsia="zh-CN"/>
        </w:rPr>
        <w:t>独柱墩</w:t>
      </w:r>
      <w:r>
        <w:rPr>
          <w:rFonts w:hint="default" w:ascii="Times New Roman" w:hAnsi="Times New Roman" w:cs="Times New Roman"/>
          <w:color w:val="auto"/>
          <w:sz w:val="28"/>
          <w:szCs w:val="28"/>
          <w:highlight w:val="none"/>
        </w:rPr>
        <w:t>桥梁进行桥墩</w:t>
      </w:r>
      <w:r>
        <w:rPr>
          <w:rFonts w:hint="default" w:ascii="Times New Roman" w:hAnsi="Times New Roman" w:cs="Times New Roman"/>
          <w:color w:val="auto"/>
          <w:sz w:val="28"/>
          <w:szCs w:val="28"/>
          <w:highlight w:val="none"/>
          <w:lang w:val="en-US" w:eastAsia="zh-CN"/>
        </w:rPr>
        <w:t>平</w:t>
      </w:r>
      <w:r>
        <w:rPr>
          <w:rFonts w:hint="default" w:ascii="Times New Roman" w:hAnsi="Times New Roman" w:cs="Times New Roman"/>
          <w:color w:val="auto"/>
          <w:sz w:val="28"/>
          <w:szCs w:val="28"/>
          <w:highlight w:val="none"/>
        </w:rPr>
        <w:t>立面测量，测量比例1：200。</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.3  测量技术要求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测出桥梁平、立面轮廓含桥墩和承台，桥墩、承台和箱梁轮廓测量不少于12个测点，具体根据桥墩和承台的形式进行合理布置，应能准确反映梁底轮廓，测定其特征点。</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用全站仪利用极坐标法测量，人员能到达的地方采用有棱镜模式进行，人员不能达到的地方采用无棱镜方式测量。测站架设在平高控制点上，取另一个平高控制点为后视点，再在第三个平高控制点上进行校核。测点精度应满足细部点测量精度要求。</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val="en-US" w:eastAsia="zh-CN"/>
        </w:rPr>
        <w:t>4小型工程</w:t>
      </w:r>
      <w:r>
        <w:rPr>
          <w:rFonts w:hint="default" w:ascii="Times New Roman" w:hAnsi="Times New Roman" w:cs="Times New Roman"/>
          <w:b/>
          <w:color w:val="auto"/>
          <w:sz w:val="28"/>
          <w:szCs w:val="28"/>
          <w:highlight w:val="none"/>
        </w:rPr>
        <w:t>测量</w:t>
      </w:r>
    </w:p>
    <w:p>
      <w:pPr>
        <w:pStyle w:val="18"/>
        <w:snapToGrid/>
        <w:spacing w:line="500" w:lineRule="exact"/>
        <w:ind w:firstLine="560" w:firstLineChars="200"/>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为准确反映设计方案周边地形情况并将其表示在地形图上，进行小型工程测量，如：对设计道路沿线范围进行高压线线高及对交叉路口对桥梁进行净空高测量；建构筑物细部点测量调查，准确测量</w:t>
      </w:r>
      <w:r>
        <w:rPr>
          <w:rFonts w:hint="default" w:ascii="Times New Roman" w:hAnsi="Times New Roman" w:cs="Times New Roman"/>
          <w:color w:val="auto"/>
          <w:sz w:val="28"/>
          <w:szCs w:val="28"/>
          <w:highlight w:val="none"/>
        </w:rPr>
        <w:t>不满足抗倾覆要求</w:t>
      </w:r>
      <w:r>
        <w:rPr>
          <w:rFonts w:hint="eastAsia" w:ascii="Times New Roman" w:hAnsi="Times New Roman" w:cs="Times New Roman"/>
          <w:color w:val="auto"/>
          <w:sz w:val="28"/>
          <w:szCs w:val="28"/>
          <w:highlight w:val="none"/>
          <w:lang w:val="en-US" w:eastAsia="zh-CN"/>
        </w:rPr>
        <w:t>的</w:t>
      </w:r>
      <w:r>
        <w:rPr>
          <w:rFonts w:hint="eastAsia" w:ascii="Times New Roman" w:hAnsi="Times New Roman" w:eastAsia="宋体" w:cs="Times New Roman"/>
          <w:color w:val="auto"/>
          <w:kern w:val="2"/>
          <w:sz w:val="28"/>
          <w:szCs w:val="28"/>
          <w:highlight w:val="none"/>
          <w:lang w:val="en-US" w:eastAsia="zh-CN" w:bidi="ar-SA"/>
        </w:rPr>
        <w:t>桥墩坐标位置。其他小型工程测量，具体内容根据设计要求进行测量。</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val="en-US" w:eastAsia="zh-CN"/>
        </w:rPr>
        <w:t>5</w:t>
      </w:r>
      <w:r>
        <w:rPr>
          <w:rFonts w:hint="default" w:ascii="Times New Roman" w:hAnsi="Times New Roman" w:cs="Times New Roman"/>
          <w:b/>
          <w:color w:val="auto"/>
          <w:sz w:val="28"/>
          <w:szCs w:val="28"/>
          <w:highlight w:val="none"/>
        </w:rPr>
        <w:t xml:space="preserve"> </w:t>
      </w:r>
      <w:r>
        <w:rPr>
          <w:rFonts w:hint="default" w:ascii="Times New Roman" w:hAnsi="Times New Roman" w:eastAsia="宋体" w:cs="Times New Roman"/>
          <w:b/>
          <w:color w:val="auto"/>
          <w:sz w:val="28"/>
          <w:szCs w:val="28"/>
          <w:highlight w:val="none"/>
        </w:rPr>
        <w:t>测量</w:t>
      </w:r>
      <w:r>
        <w:rPr>
          <w:rFonts w:hint="default" w:ascii="Times New Roman" w:hAnsi="Times New Roman" w:cs="Times New Roman"/>
          <w:b/>
          <w:color w:val="auto"/>
          <w:sz w:val="28"/>
          <w:szCs w:val="28"/>
          <w:highlight w:val="none"/>
        </w:rPr>
        <w:t>技术标准</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（1）《城市测量规范》（CJJ/T 8-2011）</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（2）《工程测量标准》（GB50026-2020）</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（3）《全球定位系统实时动态测量（RTK）技术规范》（GH/T 2009-2010）</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（4）《国家三、四等水准测量规范》GB/T 12898-2009</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（5）《1:500</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1:1000</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1:2000外业数字测图规程》GB/T 14912-2017</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（6）《1:500</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1:1000</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1:2000地形图图式》DBJ440100/T 230-2015</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（7）《测绘成果质量检查与验收》（GB/T24356-2009）等。</w:t>
      </w:r>
    </w:p>
    <w:p>
      <w:pPr>
        <w:snapToGrid/>
        <w:spacing w:line="500" w:lineRule="exact"/>
        <w:ind w:firstLine="562" w:firstLineChars="200"/>
        <w:rPr>
          <w:rFonts w:hint="default" w:ascii="Times New Roman" w:hAnsi="Times New Roman" w:cs="Times New Roman"/>
          <w:b/>
          <w:bCs/>
          <w:strike w:val="0"/>
          <w:color w:val="auto"/>
          <w:sz w:val="28"/>
          <w:szCs w:val="28"/>
          <w:highlight w:val="none"/>
        </w:rPr>
      </w:pPr>
      <w:r>
        <w:rPr>
          <w:rFonts w:hint="eastAsia" w:ascii="Times New Roman" w:hAnsi="Times New Roman" w:cs="Times New Roman"/>
          <w:b/>
          <w:bCs/>
          <w:strike w:val="0"/>
          <w:color w:val="auto"/>
          <w:sz w:val="28"/>
          <w:szCs w:val="28"/>
          <w:highlight w:val="none"/>
          <w:lang w:val="en-US" w:eastAsia="zh-CN"/>
        </w:rPr>
        <w:t>3</w:t>
      </w:r>
      <w:r>
        <w:rPr>
          <w:rFonts w:hint="default" w:ascii="Times New Roman" w:hAnsi="Times New Roman" w:cs="Times New Roman"/>
          <w:b/>
          <w:bCs/>
          <w:strike w:val="0"/>
          <w:color w:val="auto"/>
          <w:sz w:val="28"/>
          <w:szCs w:val="28"/>
          <w:highlight w:val="none"/>
          <w:lang w:val="en-US" w:eastAsia="zh-CN"/>
        </w:rPr>
        <w:t>.</w:t>
      </w:r>
      <w:r>
        <w:rPr>
          <w:rFonts w:hint="eastAsia" w:ascii="Times New Roman" w:hAnsi="Times New Roman" w:cs="Times New Roman"/>
          <w:b/>
          <w:bCs/>
          <w:strike w:val="0"/>
          <w:color w:val="auto"/>
          <w:sz w:val="28"/>
          <w:szCs w:val="28"/>
          <w:highlight w:val="none"/>
          <w:lang w:val="en-US" w:eastAsia="zh-CN"/>
        </w:rPr>
        <w:t>6</w:t>
      </w:r>
      <w:r>
        <w:rPr>
          <w:rFonts w:hint="default" w:ascii="Times New Roman" w:hAnsi="Times New Roman" w:cs="Times New Roman"/>
          <w:b/>
          <w:bCs/>
          <w:strike w:val="0"/>
          <w:color w:val="auto"/>
          <w:sz w:val="28"/>
          <w:szCs w:val="28"/>
          <w:highlight w:val="none"/>
        </w:rPr>
        <w:t>工程物探</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 xml:space="preserve">.1  </w:t>
      </w:r>
      <w:r>
        <w:rPr>
          <w:rFonts w:hint="default" w:ascii="Times New Roman" w:hAnsi="Times New Roman" w:cs="Times New Roman"/>
          <w:strike w:val="0"/>
          <w:color w:val="auto"/>
          <w:sz w:val="28"/>
          <w:szCs w:val="28"/>
          <w:highlight w:val="none"/>
          <w:lang w:eastAsia="zh-CN"/>
        </w:rPr>
        <w:t>探测</w:t>
      </w:r>
      <w:r>
        <w:rPr>
          <w:rFonts w:hint="default" w:ascii="Times New Roman" w:hAnsi="Times New Roman" w:cs="Times New Roman"/>
          <w:color w:val="auto"/>
          <w:sz w:val="28"/>
          <w:szCs w:val="28"/>
          <w:highlight w:val="none"/>
        </w:rPr>
        <w:t>目的</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查明指定范围内的综合地下管线，为工程的勘察、设计提供真实可靠的地下管线信息。</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eastAsia" w:ascii="Times New Roman" w:hAnsi="Times New Roman" w:cs="Times New Roman"/>
          <w:strike w:val="0"/>
          <w:color w:val="auto"/>
          <w:sz w:val="28"/>
          <w:szCs w:val="28"/>
          <w:highlight w:val="none"/>
          <w:lang w:val="en-US" w:eastAsia="zh-CN"/>
        </w:rPr>
        <w:t>3.6</w:t>
      </w:r>
      <w:r>
        <w:rPr>
          <w:rFonts w:hint="default" w:ascii="Times New Roman" w:hAnsi="Times New Roman" w:cs="Times New Roman"/>
          <w:strike w:val="0"/>
          <w:color w:val="auto"/>
          <w:sz w:val="28"/>
          <w:szCs w:val="28"/>
          <w:highlight w:val="none"/>
          <w:lang w:val="en-US" w:eastAsia="zh-CN"/>
        </w:rPr>
        <w:t xml:space="preserve">.2  </w:t>
      </w:r>
      <w:r>
        <w:rPr>
          <w:rFonts w:hint="default" w:ascii="Times New Roman" w:hAnsi="Times New Roman" w:cs="Times New Roman"/>
          <w:strike w:val="0"/>
          <w:color w:val="auto"/>
          <w:sz w:val="28"/>
          <w:szCs w:val="28"/>
          <w:highlight w:val="none"/>
        </w:rPr>
        <w:t>具体任务</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lang w:val="en-US" w:eastAsia="zh-CN"/>
        </w:rPr>
        <w:t>1</w:t>
      </w: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rPr>
        <w:t>查明需开挖动土范围及邻近区域的地下管线具体分布情况，包括给水、排水、燃气、电力、电信、热力、工业管道等市政和公用管线及民航、军用、铁路等其他专用管线。</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lang w:val="en-US" w:eastAsia="zh-CN"/>
        </w:rPr>
        <w:t>2</w:t>
      </w: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rPr>
        <w:t>查明地下管线的种类、平面位置、埋深、管径、孔数、电缆根数、材质等属性，并编绘综合地下管线图、地下管线点成果表。</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lang w:val="en-US" w:eastAsia="zh-CN"/>
        </w:rPr>
        <w:t>3</w:t>
      </w: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rPr>
        <w:t>将探测成果编绘成数字化成果图，最终提供彩色成果图、地下管线点成果表和电子文档。</w:t>
      </w:r>
    </w:p>
    <w:p>
      <w:pPr>
        <w:snapToGrid/>
        <w:spacing w:line="500" w:lineRule="exact"/>
        <w:ind w:firstLine="560" w:firstLineChars="200"/>
        <w:rPr>
          <w:rFonts w:hint="default" w:ascii="Times New Roman" w:hAnsi="Times New Roman" w:cs="Times New Roman"/>
          <w:color w:val="auto"/>
          <w:sz w:val="28"/>
          <w:szCs w:val="28"/>
          <w:highlight w:val="none"/>
          <w:lang w:eastAsia="zh-CN"/>
        </w:rPr>
      </w:pPr>
      <w:r>
        <w:rPr>
          <w:rFonts w:hint="eastAsia" w:ascii="Times New Roman" w:hAnsi="Times New Roman" w:cs="Times New Roman"/>
          <w:strike w:val="0"/>
          <w:color w:val="auto"/>
          <w:sz w:val="28"/>
          <w:szCs w:val="28"/>
          <w:highlight w:val="none"/>
          <w:lang w:val="en-US" w:eastAsia="zh-CN"/>
        </w:rPr>
        <w:t>3</w:t>
      </w:r>
      <w:r>
        <w:rPr>
          <w:rFonts w:hint="default" w:ascii="Times New Roman" w:hAnsi="Times New Roman" w:cs="Times New Roman"/>
          <w:strike w:val="0"/>
          <w:color w:val="auto"/>
          <w:sz w:val="28"/>
          <w:szCs w:val="28"/>
          <w:highlight w:val="none"/>
          <w:lang w:val="en-US" w:eastAsia="zh-CN"/>
        </w:rPr>
        <w:t>.</w:t>
      </w:r>
      <w:r>
        <w:rPr>
          <w:rFonts w:hint="eastAsia" w:ascii="Times New Roman" w:hAnsi="Times New Roman" w:cs="Times New Roman"/>
          <w:strike w:val="0"/>
          <w:color w:val="auto"/>
          <w:sz w:val="28"/>
          <w:szCs w:val="28"/>
          <w:highlight w:val="none"/>
          <w:lang w:val="en-US" w:eastAsia="zh-CN"/>
        </w:rPr>
        <w:t>6</w:t>
      </w:r>
      <w:r>
        <w:rPr>
          <w:rFonts w:hint="default" w:ascii="Times New Roman" w:hAnsi="Times New Roman" w:cs="Times New Roman"/>
          <w:strike w:val="0"/>
          <w:color w:val="auto"/>
          <w:sz w:val="28"/>
          <w:szCs w:val="28"/>
          <w:highlight w:val="none"/>
          <w:lang w:val="en-US" w:eastAsia="zh-CN"/>
        </w:rPr>
        <w:t xml:space="preserve">.3  </w:t>
      </w:r>
      <w:r>
        <w:rPr>
          <w:rFonts w:hint="default" w:ascii="Times New Roman" w:hAnsi="Times New Roman" w:cs="Times New Roman"/>
          <w:strike w:val="0"/>
          <w:color w:val="auto"/>
          <w:sz w:val="28"/>
          <w:szCs w:val="28"/>
          <w:highlight w:val="none"/>
          <w:lang w:eastAsia="zh-CN"/>
        </w:rPr>
        <w:t>遵循的规范规程和要求</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（1）《广东省地下管线探测技术规程》DBJ/T15-134-2018；</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（2）《城市地下管线探测技术规程》CJJ 61-2017；</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w:t>
      </w:r>
      <w:r>
        <w:rPr>
          <w:rFonts w:hint="default" w:ascii="Times New Roman" w:hAnsi="Times New Roman" w:cs="Times New Roman"/>
          <w:strike w:val="0"/>
          <w:color w:val="auto"/>
          <w:sz w:val="28"/>
          <w:szCs w:val="28"/>
          <w:highlight w:val="none"/>
          <w:lang w:val="en-US" w:eastAsia="zh-CN"/>
        </w:rPr>
        <w:t>3</w:t>
      </w:r>
      <w:r>
        <w:rPr>
          <w:rFonts w:hint="default" w:ascii="Times New Roman" w:hAnsi="Times New Roman" w:cs="Times New Roman"/>
          <w:strike w:val="0"/>
          <w:color w:val="auto"/>
          <w:sz w:val="28"/>
          <w:szCs w:val="28"/>
          <w:highlight w:val="none"/>
        </w:rPr>
        <w:t>）《工程测量通用规范》GB 55018-2021；</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w:t>
      </w:r>
      <w:r>
        <w:rPr>
          <w:rFonts w:hint="default" w:ascii="Times New Roman" w:hAnsi="Times New Roman" w:cs="Times New Roman"/>
          <w:strike w:val="0"/>
          <w:color w:val="auto"/>
          <w:sz w:val="28"/>
          <w:szCs w:val="28"/>
          <w:highlight w:val="none"/>
          <w:lang w:val="en-US" w:eastAsia="zh-CN"/>
        </w:rPr>
        <w:t>4</w:t>
      </w:r>
      <w:r>
        <w:rPr>
          <w:rFonts w:hint="default" w:ascii="Times New Roman" w:hAnsi="Times New Roman" w:cs="Times New Roman"/>
          <w:strike w:val="0"/>
          <w:color w:val="auto"/>
          <w:sz w:val="28"/>
          <w:szCs w:val="28"/>
          <w:highlight w:val="none"/>
        </w:rPr>
        <w:t>）《城市工程地球物理探测标准》CJJ/T7-2017；</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strike w:val="0"/>
          <w:color w:val="auto"/>
          <w:sz w:val="28"/>
          <w:szCs w:val="28"/>
          <w:highlight w:val="none"/>
        </w:rPr>
        <w:t>（</w:t>
      </w:r>
      <w:r>
        <w:rPr>
          <w:rFonts w:hint="default" w:ascii="Times New Roman" w:hAnsi="Times New Roman" w:cs="Times New Roman"/>
          <w:strike w:val="0"/>
          <w:color w:val="auto"/>
          <w:sz w:val="28"/>
          <w:szCs w:val="28"/>
          <w:highlight w:val="none"/>
          <w:lang w:val="en-US" w:eastAsia="zh-CN"/>
        </w:rPr>
        <w:t>5</w:t>
      </w:r>
      <w:r>
        <w:rPr>
          <w:rFonts w:hint="default" w:ascii="Times New Roman" w:hAnsi="Times New Roman" w:cs="Times New Roman"/>
          <w:strike w:val="0"/>
          <w:color w:val="auto"/>
          <w:sz w:val="28"/>
          <w:szCs w:val="28"/>
          <w:highlight w:val="none"/>
        </w:rPr>
        <w:t>）工程设计提出的其它技术要求。</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eastAsia="zh-CN"/>
        </w:rPr>
        <w:t>四、</w:t>
      </w:r>
      <w:r>
        <w:rPr>
          <w:rFonts w:hint="default" w:ascii="Times New Roman" w:hAnsi="Times New Roman" w:cs="Times New Roman"/>
          <w:b/>
          <w:color w:val="auto"/>
          <w:sz w:val="28"/>
          <w:szCs w:val="28"/>
          <w:highlight w:val="none"/>
        </w:rPr>
        <w:t>设计</w:t>
      </w:r>
      <w:r>
        <w:rPr>
          <w:rFonts w:hint="eastAsia" w:ascii="Times New Roman" w:hAnsi="Times New Roman" w:cs="Times New Roman"/>
          <w:b/>
          <w:color w:val="auto"/>
          <w:sz w:val="28"/>
          <w:szCs w:val="28"/>
          <w:highlight w:val="none"/>
          <w:lang w:eastAsia="zh-CN"/>
        </w:rPr>
        <w:t>范围及</w:t>
      </w:r>
      <w:r>
        <w:rPr>
          <w:rFonts w:hint="default" w:ascii="Times New Roman" w:hAnsi="Times New Roman" w:cs="Times New Roman"/>
          <w:b/>
          <w:color w:val="auto"/>
          <w:sz w:val="28"/>
          <w:szCs w:val="28"/>
          <w:highlight w:val="none"/>
        </w:rPr>
        <w:t>目标</w:t>
      </w:r>
    </w:p>
    <w:p>
      <w:pPr>
        <w:adjustRightInd w:val="0"/>
        <w:spacing w:line="50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1.对项目范围内的独柱墩桥梁开展加固设计，</w:t>
      </w:r>
      <w:r>
        <w:rPr>
          <w:rFonts w:hint="eastAsia" w:ascii="Times New Roman" w:hAnsi="Times New Roman" w:cs="Times New Roman"/>
          <w:bCs/>
          <w:color w:val="auto"/>
          <w:sz w:val="28"/>
          <w:szCs w:val="28"/>
          <w:highlight w:val="none"/>
          <w:lang w:val="en-US" w:eastAsia="zh-CN"/>
        </w:rPr>
        <w:t>具体的设计范围及工程量根据现场实际需要加以明确</w:t>
      </w:r>
      <w:r>
        <w:rPr>
          <w:rFonts w:hint="default" w:ascii="Times New Roman" w:hAnsi="Times New Roman" w:cs="Times New Roman"/>
          <w:bCs/>
          <w:color w:val="auto"/>
          <w:sz w:val="28"/>
          <w:szCs w:val="28"/>
          <w:highlight w:val="none"/>
        </w:rPr>
        <w:t>。</w:t>
      </w:r>
      <w:r>
        <w:rPr>
          <w:rFonts w:hint="eastAsia" w:ascii="Times New Roman" w:hAnsi="Times New Roman" w:cs="Times New Roman"/>
          <w:color w:val="auto"/>
          <w:sz w:val="28"/>
          <w:szCs w:val="28"/>
          <w:highlight w:val="none"/>
          <w:lang w:val="en-US" w:eastAsia="zh-CN"/>
        </w:rPr>
        <w:t>加固设计需综合考虑桥梁的功能需求、施工可行性及合理性等要求，确保</w:t>
      </w:r>
      <w:r>
        <w:rPr>
          <w:rFonts w:hint="default" w:ascii="Times New Roman" w:hAnsi="Times New Roman" w:eastAsia="宋体" w:cs="Times New Roman"/>
          <w:bCs/>
          <w:color w:val="auto"/>
          <w:sz w:val="28"/>
          <w:szCs w:val="28"/>
          <w:highlight w:val="none"/>
          <w:lang w:val="en-US" w:eastAsia="zh-CN"/>
        </w:rPr>
        <w:t>采取加固措施后</w:t>
      </w:r>
      <w:r>
        <w:rPr>
          <w:rFonts w:hint="eastAsia" w:ascii="Times New Roman" w:hAnsi="Times New Roman" w:cs="Times New Roman"/>
          <w:color w:val="auto"/>
          <w:sz w:val="28"/>
          <w:szCs w:val="28"/>
          <w:highlight w:val="none"/>
          <w:lang w:val="en-US" w:eastAsia="zh-CN"/>
        </w:rPr>
        <w:t>项目范围内独柱墩桥梁</w:t>
      </w:r>
      <w:r>
        <w:rPr>
          <w:rFonts w:hint="default" w:ascii="Times New Roman" w:hAnsi="Times New Roman" w:eastAsia="宋体" w:cs="Times New Roman"/>
          <w:bCs/>
          <w:color w:val="auto"/>
          <w:sz w:val="28"/>
          <w:szCs w:val="28"/>
          <w:highlight w:val="none"/>
          <w:lang w:val="en-US" w:eastAsia="zh-CN"/>
        </w:rPr>
        <w:t>满足现行规范及</w:t>
      </w:r>
      <w:r>
        <w:rPr>
          <w:rFonts w:hint="eastAsia" w:ascii="Times New Roman" w:hAnsi="Times New Roman" w:cs="Times New Roman"/>
          <w:bCs/>
          <w:color w:val="auto"/>
          <w:sz w:val="28"/>
          <w:szCs w:val="28"/>
          <w:highlight w:val="none"/>
          <w:lang w:val="en-US" w:eastAsia="zh-CN"/>
        </w:rPr>
        <w:t>技术</w:t>
      </w:r>
      <w:r>
        <w:rPr>
          <w:rFonts w:hint="default" w:ascii="Times New Roman" w:hAnsi="Times New Roman" w:eastAsia="宋体" w:cs="Times New Roman"/>
          <w:bCs/>
          <w:color w:val="auto"/>
          <w:sz w:val="28"/>
          <w:szCs w:val="28"/>
          <w:highlight w:val="none"/>
          <w:lang w:val="en-US" w:eastAsia="zh-CN"/>
        </w:rPr>
        <w:t>标准相关要求</w:t>
      </w:r>
      <w:r>
        <w:rPr>
          <w:rFonts w:hint="eastAsia" w:ascii="Times New Roman" w:hAnsi="Times New Roman" w:cs="Times New Roman"/>
          <w:bCs/>
          <w:color w:val="auto"/>
          <w:sz w:val="28"/>
          <w:szCs w:val="28"/>
          <w:highlight w:val="none"/>
          <w:lang w:val="en-US" w:eastAsia="zh-CN"/>
        </w:rPr>
        <w:t>。</w:t>
      </w:r>
    </w:p>
    <w:p>
      <w:pPr>
        <w:adjustRightInd w:val="0"/>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严格执行现行的设计规范及有关行政主管部门的批复意见开展设计工作，并对现场做详细踏勘，掌握现场实际情况，做到设计具有可实施性。</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设计方案应合理、可行，</w:t>
      </w:r>
      <w:r>
        <w:rPr>
          <w:rFonts w:hint="eastAsia" w:ascii="Times New Roman" w:hAnsi="Times New Roman" w:cs="Times New Roman"/>
          <w:color w:val="auto"/>
          <w:sz w:val="28"/>
          <w:szCs w:val="28"/>
          <w:highlight w:val="none"/>
          <w:lang w:val="en-US" w:eastAsia="zh-CN"/>
        </w:rPr>
        <w:t>造价</w:t>
      </w:r>
      <w:r>
        <w:rPr>
          <w:rFonts w:hint="default" w:ascii="Times New Roman" w:hAnsi="Times New Roman" w:cs="Times New Roman"/>
          <w:color w:val="auto"/>
          <w:sz w:val="28"/>
          <w:szCs w:val="28"/>
          <w:highlight w:val="none"/>
        </w:rPr>
        <w:t>指标合理。</w:t>
      </w:r>
    </w:p>
    <w:p>
      <w:pPr>
        <w:numPr>
          <w:ilvl w:val="-1"/>
          <w:numId w:val="0"/>
        </w:numPr>
        <w:adjustRightInd w:val="0"/>
        <w:snapToGrid/>
        <w:spacing w:line="500" w:lineRule="exact"/>
        <w:ind w:firstLine="562" w:firstLineChars="200"/>
        <w:jc w:val="left"/>
        <w:outlineLvl w:val="9"/>
        <w:rPr>
          <w:rFonts w:hint="eastAsia" w:ascii="Times New Roman" w:hAnsi="Times New Roman" w:cs="Times New Roman"/>
          <w:b/>
          <w:color w:val="auto"/>
          <w:sz w:val="28"/>
          <w:szCs w:val="28"/>
          <w:highlight w:val="none"/>
          <w:lang w:eastAsia="zh-CN"/>
        </w:rPr>
      </w:pPr>
      <w:r>
        <w:rPr>
          <w:rFonts w:hint="eastAsia" w:ascii="Times New Roman" w:hAnsi="Times New Roman" w:cs="Times New Roman"/>
          <w:b/>
          <w:color w:val="auto"/>
          <w:sz w:val="28"/>
          <w:szCs w:val="28"/>
          <w:highlight w:val="none"/>
          <w:lang w:eastAsia="zh-CN"/>
        </w:rPr>
        <w:t>五、设计阶段</w:t>
      </w:r>
    </w:p>
    <w:p>
      <w:pPr>
        <w:adjustRightInd w:val="0"/>
        <w:snapToGrid/>
        <w:spacing w:line="500" w:lineRule="exact"/>
        <w:ind w:firstLine="560" w:firstLineChars="200"/>
        <w:jc w:val="left"/>
        <w:outlineLvl w:val="9"/>
        <w:rPr>
          <w:rFonts w:hint="eastAsia" w:ascii="Times New Roman" w:hAnsi="Times New Roman" w:eastAsia="宋体" w:cs="Times New Roman"/>
          <w:color w:val="auto"/>
          <w:sz w:val="28"/>
          <w:szCs w:val="28"/>
          <w:highlight w:val="none"/>
          <w:lang w:eastAsia="zh-CN" w:bidi="ar"/>
        </w:rPr>
      </w:pPr>
      <w:r>
        <w:rPr>
          <w:rFonts w:hint="default" w:ascii="Times New Roman" w:hAnsi="Times New Roman" w:eastAsia="宋体" w:cs="Times New Roman"/>
          <w:color w:val="auto"/>
          <w:kern w:val="2"/>
          <w:sz w:val="28"/>
          <w:szCs w:val="28"/>
          <w:highlight w:val="none"/>
          <w:lang w:val="en-US" w:eastAsia="zh-CN" w:bidi="ar"/>
        </w:rPr>
        <w:t>全阶段设计</w:t>
      </w:r>
      <w:r>
        <w:rPr>
          <w:rFonts w:hint="eastAsia" w:ascii="Times New Roman" w:hAnsi="Times New Roman" w:cs="Times New Roman"/>
          <w:color w:val="auto"/>
          <w:kern w:val="2"/>
          <w:sz w:val="28"/>
          <w:szCs w:val="28"/>
          <w:highlight w:val="none"/>
          <w:lang w:val="en-US" w:eastAsia="zh-CN" w:bidi="ar"/>
        </w:rPr>
        <w:t>，包括但不限于</w:t>
      </w:r>
      <w:r>
        <w:rPr>
          <w:rFonts w:hint="default" w:ascii="Times New Roman" w:hAnsi="Times New Roman" w:eastAsia="宋体" w:cs="Times New Roman"/>
          <w:color w:val="auto"/>
          <w:sz w:val="28"/>
          <w:szCs w:val="28"/>
          <w:highlight w:val="none"/>
          <w:lang w:bidi="ar"/>
        </w:rPr>
        <w:t>方案设计</w:t>
      </w:r>
      <w:r>
        <w:rPr>
          <w:rFonts w:hint="eastAsia" w:ascii="Times New Roman" w:hAnsi="Times New Roman" w:eastAsia="宋体" w:cs="Times New Roman"/>
          <w:color w:val="auto"/>
          <w:sz w:val="28"/>
          <w:szCs w:val="28"/>
          <w:highlight w:val="none"/>
          <w:lang w:eastAsia="zh-CN" w:bidi="ar"/>
        </w:rPr>
        <w:t>（取得上级主管部门批复）</w:t>
      </w:r>
      <w:r>
        <w:rPr>
          <w:rFonts w:hint="default" w:ascii="Times New Roman" w:hAnsi="Times New Roman" w:eastAsia="宋体" w:cs="Times New Roman"/>
          <w:color w:val="auto"/>
          <w:sz w:val="28"/>
          <w:szCs w:val="28"/>
          <w:highlight w:val="none"/>
          <w:lang w:bidi="ar"/>
        </w:rPr>
        <w:t>、施工图设计（通过施工图审查</w:t>
      </w:r>
      <w:r>
        <w:rPr>
          <w:rFonts w:hint="eastAsia" w:ascii="Times New Roman" w:hAnsi="Times New Roman" w:cs="Times New Roman"/>
          <w:color w:val="auto"/>
          <w:sz w:val="28"/>
          <w:szCs w:val="28"/>
          <w:highlight w:val="none"/>
          <w:lang w:val="en-US" w:eastAsia="zh-CN" w:bidi="ar"/>
        </w:rPr>
        <w:t>单位</w:t>
      </w:r>
      <w:r>
        <w:rPr>
          <w:rFonts w:hint="default" w:ascii="Times New Roman" w:hAnsi="Times New Roman" w:eastAsia="宋体" w:cs="Times New Roman"/>
          <w:color w:val="auto"/>
          <w:sz w:val="28"/>
          <w:szCs w:val="28"/>
          <w:highlight w:val="none"/>
          <w:lang w:bidi="ar"/>
        </w:rPr>
        <w:t>或发包人委托的其他咨询机构审查）</w:t>
      </w:r>
      <w:r>
        <w:rPr>
          <w:rFonts w:hint="eastAsia" w:ascii="Times New Roman" w:hAnsi="Times New Roman" w:eastAsia="宋体" w:cs="Times New Roman"/>
          <w:color w:val="auto"/>
          <w:sz w:val="28"/>
          <w:szCs w:val="28"/>
          <w:highlight w:val="none"/>
          <w:lang w:eastAsia="zh-CN" w:bidi="ar"/>
        </w:rPr>
        <w:t>、</w:t>
      </w:r>
      <w:r>
        <w:rPr>
          <w:rFonts w:hint="default" w:ascii="Times New Roman" w:hAnsi="Times New Roman" w:eastAsia="宋体" w:cs="Times New Roman"/>
          <w:color w:val="auto"/>
          <w:sz w:val="28"/>
          <w:szCs w:val="28"/>
          <w:highlight w:val="none"/>
          <w:lang w:bidi="ar"/>
        </w:rPr>
        <w:t>预算（取得财政部门批复）、现场服务、施工及验收过程的配合、施工过程中的方案优化及设计变更</w:t>
      </w:r>
      <w:r>
        <w:rPr>
          <w:rFonts w:hint="eastAsia" w:ascii="Times New Roman" w:hAnsi="Times New Roman" w:eastAsia="宋体" w:cs="Times New Roman"/>
          <w:color w:val="auto"/>
          <w:sz w:val="28"/>
          <w:szCs w:val="28"/>
          <w:highlight w:val="none"/>
          <w:lang w:eastAsia="zh-CN" w:bidi="ar"/>
        </w:rPr>
        <w:t>、竣工图编制</w:t>
      </w:r>
      <w:r>
        <w:rPr>
          <w:rFonts w:hint="default" w:ascii="Times New Roman" w:hAnsi="Times New Roman" w:eastAsia="宋体" w:cs="Times New Roman"/>
          <w:color w:val="auto"/>
          <w:sz w:val="28"/>
          <w:szCs w:val="28"/>
          <w:highlight w:val="none"/>
          <w:lang w:bidi="ar"/>
        </w:rPr>
        <w:t>等工作</w:t>
      </w:r>
      <w:r>
        <w:rPr>
          <w:rFonts w:hint="eastAsia" w:ascii="Times New Roman" w:hAnsi="Times New Roman" w:eastAsia="宋体" w:cs="Times New Roman"/>
          <w:color w:val="auto"/>
          <w:sz w:val="28"/>
          <w:szCs w:val="28"/>
          <w:highlight w:val="none"/>
          <w:lang w:eastAsia="zh-CN" w:bidi="ar"/>
        </w:rPr>
        <w:t>。</w:t>
      </w:r>
    </w:p>
    <w:p>
      <w:pPr>
        <w:numPr>
          <w:ilvl w:val="0"/>
          <w:numId w:val="0"/>
        </w:numPr>
        <w:adjustRightInd w:val="0"/>
        <w:spacing w:line="500" w:lineRule="exact"/>
        <w:ind w:firstLine="560" w:firstLineChars="200"/>
        <w:jc w:val="left"/>
        <w:outlineLvl w:val="9"/>
        <w:rPr>
          <w:rFonts w:hint="default"/>
          <w:color w:val="auto"/>
          <w:sz w:val="28"/>
          <w:szCs w:val="28"/>
          <w:highlight w:val="none"/>
        </w:rPr>
      </w:pPr>
      <w:r>
        <w:rPr>
          <w:rFonts w:hint="default" w:ascii="Times New Roman" w:hAnsi="Times New Roman" w:cs="Times New Roman"/>
          <w:b w:val="0"/>
          <w:bCs/>
          <w:color w:val="auto"/>
          <w:sz w:val="28"/>
          <w:szCs w:val="28"/>
          <w:highlight w:val="none"/>
        </w:rPr>
        <w:t>设计单位须配合包括但不限于以下工作内容：</w:t>
      </w:r>
    </w:p>
    <w:p>
      <w:pPr>
        <w:adjustRightInd w:val="0"/>
        <w:snapToGrid/>
        <w:spacing w:line="500" w:lineRule="exact"/>
        <w:ind w:firstLine="560" w:firstLineChars="200"/>
        <w:jc w:val="left"/>
        <w:outlineLvl w:val="9"/>
        <w:rPr>
          <w:rFonts w:hint="default" w:ascii="Times New Roman" w:hAnsi="Times New Roman" w:cs="Times New Roman"/>
          <w:b w:val="0"/>
          <w:bCs/>
          <w:color w:val="auto"/>
          <w:sz w:val="28"/>
          <w:szCs w:val="28"/>
          <w:highlight w:val="none"/>
        </w:rPr>
      </w:pPr>
      <w:r>
        <w:rPr>
          <w:rFonts w:hint="eastAsia" w:ascii="Times New Roman" w:hAnsi="Times New Roman" w:cs="Times New Roman"/>
          <w:b w:val="0"/>
          <w:bCs/>
          <w:color w:val="auto"/>
          <w:sz w:val="28"/>
          <w:szCs w:val="28"/>
          <w:highlight w:val="none"/>
          <w:lang w:val="en-US" w:eastAsia="zh-CN"/>
        </w:rPr>
        <w:t>1</w:t>
      </w:r>
      <w:r>
        <w:rPr>
          <w:rFonts w:hint="default" w:ascii="Times New Roman" w:hAnsi="Times New Roman" w:cs="Times New Roman"/>
          <w:b w:val="0"/>
          <w:bCs/>
          <w:color w:val="auto"/>
          <w:sz w:val="28"/>
          <w:szCs w:val="28"/>
          <w:highlight w:val="none"/>
        </w:rPr>
        <w:t>.预算编制及报审（清单式，含土建施工、实体检测及监测等</w:t>
      </w:r>
      <w:r>
        <w:rPr>
          <w:rFonts w:hint="eastAsia" w:ascii="Times New Roman" w:hAnsi="Times New Roman" w:cs="Times New Roman"/>
          <w:b w:val="0"/>
          <w:bCs/>
          <w:color w:val="auto"/>
          <w:sz w:val="28"/>
          <w:szCs w:val="28"/>
          <w:highlight w:val="none"/>
          <w:lang w:val="en-US" w:eastAsia="zh-CN"/>
        </w:rPr>
        <w:t>与本工程相关的各项措施预算</w:t>
      </w:r>
      <w:r>
        <w:rPr>
          <w:rFonts w:hint="default" w:ascii="Times New Roman" w:hAnsi="Times New Roman" w:cs="Times New Roman"/>
          <w:b w:val="0"/>
          <w:bCs/>
          <w:color w:val="auto"/>
          <w:sz w:val="28"/>
          <w:szCs w:val="28"/>
          <w:highlight w:val="none"/>
        </w:rPr>
        <w:t>，深度需满足招标清单要求）（取得主管部门批复）</w:t>
      </w:r>
    </w:p>
    <w:p>
      <w:pPr>
        <w:adjustRightInd w:val="0"/>
        <w:snapToGrid/>
        <w:spacing w:line="500" w:lineRule="exact"/>
        <w:ind w:firstLine="560" w:firstLineChars="200"/>
        <w:jc w:val="left"/>
        <w:outlineLvl w:val="9"/>
        <w:rPr>
          <w:rFonts w:hint="default" w:ascii="Times New Roman" w:hAnsi="Times New Roman" w:cs="Times New Roman"/>
          <w:b w:val="0"/>
          <w:bCs/>
          <w:color w:val="auto"/>
          <w:sz w:val="28"/>
          <w:szCs w:val="28"/>
          <w:highlight w:val="none"/>
        </w:rPr>
      </w:pPr>
      <w:r>
        <w:rPr>
          <w:rFonts w:hint="eastAsia" w:ascii="Times New Roman" w:hAnsi="Times New Roman" w:cs="Times New Roman"/>
          <w:b w:val="0"/>
          <w:bCs/>
          <w:color w:val="auto"/>
          <w:sz w:val="28"/>
          <w:szCs w:val="28"/>
          <w:highlight w:val="none"/>
          <w:lang w:val="en-US" w:eastAsia="zh-CN"/>
        </w:rPr>
        <w:t>2</w:t>
      </w:r>
      <w:r>
        <w:rPr>
          <w:rFonts w:hint="default" w:ascii="Times New Roman" w:hAnsi="Times New Roman" w:cs="Times New Roman"/>
          <w:b w:val="0"/>
          <w:bCs/>
          <w:color w:val="auto"/>
          <w:sz w:val="28"/>
          <w:szCs w:val="28"/>
          <w:highlight w:val="none"/>
        </w:rPr>
        <w:t>.施工图清单（满足招标需要）</w:t>
      </w:r>
    </w:p>
    <w:p>
      <w:pPr>
        <w:adjustRightInd w:val="0"/>
        <w:snapToGrid/>
        <w:spacing w:line="500" w:lineRule="exact"/>
        <w:ind w:firstLine="560" w:firstLineChars="200"/>
        <w:jc w:val="left"/>
        <w:outlineLvl w:val="9"/>
        <w:rPr>
          <w:rFonts w:hint="default" w:ascii="Times New Roman" w:hAnsi="Times New Roman" w:cs="Times New Roman"/>
          <w:b w:val="0"/>
          <w:bCs/>
          <w:color w:val="auto"/>
          <w:sz w:val="28"/>
          <w:szCs w:val="28"/>
          <w:highlight w:val="none"/>
        </w:rPr>
      </w:pPr>
      <w:r>
        <w:rPr>
          <w:rFonts w:hint="eastAsia" w:ascii="Times New Roman" w:hAnsi="Times New Roman" w:cs="Times New Roman"/>
          <w:b w:val="0"/>
          <w:bCs/>
          <w:color w:val="auto"/>
          <w:sz w:val="28"/>
          <w:szCs w:val="28"/>
          <w:highlight w:val="none"/>
          <w:lang w:val="en-US" w:eastAsia="zh-CN"/>
        </w:rPr>
        <w:t>3</w:t>
      </w:r>
      <w:r>
        <w:rPr>
          <w:rFonts w:hint="default" w:ascii="Times New Roman" w:hAnsi="Times New Roman" w:cs="Times New Roman"/>
          <w:b w:val="0"/>
          <w:bCs/>
          <w:color w:val="auto"/>
          <w:sz w:val="28"/>
          <w:szCs w:val="28"/>
          <w:highlight w:val="none"/>
        </w:rPr>
        <w:t>.招标控制价（满足招标需要）</w:t>
      </w:r>
    </w:p>
    <w:p>
      <w:pPr>
        <w:adjustRightInd w:val="0"/>
        <w:snapToGrid/>
        <w:spacing w:line="500" w:lineRule="exact"/>
        <w:ind w:firstLine="560" w:firstLineChars="200"/>
        <w:jc w:val="left"/>
        <w:rPr>
          <w:rFonts w:hint="default" w:ascii="Times New Roman" w:hAnsi="Times New Roman" w:cs="Times New Roman"/>
          <w:bCs/>
          <w:color w:val="auto"/>
          <w:sz w:val="28"/>
          <w:szCs w:val="28"/>
          <w:highlight w:val="none"/>
        </w:rPr>
      </w:pPr>
      <w:r>
        <w:rPr>
          <w:rFonts w:hint="eastAsia" w:ascii="Times New Roman" w:hAnsi="Times New Roman" w:cs="Times New Roman"/>
          <w:b w:val="0"/>
          <w:bCs/>
          <w:color w:val="auto"/>
          <w:sz w:val="28"/>
          <w:szCs w:val="28"/>
          <w:highlight w:val="none"/>
          <w:lang w:val="en-US" w:eastAsia="zh-CN"/>
        </w:rPr>
        <w:t>4</w:t>
      </w:r>
      <w:r>
        <w:rPr>
          <w:rFonts w:hint="default" w:ascii="Times New Roman" w:hAnsi="Times New Roman" w:cs="Times New Roman"/>
          <w:b w:val="0"/>
          <w:bCs/>
          <w:color w:val="auto"/>
          <w:sz w:val="28"/>
          <w:szCs w:val="28"/>
          <w:highlight w:val="none"/>
        </w:rPr>
        <w:t>.招标技术文件编制（含材料、设备、施工等招标内容的技术文件编制，提供施工招标文件中危大工程清单，提供工程实体质量检测及监测等服务工作的方案及技术要求等）。</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eastAsia="zh-CN"/>
        </w:rPr>
        <w:t>六</w:t>
      </w:r>
      <w:r>
        <w:rPr>
          <w:rFonts w:hint="default" w:ascii="Times New Roman" w:hAnsi="Times New Roman" w:cs="Times New Roman"/>
          <w:b/>
          <w:color w:val="auto"/>
          <w:sz w:val="28"/>
          <w:szCs w:val="28"/>
          <w:highlight w:val="none"/>
        </w:rPr>
        <w:t>、总体要求</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.1规范</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.1.1</w:t>
      </w:r>
      <w:r>
        <w:rPr>
          <w:rFonts w:hint="eastAsia" w:ascii="Times New Roman" w:hAnsi="Times New Roman" w:cs="Times New Roman"/>
          <w:color w:val="auto"/>
          <w:sz w:val="28"/>
          <w:szCs w:val="28"/>
          <w:highlight w:val="none"/>
          <w:lang w:val="en-US" w:eastAsia="zh-CN"/>
        </w:rPr>
        <w:t>勘察设计</w:t>
      </w:r>
      <w:r>
        <w:rPr>
          <w:rFonts w:hint="default" w:ascii="Times New Roman" w:hAnsi="Times New Roman" w:cs="Times New Roman"/>
          <w:color w:val="auto"/>
          <w:sz w:val="28"/>
          <w:szCs w:val="28"/>
          <w:highlight w:val="none"/>
        </w:rPr>
        <w:t>必须符合国家、省、市相关技术规范、标准。须考虑广州市市政工程特色，包括但不限于本任务书提及的规范、标准。</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.1.2设计成果深度必须符合住房城乡建设部编制的《市政公用工程设计文件编制深度规定（2013版）》要求。</w:t>
      </w:r>
    </w:p>
    <w:p>
      <w:pPr>
        <w:snapToGrid/>
        <w:spacing w:line="500" w:lineRule="exact"/>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.1.3设计必须符合广州市人民政府印发的《广州市房屋建筑和市政基础设施工程质量管理办法》（市人民政府第129号令）</w:t>
      </w:r>
      <w:r>
        <w:rPr>
          <w:rFonts w:hint="default" w:ascii="Times New Roman" w:hAnsi="Times New Roman" w:cs="Times New Roman"/>
          <w:color w:val="auto"/>
          <w:sz w:val="28"/>
          <w:szCs w:val="28"/>
          <w:highlight w:val="none"/>
          <w:lang w:eastAsia="zh-CN"/>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.2</w:t>
      </w:r>
      <w:r>
        <w:rPr>
          <w:rFonts w:hint="eastAsia" w:ascii="Times New Roman" w:hAnsi="Times New Roman" w:cs="Times New Roman"/>
          <w:b/>
          <w:color w:val="auto"/>
          <w:sz w:val="28"/>
          <w:szCs w:val="28"/>
          <w:highlight w:val="none"/>
          <w:lang w:val="en-US" w:eastAsia="zh-CN"/>
        </w:rPr>
        <w:t>工作</w:t>
      </w:r>
      <w:r>
        <w:rPr>
          <w:rFonts w:hint="default" w:ascii="Times New Roman" w:hAnsi="Times New Roman" w:cs="Times New Roman"/>
          <w:b/>
          <w:color w:val="auto"/>
          <w:sz w:val="28"/>
          <w:szCs w:val="28"/>
          <w:highlight w:val="none"/>
        </w:rPr>
        <w:t>流程</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项目基本工作流程为：</w:t>
      </w:r>
      <w:r>
        <w:rPr>
          <w:rFonts w:hint="eastAsia" w:ascii="Times New Roman" w:hAnsi="Times New Roman" w:cs="Times New Roman"/>
          <w:color w:val="auto"/>
          <w:sz w:val="28"/>
          <w:szCs w:val="28"/>
          <w:highlight w:val="none"/>
          <w:lang w:val="en-US" w:eastAsia="zh-CN"/>
        </w:rPr>
        <w:t>设计方案</w:t>
      </w:r>
      <w:r>
        <w:rPr>
          <w:rFonts w:hint="eastAsia" w:ascii="Times New Roman" w:hAnsi="Times New Roman" w:cs="Times New Roman"/>
          <w:color w:val="auto"/>
          <w:sz w:val="28"/>
          <w:szCs w:val="28"/>
          <w:highlight w:val="none"/>
          <w:lang w:val="en-US" w:eastAsia="zh-CN"/>
        </w:rPr>
        <w:softHyphen/>
      </w:r>
      <w:r>
        <w:rPr>
          <w:rFonts w:hint="eastAsia" w:ascii="Times New Roman" w:hAnsi="Times New Roman" w:cs="Times New Roman"/>
          <w:color w:val="auto"/>
          <w:sz w:val="28"/>
          <w:szCs w:val="28"/>
          <w:highlight w:val="none"/>
          <w:lang w:val="en-US" w:eastAsia="zh-CN"/>
        </w:rPr>
        <w:t>—勘察</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—方案设计</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—估算</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—设计评审</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—施工图设计—预算—</w:t>
      </w:r>
      <w:r>
        <w:rPr>
          <w:rFonts w:hint="eastAsia" w:ascii="Times New Roman" w:hAnsi="Times New Roman" w:cs="Times New Roman"/>
          <w:color w:val="auto"/>
          <w:sz w:val="28"/>
          <w:szCs w:val="28"/>
          <w:highlight w:val="none"/>
          <w:lang w:val="en-US" w:eastAsia="zh-CN"/>
        </w:rPr>
        <w:t>配合施工</w:t>
      </w:r>
      <w:r>
        <w:rPr>
          <w:rFonts w:hint="default" w:ascii="Times New Roman" w:hAnsi="Times New Roman" w:cs="Times New Roman"/>
          <w:color w:val="auto"/>
          <w:sz w:val="28"/>
          <w:szCs w:val="28"/>
          <w:highlight w:val="none"/>
        </w:rPr>
        <w:t>—竣工图。建设范围、投资规模均需控制在上一环节批复或许可范围内。</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a.设计方案：方案完成后报</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审查，并配合做好修改完善</w:t>
      </w:r>
      <w:r>
        <w:rPr>
          <w:rFonts w:hint="eastAsia" w:ascii="Times New Roman" w:hAnsi="Times New Roman" w:cs="Times New Roman"/>
          <w:color w:val="auto"/>
          <w:sz w:val="28"/>
          <w:szCs w:val="28"/>
          <w:highlight w:val="none"/>
          <w:lang w:val="en-US" w:eastAsia="zh-CN"/>
        </w:rPr>
        <w:t>方案</w:t>
      </w:r>
      <w:r>
        <w:rPr>
          <w:rFonts w:hint="default" w:ascii="Times New Roman" w:hAnsi="Times New Roman" w:cs="Times New Roman"/>
          <w:color w:val="auto"/>
          <w:sz w:val="28"/>
          <w:szCs w:val="28"/>
          <w:highlight w:val="none"/>
        </w:rPr>
        <w:t>工作。具体要求见</w:t>
      </w: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b</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勘察</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①</w:t>
      </w:r>
      <w:r>
        <w:rPr>
          <w:rFonts w:hint="default" w:ascii="Times New Roman" w:hAnsi="Times New Roman" w:eastAsia="宋体" w:cs="Times New Roman"/>
          <w:color w:val="auto"/>
          <w:sz w:val="28"/>
          <w:szCs w:val="28"/>
          <w:highlight w:val="none"/>
        </w:rPr>
        <w:t>应根据设计方案及设计对勘察的技术要求编制勘察大纲。大纲应分别由勘察单位技术负责人、设计单位设计负责人及施工图审查单位审核确认，并提交</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eastAsia="宋体" w:cs="Times New Roman"/>
          <w:color w:val="auto"/>
          <w:sz w:val="28"/>
          <w:szCs w:val="28"/>
          <w:highlight w:val="none"/>
        </w:rPr>
        <w:t>审定。</w:t>
      </w:r>
      <w:r>
        <w:rPr>
          <w:rFonts w:hint="default" w:ascii="Times New Roman" w:hAnsi="Times New Roman" w:eastAsia="宋体" w:cs="Times New Roman"/>
          <w:color w:val="auto"/>
          <w:sz w:val="28"/>
          <w:szCs w:val="28"/>
          <w:highlight w:val="none"/>
          <w:lang w:val="en-US" w:eastAsia="zh-CN"/>
        </w:rPr>
        <w:t>②</w:t>
      </w:r>
      <w:r>
        <w:rPr>
          <w:rFonts w:hint="default" w:ascii="Times New Roman" w:hAnsi="Times New Roman" w:eastAsia="宋体" w:cs="Times New Roman"/>
          <w:color w:val="auto"/>
          <w:sz w:val="28"/>
          <w:szCs w:val="28"/>
          <w:highlight w:val="none"/>
        </w:rPr>
        <w:t>如勘察大纲超出合同工作量，需书面进行对比分析并说明原因。</w:t>
      </w:r>
      <w:r>
        <w:rPr>
          <w:rFonts w:hint="default" w:ascii="Times New Roman" w:hAnsi="Times New Roman" w:eastAsia="宋体" w:cs="Times New Roman"/>
          <w:color w:val="auto"/>
          <w:sz w:val="28"/>
          <w:szCs w:val="28"/>
          <w:highlight w:val="none"/>
          <w:lang w:val="en-US" w:eastAsia="zh-CN"/>
        </w:rPr>
        <w:t>③</w:t>
      </w:r>
      <w:r>
        <w:rPr>
          <w:rFonts w:hint="default" w:ascii="Times New Roman" w:hAnsi="Times New Roman" w:eastAsia="宋体" w:cs="Times New Roman"/>
          <w:color w:val="auto"/>
          <w:sz w:val="28"/>
          <w:szCs w:val="28"/>
          <w:highlight w:val="none"/>
        </w:rPr>
        <w:t>勘察实施过程中，由于方案调整等原因超出已审批勘察大纲工作内容的，需及时向</w:t>
      </w:r>
      <w:r>
        <w:rPr>
          <w:rFonts w:hint="eastAsia" w:ascii="Times New Roman" w:hAnsi="Times New Roman" w:cs="Times New Roman"/>
          <w:color w:val="auto"/>
          <w:sz w:val="28"/>
          <w:szCs w:val="28"/>
          <w:highlight w:val="none"/>
          <w:lang w:eastAsia="zh-CN"/>
        </w:rPr>
        <w:t>发包人</w:t>
      </w:r>
      <w:r>
        <w:rPr>
          <w:rFonts w:hint="default" w:ascii="Times New Roman" w:hAnsi="Times New Roman" w:eastAsia="宋体" w:cs="Times New Roman"/>
          <w:color w:val="auto"/>
          <w:sz w:val="28"/>
          <w:szCs w:val="28"/>
          <w:highlight w:val="none"/>
        </w:rPr>
        <w:t>申请调整。</w:t>
      </w:r>
      <w:r>
        <w:rPr>
          <w:rFonts w:hint="default" w:ascii="Times New Roman" w:hAnsi="Times New Roman" w:cs="Times New Roman"/>
          <w:color w:val="auto"/>
          <w:sz w:val="28"/>
          <w:szCs w:val="28"/>
          <w:highlight w:val="none"/>
        </w:rPr>
        <w:t>④应根据设计需求完成工程测量、地下管线探测工作。⑤提交勘察成果前应送设计负责人加具意见及设计单位盖章确认</w:t>
      </w:r>
      <w:r>
        <w:rPr>
          <w:rFonts w:hint="default" w:ascii="Times New Roman" w:hAnsi="Times New Roman" w:cs="Times New Roman"/>
          <w:color w:val="auto"/>
          <w:sz w:val="28"/>
          <w:szCs w:val="28"/>
          <w:highlight w:val="none"/>
          <w:lang w:eastAsia="zh-CN"/>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c.方案设计：方案设计应遵循先勘察后设计的原则，其它专业附属工程应与主体工程同步评审，同时提交估算表报</w:t>
      </w:r>
      <w:r>
        <w:rPr>
          <w:rFonts w:hint="eastAsia" w:ascii="Times New Roman" w:hAnsi="Times New Roman" w:cs="Times New Roman"/>
          <w:color w:val="auto"/>
          <w:sz w:val="28"/>
          <w:szCs w:val="28"/>
          <w:highlight w:val="none"/>
          <w:lang w:val="en-US" w:eastAsia="zh-CN"/>
        </w:rPr>
        <w:t>发包人审核</w:t>
      </w:r>
      <w:r>
        <w:rPr>
          <w:rFonts w:hint="default" w:ascii="Times New Roman" w:hAnsi="Times New Roman" w:cs="Times New Roman"/>
          <w:color w:val="auto"/>
          <w:sz w:val="28"/>
          <w:szCs w:val="28"/>
          <w:highlight w:val="none"/>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d.施工图设计：设计单位应当根据评审意见完善施工图设计。</w:t>
      </w:r>
    </w:p>
    <w:p>
      <w:pPr>
        <w:adjustRightInd w:val="0"/>
        <w:snapToGrid/>
        <w:spacing w:line="500" w:lineRule="exact"/>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e.预算：提交的预算成果需经</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审核，</w:t>
      </w:r>
      <w:r>
        <w:rPr>
          <w:rFonts w:hint="eastAsia" w:ascii="Times New Roman" w:hAnsi="Times New Roman" w:cs="Times New Roman"/>
          <w:color w:val="auto"/>
          <w:sz w:val="28"/>
          <w:szCs w:val="28"/>
          <w:highlight w:val="none"/>
          <w:lang w:val="en-US" w:eastAsia="zh-CN"/>
        </w:rPr>
        <w:t>并协助发包人进行</w:t>
      </w:r>
      <w:r>
        <w:rPr>
          <w:rFonts w:hint="default" w:ascii="Times New Roman" w:hAnsi="Times New Roman" w:cs="Times New Roman"/>
          <w:color w:val="auto"/>
          <w:sz w:val="28"/>
          <w:szCs w:val="28"/>
          <w:highlight w:val="none"/>
        </w:rPr>
        <w:t>预算评审。预算财评送审以一个项目为单位，如需分批送审的，设计单位应提请</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申请分次报审。评审过程中设计单位需配合预算财评工作及时补充资料，并对评审初步意见进行核对</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预算编制</w:t>
      </w:r>
      <w:r>
        <w:rPr>
          <w:rFonts w:hint="default" w:ascii="Times New Roman" w:hAnsi="Times New Roman" w:cs="Times New Roman"/>
          <w:color w:val="auto"/>
          <w:sz w:val="28"/>
          <w:szCs w:val="28"/>
          <w:highlight w:val="none"/>
        </w:rPr>
        <w:t>具体要求</w:t>
      </w:r>
      <w:r>
        <w:rPr>
          <w:rFonts w:hint="eastAsia" w:ascii="Times New Roman" w:hAnsi="Times New Roman" w:cs="Times New Roman"/>
          <w:color w:val="auto"/>
          <w:sz w:val="28"/>
          <w:szCs w:val="28"/>
          <w:highlight w:val="none"/>
          <w:lang w:val="en-US" w:eastAsia="zh-CN"/>
        </w:rPr>
        <w:t>详</w:t>
      </w:r>
      <w:r>
        <w:rPr>
          <w:rFonts w:hint="default" w:ascii="Times New Roman" w:hAnsi="Times New Roman" w:cs="Times New Roman"/>
          <w:color w:val="auto"/>
          <w:sz w:val="28"/>
          <w:szCs w:val="28"/>
          <w:highlight w:val="none"/>
        </w:rPr>
        <w:t>见第</w:t>
      </w:r>
      <w:r>
        <w:rPr>
          <w:rFonts w:hint="eastAsia" w:ascii="Times New Roman" w:hAnsi="Times New Roman" w:cs="Times New Roman"/>
          <w:color w:val="auto"/>
          <w:sz w:val="28"/>
          <w:szCs w:val="28"/>
          <w:highlight w:val="none"/>
          <w:lang w:val="en-US" w:eastAsia="zh-CN"/>
        </w:rPr>
        <w:t>七</w:t>
      </w:r>
      <w:r>
        <w:rPr>
          <w:rFonts w:hint="eastAsia" w:ascii="Times New Roman" w:hAnsi="Times New Roman" w:cs="Times New Roman"/>
          <w:color w:val="auto"/>
          <w:sz w:val="28"/>
          <w:szCs w:val="28"/>
          <w:highlight w:val="none"/>
          <w:lang w:eastAsia="zh-CN"/>
        </w:rPr>
        <w:t>点。</w:t>
      </w:r>
    </w:p>
    <w:p>
      <w:pPr>
        <w:adjustRightInd w:val="0"/>
        <w:snapToGrid/>
        <w:spacing w:line="500" w:lineRule="exact"/>
        <w:ind w:firstLine="560" w:firstLineChars="200"/>
        <w:jc w:val="left"/>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f.</w:t>
      </w:r>
      <w:r>
        <w:rPr>
          <w:rFonts w:hint="default" w:ascii="Times New Roman" w:hAnsi="Times New Roman" w:cs="Times New Roman"/>
          <w:color w:val="auto"/>
          <w:sz w:val="28"/>
          <w:szCs w:val="28"/>
          <w:highlight w:val="none"/>
          <w:lang w:eastAsia="zh-CN"/>
        </w:rPr>
        <w:t>招标工程量清单</w:t>
      </w:r>
      <w:r>
        <w:rPr>
          <w:rFonts w:hint="eastAsia" w:ascii="Times New Roman" w:hAnsi="Times New Roman" w:cs="Times New Roman"/>
          <w:color w:val="auto"/>
          <w:sz w:val="28"/>
          <w:szCs w:val="28"/>
          <w:highlight w:val="none"/>
          <w:lang w:val="en-US" w:eastAsia="zh-CN"/>
        </w:rPr>
        <w:t>与招标控制价</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需满足</w:t>
      </w:r>
      <w:r>
        <w:rPr>
          <w:rFonts w:hint="default" w:ascii="Times New Roman" w:hAnsi="Times New Roman" w:cs="Times New Roman"/>
          <w:color w:val="auto"/>
          <w:sz w:val="28"/>
          <w:szCs w:val="28"/>
          <w:highlight w:val="none"/>
          <w:lang w:eastAsia="zh-CN"/>
        </w:rPr>
        <w:t>招标</w:t>
      </w:r>
      <w:r>
        <w:rPr>
          <w:rFonts w:hint="eastAsia" w:ascii="Times New Roman" w:hAnsi="Times New Roman" w:cs="Times New Roman"/>
          <w:color w:val="auto"/>
          <w:sz w:val="28"/>
          <w:szCs w:val="28"/>
          <w:highlight w:val="none"/>
          <w:lang w:val="en-US" w:eastAsia="zh-CN"/>
        </w:rPr>
        <w:t>要求，并配合做好施工、工程建设其他合同</w:t>
      </w:r>
      <w:r>
        <w:rPr>
          <w:rFonts w:hint="eastAsia" w:ascii="Times New Roman" w:hAnsi="Times New Roman" w:cs="Times New Roman"/>
          <w:b w:val="0"/>
          <w:bCs/>
          <w:color w:val="auto"/>
          <w:sz w:val="28"/>
          <w:szCs w:val="28"/>
          <w:highlight w:val="none"/>
          <w:lang w:val="en-US" w:eastAsia="zh-CN"/>
        </w:rPr>
        <w:t>的招标工作</w:t>
      </w:r>
      <w:r>
        <w:rPr>
          <w:rFonts w:hint="eastAsia" w:ascii="Times New Roman" w:hAnsi="Times New Roman" w:cs="Times New Roman"/>
          <w:color w:val="auto"/>
          <w:sz w:val="28"/>
          <w:szCs w:val="28"/>
          <w:highlight w:val="none"/>
          <w:lang w:eastAsia="zh-CN"/>
        </w:rPr>
        <w:t>。</w:t>
      </w:r>
    </w:p>
    <w:p>
      <w:pPr>
        <w:adjustRightInd w:val="0"/>
        <w:snapToGrid/>
        <w:spacing w:line="500" w:lineRule="exact"/>
        <w:ind w:firstLine="560" w:firstLineChars="200"/>
        <w:jc w:val="left"/>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g</w:t>
      </w:r>
      <w:r>
        <w:rPr>
          <w:rFonts w:hint="default" w:ascii="Times New Roman" w:hAnsi="Times New Roman" w:cs="Times New Roman"/>
          <w:color w:val="auto"/>
          <w:sz w:val="28"/>
          <w:szCs w:val="28"/>
          <w:highlight w:val="none"/>
          <w:lang w:eastAsia="zh-CN"/>
        </w:rPr>
        <w:t>.竣工图</w:t>
      </w:r>
      <w:r>
        <w:rPr>
          <w:rFonts w:hint="eastAsia"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u w:val="none"/>
          <w:lang w:val="en-US" w:eastAsia="zh-CN"/>
        </w:rPr>
        <w:t>工程竣工后应及时进行竣工图</w:t>
      </w:r>
      <w:r>
        <w:rPr>
          <w:rFonts w:hint="eastAsia" w:ascii="Times New Roman" w:hAnsi="Times New Roman" w:cs="Times New Roman"/>
          <w:color w:val="auto"/>
          <w:sz w:val="28"/>
          <w:szCs w:val="28"/>
          <w:highlight w:val="none"/>
          <w:u w:val="none"/>
          <w:lang w:val="en-US" w:eastAsia="zh-CN"/>
        </w:rPr>
        <w:t>修改和完善</w:t>
      </w:r>
      <w:r>
        <w:rPr>
          <w:rFonts w:hint="default" w:ascii="Times New Roman" w:hAnsi="Times New Roman" w:eastAsia="宋体" w:cs="Times New Roman"/>
          <w:color w:val="auto"/>
          <w:sz w:val="28"/>
          <w:szCs w:val="28"/>
          <w:highlight w:val="none"/>
          <w:u w:val="none"/>
          <w:lang w:val="en-US" w:eastAsia="zh-CN"/>
        </w:rPr>
        <w:t>，</w:t>
      </w:r>
      <w:r>
        <w:rPr>
          <w:rFonts w:hint="default" w:ascii="Times New Roman" w:hAnsi="Times New Roman" w:cs="Times New Roman"/>
          <w:color w:val="auto"/>
          <w:sz w:val="28"/>
          <w:szCs w:val="28"/>
          <w:highlight w:val="none"/>
          <w:u w:val="none"/>
          <w:lang w:val="en-US" w:eastAsia="zh-CN"/>
        </w:rPr>
        <w:t>确保</w:t>
      </w:r>
      <w:r>
        <w:rPr>
          <w:rFonts w:hint="eastAsia" w:ascii="Times New Roman" w:hAnsi="Times New Roman" w:cs="Times New Roman"/>
          <w:color w:val="auto"/>
          <w:sz w:val="28"/>
          <w:szCs w:val="28"/>
          <w:highlight w:val="none"/>
          <w:u w:val="none"/>
          <w:lang w:val="en-US" w:eastAsia="zh-CN"/>
        </w:rPr>
        <w:t>竣工图</w:t>
      </w:r>
      <w:r>
        <w:rPr>
          <w:rFonts w:hint="default" w:ascii="Times New Roman" w:hAnsi="Times New Roman" w:cs="Times New Roman"/>
          <w:color w:val="auto"/>
          <w:sz w:val="28"/>
          <w:szCs w:val="28"/>
          <w:highlight w:val="none"/>
          <w:u w:val="none"/>
          <w:lang w:val="en-US" w:eastAsia="zh-CN"/>
        </w:rPr>
        <w:t>与工程竣工</w:t>
      </w:r>
      <w:r>
        <w:rPr>
          <w:rFonts w:hint="eastAsia" w:ascii="Times New Roman" w:hAnsi="Times New Roman" w:cs="Times New Roman"/>
          <w:color w:val="auto"/>
          <w:sz w:val="28"/>
          <w:szCs w:val="28"/>
          <w:highlight w:val="none"/>
          <w:u w:val="none"/>
          <w:lang w:val="en-US" w:eastAsia="zh-CN"/>
        </w:rPr>
        <w:t>验收的</w:t>
      </w:r>
      <w:r>
        <w:rPr>
          <w:rFonts w:hint="default" w:ascii="Times New Roman" w:hAnsi="Times New Roman" w:cs="Times New Roman"/>
          <w:color w:val="auto"/>
          <w:sz w:val="28"/>
          <w:szCs w:val="28"/>
          <w:highlight w:val="none"/>
          <w:u w:val="none"/>
          <w:lang w:val="en-US" w:eastAsia="zh-CN"/>
        </w:rPr>
        <w:t>实际情况一致，具体</w:t>
      </w:r>
      <w:r>
        <w:rPr>
          <w:rFonts w:hint="eastAsia" w:ascii="Times New Roman" w:hAnsi="Times New Roman" w:cs="Times New Roman"/>
          <w:color w:val="auto"/>
          <w:sz w:val="28"/>
          <w:szCs w:val="28"/>
          <w:highlight w:val="none"/>
          <w:u w:val="none"/>
          <w:lang w:val="en-US" w:eastAsia="zh-CN"/>
        </w:rPr>
        <w:t>要求</w:t>
      </w:r>
      <w:r>
        <w:rPr>
          <w:rFonts w:hint="default" w:ascii="Times New Roman" w:hAnsi="Times New Roman" w:cs="Times New Roman"/>
          <w:color w:val="auto"/>
          <w:sz w:val="28"/>
          <w:szCs w:val="28"/>
          <w:highlight w:val="none"/>
          <w:u w:val="none"/>
          <w:lang w:val="en-US" w:eastAsia="zh-CN"/>
        </w:rPr>
        <w:t>参见7.7。</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.3设计管理要求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3.1设计工作开展前应开展详实的现场踏勘和资料收集工作。需对沿线构筑物、河道河涌、与地铁、无轨电车关系等现场情况进行详细的文字及照片记录，同时应收集与项目有关的工程的图纸资料，利用已完工工程的资料时，必须采用工程的竣工图并进行现场核实。</w:t>
      </w:r>
    </w:p>
    <w:p>
      <w:pPr>
        <w:spacing w:line="240" w:lineRule="auto"/>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.3.2设计管理工作须严格</w:t>
      </w:r>
      <w:r>
        <w:rPr>
          <w:rFonts w:hint="eastAsia" w:ascii="Times New Roman" w:hAnsi="Times New Roman" w:cs="Times New Roman"/>
          <w:color w:val="auto"/>
          <w:sz w:val="28"/>
          <w:szCs w:val="28"/>
          <w:highlight w:val="none"/>
          <w:lang w:val="en-US" w:eastAsia="zh-CN"/>
        </w:rPr>
        <w:t>按照行业规范、技术标准、管理办法执行。</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.3.3设计单位对设计过程中的审批意见、专家评审意见均需在</w:t>
      </w:r>
      <w:r>
        <w:rPr>
          <w:rFonts w:hint="eastAsia"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个工作日内以书面方式进行逐条回应，并加盖公章报</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备案，同时需将回应及落实情况以表格形式纳入设计说明中。</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.3.4鼓励在设计过程中使用新技术、新工艺、新材料。需开展科研课题研究的项目，应在设计方案阶段提出申请，经</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同意后开展。</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.3.5在勘察设计招标范围外，因设计需要开展的其它检测、监测、测量等工作，需及时向</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提出书面申请，经</w:t>
      </w:r>
      <w:r>
        <w:rPr>
          <w:rFonts w:hint="default"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同意后开展。</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.3.6根据</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的职能分工，设</w:t>
      </w:r>
      <w:r>
        <w:rPr>
          <w:rFonts w:hint="default" w:ascii="Times New Roman" w:hAnsi="Times New Roman" w:eastAsia="宋体" w:cs="Times New Roman"/>
          <w:color w:val="auto"/>
          <w:sz w:val="28"/>
          <w:szCs w:val="28"/>
          <w:highlight w:val="none"/>
        </w:rPr>
        <w:t>计管理以施工设计交底为界。</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.3.7</w:t>
      </w:r>
      <w:r>
        <w:rPr>
          <w:rFonts w:hint="eastAsia" w:ascii="Times New Roman" w:hAnsi="Times New Roman" w:cs="Times New Roman"/>
          <w:color w:val="auto"/>
          <w:sz w:val="28"/>
          <w:szCs w:val="28"/>
          <w:highlight w:val="none"/>
          <w:lang w:val="en-US" w:eastAsia="zh-CN"/>
        </w:rPr>
        <w:t>承包人的</w:t>
      </w:r>
      <w:r>
        <w:rPr>
          <w:rFonts w:hint="default" w:ascii="Times New Roman" w:hAnsi="Times New Roman" w:cs="Times New Roman"/>
          <w:color w:val="auto"/>
          <w:sz w:val="28"/>
          <w:szCs w:val="28"/>
          <w:highlight w:val="none"/>
        </w:rPr>
        <w:t>项目负责人应对设计全过程进行质量与进度控制以及各专业协调，与发包人保持顺畅沟通。</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.4设计方案</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.4.1项目应先行取得地形、现状管线等设计条件，结合设计条件开展方案设计。</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.4.2设计方案应符合土地利用总体规划及控制性详细规划，如不符，需报</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申请开展规划调整。</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.4.3应结合项目定位、技术标准、投资规模控制、征拆实施难度等情况进行多方案比选，报</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审查。</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.4.4设计方案应征询以下相关部门的意见，包括但不限于：</w:t>
      </w:r>
    </w:p>
    <w:p>
      <w:pPr>
        <w:numPr>
          <w:ilvl w:val="0"/>
          <w:numId w:val="5"/>
        </w:numPr>
        <w:snapToGrid/>
        <w:spacing w:line="500" w:lineRule="exact"/>
        <w:ind w:left="0" w:leftChars="0"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涉及无轨电车的需征询相关管理部门意见。</w:t>
      </w:r>
    </w:p>
    <w:p>
      <w:pPr>
        <w:numPr>
          <w:ilvl w:val="0"/>
          <w:numId w:val="5"/>
        </w:numPr>
        <w:snapToGrid/>
        <w:spacing w:line="500" w:lineRule="exact"/>
        <w:ind w:left="0" w:leftChars="0"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涉及城市轨道交通控制保护区（具体范围见《广州市城市轨道交通管理条例》）的需征询地铁集团公司的意见。</w:t>
      </w:r>
    </w:p>
    <w:p>
      <w:pPr>
        <w:numPr>
          <w:ilvl w:val="0"/>
          <w:numId w:val="5"/>
        </w:numPr>
        <w:snapToGrid/>
        <w:spacing w:line="500" w:lineRule="exact"/>
        <w:ind w:left="0" w:leftChars="0"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涉及电力线路保护区（具体范围见《电力设施保护条例》）的需征询供电部门的意见。</w:t>
      </w:r>
    </w:p>
    <w:p>
      <w:pPr>
        <w:numPr>
          <w:ilvl w:val="0"/>
          <w:numId w:val="5"/>
        </w:numPr>
        <w:snapToGrid/>
        <w:spacing w:line="500" w:lineRule="exact"/>
        <w:ind w:left="0" w:leftChars="0"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涉及迁改管理用房的需征询相关部门意见。</w:t>
      </w:r>
    </w:p>
    <w:p>
      <w:pPr>
        <w:numPr>
          <w:ilvl w:val="0"/>
          <w:numId w:val="5"/>
        </w:numPr>
        <w:snapToGrid/>
        <w:spacing w:line="500" w:lineRule="exact"/>
        <w:ind w:left="0" w:leftChars="0"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涉及绿化迁移、交通影响的需征询相关部门意见。</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.4.5设计方案应充分考虑项目特点进行编制</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对于遗漏或不可预见的事项，设计单位协同配合进行补充完善</w:t>
      </w:r>
      <w:r>
        <w:rPr>
          <w:rFonts w:hint="default" w:ascii="Times New Roman" w:hAnsi="Times New Roman" w:cs="Times New Roman"/>
          <w:color w:val="auto"/>
          <w:sz w:val="28"/>
          <w:szCs w:val="28"/>
          <w:highlight w:val="none"/>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.5 施工图设计</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.1应严格根据评审后的方案设计开展施工图设计，如有不同意见或需进行优化设计的，需书面向</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申请。</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.2设计图纸需准确、不漏项，应有细部设计图纸。</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.3施工图设计应包括施工阶段采取相关施工措施等所需的详细图纸。</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.4设计单位内部应严格执行专业间会签制度。</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.5工程量清单应准确，并满足预算编制及招标要求。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.6设计单位应将该阶段专业评审意见逐条落实情况列入施工图纸说明。</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设计变更</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.1招标使用的施工图即为正式施工图，凡与该版本设计图不一致的，均视为补充设计图或设计变更图。</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.2工程变更需遵循</w:t>
      </w:r>
      <w:r>
        <w:rPr>
          <w:rFonts w:hint="eastAsia" w:ascii="Times New Roman" w:hAnsi="Times New Roman" w:cs="Times New Roman"/>
          <w:color w:val="auto"/>
          <w:sz w:val="28"/>
          <w:szCs w:val="28"/>
          <w:highlight w:val="none"/>
          <w:lang w:val="en-US" w:eastAsia="zh-CN"/>
        </w:rPr>
        <w:t>上级部门印发的执行文件</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城市道路项目工程变更管理指引</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等</w:t>
      </w:r>
      <w:r>
        <w:rPr>
          <w:rFonts w:hint="default" w:ascii="Times New Roman" w:hAnsi="Times New Roman" w:cs="Times New Roman"/>
          <w:color w:val="auto"/>
          <w:sz w:val="28"/>
          <w:szCs w:val="28"/>
          <w:highlight w:val="none"/>
        </w:rPr>
        <w:t>。</w:t>
      </w:r>
    </w:p>
    <w:p>
      <w:pPr>
        <w:pStyle w:val="18"/>
        <w:snapToGrid/>
        <w:spacing w:line="500" w:lineRule="exact"/>
        <w:ind w:firstLine="562" w:firstLineChars="200"/>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lang w:val="en-US" w:eastAsia="zh-CN"/>
        </w:rPr>
        <w:t>.7 竣工图编制</w:t>
      </w:r>
    </w:p>
    <w:p>
      <w:pPr>
        <w:snapToGrid/>
        <w:spacing w:line="500" w:lineRule="exact"/>
        <w:ind w:firstLine="560"/>
        <w:rPr>
          <w:rFonts w:hint="eastAsia" w:ascii="Times New Roman" w:hAnsi="Times New Roman" w:eastAsia="宋体" w:cs="Times New Roman"/>
          <w:color w:val="auto"/>
          <w:sz w:val="28"/>
          <w:szCs w:val="28"/>
          <w:highlight w:val="none"/>
          <w:u w:val="none"/>
          <w:lang w:val="en-US" w:eastAsia="zh-CN"/>
        </w:rPr>
      </w:pPr>
      <w:r>
        <w:rPr>
          <w:rFonts w:hint="eastAsia" w:ascii="Times New Roman" w:hAnsi="Times New Roman" w:cs="Times New Roman"/>
          <w:color w:val="auto"/>
          <w:sz w:val="28"/>
          <w:szCs w:val="28"/>
          <w:highlight w:val="none"/>
          <w:u w:val="none"/>
          <w:lang w:val="en-US" w:eastAsia="zh-CN"/>
        </w:rPr>
        <w:t>6</w:t>
      </w:r>
      <w:r>
        <w:rPr>
          <w:rFonts w:hint="eastAsia" w:ascii="Times New Roman" w:hAnsi="Times New Roman" w:eastAsia="宋体" w:cs="Times New Roman"/>
          <w:color w:val="auto"/>
          <w:sz w:val="28"/>
          <w:szCs w:val="28"/>
          <w:highlight w:val="none"/>
          <w:u w:val="none"/>
          <w:lang w:val="en-US" w:eastAsia="zh-CN"/>
        </w:rPr>
        <w:t>.7.1 工程竣工后应及时进行竣工图整理，竣工图一定要与实际情况相符。</w:t>
      </w:r>
    </w:p>
    <w:p>
      <w:pPr>
        <w:snapToGrid/>
        <w:spacing w:line="500" w:lineRule="exact"/>
        <w:ind w:firstLine="560"/>
        <w:rPr>
          <w:rFonts w:hint="eastAsia" w:ascii="Times New Roman" w:hAnsi="Times New Roman" w:eastAsia="宋体" w:cs="Times New Roman"/>
          <w:color w:val="auto"/>
          <w:sz w:val="28"/>
          <w:szCs w:val="28"/>
          <w:highlight w:val="none"/>
          <w:u w:val="none"/>
          <w:lang w:val="en-US" w:eastAsia="zh-CN"/>
        </w:rPr>
      </w:pPr>
      <w:r>
        <w:rPr>
          <w:rFonts w:hint="eastAsia" w:ascii="Times New Roman" w:hAnsi="Times New Roman" w:cs="Times New Roman"/>
          <w:color w:val="auto"/>
          <w:sz w:val="28"/>
          <w:szCs w:val="28"/>
          <w:highlight w:val="none"/>
          <w:u w:val="none"/>
          <w:lang w:val="en-US" w:eastAsia="zh-CN"/>
        </w:rPr>
        <w:t>6</w:t>
      </w:r>
      <w:r>
        <w:rPr>
          <w:rFonts w:hint="eastAsia" w:ascii="Times New Roman" w:hAnsi="Times New Roman" w:eastAsia="宋体" w:cs="Times New Roman"/>
          <w:color w:val="auto"/>
          <w:sz w:val="28"/>
          <w:szCs w:val="28"/>
          <w:highlight w:val="none"/>
          <w:u w:val="none"/>
          <w:lang w:val="en-US" w:eastAsia="zh-CN"/>
        </w:rPr>
        <w:t>.7.2 结构形式改变、工艺改变、平面布置改变、项目改变以及有其他重大改变等均需重新绘图，反应改变情况。</w:t>
      </w:r>
    </w:p>
    <w:p>
      <w:pPr>
        <w:snapToGrid/>
        <w:spacing w:line="500" w:lineRule="exact"/>
        <w:ind w:firstLine="56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u w:val="none"/>
          <w:lang w:val="en-US" w:eastAsia="zh-CN"/>
        </w:rPr>
        <w:t>6</w:t>
      </w:r>
      <w:r>
        <w:rPr>
          <w:rFonts w:hint="eastAsia" w:ascii="Times New Roman" w:hAnsi="Times New Roman" w:eastAsia="宋体" w:cs="Times New Roman"/>
          <w:color w:val="auto"/>
          <w:sz w:val="28"/>
          <w:szCs w:val="28"/>
          <w:highlight w:val="none"/>
          <w:u w:val="none"/>
          <w:lang w:val="en-US" w:eastAsia="zh-CN"/>
        </w:rPr>
        <w:t>.7.3 竣工图编制需遵循相关规范、标准要求。</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七</w:t>
      </w:r>
      <w:r>
        <w:rPr>
          <w:rFonts w:hint="default" w:ascii="Times New Roman" w:hAnsi="Times New Roman" w:cs="Times New Roman"/>
          <w:b/>
          <w:color w:val="auto"/>
          <w:sz w:val="28"/>
          <w:szCs w:val="28"/>
          <w:highlight w:val="none"/>
        </w:rPr>
        <w:t>、估算、预算编制要求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.1编制的</w:t>
      </w:r>
      <w:r>
        <w:rPr>
          <w:rFonts w:hint="default" w:ascii="Times New Roman" w:hAnsi="Times New Roman" w:cs="Times New Roman"/>
          <w:color w:val="auto"/>
          <w:sz w:val="28"/>
          <w:szCs w:val="28"/>
          <w:highlight w:val="none"/>
          <w:lang w:val="en-US" w:eastAsia="zh-CN"/>
        </w:rPr>
        <w:t>估</w:t>
      </w:r>
      <w:r>
        <w:rPr>
          <w:rFonts w:hint="default" w:ascii="Times New Roman" w:hAnsi="Times New Roman" w:cs="Times New Roman"/>
          <w:color w:val="auto"/>
          <w:sz w:val="28"/>
          <w:szCs w:val="28"/>
          <w:highlight w:val="none"/>
        </w:rPr>
        <w:t>算原则上不得超过</w:t>
      </w:r>
      <w:r>
        <w:rPr>
          <w:rFonts w:hint="eastAsia" w:ascii="Times New Roman" w:hAnsi="Times New Roman" w:cs="Times New Roman"/>
          <w:color w:val="auto"/>
          <w:sz w:val="28"/>
          <w:szCs w:val="28"/>
          <w:highlight w:val="none"/>
          <w:lang w:val="en-US" w:eastAsia="zh-CN"/>
        </w:rPr>
        <w:t>入库金额</w:t>
      </w:r>
      <w:r>
        <w:rPr>
          <w:rFonts w:hint="default" w:ascii="Times New Roman" w:hAnsi="Times New Roman" w:cs="Times New Roman"/>
          <w:color w:val="auto"/>
          <w:sz w:val="28"/>
          <w:szCs w:val="28"/>
          <w:highlight w:val="none"/>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.2编制成果需满足建设项目工程</w:t>
      </w:r>
      <w:r>
        <w:rPr>
          <w:rFonts w:hint="eastAsia" w:ascii="Times New Roman" w:hAnsi="Times New Roman" w:cs="Times New Roman"/>
          <w:color w:val="auto"/>
          <w:sz w:val="28"/>
          <w:szCs w:val="28"/>
          <w:highlight w:val="none"/>
          <w:lang w:val="en-US" w:eastAsia="zh-CN"/>
        </w:rPr>
        <w:t>预算</w:t>
      </w:r>
      <w:r>
        <w:rPr>
          <w:rFonts w:hint="default" w:ascii="Times New Roman" w:hAnsi="Times New Roman" w:cs="Times New Roman"/>
          <w:color w:val="auto"/>
          <w:sz w:val="28"/>
          <w:szCs w:val="28"/>
          <w:highlight w:val="none"/>
        </w:rPr>
        <w:t>编制</w:t>
      </w:r>
      <w:r>
        <w:rPr>
          <w:rFonts w:hint="eastAsia" w:ascii="Times New Roman" w:hAnsi="Times New Roman" w:cs="Times New Roman"/>
          <w:color w:val="auto"/>
          <w:sz w:val="28"/>
          <w:szCs w:val="28"/>
          <w:highlight w:val="none"/>
          <w:lang w:val="en-US" w:eastAsia="zh-CN"/>
        </w:rPr>
        <w:t>相关要求</w:t>
      </w:r>
      <w:r>
        <w:rPr>
          <w:rFonts w:hint="default" w:ascii="Times New Roman" w:hAnsi="Times New Roman" w:cs="Times New Roman"/>
          <w:color w:val="auto"/>
          <w:sz w:val="28"/>
          <w:szCs w:val="28"/>
          <w:highlight w:val="none"/>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.3提交工程编制成果时应同步提交综合单价分析表等造价分析材料，确保造价指标控制在合理的范围内。</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.4估算、预算必须结合现场实际情况进行编制，充分考虑各项措施费。例如</w:t>
      </w:r>
      <w:r>
        <w:rPr>
          <w:rFonts w:hint="eastAsia" w:ascii="Times New Roman" w:hAnsi="Times New Roman" w:cs="Times New Roman"/>
          <w:color w:val="auto"/>
          <w:sz w:val="28"/>
          <w:szCs w:val="28"/>
          <w:highlight w:val="none"/>
          <w:lang w:val="en-US" w:eastAsia="zh-CN"/>
        </w:rPr>
        <w:t>交通流量评估</w:t>
      </w:r>
      <w:r>
        <w:rPr>
          <w:rFonts w:hint="default" w:ascii="Times New Roman" w:hAnsi="Times New Roman" w:cs="Times New Roman"/>
          <w:color w:val="auto"/>
          <w:sz w:val="28"/>
          <w:szCs w:val="28"/>
          <w:highlight w:val="none"/>
        </w:rPr>
        <w:t>等费用。</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.5须积极配合财政部门完成对数等评审工作。</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八</w:t>
      </w:r>
      <w:r>
        <w:rPr>
          <w:rFonts w:hint="default" w:ascii="Times New Roman" w:hAnsi="Times New Roman" w:cs="Times New Roman"/>
          <w:b/>
          <w:color w:val="auto"/>
          <w:sz w:val="28"/>
          <w:szCs w:val="28"/>
          <w:highlight w:val="none"/>
        </w:rPr>
        <w:t>、施工配合</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负责施工期间设计理念的贯彻、现场技术支持。参与施工图会审交底，现场施工问题的协调、现场工程变更、工程验收等相关工作。</w:t>
      </w:r>
    </w:p>
    <w:p>
      <w:pPr>
        <w:keepNext w:val="0"/>
        <w:keepLines w:val="0"/>
        <w:pageBreakBefore w:val="0"/>
        <w:kinsoku/>
        <w:wordWrap/>
        <w:overflowPunct/>
        <w:topLinePunct w:val="0"/>
        <w:autoSpaceDE/>
        <w:autoSpaceDN/>
        <w:bidi w:val="0"/>
        <w:snapToGrid/>
        <w:spacing w:line="560" w:lineRule="exact"/>
        <w:ind w:firstLine="562" w:firstLineChars="200"/>
        <w:textAlignment w:val="auto"/>
        <w:outlineLvl w:val="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Times New Roman" w:hAnsi="Times New Roman" w:cs="Times New Roman"/>
          <w:b/>
          <w:color w:val="auto"/>
          <w:sz w:val="28"/>
          <w:szCs w:val="28"/>
          <w:highlight w:val="none"/>
          <w:lang w:val="en-US" w:eastAsia="zh-CN"/>
        </w:rPr>
        <w:t>九</w:t>
      </w:r>
      <w:r>
        <w:rPr>
          <w:rFonts w:hint="default" w:ascii="Times New Roman" w:hAnsi="Times New Roman" w:cs="Times New Roman"/>
          <w:b/>
          <w:color w:val="auto"/>
          <w:sz w:val="28"/>
          <w:szCs w:val="28"/>
          <w:highlight w:val="none"/>
        </w:rPr>
        <w:t>、</w:t>
      </w:r>
      <w:r>
        <w:rPr>
          <w:rFonts w:hint="default" w:ascii="Times New Roman" w:hAnsi="Times New Roman" w:eastAsia="宋体" w:cs="Times New Roman"/>
          <w:b/>
          <w:bCs w:val="0"/>
          <w:color w:val="auto"/>
          <w:kern w:val="2"/>
          <w:sz w:val="28"/>
          <w:szCs w:val="28"/>
          <w:highlight w:val="none"/>
          <w:lang w:val="en-US" w:eastAsia="zh-CN" w:bidi="ar-SA"/>
        </w:rPr>
        <w:t xml:space="preserve">勘察设计成果质量要求 </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 xml:space="preserve">.1 成果质量应符合相关技术标准和深度规定，且满足合同约定的质量要求。 </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.2 双方对工程成果质量有争议时，承包人同意由发包人委托的第三方机构鉴定，所需费用及因此造成的损失，由责任方承担；双方均有责任的，由双方根据其责任分别承担。</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.3 承包人应在成果文件中明确列出本合同工程勘察与设计涉及到的详细的勘察设计规范、规定及标准（名称、编号及版本）。</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.4 承包人实施勘察工作时，应按工程建设各勘察阶段的要求，正确反映工程地质条件，查明地下管线，精心勘察，精心分析，提交资料完整、评价正确的勘察报告。</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.5 承包人编制的勘察大纲、勘察成果、方案设计及施工图设计等相关文件须通过技术审查部门、施工图审查单位或发包人委托的第三方审查机构的审核。</w:t>
      </w:r>
    </w:p>
    <w:p>
      <w:pPr>
        <w:keepNext w:val="0"/>
        <w:keepLines w:val="0"/>
        <w:pageBreakBefore w:val="0"/>
        <w:kinsoku/>
        <w:wordWrap/>
        <w:overflowPunct/>
        <w:topLinePunct w:val="0"/>
        <w:autoSpaceDE/>
        <w:autoSpaceDN/>
        <w:bidi w:val="0"/>
        <w:adjustRightInd w:val="0"/>
        <w:snapToGrid/>
        <w:spacing w:line="500" w:lineRule="exact"/>
        <w:ind w:firstLine="562" w:firstLineChars="200"/>
        <w:textAlignment w:val="auto"/>
        <w:outlineLvl w:val="0"/>
        <w:rPr>
          <w:rFonts w:hint="eastAsia" w:ascii="Times New Roman" w:hAnsi="Times New Roman" w:eastAsia="宋体" w:cs="Times New Roman"/>
          <w:b/>
          <w:bCs w:val="0"/>
          <w:color w:val="auto"/>
          <w:kern w:val="2"/>
          <w:sz w:val="28"/>
          <w:szCs w:val="28"/>
          <w:highlight w:val="none"/>
          <w:lang w:val="en-US" w:eastAsia="zh-CN" w:bidi="ar-SA"/>
        </w:rPr>
      </w:pPr>
      <w:r>
        <w:rPr>
          <w:rFonts w:hint="eastAsia" w:ascii="Times New Roman" w:hAnsi="Times New Roman" w:eastAsia="宋体" w:cs="Times New Roman"/>
          <w:b/>
          <w:bCs w:val="0"/>
          <w:color w:val="auto"/>
          <w:kern w:val="2"/>
          <w:sz w:val="28"/>
          <w:szCs w:val="28"/>
          <w:highlight w:val="none"/>
          <w:lang w:val="en-US" w:eastAsia="zh-CN" w:bidi="ar-SA"/>
        </w:rPr>
        <w:t>9.6.勘察成果资料份数及时间</w:t>
      </w:r>
    </w:p>
    <w:tbl>
      <w:tblPr>
        <w:tblStyle w:val="29"/>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3"/>
        <w:gridCol w:w="2295"/>
        <w:gridCol w:w="190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序号</w:t>
            </w:r>
          </w:p>
        </w:tc>
        <w:tc>
          <w:tcPr>
            <w:tcW w:w="15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资料及文件名称</w:t>
            </w:r>
          </w:p>
        </w:tc>
        <w:tc>
          <w:tcPr>
            <w:tcW w:w="2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份数</w:t>
            </w:r>
          </w:p>
        </w:tc>
        <w:tc>
          <w:tcPr>
            <w:tcW w:w="1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内容要求</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default" w:ascii="宋体" w:hAnsi="宋体" w:cs="宋体"/>
                <w:color w:val="auto"/>
                <w:sz w:val="28"/>
                <w:szCs w:val="28"/>
                <w:highlight w:val="none"/>
              </w:rPr>
              <w:t>1</w:t>
            </w:r>
          </w:p>
        </w:tc>
        <w:tc>
          <w:tcPr>
            <w:tcW w:w="15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color w:val="auto"/>
                <w:sz w:val="28"/>
                <w:szCs w:val="28"/>
                <w:highlight w:val="none"/>
              </w:rPr>
            </w:pPr>
            <w:r>
              <w:rPr>
                <w:rFonts w:hint="eastAsia" w:hAnsi="宋体" w:cs="宋体"/>
                <w:color w:val="auto"/>
                <w:sz w:val="28"/>
                <w:szCs w:val="28"/>
                <w:highlight w:val="none"/>
                <w:lang w:val="en-US" w:eastAsia="zh-CN"/>
              </w:rPr>
              <w:t>勘察</w:t>
            </w:r>
            <w:r>
              <w:rPr>
                <w:rFonts w:hint="eastAsia" w:hAnsi="宋体" w:cs="宋体"/>
                <w:color w:val="auto"/>
                <w:sz w:val="28"/>
                <w:szCs w:val="28"/>
                <w:highlight w:val="none"/>
              </w:rPr>
              <w:t>大纲</w:t>
            </w:r>
          </w:p>
        </w:tc>
        <w:tc>
          <w:tcPr>
            <w:tcW w:w="2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color w:val="auto"/>
                <w:sz w:val="28"/>
                <w:szCs w:val="28"/>
                <w:highlight w:val="none"/>
              </w:rPr>
            </w:pPr>
            <w:r>
              <w:rPr>
                <w:rFonts w:hint="eastAsia" w:ascii="宋体" w:hAnsi="宋体" w:cs="宋体"/>
                <w:color w:val="auto"/>
                <w:sz w:val="28"/>
                <w:szCs w:val="28"/>
                <w:highlight w:val="none"/>
              </w:rPr>
              <w:t>根据发包人需要，另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行通知</w:t>
            </w:r>
          </w:p>
        </w:tc>
        <w:tc>
          <w:tcPr>
            <w:tcW w:w="1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color w:val="auto"/>
                <w:sz w:val="28"/>
                <w:szCs w:val="28"/>
                <w:highlight w:val="none"/>
              </w:rPr>
              <w:t>通过审查的书面报告及电子文档</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color w:val="auto"/>
                <w:sz w:val="28"/>
                <w:szCs w:val="28"/>
                <w:highlight w:val="none"/>
              </w:rPr>
            </w:pPr>
            <w:r>
              <w:rPr>
                <w:rFonts w:hint="eastAsia" w:ascii="宋体"/>
                <w:color w:val="auto"/>
                <w:sz w:val="28"/>
                <w:szCs w:val="28"/>
                <w:highlight w:val="none"/>
              </w:rPr>
              <w:t>根据发包人要求，但最迟在</w:t>
            </w:r>
            <w:r>
              <w:rPr>
                <w:rFonts w:hint="eastAsia" w:ascii="宋体"/>
                <w:color w:val="auto"/>
                <w:sz w:val="28"/>
                <w:szCs w:val="28"/>
                <w:highlight w:val="none"/>
                <w:lang w:val="en-US" w:eastAsia="zh-CN"/>
              </w:rPr>
              <w:t>初步</w:t>
            </w:r>
            <w:r>
              <w:rPr>
                <w:rFonts w:hint="eastAsia" w:ascii="宋体"/>
                <w:color w:val="auto"/>
                <w:sz w:val="28"/>
                <w:szCs w:val="28"/>
                <w:highlight w:val="none"/>
              </w:rPr>
              <w:t>方案设计确定后</w:t>
            </w:r>
            <w:r>
              <w:rPr>
                <w:rFonts w:hint="default" w:ascii="宋体"/>
                <w:color w:val="auto"/>
                <w:sz w:val="28"/>
                <w:szCs w:val="28"/>
                <w:highlight w:val="none"/>
              </w:rPr>
              <w:t>7</w:t>
            </w:r>
            <w:r>
              <w:rPr>
                <w:rFonts w:hint="eastAsia" w:ascii="宋体"/>
                <w:color w:val="auto"/>
                <w:sz w:val="28"/>
                <w:szCs w:val="28"/>
                <w:highlight w:val="none"/>
              </w:rPr>
              <w:t>个日历天内</w:t>
            </w:r>
            <w:r>
              <w:rPr>
                <w:rFonts w:hint="eastAsia" w:ascii="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default" w:ascii="宋体" w:hAnsi="宋体" w:cs="宋体"/>
                <w:color w:val="auto"/>
                <w:sz w:val="28"/>
                <w:szCs w:val="28"/>
                <w:highlight w:val="none"/>
              </w:rPr>
              <w:t>2</w:t>
            </w:r>
          </w:p>
        </w:tc>
        <w:tc>
          <w:tcPr>
            <w:tcW w:w="15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hAnsi="宋体" w:cs="宋体"/>
                <w:color w:val="auto"/>
                <w:sz w:val="28"/>
                <w:szCs w:val="28"/>
                <w:highlight w:val="none"/>
                <w:lang w:val="en-US" w:eastAsia="zh-CN"/>
              </w:rPr>
              <w:t>勘察成果</w:t>
            </w:r>
            <w:r>
              <w:rPr>
                <w:rFonts w:hint="eastAsia" w:hAnsi="宋体" w:cs="宋体"/>
                <w:color w:val="auto"/>
                <w:sz w:val="28"/>
                <w:szCs w:val="28"/>
                <w:highlight w:val="none"/>
              </w:rPr>
              <w:t>报告</w:t>
            </w:r>
          </w:p>
        </w:tc>
        <w:tc>
          <w:tcPr>
            <w:tcW w:w="2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根据发包人需要，另行通知</w:t>
            </w:r>
          </w:p>
        </w:tc>
        <w:tc>
          <w:tcPr>
            <w:tcW w:w="1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color w:val="auto"/>
                <w:sz w:val="28"/>
                <w:szCs w:val="28"/>
                <w:highlight w:val="none"/>
              </w:rPr>
              <w:t>通过审查的书面报告及电子文档</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color w:val="auto"/>
                <w:sz w:val="28"/>
                <w:szCs w:val="28"/>
                <w:highlight w:val="none"/>
              </w:rPr>
              <w:t>根据</w:t>
            </w:r>
            <w:r>
              <w:rPr>
                <w:rFonts w:hint="default" w:ascii="宋体"/>
                <w:color w:val="auto"/>
                <w:sz w:val="28"/>
                <w:szCs w:val="28"/>
                <w:highlight w:val="none"/>
              </w:rPr>
              <w:t>发包人</w:t>
            </w:r>
            <w:r>
              <w:rPr>
                <w:rFonts w:hint="eastAsia" w:ascii="宋体"/>
                <w:color w:val="auto"/>
                <w:sz w:val="28"/>
                <w:szCs w:val="28"/>
                <w:highlight w:val="none"/>
              </w:rPr>
              <w:t>要求</w:t>
            </w:r>
            <w:r>
              <w:rPr>
                <w:rFonts w:hint="eastAsia" w:ascii="宋体"/>
                <w:color w:val="auto"/>
                <w:sz w:val="28"/>
                <w:szCs w:val="28"/>
                <w:highlight w:val="none"/>
                <w:lang w:eastAsia="zh-CN"/>
              </w:rPr>
              <w:t>，</w:t>
            </w:r>
            <w:r>
              <w:rPr>
                <w:rFonts w:hint="eastAsia" w:ascii="宋体"/>
                <w:color w:val="auto"/>
                <w:sz w:val="28"/>
                <w:szCs w:val="28"/>
                <w:highlight w:val="none"/>
                <w:lang w:val="en-US" w:eastAsia="zh-CN"/>
              </w:rPr>
              <w:t>但最迟在设计方案报审之前</w:t>
            </w:r>
            <w:r>
              <w:rPr>
                <w:rFonts w:hint="eastAsia" w:ascii="宋体"/>
                <w:color w:val="auto"/>
                <w:sz w:val="28"/>
                <w:szCs w:val="28"/>
                <w:highlight w:val="none"/>
              </w:rPr>
              <w:t>，</w:t>
            </w:r>
            <w:r>
              <w:rPr>
                <w:rFonts w:hint="eastAsia" w:ascii="宋体"/>
                <w:color w:val="auto"/>
                <w:sz w:val="28"/>
                <w:szCs w:val="28"/>
                <w:highlight w:val="none"/>
                <w:lang w:val="en-US" w:eastAsia="zh-CN"/>
              </w:rPr>
              <w:t>配合完成方案设计和施工图设计。</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color w:val="auto"/>
          <w:sz w:val="28"/>
          <w:szCs w:val="28"/>
          <w:highlight w:val="none"/>
        </w:rPr>
      </w:pPr>
      <w:r>
        <w:rPr>
          <w:rFonts w:hint="eastAsia" w:ascii="宋体" w:hAnsi="宋体" w:cs="宋体"/>
          <w:color w:val="auto"/>
          <w:sz w:val="28"/>
          <w:szCs w:val="28"/>
          <w:highlight w:val="none"/>
        </w:rPr>
        <w:t>注：</w:t>
      </w:r>
      <w:r>
        <w:rPr>
          <w:rFonts w:ascii="宋体" w:hAnsi="宋体" w:cs="宋体"/>
          <w:color w:val="auto"/>
          <w:sz w:val="28"/>
          <w:szCs w:val="28"/>
          <w:highlight w:val="none"/>
        </w:rPr>
        <w:t>1</w:t>
      </w:r>
      <w:r>
        <w:rPr>
          <w:rFonts w:hint="eastAsia" w:ascii="宋体" w:hAnsi="宋体" w:cs="宋体"/>
          <w:color w:val="auto"/>
          <w:sz w:val="28"/>
          <w:szCs w:val="28"/>
          <w:highlight w:val="none"/>
        </w:rPr>
        <w:t>、当外部原因或勘察条件不具备时，勘察周期相应延长；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、报告资料数量根据发包人需要提供；</w:t>
      </w:r>
    </w:p>
    <w:p>
      <w:pPr>
        <w:keepNext w:val="0"/>
        <w:keepLines w:val="0"/>
        <w:pageBreakBefore w:val="0"/>
        <w:widowControl w:val="0"/>
        <w:kinsoku/>
        <w:wordWrap/>
        <w:overflowPunct/>
        <w:topLinePunct w:val="0"/>
        <w:autoSpaceDE/>
        <w:autoSpaceDN/>
        <w:bidi w:val="0"/>
        <w:adjustRightInd/>
        <w:snapToGrid/>
        <w:spacing w:line="240" w:lineRule="auto"/>
        <w:ind w:firstLine="551" w:firstLineChars="197"/>
        <w:textAlignment w:val="auto"/>
        <w:outlineLvl w:val="9"/>
        <w:rPr>
          <w:rFonts w:hint="eastAsia"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承包人</w:t>
      </w:r>
      <w:r>
        <w:rPr>
          <w:rFonts w:hint="eastAsia" w:ascii="宋体" w:hAnsi="宋体" w:cs="宋体"/>
          <w:color w:val="auto"/>
          <w:sz w:val="28"/>
          <w:szCs w:val="28"/>
          <w:highlight w:val="none"/>
        </w:rPr>
        <w:t>必须按相关职能部门的报审要求提供勘察成果；</w:t>
      </w:r>
    </w:p>
    <w:p>
      <w:pPr>
        <w:keepNext w:val="0"/>
        <w:keepLines w:val="0"/>
        <w:pageBreakBefore w:val="0"/>
        <w:widowControl w:val="0"/>
        <w:kinsoku/>
        <w:wordWrap/>
        <w:overflowPunct/>
        <w:topLinePunct w:val="0"/>
        <w:autoSpaceDE/>
        <w:autoSpaceDN/>
        <w:bidi w:val="0"/>
        <w:adjustRightInd/>
        <w:snapToGrid/>
        <w:spacing w:line="240" w:lineRule="auto"/>
        <w:ind w:firstLine="551" w:firstLineChars="197"/>
        <w:textAlignment w:val="auto"/>
        <w:outlineLvl w:val="9"/>
        <w:rPr>
          <w:rFonts w:hint="eastAsia" w:ascii="宋体" w:hAns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承包人</w:t>
      </w:r>
      <w:r>
        <w:rPr>
          <w:rFonts w:hint="eastAsia" w:ascii="宋体" w:hAnsi="宋体" w:cs="宋体"/>
          <w:color w:val="auto"/>
          <w:sz w:val="28"/>
          <w:szCs w:val="28"/>
          <w:highlight w:val="none"/>
        </w:rPr>
        <w:t>不享有对勘察文件的留置权。</w:t>
      </w:r>
    </w:p>
    <w:p>
      <w:pPr>
        <w:keepNext w:val="0"/>
        <w:keepLines w:val="0"/>
        <w:pageBreakBefore w:val="0"/>
        <w:kinsoku/>
        <w:wordWrap/>
        <w:overflowPunct/>
        <w:topLinePunct w:val="0"/>
        <w:autoSpaceDE/>
        <w:autoSpaceDN/>
        <w:bidi w:val="0"/>
        <w:snapToGrid/>
        <w:spacing w:line="560" w:lineRule="exact"/>
        <w:textAlignment w:val="auto"/>
        <w:outlineLvl w:val="0"/>
        <w:rPr>
          <w:rFonts w:hint="eastAsia" w:ascii="Times New Roman" w:hAnsi="Times New Roman" w:eastAsia="宋体" w:cs="Times New Roman"/>
          <w:b/>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  </w:t>
      </w:r>
      <w:r>
        <w:rPr>
          <w:rFonts w:hint="eastAsia" w:ascii="仿宋_GB2312" w:hAnsi="仿宋_GB2312" w:eastAsia="仿宋_GB2312" w:cs="仿宋_GB2312"/>
          <w:b/>
          <w:bCs/>
          <w:color w:val="auto"/>
          <w:kern w:val="2"/>
          <w:sz w:val="28"/>
          <w:szCs w:val="28"/>
          <w:highlight w:val="none"/>
          <w:lang w:val="en-US" w:eastAsia="zh-CN" w:bidi="ar-SA"/>
        </w:rPr>
        <w:t xml:space="preserve"> </w:t>
      </w:r>
      <w:r>
        <w:rPr>
          <w:rFonts w:hint="eastAsia" w:ascii="Times New Roman" w:hAnsi="Times New Roman" w:eastAsia="宋体" w:cs="Times New Roman"/>
          <w:b/>
          <w:bCs w:val="0"/>
          <w:color w:val="auto"/>
          <w:kern w:val="2"/>
          <w:sz w:val="28"/>
          <w:szCs w:val="28"/>
          <w:highlight w:val="none"/>
          <w:lang w:val="en-US" w:eastAsia="zh-CN" w:bidi="ar-SA"/>
        </w:rPr>
        <w:t>9.7.设计成果资料份数及时间</w:t>
      </w:r>
    </w:p>
    <w:tbl>
      <w:tblPr>
        <w:tblStyle w:val="29"/>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97"/>
        <w:gridCol w:w="1650"/>
        <w:gridCol w:w="219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序号</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资料及文件名称</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份数</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内容要求</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default" w:ascii="宋体" w:hAnsi="宋体"/>
                <w:color w:val="auto"/>
                <w:sz w:val="28"/>
                <w:szCs w:val="28"/>
                <w:highlight w:val="none"/>
              </w:rPr>
              <w:t>1</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方案</w:t>
            </w:r>
            <w:r>
              <w:rPr>
                <w:rFonts w:hint="eastAsia" w:ascii="宋体" w:hAnsi="宋体"/>
                <w:color w:val="auto"/>
                <w:sz w:val="28"/>
                <w:szCs w:val="28"/>
                <w:highlight w:val="none"/>
                <w:lang w:eastAsia="zh-CN"/>
              </w:rPr>
              <w:t>设计</w:t>
            </w:r>
            <w:r>
              <w:rPr>
                <w:rFonts w:hint="eastAsia" w:ascii="宋体" w:hAnsi="宋体"/>
                <w:color w:val="auto"/>
                <w:sz w:val="28"/>
                <w:szCs w:val="28"/>
                <w:highlight w:val="none"/>
              </w:rPr>
              <w:t>及工程估算</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通过审查的图纸及电子文档</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根据发包人要求，但最迟在设计合同签订后</w:t>
            </w:r>
            <w:r>
              <w:rPr>
                <w:rFonts w:hint="default" w:ascii="宋体" w:hAnsi="宋体"/>
                <w:b/>
                <w:color w:val="auto"/>
                <w:sz w:val="28"/>
                <w:szCs w:val="28"/>
                <w:highlight w:val="none"/>
                <w:u w:val="single"/>
              </w:rPr>
              <w:t>30</w:t>
            </w:r>
            <w:r>
              <w:rPr>
                <w:rFonts w:hint="eastAsia" w:ascii="宋体" w:hAnsi="宋体"/>
                <w:b/>
                <w:color w:val="auto"/>
                <w:sz w:val="28"/>
                <w:szCs w:val="28"/>
                <w:highlight w:val="none"/>
                <w:u w:val="single"/>
                <w:lang w:eastAsia="zh-CN"/>
              </w:rPr>
              <w:t>个</w:t>
            </w:r>
            <w:r>
              <w:rPr>
                <w:rFonts w:hint="eastAsia" w:ascii="宋体" w:hAnsi="宋体"/>
                <w:b w:val="0"/>
                <w:bCs/>
                <w:color w:val="auto"/>
                <w:sz w:val="28"/>
                <w:szCs w:val="28"/>
                <w:highlight w:val="none"/>
              </w:rPr>
              <w:t>日</w:t>
            </w:r>
            <w:r>
              <w:rPr>
                <w:rFonts w:hint="eastAsia" w:ascii="宋体" w:hAnsi="宋体"/>
                <w:color w:val="auto"/>
                <w:sz w:val="28"/>
                <w:szCs w:val="28"/>
                <w:highlight w:val="none"/>
              </w:rPr>
              <w:t>历天内完成方案</w:t>
            </w:r>
            <w:r>
              <w:rPr>
                <w:rFonts w:hint="eastAsia" w:ascii="宋体" w:hAnsi="宋体"/>
                <w:color w:val="auto"/>
                <w:sz w:val="28"/>
                <w:szCs w:val="28"/>
                <w:highlight w:val="none"/>
                <w:lang w:eastAsia="zh-CN"/>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default" w:ascii="宋体" w:hAnsi="宋体"/>
                <w:color w:val="auto"/>
                <w:sz w:val="28"/>
                <w:szCs w:val="28"/>
                <w:highlight w:val="none"/>
              </w:rPr>
              <w:t>2</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施工图设计</w:t>
            </w:r>
            <w:r>
              <w:rPr>
                <w:rFonts w:hint="eastAsia" w:ascii="宋体" w:hAnsi="宋体"/>
                <w:color w:val="auto"/>
                <w:sz w:val="28"/>
                <w:szCs w:val="28"/>
                <w:highlight w:val="none"/>
                <w:lang w:eastAsia="zh-CN"/>
              </w:rPr>
              <w:t>及</w:t>
            </w:r>
            <w:r>
              <w:rPr>
                <w:rFonts w:hint="eastAsia" w:ascii="宋体" w:hAnsi="宋体"/>
                <w:color w:val="auto"/>
                <w:sz w:val="28"/>
                <w:szCs w:val="28"/>
                <w:highlight w:val="none"/>
              </w:rPr>
              <w:t>施工图预算</w:t>
            </w:r>
            <w:r>
              <w:rPr>
                <w:rFonts w:hint="eastAsia" w:ascii="宋体" w:hAnsi="宋体" w:eastAsia="宋体" w:cs="宋体"/>
                <w:color w:val="auto"/>
                <w:kern w:val="0"/>
                <w:sz w:val="28"/>
                <w:szCs w:val="28"/>
                <w:highlight w:val="none"/>
                <w:lang w:val="en-US" w:eastAsia="zh-CN" w:bidi="ar"/>
              </w:rPr>
              <w:t>(施工图设计阶段需提供）</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通过审查的图纸及电子文档</w:t>
            </w:r>
          </w:p>
        </w:tc>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b/>
                <w:bCs/>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方案设计审查批准后 </w:t>
            </w:r>
            <w:r>
              <w:rPr>
                <w:rFonts w:hint="eastAsia" w:ascii="宋体" w:hAnsi="宋体" w:eastAsia="宋体" w:cs="宋体"/>
                <w:b/>
                <w:bCs/>
                <w:color w:val="auto"/>
                <w:kern w:val="0"/>
                <w:sz w:val="28"/>
                <w:szCs w:val="28"/>
                <w:highlight w:val="none"/>
                <w:u w:val="single"/>
                <w:lang w:val="en-US" w:eastAsia="zh-CN" w:bidi="ar"/>
              </w:rPr>
              <w:t>15个</w:t>
            </w:r>
            <w:r>
              <w:rPr>
                <w:rFonts w:hint="eastAsia" w:ascii="宋体" w:hAnsi="宋体" w:eastAsia="宋体" w:cs="宋体"/>
                <w:color w:val="auto"/>
                <w:kern w:val="0"/>
                <w:sz w:val="28"/>
                <w:szCs w:val="28"/>
                <w:highlight w:val="none"/>
                <w:lang w:val="en-US" w:eastAsia="zh-CN" w:bidi="ar"/>
              </w:rPr>
              <w:t>日历天内完成施工图设计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3</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工程量清单编制及限价、其他设计文件编制或审核文件</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通过审查的文件及电子文档（</w:t>
            </w:r>
            <w:r>
              <w:rPr>
                <w:rFonts w:hint="eastAsia" w:ascii="宋体" w:hAnsi="宋体" w:cs="宋体"/>
                <w:color w:val="auto"/>
                <w:kern w:val="0"/>
                <w:sz w:val="28"/>
                <w:szCs w:val="28"/>
                <w:highlight w:val="none"/>
              </w:rPr>
              <w:t>优先推荐使用广联达、易达、殷雷软件编制。</w:t>
            </w:r>
            <w:r>
              <w:rPr>
                <w:rFonts w:hint="eastAsia" w:ascii="宋体" w:hAnsi="宋体"/>
                <w:color w:val="auto"/>
                <w:sz w:val="28"/>
                <w:szCs w:val="28"/>
                <w:highlight w:val="none"/>
              </w:rPr>
              <w:t>）</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4</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招标技术规范、配合监理招标、施工招标、设备订货等的图纸资料及工程其他技术资料</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通过审查的文件及电子文档</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满足招标、订货要求，与施工图同时提交。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5</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施工图</w:t>
            </w:r>
            <w:r>
              <w:rPr>
                <w:rFonts w:hint="eastAsia" w:ascii="宋体" w:hAnsi="宋体"/>
                <w:color w:val="auto"/>
                <w:sz w:val="28"/>
                <w:szCs w:val="28"/>
                <w:highlight w:val="none"/>
                <w:lang w:eastAsia="zh-CN"/>
              </w:rPr>
              <w:t>报审</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通过审查的文件及电子文档</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6</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eastAsia="zh-CN"/>
              </w:rPr>
              <w:t>设计变更</w:t>
            </w: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根据发包人需要，另行通知</w:t>
            </w:r>
          </w:p>
        </w:tc>
        <w:tc>
          <w:tcPr>
            <w:tcW w:w="21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按相关规范及标准</w:t>
            </w:r>
          </w:p>
        </w:tc>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完成合理性审查后</w:t>
            </w:r>
            <w:r>
              <w:rPr>
                <w:rFonts w:hint="eastAsia" w:ascii="宋体" w:hAnsi="宋体" w:eastAsia="宋体" w:cs="宋体"/>
                <w:b/>
                <w:bCs/>
                <w:color w:val="auto"/>
                <w:kern w:val="0"/>
                <w:sz w:val="28"/>
                <w:szCs w:val="28"/>
                <w:highlight w:val="none"/>
                <w:u w:val="single"/>
                <w:lang w:val="en-US" w:eastAsia="zh-CN" w:bidi="ar"/>
              </w:rPr>
              <w:t>5个</w:t>
            </w:r>
            <w:r>
              <w:rPr>
                <w:rFonts w:hint="eastAsia" w:ascii="宋体" w:hAnsi="宋体" w:eastAsia="宋体" w:cs="宋体"/>
                <w:color w:val="auto"/>
                <w:kern w:val="0"/>
                <w:sz w:val="28"/>
                <w:szCs w:val="28"/>
                <w:highlight w:val="none"/>
                <w:lang w:val="en-US" w:eastAsia="zh-CN" w:bidi="ar"/>
              </w:rPr>
              <w:t>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7</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竣工图</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按相关规范及标准</w:t>
            </w:r>
          </w:p>
        </w:tc>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工程完工验收后</w:t>
            </w:r>
            <w:r>
              <w:rPr>
                <w:rFonts w:hint="eastAsia" w:ascii="宋体" w:hAnsi="宋体" w:eastAsia="宋体" w:cs="宋体"/>
                <w:b/>
                <w:bCs/>
                <w:color w:val="auto"/>
                <w:kern w:val="0"/>
                <w:sz w:val="28"/>
                <w:szCs w:val="28"/>
                <w:highlight w:val="none"/>
                <w:u w:val="single"/>
                <w:lang w:val="en-US" w:eastAsia="zh-CN" w:bidi="ar"/>
              </w:rPr>
              <w:t>2个</w:t>
            </w:r>
            <w:r>
              <w:rPr>
                <w:rFonts w:hint="eastAsia" w:ascii="宋体" w:hAnsi="宋体" w:eastAsia="宋体" w:cs="宋体"/>
                <w:color w:val="auto"/>
                <w:kern w:val="0"/>
                <w:sz w:val="28"/>
                <w:szCs w:val="28"/>
                <w:highlight w:val="none"/>
                <w:lang w:val="en-US" w:eastAsia="zh-CN" w:bidi="ar"/>
              </w:rPr>
              <w:t>月内</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sz w:val="28"/>
          <w:szCs w:val="28"/>
          <w:highlight w:val="none"/>
        </w:rPr>
      </w:pPr>
      <w:r>
        <w:rPr>
          <w:rFonts w:hint="eastAsia" w:ascii="宋体" w:hAnsi="宋体"/>
          <w:color w:val="auto"/>
          <w:sz w:val="28"/>
          <w:szCs w:val="28"/>
          <w:highlight w:val="none"/>
        </w:rPr>
        <w:t>注</w:t>
      </w:r>
      <w:r>
        <w:rPr>
          <w:rFonts w:ascii="宋体" w:hAnsi="宋体"/>
          <w:color w:val="auto"/>
          <w:sz w:val="28"/>
          <w:szCs w:val="28"/>
          <w:highlight w:val="none"/>
        </w:rPr>
        <w:t xml:space="preserve">: 1. </w:t>
      </w:r>
      <w:r>
        <w:rPr>
          <w:rFonts w:hint="eastAsia" w:ascii="宋体" w:hAnsi="宋体"/>
          <w:color w:val="auto"/>
          <w:sz w:val="28"/>
          <w:szCs w:val="28"/>
          <w:highlight w:val="none"/>
        </w:rPr>
        <w:t>以上文件的电子版本各提供</w:t>
      </w:r>
      <w:r>
        <w:rPr>
          <w:rFonts w:ascii="宋体" w:hAnsi="宋体"/>
          <w:color w:val="auto"/>
          <w:sz w:val="28"/>
          <w:szCs w:val="28"/>
          <w:highlight w:val="none"/>
        </w:rPr>
        <w:t>2套。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olor w:val="auto"/>
          <w:sz w:val="28"/>
          <w:szCs w:val="28"/>
          <w:highlight w:val="none"/>
        </w:rPr>
        <w:t>当外部原因或设计条件不充分时，设计周期相对延长。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3、图纸资料不限数量，视发包人需要确定。</w:t>
      </w:r>
    </w:p>
    <w:p>
      <w:pPr>
        <w:keepNext w:val="0"/>
        <w:keepLines w:val="0"/>
        <w:pageBreakBefore w:val="0"/>
        <w:widowControl w:val="0"/>
        <w:kinsoku/>
        <w:wordWrap/>
        <w:overflowPunct/>
        <w:topLinePunct w:val="0"/>
        <w:autoSpaceDE/>
        <w:autoSpaceDN/>
        <w:bidi w:val="0"/>
        <w:adjustRightInd/>
        <w:snapToGrid/>
        <w:spacing w:line="240" w:lineRule="auto"/>
        <w:ind w:firstLine="551" w:firstLineChars="197"/>
        <w:textAlignment w:val="auto"/>
        <w:rPr>
          <w:rFonts w:ascii="宋体" w:hAnsi="宋体"/>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lang w:val="en-US" w:eastAsia="zh-CN"/>
        </w:rPr>
        <w:t>承包人</w:t>
      </w:r>
      <w:r>
        <w:rPr>
          <w:rFonts w:ascii="宋体" w:hAnsi="宋体"/>
          <w:color w:val="auto"/>
          <w:sz w:val="28"/>
          <w:szCs w:val="28"/>
          <w:highlight w:val="none"/>
        </w:rPr>
        <w:t>必须按相关职能部门的报审要求提供设计成果。</w:t>
      </w:r>
    </w:p>
    <w:p>
      <w:pPr>
        <w:spacing w:line="288" w:lineRule="auto"/>
        <w:outlineLvl w:val="1"/>
        <w:rPr>
          <w:rFonts w:hint="eastAsia" w:ascii="宋体" w:hAnsi="宋体"/>
          <w:b/>
          <w:bCs/>
          <w:color w:val="auto"/>
          <w:highlight w:val="none"/>
        </w:rPr>
        <w:sectPr>
          <w:pgSz w:w="11906" w:h="16838"/>
          <w:pgMar w:top="1418" w:right="1418" w:bottom="1418" w:left="1418" w:header="851" w:footer="992" w:gutter="0"/>
          <w:pgNumType w:fmt="decimal"/>
          <w:cols w:space="720" w:num="1"/>
          <w:docGrid w:linePitch="312" w:charSpace="0"/>
        </w:sectPr>
      </w:pPr>
    </w:p>
    <w:p>
      <w:pPr>
        <w:spacing w:line="288" w:lineRule="auto"/>
        <w:outlineLvl w:val="1"/>
        <w:rPr>
          <w:rFonts w:hint="eastAsia" w:ascii="宋体" w:hAnsi="宋体"/>
          <w:b/>
          <w:bCs/>
          <w:color w:val="auto"/>
          <w:highlight w:val="none"/>
        </w:rPr>
      </w:pPr>
      <w:r>
        <w:rPr>
          <w:rFonts w:hint="eastAsia" w:ascii="宋体" w:hAnsi="宋体"/>
          <w:b/>
          <w:bCs/>
          <w:color w:val="auto"/>
          <w:highlight w:val="none"/>
        </w:rPr>
        <w:t>附录21</w:t>
      </w:r>
      <w:bookmarkEnd w:id="38"/>
    </w:p>
    <w:p>
      <w:pPr>
        <w:pStyle w:val="15"/>
        <w:rPr>
          <w:rFonts w:hint="eastAsia" w:ascii="宋体" w:hAnsi="宋体"/>
          <w:b/>
          <w:bCs/>
          <w:color w:val="auto"/>
          <w:highlight w:val="none"/>
        </w:rPr>
      </w:pPr>
    </w:p>
    <w:p>
      <w:pPr>
        <w:rPr>
          <w:color w:val="auto"/>
          <w:highlight w:val="none"/>
        </w:rPr>
      </w:pPr>
    </w:p>
    <w:p>
      <w:pPr>
        <w:spacing w:line="400" w:lineRule="exact"/>
        <w:ind w:firstLine="640"/>
        <w:jc w:val="center"/>
        <w:rPr>
          <w:rFonts w:ascii="宋体" w:hAnsi="宋体" w:cs="宋体"/>
          <w:b/>
          <w:color w:val="auto"/>
          <w:sz w:val="32"/>
          <w:szCs w:val="32"/>
          <w:highlight w:val="none"/>
        </w:rPr>
      </w:pPr>
      <w:bookmarkStart w:id="39" w:name="_Toc44943514"/>
      <w:bookmarkStart w:id="40" w:name="投标保证金"/>
      <w:r>
        <w:rPr>
          <w:rFonts w:hint="eastAsia" w:ascii="宋体" w:hAnsi="宋体" w:cs="宋体"/>
          <w:b/>
          <w:color w:val="auto"/>
          <w:sz w:val="32"/>
          <w:szCs w:val="32"/>
          <w:highlight w:val="none"/>
        </w:rPr>
        <w:t>投标保证金</w:t>
      </w:r>
      <w:bookmarkEnd w:id="39"/>
    </w:p>
    <w:bookmarkEnd w:id="40"/>
    <w:p>
      <w:pPr>
        <w:spacing w:line="360" w:lineRule="auto"/>
        <w:ind w:firstLine="420" w:firstLineChars="200"/>
        <w:rPr>
          <w:color w:val="auto"/>
          <w:highlight w:val="none"/>
        </w:rPr>
      </w:pPr>
      <w:r>
        <w:rPr>
          <w:color w:val="auto"/>
          <w:highlight w:val="none"/>
        </w:rPr>
        <w:t xml:space="preserve"> </w:t>
      </w:r>
    </w:p>
    <w:p>
      <w:pPr>
        <w:jc w:val="left"/>
        <w:rPr>
          <w:b/>
          <w:color w:val="auto"/>
          <w:sz w:val="44"/>
          <w:szCs w:val="44"/>
          <w:highlight w:val="none"/>
        </w:rPr>
      </w:pPr>
      <w:r>
        <w:rPr>
          <w:rFonts w:hint="eastAsia"/>
          <w:b/>
          <w:color w:val="auto"/>
          <w:sz w:val="44"/>
          <w:szCs w:val="44"/>
          <w:highlight w:val="none"/>
        </w:rPr>
        <w:br w:type="page"/>
      </w:r>
    </w:p>
    <w:p>
      <w:pPr>
        <w:spacing w:line="288" w:lineRule="auto"/>
        <w:outlineLvl w:val="1"/>
        <w:rPr>
          <w:rFonts w:hint="eastAsia" w:ascii="宋体" w:hAnsi="宋体"/>
          <w:b/>
          <w:bCs/>
          <w:color w:val="auto"/>
          <w:highlight w:val="none"/>
        </w:rPr>
      </w:pPr>
      <w:bookmarkStart w:id="41" w:name="_Toc44943515"/>
      <w:r>
        <w:rPr>
          <w:rFonts w:hint="eastAsia" w:ascii="宋体" w:hAnsi="宋体"/>
          <w:b/>
          <w:bCs/>
          <w:color w:val="auto"/>
          <w:highlight w:val="none"/>
        </w:rPr>
        <w:t>附录22</w:t>
      </w:r>
      <w:bookmarkEnd w:id="41"/>
    </w:p>
    <w:p>
      <w:pPr>
        <w:pStyle w:val="15"/>
        <w:rPr>
          <w:rFonts w:hint="eastAsia" w:ascii="宋体" w:hAnsi="宋体"/>
          <w:b/>
          <w:bCs/>
          <w:color w:val="auto"/>
          <w:highlight w:val="none"/>
        </w:rPr>
      </w:pPr>
    </w:p>
    <w:p>
      <w:pPr>
        <w:rPr>
          <w:color w:val="auto"/>
          <w:highlight w:val="none"/>
        </w:rPr>
      </w:pPr>
    </w:p>
    <w:p>
      <w:pPr>
        <w:spacing w:line="480" w:lineRule="auto"/>
        <w:jc w:val="center"/>
        <w:rPr>
          <w:b/>
          <w:color w:val="auto"/>
          <w:sz w:val="32"/>
          <w:szCs w:val="32"/>
          <w:highlight w:val="none"/>
        </w:rPr>
      </w:pPr>
      <w:bookmarkStart w:id="42" w:name="_Toc44943516"/>
      <w:bookmarkStart w:id="43" w:name="投标人声明"/>
      <w:r>
        <w:rPr>
          <w:rFonts w:hint="eastAsia"/>
          <w:b/>
          <w:color w:val="auto"/>
          <w:sz w:val="32"/>
          <w:szCs w:val="32"/>
          <w:highlight w:val="none"/>
        </w:rPr>
        <w:t>投标人声明</w:t>
      </w:r>
      <w:bookmarkEnd w:id="42"/>
    </w:p>
    <w:bookmarkEnd w:id="43"/>
    <w:p>
      <w:pPr>
        <w:pStyle w:val="56"/>
        <w:spacing w:line="48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广州市交通运输局、本招标项目招标人：</w:t>
      </w:r>
    </w:p>
    <w:p>
      <w:pPr>
        <w:pStyle w:val="56"/>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投标工作，作出郑重声明：我方</w:t>
      </w:r>
      <w:r>
        <w:rPr>
          <w:rFonts w:hint="eastAsia" w:ascii="宋体" w:hAnsi="宋体" w:eastAsia="宋体"/>
          <w:color w:val="auto"/>
          <w:sz w:val="24"/>
          <w:szCs w:val="24"/>
          <w:highlight w:val="none"/>
          <w:u w:val="single"/>
        </w:rPr>
        <w:t>不存在招标公告第1.2.1</w:t>
      </w:r>
      <w:r>
        <w:rPr>
          <w:rFonts w:hint="eastAsia" w:ascii="宋体" w:hAnsi="宋体" w:eastAsia="宋体"/>
          <w:color w:val="auto"/>
          <w:sz w:val="24"/>
          <w:szCs w:val="24"/>
          <w:highlight w:val="none"/>
          <w:u w:val="single"/>
          <w:lang w:val="en-US" w:eastAsia="zh-CN"/>
        </w:rPr>
        <w:t>0</w:t>
      </w:r>
      <w:r>
        <w:rPr>
          <w:rFonts w:hint="eastAsia" w:ascii="宋体" w:hAnsi="宋体" w:eastAsia="宋体"/>
          <w:color w:val="auto"/>
          <w:sz w:val="24"/>
          <w:szCs w:val="24"/>
          <w:highlight w:val="none"/>
          <w:u w:val="single"/>
        </w:rPr>
        <w:t>项所述的任何一种情形</w:t>
      </w:r>
      <w:r>
        <w:rPr>
          <w:rFonts w:hint="eastAsia" w:ascii="宋体" w:hAnsi="宋体" w:eastAsia="宋体"/>
          <w:color w:val="auto"/>
          <w:sz w:val="24"/>
          <w:szCs w:val="24"/>
          <w:highlight w:val="none"/>
        </w:rPr>
        <w:t>。</w:t>
      </w:r>
    </w:p>
    <w:p>
      <w:pPr>
        <w:pStyle w:val="56"/>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56"/>
        <w:spacing w:line="480" w:lineRule="auto"/>
        <w:rPr>
          <w:rFonts w:ascii="宋体" w:hAnsi="宋体" w:eastAsia="宋体"/>
          <w:color w:val="auto"/>
          <w:sz w:val="24"/>
          <w:szCs w:val="24"/>
          <w:highlight w:val="none"/>
        </w:rPr>
      </w:pPr>
    </w:p>
    <w:p>
      <w:pPr>
        <w:pStyle w:val="57"/>
        <w:spacing w:line="480" w:lineRule="auto"/>
        <w:ind w:left="0" w:right="1449" w:firstLine="4080" w:firstLineChars="17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投标人：(盖章)</w:t>
      </w:r>
    </w:p>
    <w:p>
      <w:pPr>
        <w:pStyle w:val="56"/>
        <w:spacing w:line="480" w:lineRule="auto"/>
        <w:ind w:right="1449"/>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法定代表人：（签字或盖章）                  </w:t>
      </w:r>
    </w:p>
    <w:p>
      <w:pPr>
        <w:pStyle w:val="56"/>
        <w:spacing w:line="480" w:lineRule="auto"/>
        <w:ind w:right="2079" w:firstLine="2160" w:firstLineChars="900"/>
        <w:jc w:val="right"/>
        <w:rPr>
          <w:rFonts w:ascii="宋体" w:hAnsi="宋体"/>
          <w:color w:val="auto"/>
          <w:sz w:val="24"/>
          <w:szCs w:val="24"/>
          <w:highlight w:val="none"/>
        </w:rPr>
      </w:pPr>
      <w:r>
        <w:rPr>
          <w:rFonts w:hint="eastAsia" w:ascii="宋体" w:hAnsi="宋体" w:eastAsia="宋体"/>
          <w:color w:val="auto"/>
          <w:sz w:val="24"/>
          <w:szCs w:val="24"/>
          <w:highlight w:val="none"/>
        </w:rPr>
        <w:t>年   月   日</w:t>
      </w:r>
    </w:p>
    <w:p>
      <w:pPr>
        <w:spacing w:line="480" w:lineRule="auto"/>
        <w:ind w:firstLine="629"/>
        <w:jc w:val="left"/>
        <w:rPr>
          <w:rFonts w:ascii="宋体" w:hAnsi="宋体"/>
          <w:color w:val="auto"/>
          <w:sz w:val="24"/>
          <w:highlight w:val="none"/>
        </w:rPr>
      </w:pPr>
    </w:p>
    <w:p>
      <w:pPr>
        <w:spacing w:line="480" w:lineRule="auto"/>
        <w:jc w:val="left"/>
        <w:rPr>
          <w:rFonts w:ascii="宋体" w:hAnsi="宋体"/>
          <w:color w:val="auto"/>
          <w:highlight w:val="none"/>
        </w:rPr>
      </w:pPr>
    </w:p>
    <w:p>
      <w:pPr>
        <w:spacing w:line="480" w:lineRule="auto"/>
        <w:jc w:val="left"/>
        <w:rPr>
          <w:rFonts w:ascii="宋体" w:hAnsi="宋体"/>
          <w:color w:val="auto"/>
          <w:highlight w:val="none"/>
        </w:rPr>
      </w:pPr>
    </w:p>
    <w:p>
      <w:pPr>
        <w:spacing w:line="288" w:lineRule="auto"/>
        <w:ind w:firstLine="420" w:firstLineChars="200"/>
        <w:rPr>
          <w:color w:val="auto"/>
          <w:highlight w:val="none"/>
        </w:rPr>
      </w:pPr>
    </w:p>
    <w:sect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MingLiU">
    <w:altName w:val="PMingLiU-ExtB"/>
    <w:panose1 w:val="02020509000000000000"/>
    <w:charset w:val="88"/>
    <w:family w:val="moder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p>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hUUcgBAACa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iwpcdzixC/fv11+/Lr8/Ere&#10;5P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woVFHIAQAAmgMAAA4AAAAAAAAAAQAgAAAAHgEAAGRycy9lMm9Eb2Mu&#10;eG1sUEsFBgAAAAAGAAYAWQEAAFgFAAAAAA==&#10;">
              <v:fill on="f" focussize="0,0"/>
              <v:stroke on="f"/>
              <v:imagedata o:title=""/>
              <o:lock v:ext="edit" aspectratio="f"/>
              <v:textbox inset="0mm,0mm,0mm,0mm" style="mso-fit-shape-to-text:t;">
                <w:txbxContent>
                  <w:p>
                    <w:pPr>
                      <w:pStyle w:val="21"/>
                    </w:pPr>
                  </w:p>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separate"/>
    </w:r>
    <w:r>
      <w:rPr>
        <w:rStyle w:val="32"/>
      </w:rPr>
      <w:t>21</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end"/>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sdt>
      <w:sdtPr>
        <w:id w:val="-1901816472"/>
        <w:showingPlcHdr/>
      </w:sdtP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1"/>
                    </w:pP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ord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V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2it1yQEAAJo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z6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y&#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Kz6soBAACa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EF813B2"/>
    <w:multiLevelType w:val="multilevel"/>
    <w:tmpl w:val="2EF813B2"/>
    <w:lvl w:ilvl="0" w:tentative="0">
      <w:start w:val="1"/>
      <w:numFmt w:val="decimalEnclosedCircle"/>
      <w:lvlText w:val="%1"/>
      <w:lvlJc w:val="left"/>
      <w:pPr>
        <w:ind w:left="1076" w:hanging="360"/>
      </w:pPr>
      <w:rPr>
        <w:rFonts w:hint="default"/>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abstractNum w:abstractNumId="3">
    <w:nsid w:val="3FDD3235"/>
    <w:multiLevelType w:val="singleLevel"/>
    <w:tmpl w:val="3FDD3235"/>
    <w:lvl w:ilvl="0" w:tentative="0">
      <w:start w:val="6"/>
      <w:numFmt w:val="chineseCounting"/>
      <w:suff w:val="space"/>
      <w:lvlText w:val="第%1章"/>
      <w:lvlJc w:val="left"/>
      <w:rPr>
        <w:rFonts w:hint="eastAsia"/>
      </w:rPr>
    </w:lvl>
  </w:abstractNum>
  <w:abstractNum w:abstractNumId="4">
    <w:nsid w:val="6A8AE19B"/>
    <w:multiLevelType w:val="singleLevel"/>
    <w:tmpl w:val="6A8AE19B"/>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dit="trackedChanges"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zVjMjdhZWMxNGIzYjc0NmMyZWQ3YzNkYmU5MGYifQ=="/>
  </w:docVars>
  <w:rsids>
    <w:rsidRoot w:val="00020C4A"/>
    <w:rsid w:val="00001B06"/>
    <w:rsid w:val="00003886"/>
    <w:rsid w:val="0000759C"/>
    <w:rsid w:val="00011753"/>
    <w:rsid w:val="000121BF"/>
    <w:rsid w:val="00014D5C"/>
    <w:rsid w:val="00020C4A"/>
    <w:rsid w:val="0002756D"/>
    <w:rsid w:val="00027929"/>
    <w:rsid w:val="000305AC"/>
    <w:rsid w:val="0003077D"/>
    <w:rsid w:val="0003227B"/>
    <w:rsid w:val="000337BF"/>
    <w:rsid w:val="0003488A"/>
    <w:rsid w:val="0003656A"/>
    <w:rsid w:val="00037497"/>
    <w:rsid w:val="0003772C"/>
    <w:rsid w:val="000413AC"/>
    <w:rsid w:val="00041415"/>
    <w:rsid w:val="00041686"/>
    <w:rsid w:val="000420AA"/>
    <w:rsid w:val="00052961"/>
    <w:rsid w:val="00053F20"/>
    <w:rsid w:val="000560E8"/>
    <w:rsid w:val="0005636C"/>
    <w:rsid w:val="00061922"/>
    <w:rsid w:val="00061F42"/>
    <w:rsid w:val="000624B5"/>
    <w:rsid w:val="000655E8"/>
    <w:rsid w:val="000661D6"/>
    <w:rsid w:val="00067EE5"/>
    <w:rsid w:val="00071009"/>
    <w:rsid w:val="0007710B"/>
    <w:rsid w:val="00077C8A"/>
    <w:rsid w:val="000808D4"/>
    <w:rsid w:val="00082B4C"/>
    <w:rsid w:val="0008305D"/>
    <w:rsid w:val="00083D09"/>
    <w:rsid w:val="000848E5"/>
    <w:rsid w:val="00087C31"/>
    <w:rsid w:val="000918AB"/>
    <w:rsid w:val="00093A4E"/>
    <w:rsid w:val="00095E69"/>
    <w:rsid w:val="00096B80"/>
    <w:rsid w:val="000A45F2"/>
    <w:rsid w:val="000A52B0"/>
    <w:rsid w:val="000A7246"/>
    <w:rsid w:val="000B0480"/>
    <w:rsid w:val="000B0550"/>
    <w:rsid w:val="000B081B"/>
    <w:rsid w:val="000B281D"/>
    <w:rsid w:val="000B3D2C"/>
    <w:rsid w:val="000B69F7"/>
    <w:rsid w:val="000C2B98"/>
    <w:rsid w:val="000C2EAD"/>
    <w:rsid w:val="000C34EA"/>
    <w:rsid w:val="000C3CD4"/>
    <w:rsid w:val="000C6B23"/>
    <w:rsid w:val="000D1121"/>
    <w:rsid w:val="000D2E49"/>
    <w:rsid w:val="000D3A3B"/>
    <w:rsid w:val="000D4297"/>
    <w:rsid w:val="000D4323"/>
    <w:rsid w:val="000D4859"/>
    <w:rsid w:val="000D7EA6"/>
    <w:rsid w:val="000E09B9"/>
    <w:rsid w:val="000E3568"/>
    <w:rsid w:val="000E3A72"/>
    <w:rsid w:val="000E3B2E"/>
    <w:rsid w:val="000E5B0F"/>
    <w:rsid w:val="000E6EDF"/>
    <w:rsid w:val="000F6D20"/>
    <w:rsid w:val="000F7EBE"/>
    <w:rsid w:val="001046CF"/>
    <w:rsid w:val="00104F77"/>
    <w:rsid w:val="0010540F"/>
    <w:rsid w:val="00105CA4"/>
    <w:rsid w:val="00115D2C"/>
    <w:rsid w:val="00117952"/>
    <w:rsid w:val="00117B07"/>
    <w:rsid w:val="00123532"/>
    <w:rsid w:val="001248F2"/>
    <w:rsid w:val="001249DC"/>
    <w:rsid w:val="0012518D"/>
    <w:rsid w:val="00126B13"/>
    <w:rsid w:val="00131966"/>
    <w:rsid w:val="001327F3"/>
    <w:rsid w:val="00133EAF"/>
    <w:rsid w:val="00135ABB"/>
    <w:rsid w:val="00140AF2"/>
    <w:rsid w:val="00143F5E"/>
    <w:rsid w:val="0015172A"/>
    <w:rsid w:val="00152A25"/>
    <w:rsid w:val="0016004C"/>
    <w:rsid w:val="00161A64"/>
    <w:rsid w:val="00162421"/>
    <w:rsid w:val="001628BF"/>
    <w:rsid w:val="001640F5"/>
    <w:rsid w:val="00164473"/>
    <w:rsid w:val="00164569"/>
    <w:rsid w:val="00167338"/>
    <w:rsid w:val="00174ACB"/>
    <w:rsid w:val="00174FD2"/>
    <w:rsid w:val="00175B8B"/>
    <w:rsid w:val="00176E50"/>
    <w:rsid w:val="00181FCE"/>
    <w:rsid w:val="00182069"/>
    <w:rsid w:val="001832F1"/>
    <w:rsid w:val="00186D05"/>
    <w:rsid w:val="001943EC"/>
    <w:rsid w:val="001A283F"/>
    <w:rsid w:val="001A2BB1"/>
    <w:rsid w:val="001A569D"/>
    <w:rsid w:val="001A71BC"/>
    <w:rsid w:val="001B5045"/>
    <w:rsid w:val="001B58B1"/>
    <w:rsid w:val="001B72A9"/>
    <w:rsid w:val="001C38EA"/>
    <w:rsid w:val="001C5690"/>
    <w:rsid w:val="001C75EF"/>
    <w:rsid w:val="001D0A04"/>
    <w:rsid w:val="001D2EF5"/>
    <w:rsid w:val="001E1388"/>
    <w:rsid w:val="001E1AF8"/>
    <w:rsid w:val="001E4044"/>
    <w:rsid w:val="001E59D5"/>
    <w:rsid w:val="001E73AA"/>
    <w:rsid w:val="001E7C25"/>
    <w:rsid w:val="001F147A"/>
    <w:rsid w:val="001F3E2C"/>
    <w:rsid w:val="001F435D"/>
    <w:rsid w:val="001F4425"/>
    <w:rsid w:val="001F49A5"/>
    <w:rsid w:val="001F7231"/>
    <w:rsid w:val="001F78D1"/>
    <w:rsid w:val="001F7BE0"/>
    <w:rsid w:val="00200973"/>
    <w:rsid w:val="0020171B"/>
    <w:rsid w:val="00201A99"/>
    <w:rsid w:val="002026B2"/>
    <w:rsid w:val="00212781"/>
    <w:rsid w:val="00213194"/>
    <w:rsid w:val="0021586B"/>
    <w:rsid w:val="0022054F"/>
    <w:rsid w:val="00220F79"/>
    <w:rsid w:val="00221AB8"/>
    <w:rsid w:val="002252C6"/>
    <w:rsid w:val="00225513"/>
    <w:rsid w:val="002264EC"/>
    <w:rsid w:val="0022782E"/>
    <w:rsid w:val="00227840"/>
    <w:rsid w:val="00230A17"/>
    <w:rsid w:val="002316B2"/>
    <w:rsid w:val="00231983"/>
    <w:rsid w:val="00233665"/>
    <w:rsid w:val="002371C6"/>
    <w:rsid w:val="00237500"/>
    <w:rsid w:val="0024144A"/>
    <w:rsid w:val="00241F2D"/>
    <w:rsid w:val="00241F5F"/>
    <w:rsid w:val="00242562"/>
    <w:rsid w:val="0024594C"/>
    <w:rsid w:val="00245CB7"/>
    <w:rsid w:val="002475E0"/>
    <w:rsid w:val="00250C99"/>
    <w:rsid w:val="00254FC7"/>
    <w:rsid w:val="00256388"/>
    <w:rsid w:val="00265150"/>
    <w:rsid w:val="002651F0"/>
    <w:rsid w:val="00267E23"/>
    <w:rsid w:val="002703EF"/>
    <w:rsid w:val="00274BD6"/>
    <w:rsid w:val="00277237"/>
    <w:rsid w:val="0027762D"/>
    <w:rsid w:val="00281C4F"/>
    <w:rsid w:val="00282405"/>
    <w:rsid w:val="00283555"/>
    <w:rsid w:val="002863FD"/>
    <w:rsid w:val="00286801"/>
    <w:rsid w:val="00286A53"/>
    <w:rsid w:val="002876D0"/>
    <w:rsid w:val="00287AAC"/>
    <w:rsid w:val="00287E66"/>
    <w:rsid w:val="00296383"/>
    <w:rsid w:val="002A0402"/>
    <w:rsid w:val="002A0C2B"/>
    <w:rsid w:val="002A26D7"/>
    <w:rsid w:val="002A275F"/>
    <w:rsid w:val="002A2E4E"/>
    <w:rsid w:val="002A3514"/>
    <w:rsid w:val="002A4B69"/>
    <w:rsid w:val="002A76BD"/>
    <w:rsid w:val="002B0C49"/>
    <w:rsid w:val="002B2AD3"/>
    <w:rsid w:val="002B47E2"/>
    <w:rsid w:val="002B5B8E"/>
    <w:rsid w:val="002C149F"/>
    <w:rsid w:val="002C5652"/>
    <w:rsid w:val="002C5786"/>
    <w:rsid w:val="002C5814"/>
    <w:rsid w:val="002D1679"/>
    <w:rsid w:val="002D1B38"/>
    <w:rsid w:val="002D2361"/>
    <w:rsid w:val="002D39BD"/>
    <w:rsid w:val="002D4F97"/>
    <w:rsid w:val="002E4150"/>
    <w:rsid w:val="002F07B4"/>
    <w:rsid w:val="002F1632"/>
    <w:rsid w:val="002F1E04"/>
    <w:rsid w:val="002F30EC"/>
    <w:rsid w:val="002F3491"/>
    <w:rsid w:val="002F428E"/>
    <w:rsid w:val="002F5F87"/>
    <w:rsid w:val="00301BDA"/>
    <w:rsid w:val="0030375E"/>
    <w:rsid w:val="00305826"/>
    <w:rsid w:val="0031445A"/>
    <w:rsid w:val="00315FDD"/>
    <w:rsid w:val="00316137"/>
    <w:rsid w:val="003174E4"/>
    <w:rsid w:val="003216AC"/>
    <w:rsid w:val="003222CF"/>
    <w:rsid w:val="00324D16"/>
    <w:rsid w:val="003276B8"/>
    <w:rsid w:val="00332127"/>
    <w:rsid w:val="00332E69"/>
    <w:rsid w:val="00336E20"/>
    <w:rsid w:val="00337A70"/>
    <w:rsid w:val="00341463"/>
    <w:rsid w:val="003414A4"/>
    <w:rsid w:val="00341A9D"/>
    <w:rsid w:val="00342F24"/>
    <w:rsid w:val="00343954"/>
    <w:rsid w:val="00343F2C"/>
    <w:rsid w:val="00347B29"/>
    <w:rsid w:val="00347E6E"/>
    <w:rsid w:val="003507FE"/>
    <w:rsid w:val="00352814"/>
    <w:rsid w:val="00352CF2"/>
    <w:rsid w:val="00352D95"/>
    <w:rsid w:val="00356E68"/>
    <w:rsid w:val="00361BA6"/>
    <w:rsid w:val="0036510A"/>
    <w:rsid w:val="00366EB7"/>
    <w:rsid w:val="00366FF0"/>
    <w:rsid w:val="00367C70"/>
    <w:rsid w:val="00374CE4"/>
    <w:rsid w:val="003750EC"/>
    <w:rsid w:val="003753D6"/>
    <w:rsid w:val="003809C2"/>
    <w:rsid w:val="00381E5D"/>
    <w:rsid w:val="003820B9"/>
    <w:rsid w:val="00382447"/>
    <w:rsid w:val="00382473"/>
    <w:rsid w:val="0038271F"/>
    <w:rsid w:val="00383934"/>
    <w:rsid w:val="0038478B"/>
    <w:rsid w:val="00386CB1"/>
    <w:rsid w:val="00390B55"/>
    <w:rsid w:val="0039118E"/>
    <w:rsid w:val="00391C71"/>
    <w:rsid w:val="00394999"/>
    <w:rsid w:val="00396C58"/>
    <w:rsid w:val="00396EDE"/>
    <w:rsid w:val="003A2092"/>
    <w:rsid w:val="003A3FED"/>
    <w:rsid w:val="003A4C4A"/>
    <w:rsid w:val="003A666A"/>
    <w:rsid w:val="003B267F"/>
    <w:rsid w:val="003B34EA"/>
    <w:rsid w:val="003B4B28"/>
    <w:rsid w:val="003B6151"/>
    <w:rsid w:val="003B6EA4"/>
    <w:rsid w:val="003C03C0"/>
    <w:rsid w:val="003C1CDE"/>
    <w:rsid w:val="003C3EE8"/>
    <w:rsid w:val="003C7A21"/>
    <w:rsid w:val="003D03E6"/>
    <w:rsid w:val="003D05F8"/>
    <w:rsid w:val="003D20F0"/>
    <w:rsid w:val="003D3487"/>
    <w:rsid w:val="003D3683"/>
    <w:rsid w:val="003D4645"/>
    <w:rsid w:val="003D5369"/>
    <w:rsid w:val="003E455F"/>
    <w:rsid w:val="003E558D"/>
    <w:rsid w:val="003E596D"/>
    <w:rsid w:val="003E7322"/>
    <w:rsid w:val="003F38C1"/>
    <w:rsid w:val="003F4554"/>
    <w:rsid w:val="003F6138"/>
    <w:rsid w:val="00400783"/>
    <w:rsid w:val="004038DB"/>
    <w:rsid w:val="00403E55"/>
    <w:rsid w:val="00405311"/>
    <w:rsid w:val="00410D70"/>
    <w:rsid w:val="004144A3"/>
    <w:rsid w:val="00420CE4"/>
    <w:rsid w:val="00424956"/>
    <w:rsid w:val="00424F82"/>
    <w:rsid w:val="0043090E"/>
    <w:rsid w:val="00431C46"/>
    <w:rsid w:val="004320A3"/>
    <w:rsid w:val="00432263"/>
    <w:rsid w:val="00432BDD"/>
    <w:rsid w:val="00432CC4"/>
    <w:rsid w:val="00434980"/>
    <w:rsid w:val="004351C6"/>
    <w:rsid w:val="004418D2"/>
    <w:rsid w:val="00441C2F"/>
    <w:rsid w:val="004451B3"/>
    <w:rsid w:val="004456E4"/>
    <w:rsid w:val="00446B9D"/>
    <w:rsid w:val="00446DB1"/>
    <w:rsid w:val="00446E8C"/>
    <w:rsid w:val="00450653"/>
    <w:rsid w:val="0045257B"/>
    <w:rsid w:val="0045336B"/>
    <w:rsid w:val="00454467"/>
    <w:rsid w:val="004550EE"/>
    <w:rsid w:val="00456B51"/>
    <w:rsid w:val="004570A8"/>
    <w:rsid w:val="00460521"/>
    <w:rsid w:val="00464F54"/>
    <w:rsid w:val="004656BF"/>
    <w:rsid w:val="00465DE1"/>
    <w:rsid w:val="00470402"/>
    <w:rsid w:val="00471046"/>
    <w:rsid w:val="0047513A"/>
    <w:rsid w:val="00476880"/>
    <w:rsid w:val="00476917"/>
    <w:rsid w:val="004771FD"/>
    <w:rsid w:val="00477574"/>
    <w:rsid w:val="00480AB4"/>
    <w:rsid w:val="004835BD"/>
    <w:rsid w:val="00485181"/>
    <w:rsid w:val="00486C82"/>
    <w:rsid w:val="00486DEB"/>
    <w:rsid w:val="004873C7"/>
    <w:rsid w:val="00491D38"/>
    <w:rsid w:val="00493C3D"/>
    <w:rsid w:val="00494087"/>
    <w:rsid w:val="00494FD1"/>
    <w:rsid w:val="004963E2"/>
    <w:rsid w:val="004976E0"/>
    <w:rsid w:val="004A1FFA"/>
    <w:rsid w:val="004A23F4"/>
    <w:rsid w:val="004A3127"/>
    <w:rsid w:val="004A37D9"/>
    <w:rsid w:val="004A4637"/>
    <w:rsid w:val="004A5524"/>
    <w:rsid w:val="004A669A"/>
    <w:rsid w:val="004A6917"/>
    <w:rsid w:val="004B1723"/>
    <w:rsid w:val="004B2ADC"/>
    <w:rsid w:val="004B496A"/>
    <w:rsid w:val="004B5924"/>
    <w:rsid w:val="004C07B5"/>
    <w:rsid w:val="004C6EC7"/>
    <w:rsid w:val="004C702F"/>
    <w:rsid w:val="004C77FC"/>
    <w:rsid w:val="004C7E86"/>
    <w:rsid w:val="004D01CD"/>
    <w:rsid w:val="004D2378"/>
    <w:rsid w:val="004D2C71"/>
    <w:rsid w:val="004D31EF"/>
    <w:rsid w:val="004D4D5D"/>
    <w:rsid w:val="004D7629"/>
    <w:rsid w:val="004E3145"/>
    <w:rsid w:val="004E42AD"/>
    <w:rsid w:val="004E4D3C"/>
    <w:rsid w:val="004E7034"/>
    <w:rsid w:val="004E7E5F"/>
    <w:rsid w:val="004F77BE"/>
    <w:rsid w:val="005034D7"/>
    <w:rsid w:val="00505D40"/>
    <w:rsid w:val="0050609E"/>
    <w:rsid w:val="00506B2F"/>
    <w:rsid w:val="00510595"/>
    <w:rsid w:val="00511165"/>
    <w:rsid w:val="005126D5"/>
    <w:rsid w:val="00512C97"/>
    <w:rsid w:val="00517E49"/>
    <w:rsid w:val="00520D78"/>
    <w:rsid w:val="00521C82"/>
    <w:rsid w:val="00522108"/>
    <w:rsid w:val="00523FFC"/>
    <w:rsid w:val="005241E7"/>
    <w:rsid w:val="00524DCB"/>
    <w:rsid w:val="00525858"/>
    <w:rsid w:val="005327D6"/>
    <w:rsid w:val="00532910"/>
    <w:rsid w:val="00535662"/>
    <w:rsid w:val="00535ACD"/>
    <w:rsid w:val="00544C16"/>
    <w:rsid w:val="00544C28"/>
    <w:rsid w:val="00550460"/>
    <w:rsid w:val="00551266"/>
    <w:rsid w:val="00553244"/>
    <w:rsid w:val="00553D8D"/>
    <w:rsid w:val="005577CE"/>
    <w:rsid w:val="005612DC"/>
    <w:rsid w:val="005614EA"/>
    <w:rsid w:val="00562AE1"/>
    <w:rsid w:val="00564417"/>
    <w:rsid w:val="00564C3D"/>
    <w:rsid w:val="005650AE"/>
    <w:rsid w:val="00571698"/>
    <w:rsid w:val="00573A4C"/>
    <w:rsid w:val="00573B80"/>
    <w:rsid w:val="00573E8C"/>
    <w:rsid w:val="005748D4"/>
    <w:rsid w:val="00580820"/>
    <w:rsid w:val="005813ED"/>
    <w:rsid w:val="005822AE"/>
    <w:rsid w:val="00583888"/>
    <w:rsid w:val="00585B0C"/>
    <w:rsid w:val="0058765A"/>
    <w:rsid w:val="00592E8D"/>
    <w:rsid w:val="005930F5"/>
    <w:rsid w:val="00594A5B"/>
    <w:rsid w:val="00596AE3"/>
    <w:rsid w:val="00596C64"/>
    <w:rsid w:val="005A00EB"/>
    <w:rsid w:val="005A055A"/>
    <w:rsid w:val="005A07D9"/>
    <w:rsid w:val="005A25A0"/>
    <w:rsid w:val="005A2BB8"/>
    <w:rsid w:val="005A3B52"/>
    <w:rsid w:val="005A43D6"/>
    <w:rsid w:val="005A4D0A"/>
    <w:rsid w:val="005A6D60"/>
    <w:rsid w:val="005A70E8"/>
    <w:rsid w:val="005B19E9"/>
    <w:rsid w:val="005B404C"/>
    <w:rsid w:val="005B499A"/>
    <w:rsid w:val="005B5804"/>
    <w:rsid w:val="005C0A2D"/>
    <w:rsid w:val="005C1FD2"/>
    <w:rsid w:val="005C28F2"/>
    <w:rsid w:val="005C423C"/>
    <w:rsid w:val="005C4D02"/>
    <w:rsid w:val="005C674D"/>
    <w:rsid w:val="005C7D64"/>
    <w:rsid w:val="005C7F76"/>
    <w:rsid w:val="005E59EE"/>
    <w:rsid w:val="005E5A60"/>
    <w:rsid w:val="005E6129"/>
    <w:rsid w:val="005E74E2"/>
    <w:rsid w:val="005F4ACD"/>
    <w:rsid w:val="005F4CDD"/>
    <w:rsid w:val="005F5515"/>
    <w:rsid w:val="005F66D5"/>
    <w:rsid w:val="005F6CAB"/>
    <w:rsid w:val="005F72C5"/>
    <w:rsid w:val="00600E0B"/>
    <w:rsid w:val="00601713"/>
    <w:rsid w:val="006017C2"/>
    <w:rsid w:val="00604858"/>
    <w:rsid w:val="00606FF8"/>
    <w:rsid w:val="00607F44"/>
    <w:rsid w:val="006106EB"/>
    <w:rsid w:val="00610DA1"/>
    <w:rsid w:val="006123C7"/>
    <w:rsid w:val="00613965"/>
    <w:rsid w:val="00614645"/>
    <w:rsid w:val="00615C32"/>
    <w:rsid w:val="006205C1"/>
    <w:rsid w:val="00621C1D"/>
    <w:rsid w:val="006225C2"/>
    <w:rsid w:val="006235E4"/>
    <w:rsid w:val="00623C85"/>
    <w:rsid w:val="00626811"/>
    <w:rsid w:val="00631364"/>
    <w:rsid w:val="006336C1"/>
    <w:rsid w:val="0063527B"/>
    <w:rsid w:val="00635C31"/>
    <w:rsid w:val="006364AD"/>
    <w:rsid w:val="00637BF5"/>
    <w:rsid w:val="0064155F"/>
    <w:rsid w:val="00641B91"/>
    <w:rsid w:val="00643307"/>
    <w:rsid w:val="00651E45"/>
    <w:rsid w:val="00654098"/>
    <w:rsid w:val="006552F0"/>
    <w:rsid w:val="006560FF"/>
    <w:rsid w:val="006601B3"/>
    <w:rsid w:val="00660551"/>
    <w:rsid w:val="0066113E"/>
    <w:rsid w:val="00661783"/>
    <w:rsid w:val="00661BE6"/>
    <w:rsid w:val="00662E4A"/>
    <w:rsid w:val="00664D34"/>
    <w:rsid w:val="00665F66"/>
    <w:rsid w:val="00667813"/>
    <w:rsid w:val="0067115C"/>
    <w:rsid w:val="00672A73"/>
    <w:rsid w:val="006765BD"/>
    <w:rsid w:val="00677DBA"/>
    <w:rsid w:val="006846EC"/>
    <w:rsid w:val="00684F88"/>
    <w:rsid w:val="00686E7F"/>
    <w:rsid w:val="006924A6"/>
    <w:rsid w:val="006949AE"/>
    <w:rsid w:val="00695020"/>
    <w:rsid w:val="00696815"/>
    <w:rsid w:val="0069687A"/>
    <w:rsid w:val="006A0ED1"/>
    <w:rsid w:val="006A0FFD"/>
    <w:rsid w:val="006A210C"/>
    <w:rsid w:val="006A3DB1"/>
    <w:rsid w:val="006A460E"/>
    <w:rsid w:val="006A54D4"/>
    <w:rsid w:val="006A745C"/>
    <w:rsid w:val="006B0949"/>
    <w:rsid w:val="006B1384"/>
    <w:rsid w:val="006B1738"/>
    <w:rsid w:val="006B347F"/>
    <w:rsid w:val="006B502A"/>
    <w:rsid w:val="006B5F40"/>
    <w:rsid w:val="006B605B"/>
    <w:rsid w:val="006C2BD2"/>
    <w:rsid w:val="006C3761"/>
    <w:rsid w:val="006C60B8"/>
    <w:rsid w:val="006C68B3"/>
    <w:rsid w:val="006D34D4"/>
    <w:rsid w:val="006D5D3F"/>
    <w:rsid w:val="006E282E"/>
    <w:rsid w:val="006E3966"/>
    <w:rsid w:val="006E4121"/>
    <w:rsid w:val="006E4CCF"/>
    <w:rsid w:val="006E786F"/>
    <w:rsid w:val="006E7D94"/>
    <w:rsid w:val="006F496C"/>
    <w:rsid w:val="006F7244"/>
    <w:rsid w:val="007002A1"/>
    <w:rsid w:val="00702DF6"/>
    <w:rsid w:val="00703664"/>
    <w:rsid w:val="0070619B"/>
    <w:rsid w:val="007071A6"/>
    <w:rsid w:val="00710881"/>
    <w:rsid w:val="007125E1"/>
    <w:rsid w:val="007137DB"/>
    <w:rsid w:val="00713C2B"/>
    <w:rsid w:val="007161BB"/>
    <w:rsid w:val="00716A56"/>
    <w:rsid w:val="007177CE"/>
    <w:rsid w:val="0072036A"/>
    <w:rsid w:val="00723567"/>
    <w:rsid w:val="00723D3E"/>
    <w:rsid w:val="00724E2A"/>
    <w:rsid w:val="007278A6"/>
    <w:rsid w:val="00727B83"/>
    <w:rsid w:val="007302E1"/>
    <w:rsid w:val="00731260"/>
    <w:rsid w:val="00732979"/>
    <w:rsid w:val="007348F9"/>
    <w:rsid w:val="00736027"/>
    <w:rsid w:val="00737BF2"/>
    <w:rsid w:val="00741903"/>
    <w:rsid w:val="007451AE"/>
    <w:rsid w:val="0074780F"/>
    <w:rsid w:val="00750C64"/>
    <w:rsid w:val="007518F2"/>
    <w:rsid w:val="00753845"/>
    <w:rsid w:val="00754C68"/>
    <w:rsid w:val="00755CF9"/>
    <w:rsid w:val="007658FB"/>
    <w:rsid w:val="00767781"/>
    <w:rsid w:val="0077517D"/>
    <w:rsid w:val="007755A4"/>
    <w:rsid w:val="00777335"/>
    <w:rsid w:val="00781F17"/>
    <w:rsid w:val="007905BB"/>
    <w:rsid w:val="0079315D"/>
    <w:rsid w:val="00793904"/>
    <w:rsid w:val="00794253"/>
    <w:rsid w:val="00794738"/>
    <w:rsid w:val="00794CD2"/>
    <w:rsid w:val="007953D9"/>
    <w:rsid w:val="00795F75"/>
    <w:rsid w:val="007A3EAA"/>
    <w:rsid w:val="007A4CD9"/>
    <w:rsid w:val="007B618C"/>
    <w:rsid w:val="007B6C57"/>
    <w:rsid w:val="007C0486"/>
    <w:rsid w:val="007C0BE6"/>
    <w:rsid w:val="007C1799"/>
    <w:rsid w:val="007C17CC"/>
    <w:rsid w:val="007C35B6"/>
    <w:rsid w:val="007C652E"/>
    <w:rsid w:val="007E38E7"/>
    <w:rsid w:val="007E469D"/>
    <w:rsid w:val="007E4F07"/>
    <w:rsid w:val="007E514E"/>
    <w:rsid w:val="007E5537"/>
    <w:rsid w:val="007F11E2"/>
    <w:rsid w:val="007F20A3"/>
    <w:rsid w:val="007F2BC5"/>
    <w:rsid w:val="007F2DF5"/>
    <w:rsid w:val="007F3D63"/>
    <w:rsid w:val="0080089E"/>
    <w:rsid w:val="0080283D"/>
    <w:rsid w:val="00804CE9"/>
    <w:rsid w:val="0081319B"/>
    <w:rsid w:val="00814C50"/>
    <w:rsid w:val="00816BCC"/>
    <w:rsid w:val="00821221"/>
    <w:rsid w:val="00821A7E"/>
    <w:rsid w:val="008262C5"/>
    <w:rsid w:val="00826364"/>
    <w:rsid w:val="0083015C"/>
    <w:rsid w:val="0083023F"/>
    <w:rsid w:val="00831015"/>
    <w:rsid w:val="00832152"/>
    <w:rsid w:val="008328F5"/>
    <w:rsid w:val="00833203"/>
    <w:rsid w:val="008351EF"/>
    <w:rsid w:val="008360FC"/>
    <w:rsid w:val="008371C5"/>
    <w:rsid w:val="00840743"/>
    <w:rsid w:val="0084246D"/>
    <w:rsid w:val="008456C4"/>
    <w:rsid w:val="00845FA7"/>
    <w:rsid w:val="0084710B"/>
    <w:rsid w:val="00850004"/>
    <w:rsid w:val="008511D8"/>
    <w:rsid w:val="00851ABC"/>
    <w:rsid w:val="00857709"/>
    <w:rsid w:val="008578B4"/>
    <w:rsid w:val="008622CE"/>
    <w:rsid w:val="0086377F"/>
    <w:rsid w:val="008647D7"/>
    <w:rsid w:val="0086495F"/>
    <w:rsid w:val="00866204"/>
    <w:rsid w:val="00867982"/>
    <w:rsid w:val="00867AD8"/>
    <w:rsid w:val="00870F5D"/>
    <w:rsid w:val="00870F8F"/>
    <w:rsid w:val="00871101"/>
    <w:rsid w:val="008732C4"/>
    <w:rsid w:val="0087548B"/>
    <w:rsid w:val="00877A32"/>
    <w:rsid w:val="00881576"/>
    <w:rsid w:val="00884773"/>
    <w:rsid w:val="00885DF1"/>
    <w:rsid w:val="00886187"/>
    <w:rsid w:val="008878B6"/>
    <w:rsid w:val="008900F5"/>
    <w:rsid w:val="00893291"/>
    <w:rsid w:val="00894789"/>
    <w:rsid w:val="00894D0D"/>
    <w:rsid w:val="00897034"/>
    <w:rsid w:val="008A3F6A"/>
    <w:rsid w:val="008A63CE"/>
    <w:rsid w:val="008B4056"/>
    <w:rsid w:val="008B559B"/>
    <w:rsid w:val="008B5716"/>
    <w:rsid w:val="008B68AE"/>
    <w:rsid w:val="008B73AE"/>
    <w:rsid w:val="008C18F4"/>
    <w:rsid w:val="008C2C38"/>
    <w:rsid w:val="008C54B1"/>
    <w:rsid w:val="008D0901"/>
    <w:rsid w:val="008D0DF9"/>
    <w:rsid w:val="008D1056"/>
    <w:rsid w:val="008D2153"/>
    <w:rsid w:val="008D460D"/>
    <w:rsid w:val="008D6837"/>
    <w:rsid w:val="008D766C"/>
    <w:rsid w:val="008E0ED8"/>
    <w:rsid w:val="008E39C8"/>
    <w:rsid w:val="008E63CD"/>
    <w:rsid w:val="008E70F3"/>
    <w:rsid w:val="008E798A"/>
    <w:rsid w:val="008F0DBD"/>
    <w:rsid w:val="008F10F3"/>
    <w:rsid w:val="008F13D7"/>
    <w:rsid w:val="008F20C0"/>
    <w:rsid w:val="008F272F"/>
    <w:rsid w:val="008F2C76"/>
    <w:rsid w:val="008F31D4"/>
    <w:rsid w:val="008F3689"/>
    <w:rsid w:val="008F456F"/>
    <w:rsid w:val="008F6359"/>
    <w:rsid w:val="008F72F4"/>
    <w:rsid w:val="008F7E36"/>
    <w:rsid w:val="00902C57"/>
    <w:rsid w:val="00903D09"/>
    <w:rsid w:val="00906689"/>
    <w:rsid w:val="00910236"/>
    <w:rsid w:val="009110E4"/>
    <w:rsid w:val="00913C88"/>
    <w:rsid w:val="0091720A"/>
    <w:rsid w:val="0092092A"/>
    <w:rsid w:val="009231CE"/>
    <w:rsid w:val="00925218"/>
    <w:rsid w:val="00925E41"/>
    <w:rsid w:val="0092751A"/>
    <w:rsid w:val="00927D4D"/>
    <w:rsid w:val="00931293"/>
    <w:rsid w:val="009319E6"/>
    <w:rsid w:val="00934598"/>
    <w:rsid w:val="00935C81"/>
    <w:rsid w:val="00935ED0"/>
    <w:rsid w:val="009368CB"/>
    <w:rsid w:val="00937113"/>
    <w:rsid w:val="009374BB"/>
    <w:rsid w:val="0094152E"/>
    <w:rsid w:val="00941FB2"/>
    <w:rsid w:val="00942FFA"/>
    <w:rsid w:val="00943E33"/>
    <w:rsid w:val="009442DC"/>
    <w:rsid w:val="00946336"/>
    <w:rsid w:val="00947031"/>
    <w:rsid w:val="00950BD7"/>
    <w:rsid w:val="00951EA1"/>
    <w:rsid w:val="0095378C"/>
    <w:rsid w:val="009553B9"/>
    <w:rsid w:val="00955D01"/>
    <w:rsid w:val="00956093"/>
    <w:rsid w:val="00960DF4"/>
    <w:rsid w:val="009644A2"/>
    <w:rsid w:val="00965DB6"/>
    <w:rsid w:val="0096672B"/>
    <w:rsid w:val="0097144B"/>
    <w:rsid w:val="00975B1B"/>
    <w:rsid w:val="00976046"/>
    <w:rsid w:val="009775CB"/>
    <w:rsid w:val="00977B29"/>
    <w:rsid w:val="009814E4"/>
    <w:rsid w:val="00984561"/>
    <w:rsid w:val="00990AF7"/>
    <w:rsid w:val="0099184A"/>
    <w:rsid w:val="00992545"/>
    <w:rsid w:val="00995974"/>
    <w:rsid w:val="00997E6D"/>
    <w:rsid w:val="009A09B8"/>
    <w:rsid w:val="009A3071"/>
    <w:rsid w:val="009A41AA"/>
    <w:rsid w:val="009B30DD"/>
    <w:rsid w:val="009C185C"/>
    <w:rsid w:val="009C3DDB"/>
    <w:rsid w:val="009C5545"/>
    <w:rsid w:val="009C594D"/>
    <w:rsid w:val="009D10D4"/>
    <w:rsid w:val="009D13B2"/>
    <w:rsid w:val="009D1525"/>
    <w:rsid w:val="009D1565"/>
    <w:rsid w:val="009D17AE"/>
    <w:rsid w:val="009D4309"/>
    <w:rsid w:val="009D4F5D"/>
    <w:rsid w:val="009D6211"/>
    <w:rsid w:val="009D62A5"/>
    <w:rsid w:val="009E3240"/>
    <w:rsid w:val="009E5D80"/>
    <w:rsid w:val="009E5E65"/>
    <w:rsid w:val="009F154B"/>
    <w:rsid w:val="009F35B3"/>
    <w:rsid w:val="009F3BCD"/>
    <w:rsid w:val="009F52A5"/>
    <w:rsid w:val="009F78C8"/>
    <w:rsid w:val="00A0179C"/>
    <w:rsid w:val="00A01C32"/>
    <w:rsid w:val="00A0230A"/>
    <w:rsid w:val="00A029A7"/>
    <w:rsid w:val="00A03354"/>
    <w:rsid w:val="00A05FE3"/>
    <w:rsid w:val="00A0752A"/>
    <w:rsid w:val="00A07D63"/>
    <w:rsid w:val="00A117D5"/>
    <w:rsid w:val="00A1266C"/>
    <w:rsid w:val="00A13339"/>
    <w:rsid w:val="00A13C8C"/>
    <w:rsid w:val="00A14175"/>
    <w:rsid w:val="00A22B9C"/>
    <w:rsid w:val="00A2409F"/>
    <w:rsid w:val="00A2501F"/>
    <w:rsid w:val="00A2615E"/>
    <w:rsid w:val="00A31AF6"/>
    <w:rsid w:val="00A357B6"/>
    <w:rsid w:val="00A3598B"/>
    <w:rsid w:val="00A35A9C"/>
    <w:rsid w:val="00A37FC4"/>
    <w:rsid w:val="00A40A38"/>
    <w:rsid w:val="00A45CFD"/>
    <w:rsid w:val="00A54799"/>
    <w:rsid w:val="00A62D12"/>
    <w:rsid w:val="00A62EAE"/>
    <w:rsid w:val="00A658E4"/>
    <w:rsid w:val="00A702FE"/>
    <w:rsid w:val="00A714F8"/>
    <w:rsid w:val="00A72E65"/>
    <w:rsid w:val="00A7640B"/>
    <w:rsid w:val="00A76598"/>
    <w:rsid w:val="00A774D4"/>
    <w:rsid w:val="00A77E74"/>
    <w:rsid w:val="00A83C6C"/>
    <w:rsid w:val="00A845D3"/>
    <w:rsid w:val="00A86378"/>
    <w:rsid w:val="00A8672A"/>
    <w:rsid w:val="00A90D88"/>
    <w:rsid w:val="00A910E0"/>
    <w:rsid w:val="00A91DD9"/>
    <w:rsid w:val="00A92097"/>
    <w:rsid w:val="00A950F3"/>
    <w:rsid w:val="00AA11C0"/>
    <w:rsid w:val="00AA1700"/>
    <w:rsid w:val="00AA2C78"/>
    <w:rsid w:val="00AA7973"/>
    <w:rsid w:val="00AB073E"/>
    <w:rsid w:val="00AB49CC"/>
    <w:rsid w:val="00AB5A57"/>
    <w:rsid w:val="00AC2FD7"/>
    <w:rsid w:val="00AC3513"/>
    <w:rsid w:val="00AC4EA2"/>
    <w:rsid w:val="00AD2AA7"/>
    <w:rsid w:val="00AE1DD2"/>
    <w:rsid w:val="00AE4D22"/>
    <w:rsid w:val="00AE58FD"/>
    <w:rsid w:val="00AF1259"/>
    <w:rsid w:val="00AF1693"/>
    <w:rsid w:val="00AF2618"/>
    <w:rsid w:val="00AF47B1"/>
    <w:rsid w:val="00AF4BE2"/>
    <w:rsid w:val="00AF512A"/>
    <w:rsid w:val="00AF52FE"/>
    <w:rsid w:val="00AF71B4"/>
    <w:rsid w:val="00B016F1"/>
    <w:rsid w:val="00B01BAD"/>
    <w:rsid w:val="00B023B4"/>
    <w:rsid w:val="00B0455B"/>
    <w:rsid w:val="00B062ED"/>
    <w:rsid w:val="00B068BD"/>
    <w:rsid w:val="00B06FB0"/>
    <w:rsid w:val="00B10118"/>
    <w:rsid w:val="00B1081D"/>
    <w:rsid w:val="00B12A49"/>
    <w:rsid w:val="00B1411B"/>
    <w:rsid w:val="00B213EE"/>
    <w:rsid w:val="00B216A0"/>
    <w:rsid w:val="00B21C1B"/>
    <w:rsid w:val="00B23DE8"/>
    <w:rsid w:val="00B24662"/>
    <w:rsid w:val="00B2516B"/>
    <w:rsid w:val="00B25842"/>
    <w:rsid w:val="00B27591"/>
    <w:rsid w:val="00B27B93"/>
    <w:rsid w:val="00B30C89"/>
    <w:rsid w:val="00B31534"/>
    <w:rsid w:val="00B3204C"/>
    <w:rsid w:val="00B3212A"/>
    <w:rsid w:val="00B33743"/>
    <w:rsid w:val="00B33926"/>
    <w:rsid w:val="00B36670"/>
    <w:rsid w:val="00B435B6"/>
    <w:rsid w:val="00B4372F"/>
    <w:rsid w:val="00B45742"/>
    <w:rsid w:val="00B51F68"/>
    <w:rsid w:val="00B56C23"/>
    <w:rsid w:val="00B574F9"/>
    <w:rsid w:val="00B60311"/>
    <w:rsid w:val="00B60BDF"/>
    <w:rsid w:val="00B61484"/>
    <w:rsid w:val="00B64DE6"/>
    <w:rsid w:val="00B65FA3"/>
    <w:rsid w:val="00B70C20"/>
    <w:rsid w:val="00B72C80"/>
    <w:rsid w:val="00B73E73"/>
    <w:rsid w:val="00B747C8"/>
    <w:rsid w:val="00B752C7"/>
    <w:rsid w:val="00B76660"/>
    <w:rsid w:val="00B7685B"/>
    <w:rsid w:val="00B80EDD"/>
    <w:rsid w:val="00B82EB2"/>
    <w:rsid w:val="00B84D47"/>
    <w:rsid w:val="00B903C5"/>
    <w:rsid w:val="00B9463C"/>
    <w:rsid w:val="00B965E8"/>
    <w:rsid w:val="00B9698B"/>
    <w:rsid w:val="00BA3C9D"/>
    <w:rsid w:val="00BA5009"/>
    <w:rsid w:val="00BA51E9"/>
    <w:rsid w:val="00BA6084"/>
    <w:rsid w:val="00BA6E1E"/>
    <w:rsid w:val="00BB0584"/>
    <w:rsid w:val="00BB6321"/>
    <w:rsid w:val="00BC0DBE"/>
    <w:rsid w:val="00BC3956"/>
    <w:rsid w:val="00BC46A2"/>
    <w:rsid w:val="00BD0865"/>
    <w:rsid w:val="00BD08B2"/>
    <w:rsid w:val="00BD151C"/>
    <w:rsid w:val="00BD3541"/>
    <w:rsid w:val="00BD427B"/>
    <w:rsid w:val="00BD5F59"/>
    <w:rsid w:val="00BD6BF1"/>
    <w:rsid w:val="00BE1509"/>
    <w:rsid w:val="00BE1FD7"/>
    <w:rsid w:val="00BE497F"/>
    <w:rsid w:val="00BE5B42"/>
    <w:rsid w:val="00BE5E9F"/>
    <w:rsid w:val="00BF2B9A"/>
    <w:rsid w:val="00BF3304"/>
    <w:rsid w:val="00BF3E2C"/>
    <w:rsid w:val="00BF3F3A"/>
    <w:rsid w:val="00BF51D3"/>
    <w:rsid w:val="00BF5902"/>
    <w:rsid w:val="00C01C0C"/>
    <w:rsid w:val="00C01F28"/>
    <w:rsid w:val="00C107CD"/>
    <w:rsid w:val="00C12BEE"/>
    <w:rsid w:val="00C137E2"/>
    <w:rsid w:val="00C21C6B"/>
    <w:rsid w:val="00C226D2"/>
    <w:rsid w:val="00C25001"/>
    <w:rsid w:val="00C26839"/>
    <w:rsid w:val="00C2713B"/>
    <w:rsid w:val="00C27AF7"/>
    <w:rsid w:val="00C32E50"/>
    <w:rsid w:val="00C34A58"/>
    <w:rsid w:val="00C36052"/>
    <w:rsid w:val="00C37DFA"/>
    <w:rsid w:val="00C40CA0"/>
    <w:rsid w:val="00C41B39"/>
    <w:rsid w:val="00C47844"/>
    <w:rsid w:val="00C52427"/>
    <w:rsid w:val="00C5276A"/>
    <w:rsid w:val="00C5356A"/>
    <w:rsid w:val="00C55283"/>
    <w:rsid w:val="00C6080F"/>
    <w:rsid w:val="00C63D98"/>
    <w:rsid w:val="00C65F44"/>
    <w:rsid w:val="00C668C7"/>
    <w:rsid w:val="00C67F12"/>
    <w:rsid w:val="00C703F9"/>
    <w:rsid w:val="00C7163D"/>
    <w:rsid w:val="00C7344B"/>
    <w:rsid w:val="00C736AF"/>
    <w:rsid w:val="00C73D1B"/>
    <w:rsid w:val="00C770BC"/>
    <w:rsid w:val="00C77769"/>
    <w:rsid w:val="00C77950"/>
    <w:rsid w:val="00C81B18"/>
    <w:rsid w:val="00C823F9"/>
    <w:rsid w:val="00C824FB"/>
    <w:rsid w:val="00C83EFC"/>
    <w:rsid w:val="00C86293"/>
    <w:rsid w:val="00C86FDB"/>
    <w:rsid w:val="00C870BC"/>
    <w:rsid w:val="00C87C96"/>
    <w:rsid w:val="00C92046"/>
    <w:rsid w:val="00C9308C"/>
    <w:rsid w:val="00C9753A"/>
    <w:rsid w:val="00CA0A41"/>
    <w:rsid w:val="00CA235B"/>
    <w:rsid w:val="00CA2509"/>
    <w:rsid w:val="00CA3D50"/>
    <w:rsid w:val="00CA7548"/>
    <w:rsid w:val="00CA7B4D"/>
    <w:rsid w:val="00CA7CC2"/>
    <w:rsid w:val="00CB348C"/>
    <w:rsid w:val="00CB43FC"/>
    <w:rsid w:val="00CB53BA"/>
    <w:rsid w:val="00CB5C8E"/>
    <w:rsid w:val="00CB6E16"/>
    <w:rsid w:val="00CB7FD6"/>
    <w:rsid w:val="00CC5C3E"/>
    <w:rsid w:val="00CC6692"/>
    <w:rsid w:val="00CC69BF"/>
    <w:rsid w:val="00CC6F97"/>
    <w:rsid w:val="00CC746A"/>
    <w:rsid w:val="00CD0493"/>
    <w:rsid w:val="00CD1D7F"/>
    <w:rsid w:val="00CD310D"/>
    <w:rsid w:val="00CD5A64"/>
    <w:rsid w:val="00CD5D51"/>
    <w:rsid w:val="00CE019E"/>
    <w:rsid w:val="00CE0B95"/>
    <w:rsid w:val="00CE144E"/>
    <w:rsid w:val="00CE16BD"/>
    <w:rsid w:val="00CE2088"/>
    <w:rsid w:val="00CE2B78"/>
    <w:rsid w:val="00CE4064"/>
    <w:rsid w:val="00CE605C"/>
    <w:rsid w:val="00CF2048"/>
    <w:rsid w:val="00CF2C2B"/>
    <w:rsid w:val="00CF54B2"/>
    <w:rsid w:val="00D0263B"/>
    <w:rsid w:val="00D029A7"/>
    <w:rsid w:val="00D02EC1"/>
    <w:rsid w:val="00D038A7"/>
    <w:rsid w:val="00D05507"/>
    <w:rsid w:val="00D05DB1"/>
    <w:rsid w:val="00D07E7E"/>
    <w:rsid w:val="00D13DCF"/>
    <w:rsid w:val="00D14BF3"/>
    <w:rsid w:val="00D15B14"/>
    <w:rsid w:val="00D16C48"/>
    <w:rsid w:val="00D17E5B"/>
    <w:rsid w:val="00D214AB"/>
    <w:rsid w:val="00D223A9"/>
    <w:rsid w:val="00D242B3"/>
    <w:rsid w:val="00D26358"/>
    <w:rsid w:val="00D27C21"/>
    <w:rsid w:val="00D30311"/>
    <w:rsid w:val="00D32BFE"/>
    <w:rsid w:val="00D33E7F"/>
    <w:rsid w:val="00D3422C"/>
    <w:rsid w:val="00D36856"/>
    <w:rsid w:val="00D4125A"/>
    <w:rsid w:val="00D41E11"/>
    <w:rsid w:val="00D44A1D"/>
    <w:rsid w:val="00D45DCE"/>
    <w:rsid w:val="00D47DB8"/>
    <w:rsid w:val="00D55E45"/>
    <w:rsid w:val="00D572D8"/>
    <w:rsid w:val="00D634F3"/>
    <w:rsid w:val="00D64EA8"/>
    <w:rsid w:val="00D66597"/>
    <w:rsid w:val="00D66D8B"/>
    <w:rsid w:val="00D70EFC"/>
    <w:rsid w:val="00D7132B"/>
    <w:rsid w:val="00D7362D"/>
    <w:rsid w:val="00D7377F"/>
    <w:rsid w:val="00D760B4"/>
    <w:rsid w:val="00D77125"/>
    <w:rsid w:val="00D81761"/>
    <w:rsid w:val="00D81D2F"/>
    <w:rsid w:val="00D865F1"/>
    <w:rsid w:val="00D86710"/>
    <w:rsid w:val="00D87EE3"/>
    <w:rsid w:val="00D913A3"/>
    <w:rsid w:val="00D94271"/>
    <w:rsid w:val="00D97C7F"/>
    <w:rsid w:val="00D97CEA"/>
    <w:rsid w:val="00DA039A"/>
    <w:rsid w:val="00DA38DF"/>
    <w:rsid w:val="00DA60BA"/>
    <w:rsid w:val="00DA6C8D"/>
    <w:rsid w:val="00DA6FC0"/>
    <w:rsid w:val="00DA755C"/>
    <w:rsid w:val="00DA78FD"/>
    <w:rsid w:val="00DB086C"/>
    <w:rsid w:val="00DB25FC"/>
    <w:rsid w:val="00DB4D2D"/>
    <w:rsid w:val="00DB7242"/>
    <w:rsid w:val="00DC0A01"/>
    <w:rsid w:val="00DC111E"/>
    <w:rsid w:val="00DC557C"/>
    <w:rsid w:val="00DC616B"/>
    <w:rsid w:val="00DC6D48"/>
    <w:rsid w:val="00DC6E25"/>
    <w:rsid w:val="00DC7191"/>
    <w:rsid w:val="00DD1A33"/>
    <w:rsid w:val="00DD46C6"/>
    <w:rsid w:val="00DD5D31"/>
    <w:rsid w:val="00DD7177"/>
    <w:rsid w:val="00DD7289"/>
    <w:rsid w:val="00DD7533"/>
    <w:rsid w:val="00DE15E8"/>
    <w:rsid w:val="00DE4F43"/>
    <w:rsid w:val="00DE5E79"/>
    <w:rsid w:val="00DF0082"/>
    <w:rsid w:val="00DF11FA"/>
    <w:rsid w:val="00DF44A3"/>
    <w:rsid w:val="00DF6768"/>
    <w:rsid w:val="00DF6962"/>
    <w:rsid w:val="00E03FD2"/>
    <w:rsid w:val="00E05D4B"/>
    <w:rsid w:val="00E11BC4"/>
    <w:rsid w:val="00E11C49"/>
    <w:rsid w:val="00E12EC1"/>
    <w:rsid w:val="00E13D5B"/>
    <w:rsid w:val="00E15E0E"/>
    <w:rsid w:val="00E16850"/>
    <w:rsid w:val="00E16E5E"/>
    <w:rsid w:val="00E204D7"/>
    <w:rsid w:val="00E21C62"/>
    <w:rsid w:val="00E224B7"/>
    <w:rsid w:val="00E23A8E"/>
    <w:rsid w:val="00E3021A"/>
    <w:rsid w:val="00E317DC"/>
    <w:rsid w:val="00E329A8"/>
    <w:rsid w:val="00E33867"/>
    <w:rsid w:val="00E34110"/>
    <w:rsid w:val="00E35B7E"/>
    <w:rsid w:val="00E3726A"/>
    <w:rsid w:val="00E43055"/>
    <w:rsid w:val="00E43853"/>
    <w:rsid w:val="00E4582F"/>
    <w:rsid w:val="00E4640A"/>
    <w:rsid w:val="00E53CC7"/>
    <w:rsid w:val="00E5581B"/>
    <w:rsid w:val="00E62A1F"/>
    <w:rsid w:val="00E63268"/>
    <w:rsid w:val="00E6764A"/>
    <w:rsid w:val="00E72925"/>
    <w:rsid w:val="00E74E41"/>
    <w:rsid w:val="00E757BB"/>
    <w:rsid w:val="00E75DCD"/>
    <w:rsid w:val="00E76FFE"/>
    <w:rsid w:val="00E80AD1"/>
    <w:rsid w:val="00E8181A"/>
    <w:rsid w:val="00E86927"/>
    <w:rsid w:val="00E8739D"/>
    <w:rsid w:val="00E877ED"/>
    <w:rsid w:val="00E908E1"/>
    <w:rsid w:val="00E91C4F"/>
    <w:rsid w:val="00E93BFC"/>
    <w:rsid w:val="00E9758D"/>
    <w:rsid w:val="00EA1034"/>
    <w:rsid w:val="00EA5E55"/>
    <w:rsid w:val="00EA6623"/>
    <w:rsid w:val="00EB395C"/>
    <w:rsid w:val="00EB6630"/>
    <w:rsid w:val="00EC1FB8"/>
    <w:rsid w:val="00EC7845"/>
    <w:rsid w:val="00ED0B52"/>
    <w:rsid w:val="00ED180D"/>
    <w:rsid w:val="00ED1C13"/>
    <w:rsid w:val="00ED2053"/>
    <w:rsid w:val="00ED2450"/>
    <w:rsid w:val="00ED4BD1"/>
    <w:rsid w:val="00EE4559"/>
    <w:rsid w:val="00EE5C48"/>
    <w:rsid w:val="00EF1ECC"/>
    <w:rsid w:val="00EF37F4"/>
    <w:rsid w:val="00EF5C3E"/>
    <w:rsid w:val="00EF7393"/>
    <w:rsid w:val="00EF74CC"/>
    <w:rsid w:val="00F01780"/>
    <w:rsid w:val="00F04C13"/>
    <w:rsid w:val="00F11294"/>
    <w:rsid w:val="00F1234C"/>
    <w:rsid w:val="00F148E9"/>
    <w:rsid w:val="00F15E63"/>
    <w:rsid w:val="00F1638F"/>
    <w:rsid w:val="00F179A8"/>
    <w:rsid w:val="00F20475"/>
    <w:rsid w:val="00F22968"/>
    <w:rsid w:val="00F23D42"/>
    <w:rsid w:val="00F245DC"/>
    <w:rsid w:val="00F25341"/>
    <w:rsid w:val="00F26C88"/>
    <w:rsid w:val="00F34245"/>
    <w:rsid w:val="00F34790"/>
    <w:rsid w:val="00F35F1E"/>
    <w:rsid w:val="00F42E58"/>
    <w:rsid w:val="00F42F73"/>
    <w:rsid w:val="00F45FF6"/>
    <w:rsid w:val="00F5097C"/>
    <w:rsid w:val="00F54E66"/>
    <w:rsid w:val="00F60C2E"/>
    <w:rsid w:val="00F60F92"/>
    <w:rsid w:val="00F7099B"/>
    <w:rsid w:val="00F71F11"/>
    <w:rsid w:val="00F72C61"/>
    <w:rsid w:val="00F7366F"/>
    <w:rsid w:val="00F7592B"/>
    <w:rsid w:val="00F779F0"/>
    <w:rsid w:val="00F803AB"/>
    <w:rsid w:val="00F80BFC"/>
    <w:rsid w:val="00F80FE9"/>
    <w:rsid w:val="00F81B24"/>
    <w:rsid w:val="00F81B5B"/>
    <w:rsid w:val="00F8330A"/>
    <w:rsid w:val="00F84277"/>
    <w:rsid w:val="00F85040"/>
    <w:rsid w:val="00F8748E"/>
    <w:rsid w:val="00F87BDD"/>
    <w:rsid w:val="00F910AC"/>
    <w:rsid w:val="00F927A9"/>
    <w:rsid w:val="00F95A88"/>
    <w:rsid w:val="00FA0699"/>
    <w:rsid w:val="00FA07FB"/>
    <w:rsid w:val="00FA2967"/>
    <w:rsid w:val="00FA5377"/>
    <w:rsid w:val="00FA6A3E"/>
    <w:rsid w:val="00FA6F9C"/>
    <w:rsid w:val="00FA73FA"/>
    <w:rsid w:val="00FB1D7A"/>
    <w:rsid w:val="00FB321F"/>
    <w:rsid w:val="00FB3D88"/>
    <w:rsid w:val="00FB4C7B"/>
    <w:rsid w:val="00FB5BAD"/>
    <w:rsid w:val="00FB6EFF"/>
    <w:rsid w:val="00FB76D4"/>
    <w:rsid w:val="00FC28A0"/>
    <w:rsid w:val="00FC2ABE"/>
    <w:rsid w:val="00FC496F"/>
    <w:rsid w:val="00FD0FEC"/>
    <w:rsid w:val="00FD2C0B"/>
    <w:rsid w:val="00FD3E31"/>
    <w:rsid w:val="00FD66CA"/>
    <w:rsid w:val="00FD72F7"/>
    <w:rsid w:val="00FE0F6D"/>
    <w:rsid w:val="00FE5AC6"/>
    <w:rsid w:val="00FE6A59"/>
    <w:rsid w:val="00FE70B3"/>
    <w:rsid w:val="00FF6285"/>
    <w:rsid w:val="017627F5"/>
    <w:rsid w:val="01E91803"/>
    <w:rsid w:val="021B4775"/>
    <w:rsid w:val="02CB2FF3"/>
    <w:rsid w:val="02CC2854"/>
    <w:rsid w:val="04D75775"/>
    <w:rsid w:val="05432AF3"/>
    <w:rsid w:val="05A378DC"/>
    <w:rsid w:val="05EE37CA"/>
    <w:rsid w:val="05F8056E"/>
    <w:rsid w:val="06095F67"/>
    <w:rsid w:val="0630359F"/>
    <w:rsid w:val="06656A43"/>
    <w:rsid w:val="068538E7"/>
    <w:rsid w:val="079371E2"/>
    <w:rsid w:val="079529EA"/>
    <w:rsid w:val="07B6226E"/>
    <w:rsid w:val="07D25D44"/>
    <w:rsid w:val="07F85F87"/>
    <w:rsid w:val="08152AB4"/>
    <w:rsid w:val="086F767F"/>
    <w:rsid w:val="08E65F64"/>
    <w:rsid w:val="090D68F0"/>
    <w:rsid w:val="094D0844"/>
    <w:rsid w:val="094D6EB4"/>
    <w:rsid w:val="09644FB6"/>
    <w:rsid w:val="09694236"/>
    <w:rsid w:val="0A8136B5"/>
    <w:rsid w:val="0AFF252A"/>
    <w:rsid w:val="0B326B67"/>
    <w:rsid w:val="0B444B5E"/>
    <w:rsid w:val="0BDD43F8"/>
    <w:rsid w:val="0BF758AC"/>
    <w:rsid w:val="0C184A5B"/>
    <w:rsid w:val="0C9C1B36"/>
    <w:rsid w:val="0CC75F04"/>
    <w:rsid w:val="0D982BF8"/>
    <w:rsid w:val="0DCD24E9"/>
    <w:rsid w:val="0DF91270"/>
    <w:rsid w:val="0E02157F"/>
    <w:rsid w:val="0E703304"/>
    <w:rsid w:val="0F0B0239"/>
    <w:rsid w:val="0FF92BB3"/>
    <w:rsid w:val="102233B2"/>
    <w:rsid w:val="106723D9"/>
    <w:rsid w:val="1098102D"/>
    <w:rsid w:val="10C2522D"/>
    <w:rsid w:val="11110E4D"/>
    <w:rsid w:val="114C6E48"/>
    <w:rsid w:val="116D6157"/>
    <w:rsid w:val="11D13CF1"/>
    <w:rsid w:val="11D22471"/>
    <w:rsid w:val="120C000B"/>
    <w:rsid w:val="12302E3B"/>
    <w:rsid w:val="123E67C5"/>
    <w:rsid w:val="130B6D71"/>
    <w:rsid w:val="132378FF"/>
    <w:rsid w:val="13321927"/>
    <w:rsid w:val="141919E8"/>
    <w:rsid w:val="142B4BE7"/>
    <w:rsid w:val="1481765E"/>
    <w:rsid w:val="15972B4D"/>
    <w:rsid w:val="15E05AE2"/>
    <w:rsid w:val="15F06348"/>
    <w:rsid w:val="161D72F6"/>
    <w:rsid w:val="162C6282"/>
    <w:rsid w:val="166748A3"/>
    <w:rsid w:val="167B3EC0"/>
    <w:rsid w:val="16E32E0E"/>
    <w:rsid w:val="173A7E69"/>
    <w:rsid w:val="175C20A3"/>
    <w:rsid w:val="17B74A0D"/>
    <w:rsid w:val="17E3796A"/>
    <w:rsid w:val="18202AE6"/>
    <w:rsid w:val="182C491C"/>
    <w:rsid w:val="18585742"/>
    <w:rsid w:val="18D6745B"/>
    <w:rsid w:val="19290CCC"/>
    <w:rsid w:val="193F2CD2"/>
    <w:rsid w:val="199B7C91"/>
    <w:rsid w:val="1A1E33AF"/>
    <w:rsid w:val="1A72190D"/>
    <w:rsid w:val="1ABB5C11"/>
    <w:rsid w:val="1AE97F9E"/>
    <w:rsid w:val="1BE64FA6"/>
    <w:rsid w:val="1C3F1598"/>
    <w:rsid w:val="1C9C20E7"/>
    <w:rsid w:val="1D1E1D9B"/>
    <w:rsid w:val="1D511AC6"/>
    <w:rsid w:val="1D734C32"/>
    <w:rsid w:val="1D8D1E35"/>
    <w:rsid w:val="1DDE30A8"/>
    <w:rsid w:val="1ED13E8F"/>
    <w:rsid w:val="1F226A52"/>
    <w:rsid w:val="200C62E7"/>
    <w:rsid w:val="20FD2722"/>
    <w:rsid w:val="214565CA"/>
    <w:rsid w:val="21B914AA"/>
    <w:rsid w:val="21D73B40"/>
    <w:rsid w:val="21E95CDA"/>
    <w:rsid w:val="22814BE2"/>
    <w:rsid w:val="229D46C6"/>
    <w:rsid w:val="22D70C55"/>
    <w:rsid w:val="22EA318E"/>
    <w:rsid w:val="262A1794"/>
    <w:rsid w:val="262E2B6B"/>
    <w:rsid w:val="26F30E8A"/>
    <w:rsid w:val="270A3A71"/>
    <w:rsid w:val="271C44C7"/>
    <w:rsid w:val="27474C2F"/>
    <w:rsid w:val="27CC207F"/>
    <w:rsid w:val="28630D99"/>
    <w:rsid w:val="287D7FFC"/>
    <w:rsid w:val="28BC4935"/>
    <w:rsid w:val="28E51389"/>
    <w:rsid w:val="29587F6A"/>
    <w:rsid w:val="29E52301"/>
    <w:rsid w:val="29F10A5C"/>
    <w:rsid w:val="2A15792C"/>
    <w:rsid w:val="2A2507ED"/>
    <w:rsid w:val="2C090E0D"/>
    <w:rsid w:val="2C29155B"/>
    <w:rsid w:val="2C501BBE"/>
    <w:rsid w:val="2C5320E5"/>
    <w:rsid w:val="2CC62489"/>
    <w:rsid w:val="2CD94BBC"/>
    <w:rsid w:val="2CF843E3"/>
    <w:rsid w:val="2D60377E"/>
    <w:rsid w:val="2DC1340A"/>
    <w:rsid w:val="2DD07FDD"/>
    <w:rsid w:val="2E0D278E"/>
    <w:rsid w:val="2E4568DF"/>
    <w:rsid w:val="2E6604E1"/>
    <w:rsid w:val="2E6B7733"/>
    <w:rsid w:val="2EDB3695"/>
    <w:rsid w:val="2EF8205D"/>
    <w:rsid w:val="2F0149F7"/>
    <w:rsid w:val="2F036F4B"/>
    <w:rsid w:val="2FC00754"/>
    <w:rsid w:val="300559AE"/>
    <w:rsid w:val="30323445"/>
    <w:rsid w:val="30330FA6"/>
    <w:rsid w:val="312E399F"/>
    <w:rsid w:val="32133A3C"/>
    <w:rsid w:val="326A07E5"/>
    <w:rsid w:val="328156FE"/>
    <w:rsid w:val="32843C82"/>
    <w:rsid w:val="32F46C4F"/>
    <w:rsid w:val="32FE1D3C"/>
    <w:rsid w:val="340116DE"/>
    <w:rsid w:val="357A1649"/>
    <w:rsid w:val="357F17ED"/>
    <w:rsid w:val="358534DA"/>
    <w:rsid w:val="35AE387E"/>
    <w:rsid w:val="363325E3"/>
    <w:rsid w:val="367C0F25"/>
    <w:rsid w:val="36F0033B"/>
    <w:rsid w:val="371F1C14"/>
    <w:rsid w:val="373E4183"/>
    <w:rsid w:val="376D53EF"/>
    <w:rsid w:val="37C43B7C"/>
    <w:rsid w:val="37E01AD1"/>
    <w:rsid w:val="38EA2475"/>
    <w:rsid w:val="39FD2943"/>
    <w:rsid w:val="3A24508D"/>
    <w:rsid w:val="3A2D6B32"/>
    <w:rsid w:val="3A872803"/>
    <w:rsid w:val="3AD9108C"/>
    <w:rsid w:val="3B095BDB"/>
    <w:rsid w:val="3B104F99"/>
    <w:rsid w:val="3B445022"/>
    <w:rsid w:val="3B445100"/>
    <w:rsid w:val="3B727FAF"/>
    <w:rsid w:val="3BBA430D"/>
    <w:rsid w:val="3BC50488"/>
    <w:rsid w:val="3C6F49AC"/>
    <w:rsid w:val="3D752C8C"/>
    <w:rsid w:val="3DF7AF1B"/>
    <w:rsid w:val="3E3F2D5B"/>
    <w:rsid w:val="3E8A640F"/>
    <w:rsid w:val="3F2648C7"/>
    <w:rsid w:val="3F452D7C"/>
    <w:rsid w:val="3FBE4529"/>
    <w:rsid w:val="3FD7593A"/>
    <w:rsid w:val="3FF017FE"/>
    <w:rsid w:val="403C680B"/>
    <w:rsid w:val="411312EB"/>
    <w:rsid w:val="41934D24"/>
    <w:rsid w:val="41A03AAC"/>
    <w:rsid w:val="421534A8"/>
    <w:rsid w:val="42222A4F"/>
    <w:rsid w:val="4262573A"/>
    <w:rsid w:val="426D44B4"/>
    <w:rsid w:val="42841EB6"/>
    <w:rsid w:val="42AE7CC1"/>
    <w:rsid w:val="42FD0010"/>
    <w:rsid w:val="43773073"/>
    <w:rsid w:val="43833760"/>
    <w:rsid w:val="43A0729F"/>
    <w:rsid w:val="43BB63F8"/>
    <w:rsid w:val="443E69A2"/>
    <w:rsid w:val="445A1232"/>
    <w:rsid w:val="446D32FF"/>
    <w:rsid w:val="45263E38"/>
    <w:rsid w:val="45665319"/>
    <w:rsid w:val="45737619"/>
    <w:rsid w:val="459C541C"/>
    <w:rsid w:val="46267619"/>
    <w:rsid w:val="464243B1"/>
    <w:rsid w:val="4660382D"/>
    <w:rsid w:val="46F979D9"/>
    <w:rsid w:val="474C1CBA"/>
    <w:rsid w:val="47C34E30"/>
    <w:rsid w:val="47D3531C"/>
    <w:rsid w:val="48310A16"/>
    <w:rsid w:val="48431F0F"/>
    <w:rsid w:val="48CF06EA"/>
    <w:rsid w:val="495939F8"/>
    <w:rsid w:val="4AF07F13"/>
    <w:rsid w:val="4B5643AD"/>
    <w:rsid w:val="4C404A6C"/>
    <w:rsid w:val="4D2F4D66"/>
    <w:rsid w:val="4E4C2177"/>
    <w:rsid w:val="4EE30003"/>
    <w:rsid w:val="4EE379BF"/>
    <w:rsid w:val="4EE8412D"/>
    <w:rsid w:val="4FD812BA"/>
    <w:rsid w:val="4FE37FA6"/>
    <w:rsid w:val="50273AB6"/>
    <w:rsid w:val="50320423"/>
    <w:rsid w:val="50413365"/>
    <w:rsid w:val="5097331B"/>
    <w:rsid w:val="50CD4A90"/>
    <w:rsid w:val="50CE6CC1"/>
    <w:rsid w:val="522179E6"/>
    <w:rsid w:val="523C4975"/>
    <w:rsid w:val="52723FF8"/>
    <w:rsid w:val="52842750"/>
    <w:rsid w:val="52D1255F"/>
    <w:rsid w:val="52E22BA2"/>
    <w:rsid w:val="52F658D9"/>
    <w:rsid w:val="538C2F06"/>
    <w:rsid w:val="546A1C15"/>
    <w:rsid w:val="548F7EF5"/>
    <w:rsid w:val="557E7959"/>
    <w:rsid w:val="55B23281"/>
    <w:rsid w:val="55EA1DBE"/>
    <w:rsid w:val="56020D35"/>
    <w:rsid w:val="56151DC0"/>
    <w:rsid w:val="563919B7"/>
    <w:rsid w:val="563C2439"/>
    <w:rsid w:val="56A63CEE"/>
    <w:rsid w:val="57545A73"/>
    <w:rsid w:val="57B14E3D"/>
    <w:rsid w:val="581D0657"/>
    <w:rsid w:val="5895362B"/>
    <w:rsid w:val="58BE4CDF"/>
    <w:rsid w:val="590844AD"/>
    <w:rsid w:val="59412C62"/>
    <w:rsid w:val="595D1B26"/>
    <w:rsid w:val="5A190917"/>
    <w:rsid w:val="5A1A4A1C"/>
    <w:rsid w:val="5A221C9C"/>
    <w:rsid w:val="5A2943FA"/>
    <w:rsid w:val="5A481096"/>
    <w:rsid w:val="5A6A25B0"/>
    <w:rsid w:val="5A741869"/>
    <w:rsid w:val="5AA87B4E"/>
    <w:rsid w:val="5B2729C1"/>
    <w:rsid w:val="5B952E33"/>
    <w:rsid w:val="5C2F6CF4"/>
    <w:rsid w:val="5C3533A3"/>
    <w:rsid w:val="5C671B88"/>
    <w:rsid w:val="5CA8565C"/>
    <w:rsid w:val="5D1B0715"/>
    <w:rsid w:val="5DBC328B"/>
    <w:rsid w:val="5DF90414"/>
    <w:rsid w:val="5E0B32DA"/>
    <w:rsid w:val="5E237CC5"/>
    <w:rsid w:val="5E721B44"/>
    <w:rsid w:val="5EAB04DF"/>
    <w:rsid w:val="5EF51E22"/>
    <w:rsid w:val="5F01611A"/>
    <w:rsid w:val="5F594C8A"/>
    <w:rsid w:val="603B0786"/>
    <w:rsid w:val="60D62929"/>
    <w:rsid w:val="60EF1B9B"/>
    <w:rsid w:val="6148563F"/>
    <w:rsid w:val="621255A9"/>
    <w:rsid w:val="62367E67"/>
    <w:rsid w:val="62AA59B3"/>
    <w:rsid w:val="62E91D7F"/>
    <w:rsid w:val="632350A9"/>
    <w:rsid w:val="63DC1FAA"/>
    <w:rsid w:val="6461707A"/>
    <w:rsid w:val="650C6454"/>
    <w:rsid w:val="651170B1"/>
    <w:rsid w:val="65257628"/>
    <w:rsid w:val="655967AD"/>
    <w:rsid w:val="6671433F"/>
    <w:rsid w:val="67130B29"/>
    <w:rsid w:val="673D738F"/>
    <w:rsid w:val="677E7583"/>
    <w:rsid w:val="67B73822"/>
    <w:rsid w:val="68EB306A"/>
    <w:rsid w:val="69010594"/>
    <w:rsid w:val="6921633F"/>
    <w:rsid w:val="69263D82"/>
    <w:rsid w:val="69C331DB"/>
    <w:rsid w:val="69F456E0"/>
    <w:rsid w:val="6A50789F"/>
    <w:rsid w:val="6A73132A"/>
    <w:rsid w:val="6A9B7033"/>
    <w:rsid w:val="6AF444AA"/>
    <w:rsid w:val="6B07002A"/>
    <w:rsid w:val="6BEB695E"/>
    <w:rsid w:val="6C4C203A"/>
    <w:rsid w:val="6C5E00F0"/>
    <w:rsid w:val="6C652698"/>
    <w:rsid w:val="6D813BB1"/>
    <w:rsid w:val="6DB83E97"/>
    <w:rsid w:val="6E374A5F"/>
    <w:rsid w:val="6E511FC3"/>
    <w:rsid w:val="6EC31E26"/>
    <w:rsid w:val="6F162024"/>
    <w:rsid w:val="6F4A216A"/>
    <w:rsid w:val="6F625BB7"/>
    <w:rsid w:val="6F7413A2"/>
    <w:rsid w:val="6FD95E8D"/>
    <w:rsid w:val="6FE207AA"/>
    <w:rsid w:val="704C3590"/>
    <w:rsid w:val="70DC5940"/>
    <w:rsid w:val="70E71822"/>
    <w:rsid w:val="70ED6988"/>
    <w:rsid w:val="70ED7F64"/>
    <w:rsid w:val="71A809F6"/>
    <w:rsid w:val="71C37CE6"/>
    <w:rsid w:val="7285083D"/>
    <w:rsid w:val="728C7CE5"/>
    <w:rsid w:val="73174070"/>
    <w:rsid w:val="73702F16"/>
    <w:rsid w:val="73AE2855"/>
    <w:rsid w:val="73BC1E6C"/>
    <w:rsid w:val="73BC4C70"/>
    <w:rsid w:val="741D2E7E"/>
    <w:rsid w:val="744F4239"/>
    <w:rsid w:val="74500E75"/>
    <w:rsid w:val="74862F88"/>
    <w:rsid w:val="74B24B71"/>
    <w:rsid w:val="750C2476"/>
    <w:rsid w:val="75401FB0"/>
    <w:rsid w:val="757B4573"/>
    <w:rsid w:val="770D7715"/>
    <w:rsid w:val="77CE89F7"/>
    <w:rsid w:val="77F611B5"/>
    <w:rsid w:val="784021D7"/>
    <w:rsid w:val="78720167"/>
    <w:rsid w:val="787466BB"/>
    <w:rsid w:val="78A86678"/>
    <w:rsid w:val="78B67023"/>
    <w:rsid w:val="78EDE552"/>
    <w:rsid w:val="7978284A"/>
    <w:rsid w:val="799F7025"/>
    <w:rsid w:val="79E8640C"/>
    <w:rsid w:val="79FD2BE9"/>
    <w:rsid w:val="7A071041"/>
    <w:rsid w:val="7A3C4870"/>
    <w:rsid w:val="7AC34BCE"/>
    <w:rsid w:val="7AE9708F"/>
    <w:rsid w:val="7BF739F9"/>
    <w:rsid w:val="7C23560C"/>
    <w:rsid w:val="7C270320"/>
    <w:rsid w:val="7C8A22E4"/>
    <w:rsid w:val="7CAF69AB"/>
    <w:rsid w:val="7D3E10BA"/>
    <w:rsid w:val="7D5B4513"/>
    <w:rsid w:val="7DB52E08"/>
    <w:rsid w:val="7DFA1C43"/>
    <w:rsid w:val="7E380949"/>
    <w:rsid w:val="7EFA3869"/>
    <w:rsid w:val="7F2F2AEC"/>
    <w:rsid w:val="7F796BC3"/>
    <w:rsid w:val="7F7DC5F3"/>
    <w:rsid w:val="7F8A505D"/>
    <w:rsid w:val="7FAD3E44"/>
    <w:rsid w:val="7FDE572C"/>
    <w:rsid w:val="7FFE7EDC"/>
    <w:rsid w:val="A12FF471"/>
    <w:rsid w:val="AF3FBC2C"/>
    <w:rsid w:val="DF7FD174"/>
    <w:rsid w:val="E5EB96A5"/>
    <w:rsid w:val="EFCFE63B"/>
    <w:rsid w:val="F1FEA033"/>
    <w:rsid w:val="F5DF2456"/>
    <w:rsid w:val="F5EE8C9D"/>
    <w:rsid w:val="FEE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8"/>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4">
    <w:name w:val="heading 3"/>
    <w:basedOn w:val="1"/>
    <w:next w:val="5"/>
    <w:link w:val="38"/>
    <w:qFormat/>
    <w:uiPriority w:val="0"/>
    <w:pPr>
      <w:keepNext/>
      <w:keepLines/>
      <w:spacing w:before="260" w:after="260" w:line="416" w:lineRule="auto"/>
      <w:outlineLvl w:val="2"/>
    </w:pPr>
    <w:rPr>
      <w:b/>
      <w:bCs/>
      <w:kern w:val="0"/>
      <w:sz w:val="32"/>
      <w:szCs w:val="32"/>
    </w:rPr>
  </w:style>
  <w:style w:type="paragraph" w:styleId="6">
    <w:name w:val="heading 4"/>
    <w:basedOn w:val="1"/>
    <w:next w:val="5"/>
    <w:link w:val="50"/>
    <w:qFormat/>
    <w:uiPriority w:val="0"/>
    <w:pPr>
      <w:numPr>
        <w:ilvl w:val="3"/>
        <w:numId w:val="1"/>
      </w:numPr>
      <w:spacing w:beforeLines="50" w:afterLines="50" w:line="360" w:lineRule="auto"/>
      <w:jc w:val="center"/>
      <w:outlineLvl w:val="3"/>
    </w:pPr>
    <w:rPr>
      <w:rFonts w:ascii="Arial" w:hAnsi="Arial"/>
      <w:color w:val="000000"/>
      <w:sz w:val="24"/>
    </w:rPr>
  </w:style>
  <w:style w:type="paragraph" w:styleId="7">
    <w:name w:val="heading 5"/>
    <w:basedOn w:val="6"/>
    <w:next w:val="5"/>
    <w:link w:val="37"/>
    <w:qFormat/>
    <w:uiPriority w:val="0"/>
    <w:pPr>
      <w:numPr>
        <w:ilvl w:val="4"/>
      </w:numPr>
      <w:spacing w:line="240" w:lineRule="exact"/>
      <w:outlineLvl w:val="4"/>
    </w:pPr>
  </w:style>
  <w:style w:type="paragraph" w:styleId="8">
    <w:name w:val="heading 7"/>
    <w:basedOn w:val="1"/>
    <w:next w:val="5"/>
    <w:link w:val="39"/>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5"/>
    <w:link w:val="40"/>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5"/>
    <w:link w:val="5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1">
    <w:name w:val="List Bullet"/>
    <w:basedOn w:val="1"/>
    <w:unhideWhenUsed/>
    <w:qFormat/>
    <w:uiPriority w:val="99"/>
    <w:pPr>
      <w:numPr>
        <w:ilvl w:val="0"/>
        <w:numId w:val="2"/>
      </w:numPr>
      <w:contextualSpacing/>
    </w:pPr>
  </w:style>
  <w:style w:type="paragraph" w:styleId="12">
    <w:name w:val="Document Map"/>
    <w:basedOn w:val="1"/>
    <w:link w:val="36"/>
    <w:semiHidden/>
    <w:qFormat/>
    <w:uiPriority w:val="0"/>
    <w:pPr>
      <w:shd w:val="clear" w:color="auto" w:fill="000080"/>
    </w:pPr>
    <w:rPr>
      <w:kern w:val="0"/>
      <w:sz w:val="20"/>
    </w:rPr>
  </w:style>
  <w:style w:type="paragraph" w:styleId="13">
    <w:name w:val="annotation text"/>
    <w:basedOn w:val="1"/>
    <w:link w:val="44"/>
    <w:semiHidden/>
    <w:qFormat/>
    <w:uiPriority w:val="0"/>
    <w:pPr>
      <w:jc w:val="left"/>
    </w:pPr>
    <w:rPr>
      <w:kern w:val="0"/>
      <w:sz w:val="20"/>
    </w:rPr>
  </w:style>
  <w:style w:type="paragraph" w:styleId="14">
    <w:name w:val="Body Text 3"/>
    <w:basedOn w:val="1"/>
    <w:unhideWhenUsed/>
    <w:qFormat/>
    <w:uiPriority w:val="99"/>
    <w:pPr>
      <w:spacing w:after="120"/>
    </w:pPr>
    <w:rPr>
      <w:rFonts w:ascii="Calibri" w:hAnsi="Calibri"/>
      <w:sz w:val="16"/>
      <w:szCs w:val="16"/>
    </w:rPr>
  </w:style>
  <w:style w:type="paragraph" w:styleId="15">
    <w:name w:val="Body Text"/>
    <w:basedOn w:val="1"/>
    <w:next w:val="1"/>
    <w:link w:val="53"/>
    <w:qFormat/>
    <w:uiPriority w:val="0"/>
    <w:pPr>
      <w:pBdr>
        <w:top w:val="single" w:color="auto" w:sz="4" w:space="1"/>
      </w:pBdr>
    </w:pPr>
    <w:rPr>
      <w:b/>
      <w:bCs/>
      <w:kern w:val="0"/>
      <w:sz w:val="20"/>
    </w:rPr>
  </w:style>
  <w:style w:type="paragraph" w:styleId="16">
    <w:name w:val="Body Text Indent"/>
    <w:basedOn w:val="1"/>
    <w:next w:val="17"/>
    <w:link w:val="51"/>
    <w:qFormat/>
    <w:uiPriority w:val="0"/>
    <w:pPr>
      <w:ind w:firstLine="600" w:firstLineChars="200"/>
    </w:pPr>
    <w:rPr>
      <w:rFonts w:ascii="宋体"/>
      <w:kern w:val="0"/>
      <w:sz w:val="30"/>
      <w:szCs w:val="20"/>
    </w:rPr>
  </w:style>
  <w:style w:type="paragraph" w:styleId="17">
    <w:name w:val="envelope return"/>
    <w:basedOn w:val="1"/>
    <w:qFormat/>
    <w:uiPriority w:val="99"/>
    <w:pPr>
      <w:snapToGrid w:val="0"/>
    </w:pPr>
    <w:rPr>
      <w:rFonts w:ascii="Arial" w:hAnsi="Arial"/>
    </w:rPr>
  </w:style>
  <w:style w:type="paragraph" w:styleId="18">
    <w:name w:val="Plain Text"/>
    <w:basedOn w:val="1"/>
    <w:link w:val="41"/>
    <w:qFormat/>
    <w:uiPriority w:val="0"/>
    <w:rPr>
      <w:rFonts w:ascii="宋体" w:hAnsi="Courier New"/>
      <w:kern w:val="0"/>
      <w:sz w:val="20"/>
      <w:szCs w:val="20"/>
    </w:rPr>
  </w:style>
  <w:style w:type="paragraph" w:styleId="19">
    <w:name w:val="Date"/>
    <w:basedOn w:val="1"/>
    <w:next w:val="1"/>
    <w:link w:val="49"/>
    <w:qFormat/>
    <w:uiPriority w:val="0"/>
    <w:pPr>
      <w:ind w:left="100" w:leftChars="2500"/>
    </w:pPr>
    <w:rPr>
      <w:kern w:val="0"/>
      <w:sz w:val="20"/>
    </w:rPr>
  </w:style>
  <w:style w:type="paragraph" w:styleId="20">
    <w:name w:val="Balloon Text"/>
    <w:basedOn w:val="1"/>
    <w:link w:val="47"/>
    <w:semiHidden/>
    <w:qFormat/>
    <w:uiPriority w:val="0"/>
    <w:rPr>
      <w:kern w:val="0"/>
      <w:sz w:val="18"/>
      <w:szCs w:val="18"/>
    </w:rPr>
  </w:style>
  <w:style w:type="paragraph" w:styleId="21">
    <w:name w:val="footer"/>
    <w:basedOn w:val="1"/>
    <w:link w:val="46"/>
    <w:qFormat/>
    <w:uiPriority w:val="99"/>
    <w:pPr>
      <w:tabs>
        <w:tab w:val="center" w:pos="4153"/>
        <w:tab w:val="right" w:pos="8306"/>
      </w:tabs>
      <w:snapToGrid w:val="0"/>
      <w:jc w:val="left"/>
    </w:pPr>
    <w:rPr>
      <w:kern w:val="0"/>
      <w:sz w:val="18"/>
    </w:rPr>
  </w:style>
  <w:style w:type="paragraph" w:styleId="22">
    <w:name w:val="header"/>
    <w:basedOn w:val="1"/>
    <w:link w:val="55"/>
    <w:qFormat/>
    <w:uiPriority w:val="0"/>
    <w:pPr>
      <w:pBdr>
        <w:bottom w:val="single" w:color="auto" w:sz="6" w:space="1"/>
      </w:pBdr>
      <w:tabs>
        <w:tab w:val="center" w:pos="4153"/>
        <w:tab w:val="right" w:pos="8306"/>
      </w:tabs>
      <w:snapToGrid w:val="0"/>
      <w:jc w:val="center"/>
    </w:pPr>
    <w:rPr>
      <w:kern w:val="0"/>
      <w:sz w:val="18"/>
    </w:rPr>
  </w:style>
  <w:style w:type="paragraph" w:styleId="23">
    <w:name w:val="toc 1"/>
    <w:basedOn w:val="1"/>
    <w:next w:val="1"/>
    <w:unhideWhenUsed/>
    <w:qFormat/>
    <w:uiPriority w:val="39"/>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link w:val="45"/>
    <w:qFormat/>
    <w:uiPriority w:val="0"/>
    <w:pPr>
      <w:spacing w:before="240" w:after="60"/>
      <w:jc w:val="center"/>
      <w:outlineLvl w:val="0"/>
    </w:pPr>
    <w:rPr>
      <w:rFonts w:ascii="Arial" w:hAnsi="Arial"/>
      <w:b/>
      <w:bCs/>
      <w:kern w:val="0"/>
      <w:sz w:val="32"/>
      <w:szCs w:val="32"/>
    </w:rPr>
  </w:style>
  <w:style w:type="paragraph" w:styleId="26">
    <w:name w:val="annotation subject"/>
    <w:basedOn w:val="13"/>
    <w:next w:val="13"/>
    <w:link w:val="43"/>
    <w:semiHidden/>
    <w:qFormat/>
    <w:uiPriority w:val="0"/>
    <w:rPr>
      <w:b/>
      <w:bCs/>
    </w:rPr>
  </w:style>
  <w:style w:type="paragraph" w:styleId="27">
    <w:name w:val="Body Text First Indent"/>
    <w:basedOn w:val="15"/>
    <w:qFormat/>
    <w:uiPriority w:val="0"/>
    <w:pPr>
      <w:ind w:firstLine="420" w:firstLineChars="100"/>
    </w:pPr>
    <w:rPr>
      <w:rFonts w:eastAsia="楷体_GB2312"/>
    </w:rPr>
  </w:style>
  <w:style w:type="paragraph" w:styleId="28">
    <w:name w:val="Body Text First Indent 2"/>
    <w:basedOn w:val="16"/>
    <w:qFormat/>
    <w:uiPriority w:val="99"/>
    <w:pPr>
      <w:spacing w:after="120"/>
      <w:ind w:left="200" w:leftChars="200"/>
    </w:pPr>
    <w:rPr>
      <w:rFonts w:ascii="Calibri" w:hAnsi="Calibri"/>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qFormat/>
    <w:uiPriority w:val="99"/>
    <w:rPr>
      <w:color w:val="0000FF"/>
      <w:u w:val="single"/>
    </w:rPr>
  </w:style>
  <w:style w:type="character" w:styleId="34">
    <w:name w:val="annotation reference"/>
    <w:unhideWhenUsed/>
    <w:qFormat/>
    <w:uiPriority w:val="0"/>
    <w:rPr>
      <w:sz w:val="21"/>
      <w:szCs w:val="21"/>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文档结构图 Char"/>
    <w:link w:val="12"/>
    <w:semiHidden/>
    <w:qFormat/>
    <w:uiPriority w:val="0"/>
    <w:rPr>
      <w:rFonts w:ascii="Times New Roman" w:hAnsi="Times New Roman" w:eastAsia="宋体" w:cs="Times New Roman"/>
      <w:szCs w:val="24"/>
      <w:shd w:val="clear" w:color="auto" w:fill="000080"/>
    </w:rPr>
  </w:style>
  <w:style w:type="character" w:customStyle="1" w:styleId="37">
    <w:name w:val="标题 5 Char"/>
    <w:link w:val="7"/>
    <w:qFormat/>
    <w:uiPriority w:val="0"/>
    <w:rPr>
      <w:rFonts w:ascii="Arial" w:hAnsi="Arial" w:eastAsia="宋体" w:cs="Times New Roman"/>
      <w:color w:val="000000"/>
      <w:sz w:val="24"/>
      <w:szCs w:val="24"/>
    </w:rPr>
  </w:style>
  <w:style w:type="character" w:customStyle="1" w:styleId="38">
    <w:name w:val="标题 3 Char"/>
    <w:link w:val="4"/>
    <w:qFormat/>
    <w:uiPriority w:val="0"/>
    <w:rPr>
      <w:rFonts w:ascii="Times New Roman" w:hAnsi="Times New Roman" w:eastAsia="宋体" w:cs="Times New Roman"/>
      <w:b/>
      <w:bCs/>
      <w:sz w:val="32"/>
      <w:szCs w:val="32"/>
    </w:rPr>
  </w:style>
  <w:style w:type="character" w:customStyle="1" w:styleId="39">
    <w:name w:val="标题 7 Char"/>
    <w:link w:val="8"/>
    <w:qFormat/>
    <w:uiPriority w:val="0"/>
    <w:rPr>
      <w:rFonts w:ascii="Times New Roman" w:hAnsi="Times New Roman" w:eastAsia="宋体" w:cs="Times New Roman"/>
      <w:b/>
      <w:sz w:val="24"/>
      <w:szCs w:val="20"/>
    </w:rPr>
  </w:style>
  <w:style w:type="character" w:customStyle="1" w:styleId="40">
    <w:name w:val="标题 8 Char"/>
    <w:link w:val="9"/>
    <w:qFormat/>
    <w:uiPriority w:val="0"/>
    <w:rPr>
      <w:rFonts w:ascii="Arial" w:hAnsi="Arial" w:eastAsia="黑体" w:cs="Times New Roman"/>
      <w:sz w:val="24"/>
      <w:szCs w:val="20"/>
    </w:rPr>
  </w:style>
  <w:style w:type="character" w:customStyle="1" w:styleId="41">
    <w:name w:val="纯文本 Char"/>
    <w:link w:val="18"/>
    <w:qFormat/>
    <w:uiPriority w:val="0"/>
    <w:rPr>
      <w:rFonts w:ascii="宋体" w:hAnsi="Courier New" w:eastAsia="宋体" w:cs="Times New Roman"/>
      <w:szCs w:val="20"/>
    </w:rPr>
  </w:style>
  <w:style w:type="character" w:customStyle="1" w:styleId="42">
    <w:name w:val="font11"/>
    <w:qFormat/>
    <w:uiPriority w:val="0"/>
    <w:rPr>
      <w:rFonts w:hint="eastAsia" w:ascii="宋体" w:hAnsi="宋体" w:eastAsia="宋体" w:cs="宋体"/>
      <w:color w:val="000000"/>
      <w:sz w:val="24"/>
      <w:szCs w:val="24"/>
      <w:u w:val="none"/>
    </w:rPr>
  </w:style>
  <w:style w:type="character" w:customStyle="1" w:styleId="43">
    <w:name w:val="批注主题 Char"/>
    <w:link w:val="26"/>
    <w:semiHidden/>
    <w:qFormat/>
    <w:uiPriority w:val="0"/>
    <w:rPr>
      <w:rFonts w:ascii="Times New Roman" w:hAnsi="Times New Roman" w:eastAsia="宋体" w:cs="Times New Roman"/>
      <w:b/>
      <w:bCs/>
      <w:szCs w:val="24"/>
    </w:rPr>
  </w:style>
  <w:style w:type="character" w:customStyle="1" w:styleId="44">
    <w:name w:val="批注文字 Char"/>
    <w:link w:val="13"/>
    <w:semiHidden/>
    <w:qFormat/>
    <w:uiPriority w:val="0"/>
    <w:rPr>
      <w:rFonts w:ascii="Times New Roman" w:hAnsi="Times New Roman" w:eastAsia="宋体" w:cs="Times New Roman"/>
      <w:szCs w:val="24"/>
    </w:rPr>
  </w:style>
  <w:style w:type="character" w:customStyle="1" w:styleId="45">
    <w:name w:val="标题 Char"/>
    <w:link w:val="25"/>
    <w:qFormat/>
    <w:uiPriority w:val="0"/>
    <w:rPr>
      <w:rFonts w:ascii="Arial" w:hAnsi="Arial" w:eastAsia="宋体" w:cs="Arial"/>
      <w:b/>
      <w:bCs/>
      <w:sz w:val="32"/>
      <w:szCs w:val="32"/>
    </w:rPr>
  </w:style>
  <w:style w:type="character" w:customStyle="1" w:styleId="46">
    <w:name w:val="页脚 Char"/>
    <w:link w:val="21"/>
    <w:qFormat/>
    <w:uiPriority w:val="99"/>
    <w:rPr>
      <w:rFonts w:ascii="Times New Roman" w:hAnsi="Times New Roman" w:eastAsia="宋体" w:cs="Times New Roman"/>
      <w:sz w:val="18"/>
      <w:szCs w:val="24"/>
    </w:rPr>
  </w:style>
  <w:style w:type="character" w:customStyle="1" w:styleId="47">
    <w:name w:val="批注框文本 Char"/>
    <w:link w:val="20"/>
    <w:semiHidden/>
    <w:qFormat/>
    <w:uiPriority w:val="0"/>
    <w:rPr>
      <w:rFonts w:ascii="Times New Roman" w:hAnsi="Times New Roman" w:eastAsia="宋体" w:cs="Times New Roman"/>
      <w:sz w:val="18"/>
      <w:szCs w:val="18"/>
    </w:rPr>
  </w:style>
  <w:style w:type="character" w:customStyle="1" w:styleId="48">
    <w:name w:val="标题 2 Char"/>
    <w:link w:val="2"/>
    <w:qFormat/>
    <w:uiPriority w:val="0"/>
    <w:rPr>
      <w:rFonts w:ascii="Arial" w:hAnsi="Arial" w:eastAsia="宋体" w:cs="Times New Roman"/>
      <w:b/>
      <w:color w:val="000000"/>
      <w:sz w:val="24"/>
      <w:szCs w:val="24"/>
    </w:rPr>
  </w:style>
  <w:style w:type="character" w:customStyle="1" w:styleId="49">
    <w:name w:val="日期 Char"/>
    <w:link w:val="19"/>
    <w:qFormat/>
    <w:uiPriority w:val="0"/>
    <w:rPr>
      <w:rFonts w:ascii="Times New Roman" w:hAnsi="Times New Roman" w:eastAsia="宋体" w:cs="Times New Roman"/>
      <w:szCs w:val="24"/>
    </w:rPr>
  </w:style>
  <w:style w:type="character" w:customStyle="1" w:styleId="50">
    <w:name w:val="标题 4 Char"/>
    <w:link w:val="6"/>
    <w:qFormat/>
    <w:uiPriority w:val="0"/>
    <w:rPr>
      <w:rFonts w:ascii="Arial" w:hAnsi="Arial" w:eastAsia="宋体" w:cs="Times New Roman"/>
      <w:color w:val="000000"/>
      <w:sz w:val="24"/>
      <w:szCs w:val="24"/>
    </w:rPr>
  </w:style>
  <w:style w:type="character" w:customStyle="1" w:styleId="51">
    <w:name w:val="正文文本缩进 Char"/>
    <w:link w:val="16"/>
    <w:qFormat/>
    <w:uiPriority w:val="0"/>
    <w:rPr>
      <w:rFonts w:ascii="宋体" w:hAnsi="Times New Roman" w:eastAsia="宋体" w:cs="Times New Roman"/>
      <w:sz w:val="30"/>
      <w:szCs w:val="20"/>
    </w:rPr>
  </w:style>
  <w:style w:type="character" w:customStyle="1" w:styleId="52">
    <w:name w:val="font01"/>
    <w:qFormat/>
    <w:uiPriority w:val="0"/>
    <w:rPr>
      <w:rFonts w:hint="eastAsia" w:ascii="宋体" w:hAnsi="宋体" w:eastAsia="宋体" w:cs="宋体"/>
      <w:color w:val="000000"/>
      <w:sz w:val="24"/>
      <w:szCs w:val="24"/>
      <w:u w:val="none"/>
      <w:vertAlign w:val="superscript"/>
    </w:rPr>
  </w:style>
  <w:style w:type="character" w:customStyle="1" w:styleId="53">
    <w:name w:val="正文文本 Char"/>
    <w:link w:val="15"/>
    <w:qFormat/>
    <w:uiPriority w:val="0"/>
    <w:rPr>
      <w:rFonts w:ascii="Times New Roman" w:hAnsi="Times New Roman" w:eastAsia="宋体" w:cs="Times New Roman"/>
      <w:b/>
      <w:bCs/>
      <w:szCs w:val="24"/>
    </w:rPr>
  </w:style>
  <w:style w:type="character" w:customStyle="1" w:styleId="54">
    <w:name w:val="标题 9 Char"/>
    <w:link w:val="10"/>
    <w:qFormat/>
    <w:uiPriority w:val="0"/>
    <w:rPr>
      <w:rFonts w:ascii="Arial" w:hAnsi="Arial" w:eastAsia="黑体" w:cs="Times New Roman"/>
      <w:szCs w:val="20"/>
    </w:rPr>
  </w:style>
  <w:style w:type="character" w:customStyle="1" w:styleId="55">
    <w:name w:val="页眉 Char"/>
    <w:link w:val="22"/>
    <w:qFormat/>
    <w:uiPriority w:val="0"/>
    <w:rPr>
      <w:rFonts w:ascii="Times New Roman" w:hAnsi="Times New Roman" w:eastAsia="宋体" w:cs="Times New Roman"/>
      <w:sz w:val="18"/>
      <w:szCs w:val="24"/>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发文落款"/>
    <w:basedOn w:val="56"/>
    <w:qFormat/>
    <w:uiPriority w:val="0"/>
    <w:pPr>
      <w:ind w:left="4094" w:right="607" w:firstLine="0"/>
      <w:jc w:val="center"/>
    </w:pPr>
  </w:style>
  <w:style w:type="paragraph" w:customStyle="1" w:styleId="5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样式 标题 3 + 首行缩进:  1.06 厘米"/>
    <w:basedOn w:val="4"/>
    <w:qFormat/>
    <w:uiPriority w:val="0"/>
    <w:pPr>
      <w:spacing w:before="120" w:after="0" w:line="240" w:lineRule="auto"/>
      <w:jc w:val="center"/>
    </w:pPr>
    <w:rPr>
      <w:rFonts w:ascii="宋体" w:hAnsi="宋体" w:cs="宋体"/>
      <w:bCs w:val="0"/>
      <w:color w:val="000000"/>
    </w:rPr>
  </w:style>
  <w:style w:type="paragraph" w:customStyle="1" w:styleId="61">
    <w:name w:val="修订2"/>
    <w:hidden/>
    <w:semiHidden/>
    <w:qFormat/>
    <w:uiPriority w:val="99"/>
    <w:rPr>
      <w:rFonts w:ascii="Times New Roman" w:hAnsi="Times New Roman" w:eastAsia="宋体" w:cs="Times New Roman"/>
      <w:kern w:val="2"/>
      <w:sz w:val="21"/>
      <w:szCs w:val="24"/>
      <w:lang w:val="en-US" w:eastAsia="zh-CN" w:bidi="ar-SA"/>
    </w:rPr>
  </w:style>
  <w:style w:type="paragraph" w:styleId="62">
    <w:name w:val="List Paragraph"/>
    <w:basedOn w:val="1"/>
    <w:qFormat/>
    <w:uiPriority w:val="99"/>
    <w:pPr>
      <w:ind w:firstLine="420" w:firstLineChars="200"/>
    </w:pPr>
  </w:style>
  <w:style w:type="paragraph" w:customStyle="1" w:styleId="6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标题 1 Char"/>
    <w:basedOn w:val="31"/>
    <w:link w:val="3"/>
    <w:qFormat/>
    <w:uiPriority w:val="9"/>
    <w:rPr>
      <w:b/>
      <w:bCs/>
      <w:kern w:val="44"/>
      <w:sz w:val="44"/>
      <w:szCs w:val="44"/>
    </w:rPr>
  </w:style>
  <w:style w:type="paragraph" w:customStyle="1" w:styleId="6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正文文本 (2) + 10 pt37"/>
    <w:qFormat/>
    <w:uiPriority w:val="99"/>
    <w:rPr>
      <w:rFonts w:ascii="MingLiU" w:eastAsia="MingLiU" w:cs="MingLiU"/>
      <w:spacing w:val="0"/>
      <w:sz w:val="20"/>
      <w:szCs w:val="20"/>
      <w:u w:val="none"/>
    </w:rPr>
  </w:style>
  <w:style w:type="paragraph" w:customStyle="1" w:styleId="70">
    <w:name w:val="正文文本 (2)1"/>
    <w:basedOn w:val="1"/>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71">
    <w:name w:val="font41"/>
    <w:basedOn w:val="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85</Pages>
  <Words>47144</Words>
  <Characters>49799</Characters>
  <Lines>3914</Lines>
  <Paragraphs>1647</Paragraphs>
  <TotalTime>1</TotalTime>
  <ScaleCrop>false</ScaleCrop>
  <LinksUpToDate>false</LinksUpToDate>
  <CharactersWithSpaces>53581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2021-10-03T20:08:00Z</dcterms:created>
  <dc:creator>微软用户</dc:creator>
  <cp:lastModifiedBy>246</cp:lastModifiedBy>
  <cp:lastPrinted>2023-07-05T10:35:00Z</cp:lastPrinted>
  <dcterms:modified xsi:type="dcterms:W3CDTF">2023-07-28T08:17:58Z</dcterms:modified>
  <dc:title>版本号：2015-1</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1B9DC3873CA5CBDEC3299164471D2DA0</vt:lpwstr>
  </property>
</Properties>
</file>