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600" w:firstLineChars="200"/>
        <w:jc w:val="center"/>
        <w:rPr>
          <w:rFonts w:hint="eastAsia" w:eastAsia="黑体"/>
          <w:color w:val="auto"/>
          <w:sz w:val="30"/>
          <w:szCs w:val="30"/>
          <w:highlight w:val="none"/>
        </w:rPr>
      </w:pPr>
      <w:r>
        <w:rPr>
          <w:rFonts w:eastAsia="黑体"/>
          <w:color w:val="auto"/>
          <w:sz w:val="30"/>
          <w:szCs w:val="30"/>
          <w:highlight w:val="none"/>
        </w:rPr>
        <w:t>评标办法(</w:t>
      </w:r>
      <w:r>
        <w:rPr>
          <w:rFonts w:hint="eastAsia" w:eastAsia="黑体"/>
          <w:color w:val="auto"/>
          <w:sz w:val="30"/>
          <w:szCs w:val="30"/>
          <w:highlight w:val="none"/>
        </w:rPr>
        <w:t>双信封的合理低价法</w:t>
      </w:r>
      <w:r>
        <w:rPr>
          <w:rFonts w:eastAsia="黑体"/>
          <w:color w:val="auto"/>
          <w:sz w:val="30"/>
          <w:szCs w:val="30"/>
          <w:highlight w:val="none"/>
        </w:rPr>
        <w:t>)</w:t>
      </w:r>
    </w:p>
    <w:p>
      <w:pPr>
        <w:spacing w:line="440" w:lineRule="exact"/>
        <w:jc w:val="center"/>
        <w:rPr>
          <w:rFonts w:eastAsia="黑体"/>
          <w:color w:val="auto"/>
          <w:sz w:val="32"/>
          <w:szCs w:val="32"/>
          <w:highlight w:val="none"/>
        </w:rPr>
      </w:pPr>
      <w:r>
        <w:rPr>
          <w:rFonts w:eastAsia="黑体"/>
          <w:color w:val="auto"/>
          <w:sz w:val="32"/>
          <w:szCs w:val="32"/>
          <w:highlight w:val="none"/>
        </w:rPr>
        <w:t>评标办法前附表</w:t>
      </w:r>
    </w:p>
    <w:tbl>
      <w:tblPr>
        <w:tblStyle w:val="5"/>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1085"/>
        <w:gridCol w:w="7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blHeader/>
          <w:jc w:val="center"/>
        </w:trPr>
        <w:tc>
          <w:tcPr>
            <w:tcW w:w="1826"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条款号</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评标办法</w:t>
            </w:r>
          </w:p>
        </w:tc>
        <w:tc>
          <w:tcPr>
            <w:tcW w:w="7635" w:type="dxa"/>
            <w:tcBorders>
              <w:top w:val="single" w:color="auto" w:sz="4" w:space="0"/>
              <w:left w:val="single" w:color="auto" w:sz="4" w:space="0"/>
              <w:right w:val="single" w:color="auto" w:sz="4" w:space="0"/>
            </w:tcBorders>
            <w:noWrap w:val="0"/>
            <w:vAlign w:val="center"/>
          </w:tcPr>
          <w:p>
            <w:pPr>
              <w:pStyle w:val="4"/>
              <w:adjustRightInd w:val="0"/>
              <w:snapToGrid w:val="0"/>
              <w:spacing w:line="400" w:lineRule="exact"/>
              <w:ind w:firstLine="420" w:firstLineChars="200"/>
              <w:rPr>
                <w:rFonts w:hint="eastAsia" w:hAnsi="宋体"/>
                <w:color w:val="auto"/>
                <w:szCs w:val="21"/>
                <w:highlight w:val="none"/>
              </w:rPr>
            </w:pPr>
            <w:r>
              <w:rPr>
                <w:rFonts w:hint="eastAsia" w:hAnsi="宋体"/>
                <w:color w:val="auto"/>
                <w:szCs w:val="21"/>
                <w:highlight w:val="none"/>
              </w:rPr>
              <w:t>评分相等时，评标委员会依次按照以下优先顺序推荐中标候选人：</w:t>
            </w:r>
          </w:p>
          <w:p>
            <w:pPr>
              <w:pStyle w:val="4"/>
              <w:numPr>
                <w:ilvl w:val="0"/>
                <w:numId w:val="1"/>
              </w:numPr>
              <w:adjustRightInd w:val="0"/>
              <w:snapToGrid w:val="0"/>
              <w:spacing w:line="400" w:lineRule="exact"/>
              <w:ind w:firstLine="315" w:firstLineChars="150"/>
              <w:rPr>
                <w:rFonts w:hint="eastAsia" w:hAnsi="宋体"/>
                <w:color w:val="auto"/>
                <w:szCs w:val="21"/>
                <w:highlight w:val="none"/>
              </w:rPr>
            </w:pPr>
            <w:r>
              <w:rPr>
                <w:rFonts w:hint="eastAsia" w:hAnsi="宋体"/>
                <w:color w:val="auto"/>
                <w:szCs w:val="21"/>
                <w:highlight w:val="none"/>
              </w:rPr>
              <w:t>评标价低的优先</w:t>
            </w:r>
            <w:r>
              <w:rPr>
                <w:rFonts w:hint="eastAsia" w:hAnsi="宋体"/>
                <w:color w:val="auto"/>
                <w:szCs w:val="21"/>
                <w:highlight w:val="none"/>
                <w:lang w:eastAsia="zh-CN"/>
              </w:rPr>
              <w:t>。</w:t>
            </w:r>
            <w:r>
              <w:rPr>
                <w:rFonts w:hint="eastAsia" w:hAnsi="宋体"/>
                <w:color w:val="auto"/>
                <w:szCs w:val="21"/>
                <w:highlight w:val="none"/>
              </w:rPr>
              <w:t>当一家以上投标人评标价也相等时，若各投标人工程量清单细目单价也相同，视为串标，应否决其投标；</w:t>
            </w:r>
          </w:p>
          <w:p>
            <w:pPr>
              <w:pStyle w:val="4"/>
              <w:numPr>
                <w:ilvl w:val="0"/>
                <w:numId w:val="1"/>
              </w:numPr>
              <w:adjustRightInd w:val="0"/>
              <w:snapToGrid w:val="0"/>
              <w:spacing w:line="400" w:lineRule="exact"/>
              <w:ind w:firstLine="315" w:firstLineChars="150"/>
              <w:rPr>
                <w:rFonts w:hint="eastAsia" w:hAnsi="宋体"/>
                <w:color w:val="auto"/>
                <w:szCs w:val="21"/>
                <w:highlight w:val="none"/>
              </w:rPr>
            </w:pPr>
            <w:r>
              <w:rPr>
                <w:rFonts w:hint="eastAsia" w:hAnsi="宋体"/>
                <w:color w:val="auto"/>
                <w:szCs w:val="21"/>
                <w:highlight w:val="none"/>
                <w:lang w:eastAsia="zh-CN"/>
              </w:rPr>
              <w:t>注册资金高者优先；</w:t>
            </w:r>
          </w:p>
          <w:p>
            <w:pPr>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）由评标委员会视投标人情况综合比较，投票确定其名次。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80"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形式评审与响应性评审标准</w:t>
            </w:r>
          </w:p>
        </w:tc>
        <w:tc>
          <w:tcPr>
            <w:tcW w:w="7635"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b/>
                <w:color w:val="auto"/>
                <w:szCs w:val="21"/>
                <w:highlight w:val="none"/>
              </w:rPr>
            </w:pPr>
            <w:r>
              <w:rPr>
                <w:rFonts w:hint="eastAsia" w:ascii="宋体" w:hAnsi="宋体"/>
                <w:b/>
                <w:color w:val="auto"/>
                <w:szCs w:val="21"/>
                <w:highlight w:val="none"/>
              </w:rPr>
              <w:t>第一个信封（商务及技术文件）评审标准</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(1)投标文件按照招标文件规定的格式、内容填写，字迹清晰可辨：</w:t>
            </w:r>
          </w:p>
          <w:p>
            <w:pPr>
              <w:spacing w:line="400" w:lineRule="exact"/>
              <w:ind w:firstLine="390"/>
              <w:rPr>
                <w:rFonts w:ascii="宋体" w:hAnsi="宋体"/>
                <w:color w:val="auto"/>
                <w:szCs w:val="21"/>
                <w:highlight w:val="none"/>
              </w:rPr>
            </w:pPr>
            <w:r>
              <w:rPr>
                <w:rFonts w:ascii="宋体" w:hAnsi="宋体"/>
                <w:color w:val="auto"/>
                <w:szCs w:val="21"/>
                <w:highlight w:val="none"/>
              </w:rPr>
              <w:t>a.投标函按招标文件规定填报了</w:t>
            </w:r>
            <w:r>
              <w:rPr>
                <w:rFonts w:hint="eastAsia" w:ascii="宋体" w:hAnsi="宋体"/>
                <w:color w:val="auto"/>
                <w:szCs w:val="21"/>
                <w:highlight w:val="none"/>
              </w:rPr>
              <w:t>项目名称、补遗书编号（如有）、合同</w:t>
            </w:r>
            <w:r>
              <w:rPr>
                <w:rFonts w:ascii="宋体" w:hAnsi="宋体"/>
                <w:color w:val="auto"/>
                <w:szCs w:val="21"/>
                <w:highlight w:val="none"/>
              </w:rPr>
              <w:t>期</w:t>
            </w:r>
            <w:r>
              <w:rPr>
                <w:rFonts w:hint="eastAsia" w:ascii="宋体" w:hAnsi="宋体"/>
                <w:color w:val="auto"/>
                <w:szCs w:val="21"/>
                <w:highlight w:val="none"/>
              </w:rPr>
              <w:t>、供货期及质量目标</w:t>
            </w:r>
            <w:r>
              <w:rPr>
                <w:rFonts w:ascii="宋体" w:hAnsi="宋体"/>
                <w:color w:val="auto"/>
                <w:szCs w:val="21"/>
                <w:highlight w:val="none"/>
              </w:rPr>
              <w:t>；</w:t>
            </w:r>
          </w:p>
          <w:p>
            <w:pPr>
              <w:spacing w:line="400" w:lineRule="exact"/>
              <w:ind w:firstLine="390"/>
              <w:rPr>
                <w:rFonts w:ascii="宋体" w:hAnsi="宋体"/>
                <w:color w:val="auto"/>
                <w:szCs w:val="21"/>
                <w:highlight w:val="none"/>
              </w:rPr>
            </w:pPr>
            <w:r>
              <w:rPr>
                <w:rFonts w:ascii="宋体" w:hAnsi="宋体"/>
                <w:color w:val="auto"/>
                <w:szCs w:val="21"/>
                <w:highlight w:val="none"/>
              </w:rPr>
              <w:t>b.投标函附录的所有数据均符合招标文件规定；</w:t>
            </w:r>
          </w:p>
          <w:p>
            <w:pPr>
              <w:spacing w:line="400" w:lineRule="exact"/>
              <w:ind w:firstLine="390"/>
              <w:rPr>
                <w:rFonts w:hint="eastAsia" w:ascii="宋体" w:hAnsi="宋体"/>
                <w:color w:val="auto"/>
                <w:szCs w:val="21"/>
                <w:highlight w:val="none"/>
              </w:rPr>
            </w:pPr>
            <w:r>
              <w:rPr>
                <w:rFonts w:hint="eastAsia" w:ascii="宋体" w:hAnsi="宋体"/>
                <w:color w:val="auto"/>
                <w:szCs w:val="21"/>
                <w:highlight w:val="none"/>
              </w:rPr>
              <w:t>c</w:t>
            </w:r>
            <w:r>
              <w:rPr>
                <w:rFonts w:ascii="宋体" w:hAnsi="宋体"/>
                <w:color w:val="auto"/>
                <w:szCs w:val="21"/>
                <w:highlight w:val="none"/>
              </w:rPr>
              <w:t>.</w:t>
            </w:r>
            <w:r>
              <w:rPr>
                <w:rFonts w:hint="eastAsia" w:ascii="宋体" w:hAnsi="宋体"/>
                <w:color w:val="auto"/>
                <w:szCs w:val="21"/>
                <w:highlight w:val="none"/>
              </w:rPr>
              <w:t>投标文件（第一个信封）组成齐全完整，正、副本份数符合规定，内容均按规定填写。</w:t>
            </w:r>
          </w:p>
          <w:p>
            <w:pPr>
              <w:spacing w:line="400" w:lineRule="exact"/>
              <w:ind w:left="-2" w:leftChars="-1" w:firstLine="420" w:firstLineChars="200"/>
              <w:rPr>
                <w:rFonts w:hint="eastAsia" w:ascii="宋体" w:hAnsi="宋体"/>
                <w:color w:val="auto"/>
                <w:szCs w:val="21"/>
                <w:highlight w:val="none"/>
              </w:rPr>
            </w:pPr>
            <w:r>
              <w:rPr>
                <w:rFonts w:ascii="宋体" w:hAnsi="宋体"/>
                <w:color w:val="auto"/>
                <w:szCs w:val="21"/>
                <w:highlight w:val="none"/>
              </w:rPr>
              <w:t>(2) 投标文件上法定代表人或其授权代理人的签字、投标人的单位章盖章齐全，符合招标文件</w:t>
            </w:r>
            <w:r>
              <w:rPr>
                <w:rFonts w:hint="eastAsia" w:ascii="宋体" w:hAnsi="宋体"/>
                <w:color w:val="auto"/>
                <w:szCs w:val="21"/>
                <w:highlight w:val="none"/>
              </w:rPr>
              <w:t>的</w:t>
            </w:r>
            <w:r>
              <w:rPr>
                <w:rFonts w:ascii="宋体" w:hAnsi="宋体"/>
                <w:color w:val="auto"/>
                <w:szCs w:val="21"/>
                <w:highlight w:val="none"/>
              </w:rPr>
              <w:t>规定。</w:t>
            </w:r>
          </w:p>
          <w:p>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)投标人按照招标文件的规定提供了投标担保：</w:t>
            </w:r>
          </w:p>
          <w:p>
            <w:pPr>
              <w:spacing w:line="400" w:lineRule="exact"/>
              <w:ind w:firstLine="445" w:firstLineChars="212"/>
              <w:rPr>
                <w:rFonts w:ascii="宋体" w:hAnsi="宋体"/>
                <w:color w:val="auto"/>
                <w:szCs w:val="21"/>
                <w:highlight w:val="none"/>
              </w:rPr>
            </w:pPr>
            <w:r>
              <w:rPr>
                <w:rFonts w:ascii="宋体" w:hAnsi="宋体"/>
                <w:color w:val="auto"/>
                <w:szCs w:val="21"/>
                <w:highlight w:val="none"/>
              </w:rPr>
              <w:t>a.投标担保金额符合招标文件规定的金额</w:t>
            </w:r>
            <w:r>
              <w:rPr>
                <w:rFonts w:hint="eastAsia" w:ascii="宋体" w:hAnsi="宋体"/>
                <w:color w:val="auto"/>
                <w:szCs w:val="21"/>
                <w:highlight w:val="none"/>
              </w:rPr>
              <w:t>,且投标保证金有效期不少于投标有效期</w:t>
            </w:r>
            <w:r>
              <w:rPr>
                <w:rFonts w:ascii="宋体" w:hAnsi="宋体"/>
                <w:color w:val="auto"/>
                <w:szCs w:val="21"/>
                <w:highlight w:val="none"/>
              </w:rPr>
              <w:t>；</w:t>
            </w:r>
          </w:p>
          <w:p>
            <w:pPr>
              <w:spacing w:line="400" w:lineRule="exact"/>
              <w:ind w:firstLine="445" w:firstLineChars="212"/>
              <w:rPr>
                <w:rFonts w:hint="eastAsia" w:ascii="宋体" w:hAnsi="宋体"/>
                <w:color w:val="auto"/>
                <w:szCs w:val="21"/>
                <w:highlight w:val="none"/>
              </w:rPr>
            </w:pPr>
            <w:r>
              <w:rPr>
                <w:rFonts w:ascii="宋体" w:hAnsi="宋体"/>
                <w:color w:val="auto"/>
                <w:szCs w:val="21"/>
                <w:highlight w:val="none"/>
              </w:rPr>
              <w:t>b.</w:t>
            </w:r>
            <w:r>
              <w:rPr>
                <w:rFonts w:hint="eastAsia" w:ascii="宋体" w:hAnsi="宋体" w:cs="宋体"/>
                <w:color w:val="auto"/>
                <w:kern w:val="0"/>
                <w:szCs w:val="21"/>
                <w:highlight w:val="none"/>
              </w:rPr>
              <w:t xml:space="preserve"> </w:t>
            </w:r>
            <w:r>
              <w:rPr>
                <w:rFonts w:hint="eastAsia" w:ascii="宋体" w:hAnsi="宋体"/>
                <w:color w:val="auto"/>
                <w:szCs w:val="21"/>
                <w:highlight w:val="none"/>
              </w:rPr>
              <w:t>若</w:t>
            </w:r>
            <w:r>
              <w:rPr>
                <w:rFonts w:ascii="宋体" w:hAnsi="宋体"/>
                <w:color w:val="auto"/>
                <w:szCs w:val="21"/>
                <w:highlight w:val="none"/>
              </w:rPr>
              <w:t>投标担保金</w:t>
            </w:r>
            <w:r>
              <w:rPr>
                <w:rFonts w:hint="eastAsia" w:ascii="宋体" w:hAnsi="宋体"/>
                <w:color w:val="auto"/>
                <w:szCs w:val="21"/>
                <w:highlight w:val="none"/>
              </w:rPr>
              <w:t>采用现金或支票形式提交，投标人应在“第二章 投标人须知”第14款规定的时间，将投标保证金由投标人的基本账户一次性汇入（或开给）招标人指定账户；</w:t>
            </w:r>
          </w:p>
          <w:p>
            <w:pPr>
              <w:spacing w:line="400" w:lineRule="exact"/>
              <w:ind w:firstLine="445" w:firstLineChars="212"/>
              <w:rPr>
                <w:rFonts w:ascii="宋体" w:hAnsi="宋体"/>
                <w:b/>
                <w:color w:val="auto"/>
                <w:szCs w:val="21"/>
                <w:highlight w:val="none"/>
              </w:rPr>
            </w:pPr>
            <w:r>
              <w:rPr>
                <w:rFonts w:ascii="宋体" w:hAnsi="宋体"/>
                <w:color w:val="auto"/>
                <w:szCs w:val="21"/>
                <w:highlight w:val="none"/>
              </w:rPr>
              <w:t>c.若投标担保金采用银行保函</w:t>
            </w:r>
            <w:r>
              <w:rPr>
                <w:rFonts w:hint="eastAsia" w:ascii="宋体" w:hAnsi="宋体"/>
                <w:color w:val="auto"/>
                <w:szCs w:val="21"/>
                <w:highlight w:val="none"/>
              </w:rPr>
              <w:t>形式提交</w:t>
            </w:r>
            <w:r>
              <w:rPr>
                <w:rFonts w:ascii="宋体" w:hAnsi="宋体"/>
                <w:color w:val="auto"/>
                <w:szCs w:val="21"/>
                <w:highlight w:val="none"/>
              </w:rPr>
              <w:t>，银行保函的格式、开具保函的银行均满足招标文件要求，</w:t>
            </w:r>
            <w:r>
              <w:rPr>
                <w:rFonts w:ascii="宋体" w:hAnsi="宋体"/>
                <w:b/>
                <w:color w:val="auto"/>
                <w:szCs w:val="21"/>
                <w:highlight w:val="none"/>
              </w:rPr>
              <w:t>且银行保函原件在</w:t>
            </w:r>
            <w:r>
              <w:rPr>
                <w:rFonts w:hint="eastAsia" w:ascii="宋体" w:hAnsi="宋体"/>
                <w:b/>
                <w:color w:val="auto"/>
                <w:szCs w:val="21"/>
                <w:highlight w:val="none"/>
              </w:rPr>
              <w:t>递交</w:t>
            </w:r>
            <w:r>
              <w:rPr>
                <w:rFonts w:ascii="宋体" w:hAnsi="宋体"/>
                <w:b/>
                <w:color w:val="auto"/>
                <w:szCs w:val="21"/>
                <w:highlight w:val="none"/>
              </w:rPr>
              <w:t>投标文件</w:t>
            </w:r>
            <w:r>
              <w:rPr>
                <w:rFonts w:hint="eastAsia" w:ascii="宋体" w:hAnsi="宋体"/>
                <w:b/>
                <w:color w:val="auto"/>
                <w:szCs w:val="21"/>
                <w:highlight w:val="none"/>
              </w:rPr>
              <w:t>时单独密封递交，其复印件装订在投标文件中</w:t>
            </w:r>
            <w:r>
              <w:rPr>
                <w:rFonts w:ascii="宋体" w:hAnsi="宋体"/>
                <w:b/>
                <w:color w:val="auto"/>
                <w:szCs w:val="21"/>
                <w:highlight w:val="none"/>
              </w:rPr>
              <w:t>。</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(4)投标人法定代表人授权委托代理人签署投标文件的，须提交授权委托书，且授权人和被授权人均在授权委托书上签名，未使用印章、签名章或其他电子制版签名。</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(5)投标人法定代表人若亲自签署投标文件的，提供了法定代表人身份证明，且法定代表人在法定代表人身份证明上签名，未使用印章、签名章或其他电子制版签名。</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本项目不允许转包或违规分包。</w:t>
            </w:r>
          </w:p>
          <w:p>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投标文件第一个信封（商务及技术文件）不得出现有关投标报价的内容。</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)投标文件载明的</w:t>
            </w:r>
            <w:r>
              <w:rPr>
                <w:rFonts w:hint="eastAsia" w:ascii="宋体" w:hAnsi="宋体"/>
                <w:color w:val="auto"/>
                <w:szCs w:val="21"/>
                <w:highlight w:val="none"/>
              </w:rPr>
              <w:t>供货</w:t>
            </w:r>
            <w:r>
              <w:rPr>
                <w:rFonts w:ascii="宋体" w:hAnsi="宋体"/>
                <w:color w:val="auto"/>
                <w:szCs w:val="21"/>
                <w:highlight w:val="none"/>
              </w:rPr>
              <w:t>期限未超过招标文件规定的时限</w:t>
            </w:r>
            <w:r>
              <w:rPr>
                <w:rFonts w:hint="eastAsia" w:ascii="宋体" w:hAnsi="宋体"/>
                <w:color w:val="auto"/>
                <w:szCs w:val="21"/>
                <w:highlight w:val="none"/>
              </w:rPr>
              <w:t>。</w:t>
            </w:r>
          </w:p>
          <w:p>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投标文件对招标文件的实质性要求和条件作出响应。</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10</w:t>
            </w:r>
            <w:r>
              <w:rPr>
                <w:rFonts w:ascii="宋体" w:hAnsi="宋体"/>
                <w:color w:val="auto"/>
                <w:szCs w:val="21"/>
                <w:highlight w:val="none"/>
              </w:rPr>
              <w:t>)权利义务符合招标文件规定：</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a.投标人应接受招标文件规定的风险划分原则，未提出新的风险划分办法；</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b.投标人未增加发包人的责任范围，或减少投标人义务；</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c.投标人未提出不同的验收、计量、支付办法；</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d.投标人对合同纠纷、事故处理办法未提出异议；</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e.投标人在投标活动中无欺诈行为；</w:t>
            </w:r>
          </w:p>
          <w:p>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f.投标人未对合同条款有重要保留。</w:t>
            </w:r>
          </w:p>
          <w:p>
            <w:pPr>
              <w:spacing w:line="400" w:lineRule="exact"/>
              <w:ind w:firstLine="420" w:firstLineChars="200"/>
              <w:rPr>
                <w:rFonts w:hint="eastAsia" w:ascii="宋体" w:hAnsi="宋体"/>
                <w:color w:val="auto"/>
                <w:szCs w:val="21"/>
                <w:highlight w:val="none"/>
              </w:rPr>
            </w:pPr>
            <w:r>
              <w:rPr>
                <w:rFonts w:hint="eastAsia" w:ascii="宋体" w:hAnsi="宋体"/>
                <w:color w:val="auto"/>
                <w:highlight w:val="none"/>
              </w:rPr>
              <w:t>（11）</w:t>
            </w:r>
            <w:r>
              <w:rPr>
                <w:rFonts w:hint="eastAsia" w:ascii="宋体" w:hAnsi="宋体"/>
                <w:color w:val="auto"/>
                <w:szCs w:val="21"/>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20"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2.1.1</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形式评审与响应性评审标准</w:t>
            </w:r>
          </w:p>
        </w:tc>
        <w:tc>
          <w:tcPr>
            <w:tcW w:w="7635" w:type="dxa"/>
            <w:tcBorders>
              <w:top w:val="single" w:color="auto" w:sz="4" w:space="0"/>
              <w:left w:val="single" w:color="auto" w:sz="4" w:space="0"/>
              <w:right w:val="single" w:color="auto" w:sz="4" w:space="0"/>
            </w:tcBorders>
            <w:noWrap w:val="0"/>
            <w:vAlign w:val="center"/>
          </w:tcPr>
          <w:p>
            <w:pPr>
              <w:spacing w:line="400" w:lineRule="exact"/>
              <w:jc w:val="left"/>
              <w:rPr>
                <w:rFonts w:hint="eastAsia"/>
                <w:color w:val="auto"/>
                <w:highlight w:val="none"/>
              </w:rPr>
            </w:pPr>
            <w:r>
              <w:rPr>
                <w:rFonts w:hint="eastAsia"/>
                <w:color w:val="auto"/>
                <w:highlight w:val="none"/>
              </w:rPr>
              <w:t>第二个信封（报价文件）评审标准：</w:t>
            </w:r>
          </w:p>
          <w:p>
            <w:pPr>
              <w:spacing w:line="400" w:lineRule="exact"/>
              <w:ind w:firstLine="390"/>
              <w:rPr>
                <w:rFonts w:hint="eastAsia"/>
                <w:color w:val="auto"/>
                <w:highlight w:val="none"/>
              </w:rPr>
            </w:pPr>
            <w:r>
              <w:rPr>
                <w:rFonts w:hint="eastAsia"/>
                <w:color w:val="auto"/>
                <w:highlight w:val="none"/>
              </w:rPr>
              <w:t>（1）</w:t>
            </w:r>
            <w:r>
              <w:rPr>
                <w:color w:val="auto"/>
                <w:highlight w:val="none"/>
              </w:rPr>
              <w:t>投标文件按照招标文件规定的格式、内容填写，字迹清晰可辨：</w:t>
            </w:r>
          </w:p>
          <w:p>
            <w:pPr>
              <w:spacing w:line="400" w:lineRule="exact"/>
              <w:ind w:firstLine="390"/>
              <w:rPr>
                <w:color w:val="auto"/>
                <w:highlight w:val="none"/>
              </w:rPr>
            </w:pPr>
            <w:r>
              <w:rPr>
                <w:color w:val="auto"/>
                <w:highlight w:val="none"/>
              </w:rPr>
              <w:t>a.投标函按招标文件规定填报了</w:t>
            </w:r>
            <w:r>
              <w:rPr>
                <w:rFonts w:hint="eastAsia"/>
                <w:color w:val="auto"/>
                <w:highlight w:val="none"/>
              </w:rPr>
              <w:t>项目名称、补遗书编号（如有）、</w:t>
            </w:r>
            <w:r>
              <w:rPr>
                <w:rFonts w:hint="eastAsia" w:ascii="宋体" w:hAnsi="宋体"/>
                <w:color w:val="auto"/>
                <w:szCs w:val="21"/>
                <w:highlight w:val="none"/>
              </w:rPr>
              <w:t>投标价（包括大写金额和小写金额）</w:t>
            </w:r>
            <w:r>
              <w:rPr>
                <w:color w:val="auto"/>
                <w:highlight w:val="none"/>
              </w:rPr>
              <w:t>；</w:t>
            </w:r>
          </w:p>
          <w:p>
            <w:pPr>
              <w:spacing w:line="400" w:lineRule="exact"/>
              <w:ind w:firstLine="390"/>
              <w:rPr>
                <w:rFonts w:hint="eastAsia" w:ascii="宋体" w:hAnsi="宋体"/>
                <w:color w:val="auto"/>
                <w:szCs w:val="21"/>
                <w:highlight w:val="none"/>
              </w:rPr>
            </w:pPr>
            <w:r>
              <w:rPr>
                <w:rFonts w:hint="eastAsia" w:ascii="宋体" w:hAnsi="宋体"/>
                <w:color w:val="auto"/>
                <w:szCs w:val="21"/>
                <w:highlight w:val="none"/>
              </w:rPr>
              <w:t>b</w:t>
            </w:r>
            <w:r>
              <w:rPr>
                <w:color w:val="auto"/>
                <w:highlight w:val="none"/>
              </w:rPr>
              <w:t>.</w:t>
            </w:r>
            <w:r>
              <w:rPr>
                <w:rFonts w:ascii="宋体" w:hAnsi="宋体"/>
                <w:color w:val="auto"/>
                <w:szCs w:val="21"/>
                <w:highlight w:val="none"/>
              </w:rPr>
              <w:t>已标价</w:t>
            </w:r>
            <w:r>
              <w:rPr>
                <w:rFonts w:hint="eastAsia" w:ascii="宋体" w:hAnsi="宋体"/>
                <w:color w:val="auto"/>
                <w:szCs w:val="21"/>
                <w:highlight w:val="none"/>
              </w:rPr>
              <w:t>的报价</w:t>
            </w:r>
            <w:r>
              <w:rPr>
                <w:rFonts w:ascii="宋体" w:hAnsi="宋体"/>
                <w:color w:val="auto"/>
                <w:szCs w:val="21"/>
                <w:highlight w:val="none"/>
              </w:rPr>
              <w:t>清单</w:t>
            </w:r>
            <w:r>
              <w:rPr>
                <w:rFonts w:hint="eastAsia" w:ascii="宋体" w:hAnsi="宋体"/>
                <w:color w:val="auto"/>
                <w:szCs w:val="21"/>
                <w:highlight w:val="none"/>
              </w:rPr>
              <w:t>及清单</w:t>
            </w:r>
            <w:r>
              <w:rPr>
                <w:rFonts w:ascii="宋体" w:hAnsi="宋体"/>
                <w:color w:val="auto"/>
                <w:szCs w:val="21"/>
                <w:highlight w:val="none"/>
              </w:rPr>
              <w:t>说明文字与招标文件规定一致，</w:t>
            </w:r>
            <w:r>
              <w:rPr>
                <w:rFonts w:hint="eastAsia" w:ascii="宋体" w:hAnsi="宋体"/>
                <w:color w:val="auto"/>
                <w:szCs w:val="21"/>
                <w:highlight w:val="none"/>
              </w:rPr>
              <w:t>未</w:t>
            </w:r>
            <w:r>
              <w:rPr>
                <w:rFonts w:ascii="宋体" w:hAnsi="宋体"/>
                <w:color w:val="auto"/>
                <w:szCs w:val="21"/>
                <w:highlight w:val="none"/>
              </w:rPr>
              <w:t>进行修改和删减；</w:t>
            </w:r>
          </w:p>
          <w:p>
            <w:pPr>
              <w:spacing w:line="400" w:lineRule="exact"/>
              <w:rPr>
                <w:rFonts w:hint="eastAsia"/>
                <w:color w:val="auto"/>
                <w:highlight w:val="none"/>
              </w:rPr>
            </w:pPr>
            <w:r>
              <w:rPr>
                <w:rFonts w:hint="eastAsia"/>
                <w:color w:val="auto"/>
                <w:highlight w:val="none"/>
              </w:rPr>
              <w:t xml:space="preserve">    c</w:t>
            </w:r>
            <w:r>
              <w:rPr>
                <w:color w:val="auto"/>
                <w:highlight w:val="none"/>
              </w:rPr>
              <w:t>.</w:t>
            </w:r>
            <w:r>
              <w:rPr>
                <w:rFonts w:hint="eastAsia"/>
                <w:color w:val="auto"/>
                <w:highlight w:val="none"/>
              </w:rPr>
              <w:t>投标文件（第二个信封）组成齐全完整，</w:t>
            </w:r>
            <w:r>
              <w:rPr>
                <w:color w:val="auto"/>
                <w:highlight w:val="none"/>
              </w:rPr>
              <w:t>正、副本</w:t>
            </w:r>
            <w:r>
              <w:rPr>
                <w:rFonts w:hint="eastAsia"/>
                <w:color w:val="auto"/>
                <w:highlight w:val="none"/>
              </w:rPr>
              <w:t>份数符合规定，内容均按规定填写。</w:t>
            </w:r>
          </w:p>
          <w:p>
            <w:pPr>
              <w:spacing w:line="400" w:lineRule="exact"/>
              <w:ind w:firstLine="390"/>
              <w:rPr>
                <w:rFonts w:hint="eastAsia"/>
                <w:color w:val="auto"/>
                <w:highlight w:val="none"/>
              </w:rPr>
            </w:pPr>
            <w:r>
              <w:rPr>
                <w:rFonts w:hint="eastAsia"/>
                <w:color w:val="auto"/>
                <w:highlight w:val="none"/>
              </w:rPr>
              <w:t>（2）</w:t>
            </w:r>
            <w:r>
              <w:rPr>
                <w:color w:val="auto"/>
                <w:highlight w:val="none"/>
              </w:rPr>
              <w:t>投标文件上法定代表人或其授权代理人的签字、投标人的单位章盖章齐全，符合招标文件</w:t>
            </w:r>
            <w:r>
              <w:rPr>
                <w:rFonts w:hint="eastAsia"/>
                <w:color w:val="auto"/>
                <w:highlight w:val="none"/>
              </w:rPr>
              <w:t>的</w:t>
            </w:r>
            <w:r>
              <w:rPr>
                <w:color w:val="auto"/>
                <w:highlight w:val="none"/>
              </w:rPr>
              <w:t>规定</w:t>
            </w:r>
            <w:r>
              <w:rPr>
                <w:rFonts w:hint="eastAsia"/>
                <w:color w:val="auto"/>
                <w:highlight w:val="none"/>
              </w:rPr>
              <w:t>；</w:t>
            </w:r>
          </w:p>
          <w:p>
            <w:pPr>
              <w:spacing w:line="400" w:lineRule="exact"/>
              <w:ind w:firstLine="390"/>
              <w:rPr>
                <w:rFonts w:hint="eastAsia"/>
                <w:color w:val="auto"/>
                <w:highlight w:val="none"/>
              </w:rPr>
            </w:pPr>
            <w:r>
              <w:rPr>
                <w:rFonts w:hint="eastAsia"/>
                <w:color w:val="auto"/>
                <w:highlight w:val="none"/>
              </w:rPr>
              <w:t>（3）</w:t>
            </w:r>
            <w:r>
              <w:rPr>
                <w:color w:val="auto"/>
                <w:highlight w:val="none"/>
              </w:rPr>
              <w:t>投标报价中的报价未超过招标文件设定的最高投标限价。</w:t>
            </w:r>
          </w:p>
          <w:p>
            <w:pPr>
              <w:spacing w:line="400" w:lineRule="exact"/>
              <w:ind w:firstLine="390"/>
              <w:rPr>
                <w:color w:val="auto"/>
                <w:highlight w:val="none"/>
              </w:rPr>
            </w:pPr>
            <w:r>
              <w:rPr>
                <w:color w:val="auto"/>
                <w:highlight w:val="none"/>
              </w:rPr>
              <w:t>（4）投标报价中报价的大写金额能够确定具体数值。</w:t>
            </w:r>
          </w:p>
          <w:p>
            <w:pPr>
              <w:spacing w:line="400" w:lineRule="exact"/>
              <w:ind w:firstLine="390"/>
              <w:rPr>
                <w:color w:val="auto"/>
                <w:highlight w:val="none"/>
              </w:rPr>
            </w:pPr>
            <w:r>
              <w:rPr>
                <w:color w:val="auto"/>
                <w:highlight w:val="none"/>
              </w:rPr>
              <w:t>（5）投标人须对本项目提供独立的投标报价。</w:t>
            </w:r>
          </w:p>
          <w:p>
            <w:pPr>
              <w:spacing w:line="400" w:lineRule="exact"/>
              <w:ind w:firstLine="390"/>
              <w:rPr>
                <w:color w:val="auto"/>
                <w:highlight w:val="none"/>
              </w:rPr>
            </w:pPr>
            <w:r>
              <w:rPr>
                <w:color w:val="auto"/>
                <w:highlight w:val="none"/>
              </w:rPr>
              <w:t>（6）投标人必须严格按照</w:t>
            </w:r>
            <w:r>
              <w:rPr>
                <w:rFonts w:hint="eastAsia"/>
                <w:color w:val="auto"/>
                <w:highlight w:val="none"/>
              </w:rPr>
              <w:t>采购</w:t>
            </w:r>
            <w:r>
              <w:rPr>
                <w:color w:val="auto"/>
                <w:highlight w:val="none"/>
              </w:rPr>
              <w:t>固化清单填写，填写完毕的</w:t>
            </w:r>
            <w:r>
              <w:rPr>
                <w:rFonts w:hint="eastAsia"/>
                <w:color w:val="auto"/>
                <w:highlight w:val="none"/>
              </w:rPr>
              <w:t>采购</w:t>
            </w:r>
            <w:r>
              <w:rPr>
                <w:color w:val="auto"/>
                <w:highlight w:val="none"/>
              </w:rPr>
              <w:t>固化清单未对</w:t>
            </w:r>
            <w:r>
              <w:rPr>
                <w:rFonts w:hint="eastAsia"/>
                <w:color w:val="auto"/>
                <w:highlight w:val="none"/>
              </w:rPr>
              <w:t>采购</w:t>
            </w:r>
            <w:r>
              <w:rPr>
                <w:color w:val="auto"/>
                <w:highlight w:val="none"/>
              </w:rPr>
              <w:t>固化清单电子文件中的数据、格式和运算定义进行修改；</w:t>
            </w:r>
            <w:r>
              <w:rPr>
                <w:rFonts w:hint="eastAsia"/>
                <w:color w:val="auto"/>
                <w:highlight w:val="none"/>
              </w:rPr>
              <w:t>采购</w:t>
            </w:r>
            <w:r>
              <w:rPr>
                <w:color w:val="auto"/>
                <w:highlight w:val="none"/>
              </w:rPr>
              <w:t>固化清单中的投标报价和投标函大写金额报价一致。</w:t>
            </w:r>
          </w:p>
          <w:p>
            <w:pPr>
              <w:spacing w:line="400" w:lineRule="exact"/>
              <w:ind w:firstLine="390"/>
              <w:rPr>
                <w:rFonts w:hint="eastAsia"/>
                <w:color w:val="auto"/>
                <w:highlight w:val="none"/>
              </w:rPr>
            </w:pPr>
            <w:r>
              <w:rPr>
                <w:color w:val="auto"/>
                <w:highlight w:val="none"/>
              </w:rPr>
              <w:t>（7）投标人必须按招标人提供的具有防伪水印的</w:t>
            </w:r>
            <w:r>
              <w:rPr>
                <w:rFonts w:hint="eastAsia"/>
                <w:color w:val="auto"/>
                <w:highlight w:val="none"/>
              </w:rPr>
              <w:t>采购固化</w:t>
            </w:r>
            <w:r>
              <w:rPr>
                <w:color w:val="auto"/>
                <w:highlight w:val="none"/>
              </w:rPr>
              <w:t xml:space="preserve">清单打印并装订在投标文件中。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5"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2.1.2</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资格评审标准</w:t>
            </w:r>
          </w:p>
        </w:tc>
        <w:tc>
          <w:tcPr>
            <w:tcW w:w="7635" w:type="dxa"/>
            <w:tcBorders>
              <w:top w:val="single" w:color="auto" w:sz="4" w:space="0"/>
              <w:left w:val="single" w:color="auto" w:sz="4" w:space="0"/>
              <w:right w:val="single" w:color="auto" w:sz="4" w:space="0"/>
            </w:tcBorders>
            <w:noWrap w:val="0"/>
            <w:vAlign w:val="center"/>
          </w:tcPr>
          <w:p>
            <w:pPr>
              <w:pStyle w:val="2"/>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投标人具备有效的营业执照</w:t>
            </w:r>
            <w:r>
              <w:rPr>
                <w:rFonts w:hint="eastAsia" w:ascii="宋体" w:hAnsi="宋体"/>
                <w:color w:val="auto"/>
                <w:highlight w:val="none"/>
              </w:rPr>
              <w:t>、</w:t>
            </w:r>
            <w:r>
              <w:rPr>
                <w:rFonts w:ascii="宋体" w:hAnsi="宋体"/>
                <w:color w:val="auto"/>
                <w:szCs w:val="21"/>
                <w:highlight w:val="none"/>
              </w:rPr>
              <w:t>组织机构代码证（如有）和基本账户开户许可证</w:t>
            </w:r>
            <w:r>
              <w:rPr>
                <w:rFonts w:hint="eastAsia" w:ascii="宋体" w:hAnsi="宋体"/>
                <w:color w:val="auto"/>
                <w:szCs w:val="21"/>
                <w:highlight w:val="none"/>
              </w:rPr>
              <w:t>（如企业所在地已取消企业银行账户许可而无法提供开户许可证的，则需附上开户银行出具的“基本存款账户信息”或“人民银行账户管理系统查询的基本账户信息截图”）；</w:t>
            </w:r>
          </w:p>
          <w:p>
            <w:pPr>
              <w:pStyle w:val="2"/>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投标人的资质</w:t>
            </w:r>
            <w:r>
              <w:rPr>
                <w:rFonts w:hint="eastAsia" w:ascii="宋体" w:hAnsi="宋体"/>
                <w:color w:val="auto"/>
                <w:szCs w:val="21"/>
                <w:highlight w:val="none"/>
              </w:rPr>
              <w:t>状况</w:t>
            </w:r>
            <w:r>
              <w:rPr>
                <w:rFonts w:ascii="宋体" w:hAnsi="宋体"/>
                <w:color w:val="auto"/>
                <w:szCs w:val="21"/>
                <w:highlight w:val="none"/>
              </w:rPr>
              <w:t>符合招标文件规定；</w:t>
            </w:r>
          </w:p>
          <w:p>
            <w:pPr>
              <w:pStyle w:val="2"/>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投标人的财务状况符合招标文件规定；</w:t>
            </w:r>
          </w:p>
          <w:p>
            <w:pPr>
              <w:pStyle w:val="2"/>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投标人的类似项目业绩符合招标文件规定；</w:t>
            </w:r>
          </w:p>
          <w:p>
            <w:pPr>
              <w:pStyle w:val="2"/>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投标人的信誉符合招标文件规定；</w:t>
            </w:r>
          </w:p>
          <w:p>
            <w:pPr>
              <w:pStyle w:val="2"/>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（6）投标人的样品符合招标文件规定；</w:t>
            </w:r>
          </w:p>
          <w:p>
            <w:pPr>
              <w:pStyle w:val="2"/>
              <w:ind w:firstLine="42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ascii="宋体" w:hAnsi="宋体"/>
                <w:color w:val="auto"/>
                <w:szCs w:val="21"/>
                <w:highlight w:val="none"/>
              </w:rPr>
              <w:t>不存在第二章“投标人须知”第</w:t>
            </w:r>
            <w:r>
              <w:rPr>
                <w:rFonts w:hint="eastAsia" w:ascii="宋体" w:hAnsi="宋体"/>
                <w:color w:val="auto"/>
                <w:szCs w:val="21"/>
                <w:highlight w:val="none"/>
              </w:rPr>
              <w:t>3.5</w:t>
            </w:r>
            <w:r>
              <w:rPr>
                <w:rFonts w:ascii="宋体" w:hAnsi="宋体"/>
                <w:color w:val="auto"/>
                <w:szCs w:val="21"/>
                <w:highlight w:val="none"/>
              </w:rPr>
              <w:t>项规定的任何情形</w:t>
            </w:r>
            <w:r>
              <w:rPr>
                <w:rFonts w:hint="eastAsia" w:ascii="宋体" w:hAnsi="宋体"/>
                <w:color w:val="auto"/>
                <w:szCs w:val="21"/>
                <w:highlight w:val="none"/>
              </w:rPr>
              <w:t>。</w:t>
            </w:r>
            <w:r>
              <w:rPr>
                <w:rFonts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41" w:type="dxa"/>
            <w:tcBorders>
              <w:top w:val="single" w:color="auto" w:sz="4" w:space="0"/>
              <w:right w:val="single" w:color="auto" w:sz="4" w:space="0"/>
            </w:tcBorders>
            <w:noWrap w:val="0"/>
            <w:vAlign w:val="center"/>
          </w:tcPr>
          <w:p>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2.1.3</w:t>
            </w:r>
          </w:p>
        </w:tc>
        <w:tc>
          <w:tcPr>
            <w:tcW w:w="1085" w:type="dxa"/>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资格评审标准</w:t>
            </w:r>
          </w:p>
          <w:p>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样品）</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ind w:firstLine="420" w:firstLineChars="200"/>
              <w:jc w:val="left"/>
              <w:rPr>
                <w:rFonts w:hint="eastAsia"/>
                <w:color w:val="auto"/>
                <w:highlight w:val="none"/>
                <w:lang w:val="en-US" w:eastAsia="zh-CN"/>
              </w:rPr>
            </w:pPr>
            <w:r>
              <w:rPr>
                <w:rFonts w:hint="eastAsia"/>
                <w:color w:val="auto"/>
                <w:highlight w:val="none"/>
                <w:lang w:val="en-US" w:eastAsia="zh-CN"/>
              </w:rPr>
              <w:t>样品检测报告要求现场扫码可查，检测结果应与随样品提交的检测报告数据一致。</w:t>
            </w:r>
          </w:p>
          <w:p>
            <w:pPr>
              <w:pStyle w:val="2"/>
              <w:numPr>
                <w:ilvl w:val="0"/>
                <w:numId w:val="2"/>
              </w:numPr>
              <w:ind w:left="0" w:leftChars="0" w:firstLine="420" w:firstLineChars="200"/>
              <w:rPr>
                <w:rFonts w:hint="eastAsia" w:ascii="宋体" w:hAnsi="宋体"/>
                <w:color w:val="auto"/>
                <w:szCs w:val="21"/>
                <w:highlight w:val="none"/>
                <w:lang w:eastAsia="zh-CN"/>
              </w:rPr>
            </w:pPr>
            <w:r>
              <w:rPr>
                <w:rFonts w:hint="eastAsia"/>
                <w:color w:val="auto"/>
                <w:szCs w:val="21"/>
                <w:highlight w:val="none"/>
              </w:rPr>
              <w:t>投标样品及附属品（</w:t>
            </w:r>
            <w:r>
              <w:rPr>
                <w:rFonts w:hint="eastAsia"/>
                <w:color w:val="auto"/>
                <w:szCs w:val="21"/>
                <w:highlight w:val="none"/>
                <w:lang w:val="en-US" w:eastAsia="zh-CN"/>
              </w:rPr>
              <w:t>如有</w:t>
            </w:r>
            <w:r>
              <w:rPr>
                <w:rFonts w:hint="eastAsia"/>
                <w:color w:val="auto"/>
                <w:szCs w:val="21"/>
                <w:highlight w:val="none"/>
              </w:rPr>
              <w:t>包装袋、包装箱）</w:t>
            </w:r>
            <w:r>
              <w:rPr>
                <w:rFonts w:hint="eastAsia" w:ascii="宋体" w:hAnsi="宋体"/>
                <w:color w:val="auto"/>
                <w:szCs w:val="21"/>
                <w:highlight w:val="none"/>
              </w:rPr>
              <w:t>不能带有任何能识别投标人的厂家标签、品牌标志</w:t>
            </w:r>
            <w:r>
              <w:rPr>
                <w:rFonts w:hint="eastAsia" w:ascii="宋体" w:hAnsi="宋体"/>
                <w:color w:val="auto"/>
                <w:szCs w:val="21"/>
                <w:highlight w:val="none"/>
                <w:lang w:eastAsia="zh-CN"/>
              </w:rPr>
              <w:t>。</w:t>
            </w:r>
          </w:p>
          <w:p>
            <w:pPr>
              <w:pStyle w:val="2"/>
              <w:numPr>
                <w:ilvl w:val="0"/>
                <w:numId w:val="2"/>
              </w:numPr>
              <w:ind w:left="0" w:leftChars="0" w:firstLine="420" w:firstLineChars="200"/>
              <w:rPr>
                <w:rFonts w:hint="default"/>
                <w:color w:val="auto"/>
                <w:highlight w:val="none"/>
                <w:lang w:val="en-US" w:eastAsia="zh-CN"/>
              </w:rPr>
            </w:pPr>
            <w:r>
              <w:rPr>
                <w:rFonts w:hint="eastAsia" w:ascii="宋体" w:hAnsi="宋体"/>
                <w:color w:val="auto"/>
                <w:szCs w:val="21"/>
                <w:highlight w:val="none"/>
              </w:rPr>
              <w:t>与招标人提供的版衣外观明显不一致（单件样品三处以上含三处）或全套样品出现缺件等不完整的情况，则视为全套样品无效</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741" w:type="dxa"/>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2.2.1</w:t>
            </w:r>
          </w:p>
        </w:tc>
        <w:tc>
          <w:tcPr>
            <w:tcW w:w="1085" w:type="dxa"/>
            <w:tcBorders>
              <w:top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ascii="宋体" w:hAnsi="宋体"/>
                <w:color w:val="auto"/>
                <w:szCs w:val="21"/>
                <w:highlight w:val="none"/>
              </w:rPr>
              <w:t>分值构成</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Cs w:val="21"/>
                <w:highlight w:val="none"/>
              </w:rPr>
            </w:pPr>
            <w:r>
              <w:rPr>
                <w:rFonts w:hint="eastAsia" w:ascii="宋体" w:hAnsi="宋体" w:eastAsia="宋体" w:cs="宋体"/>
                <w:color w:val="auto"/>
                <w:highlight w:val="none"/>
              </w:rPr>
              <w:t>评标价：100分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6" w:hRule="atLeast"/>
          <w:jc w:val="center"/>
        </w:trPr>
        <w:tc>
          <w:tcPr>
            <w:tcW w:w="741" w:type="dxa"/>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2.2.2</w:t>
            </w:r>
          </w:p>
        </w:tc>
        <w:tc>
          <w:tcPr>
            <w:tcW w:w="1085" w:type="dxa"/>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评标基准价计算方法</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评标基准价的计算：</w:t>
            </w:r>
          </w:p>
          <w:p>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在开标现场，招标人将当场计算并宣布评标基准价。</w:t>
            </w:r>
          </w:p>
          <w:p>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 评标价的确定：</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投标人评标价＝报价函文字报价</w:t>
            </w:r>
          </w:p>
          <w:p>
            <w:pPr>
              <w:snapToGrid w:val="0"/>
              <w:spacing w:line="400" w:lineRule="exact"/>
              <w:ind w:firstLine="422" w:firstLineChars="200"/>
              <w:rPr>
                <w:rFonts w:hint="eastAsia" w:ascii="宋体" w:hAnsi="宋体"/>
                <w:b/>
                <w:color w:val="auto"/>
                <w:kern w:val="0"/>
                <w:szCs w:val="21"/>
                <w:highlight w:val="none"/>
              </w:rPr>
            </w:pPr>
            <w:r>
              <w:rPr>
                <w:rFonts w:hint="eastAsia" w:ascii="宋体" w:hAnsi="宋体"/>
                <w:b/>
                <w:color w:val="auto"/>
                <w:kern w:val="0"/>
                <w:szCs w:val="21"/>
                <w:highlight w:val="none"/>
              </w:rPr>
              <w:t>(2) 最高评标限价的确定</w:t>
            </w:r>
          </w:p>
          <w:p>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最高投标限价=</w:t>
            </w:r>
            <w:r>
              <w:rPr>
                <w:rFonts w:hint="eastAsia" w:ascii="宋体" w:hAnsi="宋体"/>
                <w:color w:val="auto"/>
                <w:kern w:val="0"/>
                <w:szCs w:val="21"/>
                <w:highlight w:val="none"/>
                <w:lang w:eastAsia="zh-CN"/>
              </w:rPr>
              <w:t>1</w:t>
            </w:r>
            <w:r>
              <w:rPr>
                <w:rFonts w:hint="eastAsia" w:ascii="宋体" w:hAnsi="宋体"/>
                <w:color w:val="auto"/>
                <w:kern w:val="0"/>
                <w:szCs w:val="21"/>
                <w:highlight w:val="none"/>
                <w:lang w:val="en-US" w:eastAsia="zh-CN"/>
              </w:rPr>
              <w:t>1733855</w:t>
            </w:r>
            <w:r>
              <w:rPr>
                <w:rFonts w:hint="eastAsia" w:ascii="宋体" w:hAnsi="宋体"/>
                <w:color w:val="auto"/>
                <w:kern w:val="0"/>
                <w:szCs w:val="21"/>
                <w:highlight w:val="none"/>
              </w:rPr>
              <w:t>元</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最高投标限价下浮率在第二个信封开标前在开标现场采取摇珠方式确定。摇珠操作办法如下：</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最高投标限价下浮率范围为2%</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w:t>
            </w:r>
            <w:r>
              <w:rPr>
                <w:rFonts w:hint="eastAsia" w:ascii="宋体" w:hAnsi="宋体"/>
                <w:color w:val="auto"/>
                <w:kern w:val="0"/>
                <w:szCs w:val="21"/>
                <w:highlight w:val="none"/>
              </w:rPr>
              <w:t>取31 个球，在下浮率范围内，以0.1%为一档次增序确定摇珠号码，每次摇取1 个球（摇出的球</w:t>
            </w:r>
            <w:r>
              <w:rPr>
                <w:rFonts w:hint="eastAsia" w:ascii="宋体" w:hAnsi="宋体"/>
                <w:color w:val="auto"/>
                <w:kern w:val="0"/>
                <w:szCs w:val="21"/>
                <w:highlight w:val="none"/>
                <w:lang w:val="en-US" w:eastAsia="zh-CN"/>
              </w:rPr>
              <w:t>不</w:t>
            </w:r>
            <w:r>
              <w:rPr>
                <w:rFonts w:hint="eastAsia" w:ascii="宋体" w:hAnsi="宋体"/>
                <w:color w:val="auto"/>
                <w:kern w:val="0"/>
                <w:szCs w:val="21"/>
                <w:highlight w:val="none"/>
              </w:rPr>
              <w:t>放回），一共摇取3次，对摇出的3个球取平均值为对应的下浮率即为最高投标限价下浮率。</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最高评标限价＝最高投标限价×（1-下浮率）</w:t>
            </w:r>
          </w:p>
          <w:p>
            <w:pPr>
              <w:snapToGrid w:val="0"/>
              <w:spacing w:line="400" w:lineRule="exact"/>
              <w:ind w:firstLine="422" w:firstLineChars="200"/>
              <w:rPr>
                <w:rFonts w:hint="eastAsia" w:ascii="宋体" w:hAnsi="宋体"/>
                <w:b/>
                <w:bCs/>
                <w:color w:val="auto"/>
                <w:kern w:val="0"/>
                <w:szCs w:val="21"/>
                <w:highlight w:val="none"/>
              </w:rPr>
            </w:pPr>
            <w:r>
              <w:rPr>
                <w:rFonts w:hint="eastAsia" w:ascii="宋体" w:hAnsi="宋体"/>
                <w:b/>
                <w:bCs/>
                <w:color w:val="auto"/>
                <w:kern w:val="0"/>
                <w:szCs w:val="21"/>
                <w:highlight w:val="none"/>
              </w:rPr>
              <w:t>（3）有效评标价范围：</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有效评标价范围为：不大于最高评标限价的评标价为有效评标价。大于最高评标限价的评标价，将否决其投标。</w:t>
            </w:r>
          </w:p>
          <w:p>
            <w:pPr>
              <w:snapToGrid w:val="0"/>
              <w:spacing w:line="400" w:lineRule="exact"/>
              <w:ind w:firstLine="422" w:firstLineChars="200"/>
              <w:rPr>
                <w:rFonts w:hint="eastAsia"/>
                <w:b/>
                <w:bCs/>
                <w:color w:val="auto"/>
                <w:highlight w:val="none"/>
              </w:rPr>
            </w:pPr>
            <w:r>
              <w:rPr>
                <w:rFonts w:hint="eastAsia"/>
                <w:b/>
                <w:bCs/>
                <w:color w:val="auto"/>
                <w:highlight w:val="none"/>
              </w:rPr>
              <w:t>（4）评标基准价的确定：</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最高评标限价下浮2.0%作为</w:t>
            </w:r>
            <w:r>
              <w:rPr>
                <w:rFonts w:hint="eastAsia" w:ascii="宋体" w:hAnsi="宋体"/>
                <w:b/>
                <w:bCs/>
                <w:color w:val="auto"/>
                <w:kern w:val="0"/>
                <w:szCs w:val="21"/>
                <w:highlight w:val="none"/>
              </w:rPr>
              <w:t>评标基准价</w:t>
            </w:r>
            <w:r>
              <w:rPr>
                <w:rFonts w:hint="eastAsia" w:ascii="宋体" w:hAnsi="宋体"/>
                <w:color w:val="auto"/>
                <w:kern w:val="0"/>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400" w:lineRule="exact"/>
              <w:ind w:firstLine="420" w:firstLineChars="200"/>
              <w:rPr>
                <w:rFonts w:hint="eastAsia"/>
                <w:b/>
                <w:bCs/>
                <w:color w:val="auto"/>
                <w:sz w:val="28"/>
                <w:szCs w:val="28"/>
                <w:highlight w:val="none"/>
              </w:rPr>
            </w:pPr>
            <w:r>
              <w:rPr>
                <w:rFonts w:hint="eastAsia" w:ascii="宋体" w:hAnsi="宋体"/>
                <w:color w:val="auto"/>
                <w:kern w:val="0"/>
                <w:szCs w:val="21"/>
                <w:highlight w:val="none"/>
              </w:rPr>
              <w:t>备注：最高评标限价、评标基准价四舍五入至个位整数元。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2"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2.2.3</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color w:val="auto"/>
                <w:highlight w:val="none"/>
              </w:rPr>
              <w:t>偏差率计算公式</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
                <w:color w:val="auto"/>
                <w:szCs w:val="21"/>
                <w:highlight w:val="none"/>
              </w:rPr>
            </w:pPr>
            <w:r>
              <w:rPr>
                <w:rFonts w:ascii="宋体" w:hAnsi="宋体"/>
                <w:color w:val="auto"/>
                <w:szCs w:val="21"/>
                <w:highlight w:val="none"/>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70" w:hRule="atLeast"/>
          <w:jc w:val="center"/>
        </w:trPr>
        <w:tc>
          <w:tcPr>
            <w:tcW w:w="74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2.2.4</w:t>
            </w:r>
          </w:p>
        </w:tc>
        <w:tc>
          <w:tcPr>
            <w:tcW w:w="108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评标价</w:t>
            </w:r>
          </w:p>
          <w:p>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得分</w:t>
            </w:r>
          </w:p>
        </w:tc>
        <w:tc>
          <w:tcPr>
            <w:tcW w:w="7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100 分</w:t>
            </w:r>
          </w:p>
          <w:p>
            <w:pPr>
              <w:spacing w:line="400" w:lineRule="exact"/>
              <w:rPr>
                <w:rFonts w:hint="eastAsia" w:ascii="宋体" w:hAnsi="宋体"/>
                <w:color w:val="auto"/>
                <w:szCs w:val="21"/>
                <w:highlight w:val="none"/>
              </w:rPr>
            </w:pPr>
            <w:r>
              <w:rPr>
                <w:rFonts w:hint="eastAsia" w:ascii="宋体" w:hAnsi="宋体"/>
                <w:color w:val="auto"/>
                <w:szCs w:val="21"/>
                <w:highlight w:val="none"/>
              </w:rPr>
              <w:t>评标价得分计算公式示例：</w:t>
            </w:r>
          </w:p>
          <w:p>
            <w:pPr>
              <w:spacing w:line="400" w:lineRule="exact"/>
              <w:rPr>
                <w:rFonts w:hint="eastAsia" w:ascii="宋体" w:hAnsi="宋体"/>
                <w:color w:val="auto"/>
                <w:szCs w:val="21"/>
                <w:highlight w:val="none"/>
              </w:rPr>
            </w:pPr>
            <w:r>
              <w:rPr>
                <w:rFonts w:hint="eastAsia" w:ascii="宋体" w:hAnsi="宋体"/>
                <w:color w:val="auto"/>
                <w:szCs w:val="21"/>
                <w:highlight w:val="none"/>
              </w:rPr>
              <w:t>(1) 如果投标人的评标价&gt; 评标基准价， 则评标价得分＝ 100 － 偏差率</w:t>
            </w:r>
          </w:p>
          <w:p>
            <w:pPr>
              <w:spacing w:line="400" w:lineRule="exact"/>
              <w:rPr>
                <w:rFonts w:hint="eastAsia" w:ascii="宋体" w:hAnsi="宋体"/>
                <w:color w:val="auto"/>
                <w:szCs w:val="21"/>
                <w:highlight w:val="none"/>
              </w:rPr>
            </w:pPr>
            <w:r>
              <w:rPr>
                <w:rFonts w:hint="eastAsia" w:ascii="宋体" w:hAnsi="宋体"/>
                <w:color w:val="auto"/>
                <w:szCs w:val="21"/>
                <w:highlight w:val="none"/>
              </w:rPr>
              <w:t>×100×D1；D1 取</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hint="eastAsia" w:ascii="宋体" w:hAnsi="宋体"/>
                <w:color w:val="auto"/>
                <w:szCs w:val="21"/>
                <w:highlight w:val="none"/>
              </w:rPr>
              <w:t>(2) 如果投标人的评标价≤ 评标基准价， 则评标价得分＝ 100 ＋ 偏差率</w:t>
            </w:r>
          </w:p>
          <w:p>
            <w:pPr>
              <w:spacing w:line="400" w:lineRule="exact"/>
              <w:rPr>
                <w:rFonts w:hint="eastAsia" w:ascii="宋体" w:hAnsi="宋体"/>
                <w:color w:val="auto"/>
                <w:szCs w:val="21"/>
                <w:highlight w:val="none"/>
              </w:rPr>
            </w:pPr>
            <w:r>
              <w:rPr>
                <w:rFonts w:hint="eastAsia" w:ascii="宋体" w:hAnsi="宋体"/>
                <w:color w:val="auto"/>
                <w:szCs w:val="21"/>
                <w:highlight w:val="none"/>
              </w:rPr>
              <w:t>×100×D2；D2 取1 。</w:t>
            </w:r>
          </w:p>
          <w:p>
            <w:pPr>
              <w:spacing w:line="400" w:lineRule="exact"/>
              <w:rPr>
                <w:rFonts w:hint="eastAsia" w:ascii="宋体" w:hAnsi="宋体"/>
                <w:color w:val="auto"/>
                <w:szCs w:val="21"/>
                <w:highlight w:val="none"/>
              </w:rPr>
            </w:pPr>
            <w:r>
              <w:rPr>
                <w:rFonts w:hint="eastAsia" w:ascii="宋体" w:hAnsi="宋体"/>
                <w:color w:val="auto"/>
                <w:szCs w:val="21"/>
                <w:highlight w:val="none"/>
              </w:rPr>
              <w:t>注：评标价得分四舍五入至小数点后四位。</w:t>
            </w:r>
          </w:p>
        </w:tc>
      </w:tr>
    </w:tbl>
    <w:p>
      <w:pPr>
        <w:pStyle w:val="3"/>
        <w:rPr>
          <w:rFonts w:eastAsia="黑体"/>
          <w:color w:val="auto"/>
          <w:sz w:val="32"/>
          <w:szCs w:val="32"/>
          <w:highlight w:val="none"/>
        </w:rPr>
      </w:pPr>
    </w:p>
    <w:p>
      <w:pPr>
        <w:spacing w:before="300" w:after="300" w:line="400" w:lineRule="exact"/>
        <w:outlineLvl w:val="0"/>
        <w:rPr>
          <w:rFonts w:hint="eastAsia" w:ascii="宋体" w:hAnsi="宋体"/>
          <w:b/>
          <w:color w:val="auto"/>
          <w:kern w:val="44"/>
          <w:sz w:val="28"/>
          <w:szCs w:val="28"/>
          <w:highlight w:val="none"/>
        </w:rPr>
      </w:pPr>
      <w:r>
        <w:rPr>
          <w:rFonts w:hint="eastAsia" w:ascii="宋体" w:hAnsi="宋体"/>
          <w:b/>
          <w:color w:val="auto"/>
          <w:kern w:val="44"/>
          <w:sz w:val="28"/>
          <w:szCs w:val="28"/>
          <w:highlight w:val="none"/>
        </w:rPr>
        <w:t>1. 评标方法、组织及工作程序</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1.1评标方法</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双信封合理低价法。评标委员会对满足招标文件实质性要求的投标文件，按照本章第2.2款规定的评分标准进行打分，并按得分由高到低顺序推荐中标候选人。综合评分相等时，评标委员会应按照评标办法前附表规定的优先次序推荐中标候选人。</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1.2评标组织</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1.2.1协助工作组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招标人可以协助评标委员会开展下列工作并提供相关信息：</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）根据招标文件，编制评标使用的相应表格；</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（2）以评标标准和方法为依据，列出投标文件相对于招标文件的所有偏差，并进行归类汇总；</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（3）对投标人的资质、业绩情况进行核实。</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招标人不得对投标文件作出任何评价，不得故意遗漏或者片面摘录，不得在评标委员会对所有偏差定性之前透露存有偏差的投标人名称。</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1.2.2评标委员会组建</w:t>
      </w:r>
    </w:p>
    <w:p>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评标委员会的组建按</w:t>
      </w:r>
      <w:r>
        <w:rPr>
          <w:rFonts w:hint="eastAsia" w:ascii="宋体" w:hAnsi="宋体"/>
          <w:color w:val="auto"/>
          <w:szCs w:val="21"/>
          <w:highlight w:val="none"/>
        </w:rPr>
        <w:t xml:space="preserve">“第二章 </w:t>
      </w:r>
      <w:r>
        <w:rPr>
          <w:rFonts w:ascii="宋体" w:hAnsi="宋体"/>
          <w:color w:val="auto"/>
          <w:szCs w:val="21"/>
          <w:highlight w:val="none"/>
        </w:rPr>
        <w:t>投标人须知</w:t>
      </w:r>
      <w:r>
        <w:rPr>
          <w:rFonts w:hint="eastAsia" w:ascii="宋体" w:hAnsi="宋体"/>
          <w:color w:val="auto"/>
          <w:szCs w:val="21"/>
          <w:highlight w:val="none"/>
        </w:rPr>
        <w:t>”</w:t>
      </w:r>
      <w:r>
        <w:rPr>
          <w:rFonts w:ascii="宋体" w:hAnsi="宋体"/>
          <w:color w:val="auto"/>
          <w:szCs w:val="21"/>
          <w:highlight w:val="none"/>
        </w:rPr>
        <w:t>第</w:t>
      </w:r>
      <w:r>
        <w:rPr>
          <w:rFonts w:hint="eastAsia" w:ascii="宋体" w:hAnsi="宋体"/>
          <w:color w:val="auto"/>
          <w:szCs w:val="21"/>
          <w:highlight w:val="none"/>
        </w:rPr>
        <w:t>22</w:t>
      </w:r>
      <w:r>
        <w:rPr>
          <w:rFonts w:ascii="宋体" w:hAnsi="宋体"/>
          <w:color w:val="auto"/>
          <w:szCs w:val="21"/>
          <w:highlight w:val="none"/>
        </w:rPr>
        <w:t>.1项执行。评标委员会的主要工作内容包括：</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（1）评标委员会开始评标工作之前，首先听取招标人、协助工作组关于工程情况和辅助工作的说明，并认真研读招标文件，获取评标所需的重要信息和数据；</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（2）对协助工作组提供的评标工作用表和评标内容进行认真核查；</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（3）按照以下</w:t>
      </w:r>
      <w:r>
        <w:rPr>
          <w:rFonts w:ascii="宋体" w:hAnsi="宋体"/>
          <w:color w:val="auto"/>
          <w:szCs w:val="21"/>
          <w:highlight w:val="none"/>
        </w:rPr>
        <w:t xml:space="preserve">1.3 </w:t>
      </w:r>
      <w:r>
        <w:rPr>
          <w:rFonts w:hint="eastAsia" w:ascii="宋体" w:hAnsi="宋体"/>
          <w:color w:val="auto"/>
          <w:szCs w:val="21"/>
          <w:highlight w:val="none"/>
        </w:rPr>
        <w:t>款程序进行各项评审工作。</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1.3评审工作程序</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（一）第一信封（商务文件和技术文件）：</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（1）初步评审，包括形式评审与响应性评审、资格评审（适用于资格后审）；</w:t>
      </w:r>
    </w:p>
    <w:p>
      <w:pPr>
        <w:spacing w:line="400" w:lineRule="exact"/>
        <w:ind w:firstLine="420" w:firstLineChars="200"/>
        <w:rPr>
          <w:rFonts w:hint="default" w:eastAsia="宋体"/>
          <w:color w:val="auto"/>
          <w:highlight w:val="none"/>
          <w:lang w:val="en-US" w:eastAsia="zh-CN"/>
        </w:rPr>
      </w:pPr>
      <w:r>
        <w:rPr>
          <w:rFonts w:hint="eastAsia" w:ascii="宋体" w:hAnsi="宋体"/>
          <w:color w:val="auto"/>
          <w:szCs w:val="21"/>
          <w:highlight w:val="none"/>
        </w:rPr>
        <w:t>（2）详细评审（评审打分）：评标委员会首先对通过初步评审的投标文件第一个信封（商务及技术文件）进行详细评审。</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（二）第二信封（报价文件）：</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1、初步评审：</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（1）只有投标文件第一个信封通过详细评审的投标人才能继续参加第二信封报价文件的形式评审与响应性评审。</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2、详细评审：计算</w:t>
      </w:r>
      <w:r>
        <w:rPr>
          <w:rFonts w:hint="eastAsia" w:ascii="宋体" w:hAnsi="宋体"/>
          <w:b/>
          <w:color w:val="auto"/>
          <w:szCs w:val="21"/>
          <w:highlight w:val="none"/>
        </w:rPr>
        <w:t>评标基准价</w:t>
      </w:r>
      <w:r>
        <w:rPr>
          <w:rFonts w:hint="eastAsia" w:ascii="宋体" w:hAnsi="宋体"/>
          <w:color w:val="auto"/>
          <w:szCs w:val="21"/>
          <w:highlight w:val="none"/>
        </w:rPr>
        <w:t>、</w:t>
      </w:r>
      <w:r>
        <w:rPr>
          <w:rFonts w:hint="eastAsia" w:ascii="宋体" w:hAnsi="宋体"/>
          <w:b/>
          <w:color w:val="auto"/>
          <w:szCs w:val="21"/>
          <w:highlight w:val="none"/>
        </w:rPr>
        <w:t>评标价</w:t>
      </w:r>
      <w:r>
        <w:rPr>
          <w:rFonts w:hint="eastAsia" w:ascii="宋体" w:hAnsi="宋体"/>
          <w:color w:val="auto"/>
          <w:szCs w:val="21"/>
          <w:highlight w:val="none"/>
        </w:rPr>
        <w:t>得分；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（三）投标文件相关信息的核查。</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（四）投标文件的澄清和说明</w:t>
      </w:r>
      <w:r>
        <w:rPr>
          <w:rFonts w:ascii="宋体" w:hAnsi="宋体"/>
          <w:color w:val="auto"/>
          <w:szCs w:val="21"/>
          <w:highlight w:val="none"/>
        </w:rPr>
        <w:t>(</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w:t>
      </w:r>
    </w:p>
    <w:p>
      <w:pPr>
        <w:pStyle w:val="3"/>
        <w:spacing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（五）按评标办法规定推荐中标候选人，编写评标报告。</w:t>
      </w:r>
    </w:p>
    <w:p>
      <w:pPr>
        <w:spacing w:before="300" w:after="300" w:line="400" w:lineRule="exact"/>
        <w:outlineLvl w:val="0"/>
        <w:rPr>
          <w:rFonts w:ascii="宋体" w:hAnsi="宋体"/>
          <w:b/>
          <w:color w:val="auto"/>
          <w:kern w:val="44"/>
          <w:sz w:val="28"/>
          <w:szCs w:val="28"/>
          <w:highlight w:val="none"/>
        </w:rPr>
      </w:pPr>
      <w:r>
        <w:rPr>
          <w:rFonts w:ascii="宋体" w:hAnsi="宋体"/>
          <w:b/>
          <w:color w:val="auto"/>
          <w:kern w:val="44"/>
          <w:sz w:val="28"/>
          <w:szCs w:val="28"/>
          <w:highlight w:val="none"/>
        </w:rPr>
        <w:t>2. 评审标准</w:t>
      </w:r>
    </w:p>
    <w:p>
      <w:pPr>
        <w:spacing w:before="300" w:after="300" w:line="400" w:lineRule="exact"/>
        <w:outlineLvl w:val="0"/>
        <w:rPr>
          <w:rFonts w:ascii="宋体" w:hAnsi="宋体"/>
          <w:b/>
          <w:color w:val="auto"/>
          <w:kern w:val="44"/>
          <w:sz w:val="24"/>
          <w:highlight w:val="none"/>
        </w:rPr>
      </w:pPr>
      <w:r>
        <w:rPr>
          <w:rFonts w:ascii="宋体" w:hAnsi="宋体"/>
          <w:b/>
          <w:color w:val="auto"/>
          <w:kern w:val="44"/>
          <w:sz w:val="24"/>
          <w:highlight w:val="none"/>
        </w:rPr>
        <w:t>2.1 初步评审标准</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2.1.1 形式评审标准：见评标办法前附表。</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2.1.2 资格评审标准：见评标办法前附表</w:t>
      </w:r>
      <w:r>
        <w:rPr>
          <w:rFonts w:hint="eastAsia" w:ascii="宋体" w:hAnsi="宋体"/>
          <w:color w:val="auto"/>
          <w:szCs w:val="21"/>
          <w:highlight w:val="none"/>
        </w:rPr>
        <w:t>及</w:t>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附录的资格</w:t>
      </w:r>
      <w:r>
        <w:rPr>
          <w:rFonts w:ascii="宋体" w:hAnsi="宋体"/>
          <w:color w:val="auto"/>
          <w:szCs w:val="21"/>
          <w:highlight w:val="none"/>
        </w:rPr>
        <w:t>审查</w:t>
      </w:r>
      <w:r>
        <w:rPr>
          <w:rFonts w:hint="eastAsia" w:ascii="宋体" w:hAnsi="宋体"/>
          <w:color w:val="auto"/>
          <w:szCs w:val="21"/>
          <w:highlight w:val="none"/>
        </w:rPr>
        <w:t>条件</w:t>
      </w:r>
      <w:r>
        <w:rPr>
          <w:rFonts w:ascii="宋体" w:hAnsi="宋体"/>
          <w:color w:val="auto"/>
          <w:szCs w:val="21"/>
          <w:highlight w:val="none"/>
        </w:rPr>
        <w:t>标准。</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2.1.3 响应性评审标准：见评标办法前附表。</w:t>
      </w:r>
    </w:p>
    <w:p>
      <w:pPr>
        <w:spacing w:before="300" w:after="300" w:line="400" w:lineRule="exact"/>
        <w:outlineLvl w:val="0"/>
        <w:rPr>
          <w:rFonts w:ascii="宋体" w:hAnsi="宋体"/>
          <w:b/>
          <w:color w:val="auto"/>
          <w:kern w:val="44"/>
          <w:sz w:val="24"/>
          <w:highlight w:val="none"/>
        </w:rPr>
      </w:pPr>
      <w:r>
        <w:rPr>
          <w:rFonts w:ascii="宋体" w:hAnsi="宋体"/>
          <w:b/>
          <w:color w:val="auto"/>
          <w:kern w:val="44"/>
          <w:sz w:val="24"/>
          <w:highlight w:val="none"/>
        </w:rPr>
        <w:t>2.2 分值构成与评分标准</w:t>
      </w:r>
    </w:p>
    <w:p>
      <w:pPr>
        <w:overflowPunct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2.2.1 分值构成</w:t>
      </w:r>
    </w:p>
    <w:p>
      <w:pPr>
        <w:overflowPunct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评标价</w:t>
      </w:r>
      <w:r>
        <w:rPr>
          <w:rFonts w:hint="eastAsia" w:ascii="宋体" w:hAnsi="宋体"/>
          <w:color w:val="auto"/>
          <w:szCs w:val="21"/>
          <w:highlight w:val="none"/>
        </w:rPr>
        <w:t>标准</w:t>
      </w:r>
      <w:r>
        <w:rPr>
          <w:rFonts w:ascii="宋体" w:hAnsi="宋体"/>
          <w:color w:val="auto"/>
          <w:szCs w:val="21"/>
          <w:highlight w:val="none"/>
        </w:rPr>
        <w:t>：见评标办法前附表</w:t>
      </w:r>
      <w:r>
        <w:rPr>
          <w:rFonts w:hint="eastAsia" w:ascii="宋体" w:hAnsi="宋体"/>
          <w:color w:val="auto"/>
          <w:szCs w:val="21"/>
          <w:highlight w:val="none"/>
        </w:rPr>
        <w:t>。</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其他因素：见评标办法前附表。</w:t>
      </w:r>
    </w:p>
    <w:p>
      <w:pPr>
        <w:overflowPunct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2.2.2  评标基准价计算</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评标基准价计算方法：见评标办法前附表。</w:t>
      </w:r>
    </w:p>
    <w:p>
      <w:pPr>
        <w:overflowPunct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 xml:space="preserve">2.2.3  </w:t>
      </w:r>
      <w:r>
        <w:rPr>
          <w:rFonts w:hint="eastAsia" w:ascii="宋体" w:hAnsi="宋体"/>
          <w:b/>
          <w:color w:val="auto"/>
          <w:szCs w:val="21"/>
          <w:highlight w:val="none"/>
        </w:rPr>
        <w:t>评标价</w:t>
      </w:r>
      <w:r>
        <w:rPr>
          <w:rFonts w:ascii="宋体" w:hAnsi="宋体"/>
          <w:b/>
          <w:color w:val="auto"/>
          <w:szCs w:val="21"/>
          <w:highlight w:val="none"/>
        </w:rPr>
        <w:t>的偏差率计算</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评标价</w:t>
      </w:r>
      <w:r>
        <w:rPr>
          <w:rFonts w:ascii="宋体" w:hAnsi="宋体"/>
          <w:color w:val="auto"/>
          <w:szCs w:val="21"/>
          <w:highlight w:val="none"/>
        </w:rPr>
        <w:t>的偏差率计算公式：见评标办法前附表。</w:t>
      </w:r>
    </w:p>
    <w:p>
      <w:pPr>
        <w:overflowPunct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2.2.4  评分标准</w:t>
      </w:r>
    </w:p>
    <w:p>
      <w:pPr>
        <w:overflowPunct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评标价评分标准：见评标办法前附表</w:t>
      </w:r>
      <w:r>
        <w:rPr>
          <w:rFonts w:hint="eastAsia" w:ascii="宋体" w:hAnsi="宋体"/>
          <w:color w:val="auto"/>
          <w:szCs w:val="21"/>
          <w:highlight w:val="none"/>
        </w:rPr>
        <w:t>。</w:t>
      </w:r>
    </w:p>
    <w:p>
      <w:pPr>
        <w:spacing w:before="300" w:after="300" w:line="400" w:lineRule="exact"/>
        <w:outlineLvl w:val="0"/>
        <w:rPr>
          <w:rFonts w:ascii="宋体" w:hAnsi="宋体"/>
          <w:b/>
          <w:color w:val="auto"/>
          <w:kern w:val="44"/>
          <w:sz w:val="28"/>
          <w:szCs w:val="28"/>
          <w:highlight w:val="none"/>
        </w:rPr>
      </w:pPr>
      <w:r>
        <w:rPr>
          <w:rFonts w:ascii="宋体" w:hAnsi="宋体"/>
          <w:b/>
          <w:color w:val="auto"/>
          <w:kern w:val="44"/>
          <w:sz w:val="28"/>
          <w:szCs w:val="28"/>
          <w:highlight w:val="none"/>
        </w:rPr>
        <w:t>3. 评标程序</w:t>
      </w:r>
    </w:p>
    <w:p>
      <w:pPr>
        <w:spacing w:before="300" w:after="300" w:line="400" w:lineRule="exact"/>
        <w:outlineLvl w:val="0"/>
        <w:rPr>
          <w:rFonts w:ascii="宋体" w:hAnsi="宋体"/>
          <w:b/>
          <w:color w:val="auto"/>
          <w:kern w:val="44"/>
          <w:sz w:val="24"/>
          <w:highlight w:val="none"/>
        </w:rPr>
      </w:pPr>
      <w:r>
        <w:rPr>
          <w:rFonts w:ascii="宋体" w:hAnsi="宋体"/>
          <w:b/>
          <w:color w:val="auto"/>
          <w:kern w:val="44"/>
          <w:sz w:val="24"/>
          <w:highlight w:val="none"/>
        </w:rPr>
        <w:t xml:space="preserve">3.1 </w:t>
      </w:r>
      <w:r>
        <w:rPr>
          <w:rFonts w:hint="eastAsia" w:ascii="宋体" w:hAnsi="宋体"/>
          <w:b/>
          <w:color w:val="auto"/>
          <w:kern w:val="44"/>
          <w:sz w:val="24"/>
          <w:highlight w:val="none"/>
        </w:rPr>
        <w:t>第一个信封</w:t>
      </w:r>
      <w:r>
        <w:rPr>
          <w:rFonts w:ascii="宋体" w:hAnsi="宋体"/>
          <w:b/>
          <w:color w:val="auto"/>
          <w:kern w:val="44"/>
          <w:sz w:val="24"/>
          <w:highlight w:val="none"/>
        </w:rPr>
        <w:t>初步评审</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3.1.1 评标委员会可以要求投标人提交第二章“投标人须知”</w:t>
      </w:r>
      <w:r>
        <w:rPr>
          <w:rFonts w:hint="eastAsia" w:ascii="宋体" w:hAnsi="宋体"/>
          <w:b/>
          <w:bCs/>
          <w:color w:val="auto"/>
          <w:szCs w:val="21"/>
          <w:highlight w:val="none"/>
        </w:rPr>
        <w:t>“投标人须知附件：资格后审强制性条件”</w:t>
      </w:r>
      <w:r>
        <w:rPr>
          <w:rFonts w:hint="eastAsia" w:ascii="宋体" w:hAnsi="宋体"/>
          <w:color w:val="auto"/>
          <w:szCs w:val="21"/>
          <w:highlight w:val="none"/>
        </w:rPr>
        <w:t>规定的有关证明和证件的原件，以便核验。评标委员会依据本章第</w:t>
      </w:r>
      <w:r>
        <w:rPr>
          <w:rFonts w:ascii="宋体" w:hAnsi="宋体"/>
          <w:color w:val="auto"/>
          <w:szCs w:val="21"/>
          <w:highlight w:val="none"/>
        </w:rPr>
        <w:t xml:space="preserve"> 2.1 </w:t>
      </w:r>
      <w:r>
        <w:rPr>
          <w:rFonts w:hint="eastAsia" w:ascii="宋体" w:hAnsi="宋体"/>
          <w:color w:val="auto"/>
          <w:szCs w:val="21"/>
          <w:highlight w:val="none"/>
        </w:rPr>
        <w:t>款规定的标准对投标文件第一个信封（商务及技术文件）进行初步评审。有一项不符合评审标准的，评标委员会应否决其投标。</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3.2 第二个信封开标</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第一个信封（商务及技术文件）评审结束后，招标人将按照第二章“投标人须知”</w:t>
      </w:r>
      <w:r>
        <w:rPr>
          <w:rFonts w:ascii="宋体" w:hAnsi="宋体"/>
          <w:color w:val="auto"/>
          <w:szCs w:val="21"/>
          <w:highlight w:val="none"/>
        </w:rPr>
        <w:t xml:space="preserve"> </w:t>
      </w:r>
      <w:r>
        <w:rPr>
          <w:rFonts w:hint="eastAsia" w:ascii="宋体" w:hAnsi="宋体"/>
          <w:color w:val="auto"/>
          <w:szCs w:val="21"/>
          <w:highlight w:val="none"/>
        </w:rPr>
        <w:t>第</w:t>
      </w:r>
      <w:r>
        <w:rPr>
          <w:rFonts w:ascii="宋体" w:hAnsi="宋体"/>
          <w:color w:val="auto"/>
          <w:szCs w:val="21"/>
          <w:highlight w:val="none"/>
        </w:rPr>
        <w:t xml:space="preserve"> </w:t>
      </w:r>
      <w:r>
        <w:rPr>
          <w:rFonts w:hint="eastAsia" w:ascii="宋体" w:hAnsi="宋体"/>
          <w:color w:val="auto"/>
          <w:szCs w:val="21"/>
          <w:highlight w:val="none"/>
        </w:rPr>
        <w:t>20</w:t>
      </w:r>
      <w:r>
        <w:rPr>
          <w:rFonts w:ascii="宋体" w:hAnsi="宋体"/>
          <w:color w:val="auto"/>
          <w:szCs w:val="21"/>
          <w:highlight w:val="none"/>
        </w:rPr>
        <w:t xml:space="preserve">.1 </w:t>
      </w:r>
      <w:r>
        <w:rPr>
          <w:rFonts w:hint="eastAsia" w:ascii="宋体" w:hAnsi="宋体"/>
          <w:color w:val="auto"/>
          <w:szCs w:val="21"/>
          <w:highlight w:val="none"/>
        </w:rPr>
        <w:t>款规定的时间和地点对通过投标文件第一个信封（商务及技术文件）评审的投标文件第二个信封（报价文件）进行开标。</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只有通过第一个信封（商务及技术文件）评审的投标人才能继续参加第二信封（报价文件）的评审。对不通过第一个信封（商务及技术文件）评审的投标人的第二信封直接退回，不再开启内层信封。 </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3.3 第二个信封初步评审</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3.3.1 评标委员会依据本章第</w:t>
      </w:r>
      <w:r>
        <w:rPr>
          <w:rFonts w:ascii="宋体" w:hAnsi="宋体"/>
          <w:color w:val="auto"/>
          <w:szCs w:val="21"/>
          <w:highlight w:val="none"/>
        </w:rPr>
        <w:t xml:space="preserve"> 2.1.1 </w:t>
      </w:r>
      <w:r>
        <w:rPr>
          <w:rFonts w:hint="eastAsia" w:ascii="宋体" w:hAnsi="宋体"/>
          <w:color w:val="auto"/>
          <w:szCs w:val="21"/>
          <w:highlight w:val="none"/>
        </w:rPr>
        <w:t>项、第</w:t>
      </w:r>
      <w:r>
        <w:rPr>
          <w:rFonts w:ascii="宋体" w:hAnsi="宋体"/>
          <w:color w:val="auto"/>
          <w:szCs w:val="21"/>
          <w:highlight w:val="none"/>
        </w:rPr>
        <w:t xml:space="preserve"> 2.1.3 </w:t>
      </w:r>
      <w:r>
        <w:rPr>
          <w:rFonts w:hint="eastAsia" w:ascii="宋体" w:hAnsi="宋体"/>
          <w:color w:val="auto"/>
          <w:szCs w:val="21"/>
          <w:highlight w:val="none"/>
        </w:rPr>
        <w:t>项规定的评审标准对投标文件第二个信封（报价文件）进行初步评审。有一项不符合评审标准的，评标委员会应否决其投标。</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3.3.2 投标报价有算术错误的，评标委员会按以下原则对投标报价进行修正，修正的价格经投标人书面确认后具有约束力。投标人不接受修正价格的，评标委员会应否决其投标。</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）投标文件中的大写金额与小写金额不一致的，以大写金额为准；</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）总价金额与依据单价计算出的结果不一致的，以单价金额为准修正总价，但单价金额小数点有明显错误的除外；</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）当单价与数量相乘不等于合价时，以单价计算为准，如果单价有明显的小数点位置差错，应以标出的合价为准，同时对单价予以修正；</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）当各子目的合价累计不等于总价时，应以各子目合价累计数为准，修正总价。</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3.3.3 </w:t>
      </w:r>
      <w:r>
        <w:rPr>
          <w:rFonts w:hint="eastAsia" w:ascii="宋体" w:hAnsi="宋体"/>
          <w:b/>
          <w:bCs/>
          <w:color w:val="auto"/>
          <w:szCs w:val="21"/>
          <w:highlight w:val="none"/>
        </w:rPr>
        <w:t>供货量清单中的投标报价有其他错误的，评标委员会应否决其投标。</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）在招标人给定的供货量清单中漏报了某个供货子目的单价、合价或总额价，或所报单价、合价或总额价减少了报价范围。</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）在招标人给定的供货量清单中多报了某个供货子目的单价、合价或总额价，或所报单价、合价或总额价增加了报价范围。</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）当单价与数量的乘积与合价（金额）虽然一致，但投标人修改了该子目的供货数量。</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3.3.4 修正后的最终投标报价若超过最高投标限价（如有），评标委员会应否决其投标。</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3.3.5 修正后的最终投标报价仅作为签订合同的一个依据，不参与评标价得分的计算。</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3.4 第二个信封详细评审</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3.4.1 评标委员会按本章第</w:t>
      </w:r>
      <w:r>
        <w:rPr>
          <w:rFonts w:ascii="宋体" w:hAnsi="宋体"/>
          <w:color w:val="auto"/>
          <w:szCs w:val="21"/>
          <w:highlight w:val="none"/>
        </w:rPr>
        <w:t xml:space="preserve"> 2.2.4</w:t>
      </w:r>
      <w:r>
        <w:rPr>
          <w:rFonts w:hint="eastAsia" w:ascii="宋体" w:hAnsi="宋体"/>
          <w:color w:val="auto"/>
          <w:szCs w:val="21"/>
          <w:highlight w:val="none"/>
        </w:rPr>
        <w:t>目规定的分值进行打分，并计算出评标价得分。</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3.4.2 评标价得分四舍五入至小数点后四位。</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3.4.3 评标委员会发现投标人的报价明显低于其他投标报价，使得其投标报价可能低于其个别成本的，应要求该投标人作出书面说明并提供相应的证明材料。投标人报价低于最高限价60%的，必须在投标文件中提供报价说明，并提交相关证明材料证明其报价合理性。评标委员会认为投标人不能证明其报价合理性的，或投标人不能提供相应证明材料的，或有可能影响产品质量或者不能诚信履约的，应认定该投标人以低于成本报价竞标，并否决其投标。</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3.5 投标文件相关信息的核查</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3.5.1 在评标过程中，评标委员会应查询对投标人的资质、业绩等信息进行核实。若投标文件载明的信息使得投标人的资格条件不符合招标文件规定的，评标委员会应否决其投标。</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）有下列情形之一的，属于投标人相互串通投标：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投标人之间协商投标报价等投标文件的实质性内容；</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投标人之间约定中标人；</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投标人之间约定部分投标人放弃投标或中标；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属于同一集团、协会、商会等组织成员的投标人按照该组织要求协同投标；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投标人之间为谋取中标或排斥特定投标人而采取的其他联合行动。</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）有下列情形之一的，视为投标人相互串通投标：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不同投标人的投标文件由同一单位或个人编制；</w:t>
      </w:r>
    </w:p>
    <w:p>
      <w:pPr>
        <w:overflowPunct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不同投标人委托同一单位或个人办理投标事宜；</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不同投标人的投标文件载明的项目管理成员为同一人；</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不同投标人的投标文件异常一致或投标报价呈规律性差异；</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不同投标人的投标文件相互混装；</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不同投标人的投标保证金从同一单位或个人的账户转出。</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）有下列情形之一的，属于招标人与投标人串通投标：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招标人在开标前开启投标文件并将有关信息泄露给其他投标人</w:t>
      </w:r>
      <w:r>
        <w:rPr>
          <w:rFonts w:ascii="宋体" w:hAnsi="宋体"/>
          <w:color w:val="auto"/>
          <w:szCs w:val="21"/>
          <w:highlight w:val="none"/>
        </w:rPr>
        <w:t>;</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招标人直接或间接向投标人泄露标底、评标委员会成员等信息；</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招标人明示或暗示投标人压低或抬高投标报价；</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招标人授意投标人撤换、修改投标文件；</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招标人明示或暗示投标人为特定投标人中标提供方便；</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招标人与投标人为谋求特定投标人中标而采取的其他串通行为。</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）投标人有下列情形之一的，属于弄虚作假的行为：</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使用通过受让或租借等方式获取的资格、资质证书投标；</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使用伪造、变造的许可证件；</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提供虚假的财务状况或业绩；</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提供虚假的项目负责人或主要技术人员简历、劳动关系证明；</w:t>
      </w:r>
    </w:p>
    <w:p>
      <w:pPr>
        <w:overflowPunct w:val="0"/>
        <w:spacing w:line="40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提供虚假的信用状况；</w:t>
      </w:r>
    </w:p>
    <w:p>
      <w:pPr>
        <w:overflowPunct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其他弄虚作假的行为。</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3.6 投标文件的澄清和说明</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投标文件中的下列计算错误为细微偏差：</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a、在算术性复核中发现的算术性差错；</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（2）评标委员会对投标文件中的细微偏差按如下规定处理：</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a、按本评标办法的规定对算术性错误予以修正；</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3.6.2 澄清和说明不得超出投标文件的范围或改变投标文件的实质性内容（算术性错误的修正除外）。投标人的书面澄清、说明属于投标文件的组成部分。</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3.6.3 评标委员会不得暗示或诱导投标人作出澄清、说明，对投标人提交的澄清、说明有疑问的，可以要求投标人进一步澄清或说明，直至满足评标委员会的要求。</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3.6.4 凡超出招标文件规定的或给发包人带来未曾要求的利益的变化、偏差或其他因素在评标时不予考虑。</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3.7 不得否决投标的情形</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投标文件存在本章第3.6.1（1）目所列情形的，均视为细微偏差，评标委员会不得否决投标人的投标，应按照本章第3.6.1（2）目规定的原则处理。</w:t>
      </w:r>
    </w:p>
    <w:p>
      <w:pPr>
        <w:spacing w:before="300" w:after="300" w:line="400" w:lineRule="exact"/>
        <w:outlineLvl w:val="0"/>
        <w:rPr>
          <w:rFonts w:ascii="宋体" w:hAnsi="宋体"/>
          <w:b/>
          <w:color w:val="auto"/>
          <w:kern w:val="44"/>
          <w:sz w:val="24"/>
          <w:highlight w:val="none"/>
        </w:rPr>
      </w:pPr>
      <w:r>
        <w:rPr>
          <w:rFonts w:hint="eastAsia" w:ascii="宋体" w:hAnsi="宋体"/>
          <w:b/>
          <w:color w:val="auto"/>
          <w:kern w:val="44"/>
          <w:sz w:val="24"/>
          <w:highlight w:val="none"/>
        </w:rPr>
        <w:t>3.8 评标结果</w:t>
      </w:r>
    </w:p>
    <w:p>
      <w:pPr>
        <w:overflowPunct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3.8.1 除第二章“投标人须知”前附表授权直接确定中标人外，评标委员会按照得分由高到低的顺序推荐中标候选人，并标明排序。</w:t>
      </w:r>
    </w:p>
    <w:p>
      <w:pPr>
        <w:spacing w:line="400" w:lineRule="exact"/>
        <w:ind w:firstLine="390"/>
        <w:jc w:val="left"/>
        <w:rPr>
          <w:rFonts w:hint="eastAsia" w:ascii="宋体" w:hAnsi="宋体"/>
          <w:color w:val="auto"/>
          <w:szCs w:val="21"/>
          <w:highlight w:val="none"/>
        </w:rPr>
      </w:pPr>
      <w:r>
        <w:rPr>
          <w:rFonts w:hint="eastAsia" w:ascii="宋体" w:hAnsi="宋体"/>
          <w:color w:val="auto"/>
          <w:szCs w:val="21"/>
          <w:highlight w:val="none"/>
        </w:rPr>
        <w:t>3.8.2 评标委员会完成评标后，应向招标人提交书面评标报告。</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3.8.3 通过第一信封商务文件和技术文件评审的投标人少于3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 通过第一信封商务文件和技术文件评审的投标人在3 个及以上的，招标人应当按照招标文件规定的程序进行第二信封报价文件开标；在对报价文件进行评审后，有效投标不足3 个的，评标委员会可以否决全部投标；未否决全部投标的，评标委员会应当在评标报告中阐明理由并推荐中标候选人。</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3.8.5 如果发生无法确定推荐中标候选人的其它意外情况，由评标委员会研究处理，评标委员会有权决定本次招标无效，有权建议招标人重新招标。</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3.8.6 如果推荐的中标候选人因公示被投诉并查证属实存在造假行为的，按否决其投标处理，且没收其投标保证金</w:t>
      </w:r>
      <w:r>
        <w:rPr>
          <w:rFonts w:hint="eastAsia" w:ascii="宋体" w:hAnsi="宋体"/>
          <w:color w:val="auto"/>
          <w:szCs w:val="21"/>
          <w:highlight w:val="none"/>
          <w:lang w:eastAsia="zh-CN"/>
        </w:rPr>
        <w:t>。</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3.8.7 如果开标后至中标通知书发出前，中标候选人因违法、违规行为或重大质量、安全责任事故被国家住建部、交通运输部、广东省交通运输厅通报批评而取消投标资格等情况之一的，或有因行贿犯罪而被人民法院判决、裁定生效的行为，或投标人拟入本项目的项目经理有因行贿犯罪而被判刑的行为，则取消其中标资格，按否决其投标处理</w:t>
      </w:r>
      <w:r>
        <w:rPr>
          <w:rFonts w:hint="eastAsia" w:ascii="宋体" w:hAnsi="宋体"/>
          <w:color w:val="auto"/>
          <w:szCs w:val="21"/>
          <w:highlight w:val="none"/>
          <w:lang w:eastAsia="zh-CN"/>
        </w:rPr>
        <w:t>。</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3.8.9本招标文件规定的否决投标条款包含在以下条款：</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（1）“第一章 招标公告”第3点投标人资格要求；</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（2）“第二章 投标人须知”3.5款、3.6款、12.7款、20.4款、20.8款；</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（3）本评标办法否决条款。</w:t>
      </w:r>
    </w:p>
    <w:p>
      <w:pPr>
        <w:overflowPunct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发生以上情况时，招标人按推荐中标候选人排名顺序依次确定中标人，或重新组织招标。</w:t>
      </w:r>
    </w:p>
    <w:p>
      <w:pPr>
        <w:spacing w:line="440" w:lineRule="exact"/>
        <w:ind w:firstLine="390"/>
        <w:jc w:val="center"/>
        <w:rPr>
          <w:rFonts w:hint="eastAsia" w:ascii="宋体" w:hAnsi="宋体"/>
          <w:color w:val="auto"/>
          <w:szCs w:val="21"/>
          <w:highlight w:val="none"/>
        </w:rPr>
      </w:pPr>
    </w:p>
    <w:p>
      <w:pPr>
        <w:spacing w:line="440" w:lineRule="exact"/>
        <w:ind w:firstLine="390"/>
        <w:jc w:val="center"/>
        <w:rPr>
          <w:rFonts w:hint="eastAsia" w:ascii="宋体" w:hAnsi="宋体"/>
          <w:color w:val="auto"/>
          <w:szCs w:val="21"/>
          <w:highlight w:val="none"/>
        </w:rPr>
      </w:pPr>
    </w:p>
    <w:p>
      <w:pPr>
        <w:spacing w:line="440" w:lineRule="exact"/>
        <w:ind w:firstLine="390"/>
        <w:jc w:val="center"/>
        <w:rPr>
          <w:rFonts w:hint="eastAsia" w:ascii="宋体" w:hAnsi="宋体"/>
          <w:color w:val="auto"/>
          <w:szCs w:val="21"/>
          <w:highlight w:val="none"/>
        </w:rPr>
      </w:pPr>
    </w:p>
    <w:p>
      <w:pPr>
        <w:spacing w:line="440" w:lineRule="exact"/>
        <w:ind w:firstLine="390"/>
        <w:jc w:val="center"/>
        <w:rPr>
          <w:rFonts w:hint="eastAsia" w:ascii="宋体" w:hAnsi="宋体"/>
          <w:color w:val="auto"/>
          <w:szCs w:val="21"/>
          <w:highlight w:val="none"/>
        </w:rPr>
      </w:pPr>
    </w:p>
    <w:p>
      <w:pPr>
        <w:spacing w:line="440" w:lineRule="exact"/>
        <w:ind w:firstLine="390"/>
        <w:jc w:val="center"/>
        <w:rPr>
          <w:rFonts w:hint="eastAsia" w:ascii="宋体" w:hAnsi="宋体"/>
          <w:color w:val="auto"/>
          <w:szCs w:val="21"/>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64B75"/>
    <w:multiLevelType w:val="singleLevel"/>
    <w:tmpl w:val="DFF64B75"/>
    <w:lvl w:ilvl="0" w:tentative="0">
      <w:start w:val="1"/>
      <w:numFmt w:val="decimal"/>
      <w:suff w:val="nothing"/>
      <w:lvlText w:val="（%1）"/>
      <w:lvlJc w:val="left"/>
    </w:lvl>
  </w:abstractNum>
  <w:abstractNum w:abstractNumId="1">
    <w:nsid w:val="14F78CE2"/>
    <w:multiLevelType w:val="singleLevel"/>
    <w:tmpl w:val="14F78CE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42343"/>
    <w:rsid w:val="5034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rPr>
  </w:style>
  <w:style w:type="paragraph" w:styleId="3">
    <w:name w:val="Body Text Indent"/>
    <w:basedOn w:val="1"/>
    <w:uiPriority w:val="0"/>
    <w:pPr>
      <w:spacing w:after="120"/>
      <w:ind w:left="420" w:leftChars="200"/>
    </w:pPr>
    <w:rPr>
      <w:rFonts w:ascii="Times New Roman" w:hAnsi="Times New Roman" w:eastAsia="宋体" w:cs="Times New Roman"/>
    </w:rPr>
  </w:style>
  <w:style w:type="paragraph" w:styleId="4">
    <w:name w:val="Plain Text"/>
    <w:basedOn w:val="1"/>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2023-07-28T03:34:00Z</dcterms:created>
  <dc:creator>刘广</dc:creator>
  <cp:lastModifiedBy>刘广</cp:lastModifiedBy>
  <dcterms:modified xsi:type="dcterms:W3CDTF">2023-07-28T03:35:15Z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