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exact"/>
        <w:jc w:val="center"/>
        <w:rPr>
          <w:rFonts w:hint="eastAsia" w:ascii="宋体" w:hAnsi="宋体"/>
          <w:color w:val="auto"/>
          <w:sz w:val="24"/>
          <w:highlight w:val="none"/>
        </w:rPr>
      </w:pPr>
      <w:r>
        <w:rPr>
          <w:rFonts w:ascii="宋体" w:hAnsi="宋体"/>
          <w:color w:val="auto"/>
          <w:sz w:val="24"/>
          <w:highlight w:val="none"/>
        </w:rPr>
        <w:t>附录1  资格审查条件(资质最低条件)</w:t>
      </w:r>
    </w:p>
    <w:p>
      <w:pPr>
        <w:adjustRightInd w:val="0"/>
        <w:snapToGrid w:val="0"/>
        <w:spacing w:line="300" w:lineRule="exact"/>
        <w:jc w:val="center"/>
        <w:rPr>
          <w:rFonts w:hint="eastAsia" w:ascii="宋体" w:hAnsi="宋体"/>
          <w:color w:val="auto"/>
          <w:sz w:val="24"/>
          <w:highlight w:val="none"/>
        </w:rPr>
      </w:pPr>
    </w:p>
    <w:tbl>
      <w:tblPr>
        <w:tblStyle w:val="4"/>
        <w:tblW w:w="9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9492" w:type="dxa"/>
            <w:noWrap w:val="0"/>
            <w:vAlign w:val="center"/>
          </w:tcPr>
          <w:p>
            <w:pPr>
              <w:adjustRightInd w:val="0"/>
              <w:snapToGrid w:val="0"/>
              <w:spacing w:line="400" w:lineRule="atLeast"/>
              <w:jc w:val="center"/>
              <w:rPr>
                <w:rFonts w:ascii="宋体" w:hAnsi="宋体"/>
                <w:color w:val="auto"/>
                <w:sz w:val="24"/>
                <w:highlight w:val="none"/>
              </w:rPr>
            </w:pPr>
            <w:r>
              <w:rPr>
                <w:rFonts w:ascii="宋体" w:hAnsi="宋体"/>
                <w:color w:val="auto"/>
                <w:sz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jc w:val="center"/>
        </w:trPr>
        <w:tc>
          <w:tcPr>
            <w:tcW w:w="9492" w:type="dxa"/>
            <w:noWrap w:val="0"/>
            <w:vAlign w:val="center"/>
          </w:tcPr>
          <w:p>
            <w:pPr>
              <w:spacing w:line="360" w:lineRule="auto"/>
              <w:rPr>
                <w:rFonts w:hint="eastAsia"/>
                <w:color w:val="auto"/>
                <w:sz w:val="24"/>
                <w:highlight w:val="none"/>
                <w:lang w:val="zh-CN"/>
              </w:rPr>
            </w:pPr>
            <w:r>
              <w:rPr>
                <w:rFonts w:hint="eastAsia"/>
                <w:color w:val="auto"/>
                <w:sz w:val="24"/>
                <w:highlight w:val="none"/>
                <w:lang w:val="zh-CN"/>
              </w:rPr>
              <w:t>投标人应具备</w:t>
            </w:r>
            <w:r>
              <w:rPr>
                <w:rFonts w:hint="eastAsia"/>
                <w:color w:val="auto"/>
                <w:sz w:val="24"/>
                <w:highlight w:val="none"/>
              </w:rPr>
              <w:t>以</w:t>
            </w:r>
            <w:r>
              <w:rPr>
                <w:rFonts w:hint="eastAsia"/>
                <w:color w:val="auto"/>
                <w:sz w:val="24"/>
                <w:highlight w:val="none"/>
                <w:lang w:val="zh-CN"/>
              </w:rPr>
              <w:t>下资格要求：</w:t>
            </w:r>
          </w:p>
          <w:p>
            <w:pPr>
              <w:numPr>
                <w:ilvl w:val="0"/>
                <w:numId w:val="1"/>
              </w:numPr>
              <w:spacing w:line="360" w:lineRule="auto"/>
              <w:ind w:firstLine="480" w:firstLineChars="200"/>
              <w:rPr>
                <w:rFonts w:hint="eastAsia"/>
                <w:color w:val="auto"/>
                <w:sz w:val="24"/>
                <w:highlight w:val="none"/>
                <w:lang w:val="zh-CN"/>
              </w:rPr>
            </w:pPr>
            <w:r>
              <w:rPr>
                <w:rFonts w:hint="eastAsia"/>
                <w:color w:val="auto"/>
                <w:sz w:val="24"/>
                <w:highlight w:val="none"/>
                <w:lang w:val="zh-CN"/>
              </w:rPr>
              <w:t>投标人必须是在中华人民共和国境内注册的企业法人；</w:t>
            </w:r>
          </w:p>
          <w:p>
            <w:pPr>
              <w:numPr>
                <w:ilvl w:val="0"/>
                <w:numId w:val="1"/>
              </w:numPr>
              <w:spacing w:line="360" w:lineRule="auto"/>
              <w:ind w:firstLine="480" w:firstLineChars="200"/>
              <w:rPr>
                <w:rFonts w:hint="eastAsia" w:ascii="宋体" w:hAnsi="宋体"/>
                <w:color w:val="auto"/>
                <w:sz w:val="24"/>
                <w:highlight w:val="none"/>
              </w:rPr>
            </w:pPr>
            <w:r>
              <w:rPr>
                <w:rFonts w:hint="eastAsia"/>
                <w:color w:val="auto"/>
                <w:sz w:val="24"/>
                <w:highlight w:val="none"/>
              </w:rPr>
              <w:t>投标人应为服装制造或销售公司。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5" w:hRule="atLeast"/>
          <w:jc w:val="center"/>
        </w:trPr>
        <w:tc>
          <w:tcPr>
            <w:tcW w:w="9492" w:type="dxa"/>
            <w:noWrap w:val="0"/>
            <w:vAlign w:val="center"/>
          </w:tcPr>
          <w:p>
            <w:pPr>
              <w:spacing w:line="360" w:lineRule="auto"/>
              <w:ind w:firstLine="360" w:firstLineChars="200"/>
              <w:rPr>
                <w:color w:val="auto"/>
                <w:sz w:val="24"/>
                <w:highlight w:val="none"/>
              </w:rPr>
            </w:pPr>
            <w:r>
              <w:rPr>
                <w:rFonts w:hint="eastAsia"/>
                <w:color w:val="auto"/>
                <w:sz w:val="18"/>
                <w:szCs w:val="18"/>
                <w:highlight w:val="none"/>
              </w:rPr>
              <w:t>备注：上述资质要求，须提供境内注册营业执照作证明，经营范围含服装制造类或服装销售类。</w:t>
            </w:r>
          </w:p>
        </w:tc>
      </w:tr>
    </w:tbl>
    <w:p>
      <w:pPr>
        <w:adjustRightInd w:val="0"/>
        <w:snapToGrid w:val="0"/>
        <w:spacing w:line="300" w:lineRule="exact"/>
        <w:jc w:val="center"/>
        <w:rPr>
          <w:rFonts w:hint="eastAsia"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r>
        <w:rPr>
          <w:rFonts w:ascii="宋体" w:hAnsi="宋体"/>
          <w:color w:val="auto"/>
          <w:sz w:val="24"/>
          <w:highlight w:val="none"/>
        </w:rPr>
        <w:t xml:space="preserve">附录2  资格审查条件(财务最低要求) </w:t>
      </w:r>
    </w:p>
    <w:p>
      <w:pPr>
        <w:adjustRightInd w:val="0"/>
        <w:snapToGrid w:val="0"/>
        <w:spacing w:line="300" w:lineRule="exact"/>
        <w:jc w:val="center"/>
        <w:rPr>
          <w:rFonts w:hint="eastAsia" w:ascii="宋体" w:hAnsi="宋体"/>
          <w:color w:val="auto"/>
          <w:sz w:val="24"/>
          <w:highlight w:val="none"/>
        </w:rPr>
      </w:pPr>
    </w:p>
    <w:tbl>
      <w:tblPr>
        <w:tblStyle w:val="4"/>
        <w:tblW w:w="9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9391" w:type="dxa"/>
            <w:noWrap w:val="0"/>
            <w:vAlign w:val="center"/>
          </w:tcPr>
          <w:p>
            <w:pPr>
              <w:adjustRightInd w:val="0"/>
              <w:snapToGrid w:val="0"/>
              <w:spacing w:line="400" w:lineRule="atLeast"/>
              <w:jc w:val="center"/>
              <w:rPr>
                <w:rFonts w:ascii="宋体" w:hAnsi="宋体"/>
                <w:color w:val="auto"/>
                <w:sz w:val="24"/>
                <w:highlight w:val="none"/>
              </w:rPr>
            </w:pPr>
            <w:r>
              <w:rPr>
                <w:rFonts w:ascii="宋体" w:hAnsi="宋体"/>
                <w:color w:val="auto"/>
                <w:sz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0" w:hRule="atLeast"/>
          <w:jc w:val="center"/>
        </w:trPr>
        <w:tc>
          <w:tcPr>
            <w:tcW w:w="9391" w:type="dxa"/>
            <w:noWrap w:val="0"/>
            <w:vAlign w:val="center"/>
          </w:tcPr>
          <w:p>
            <w:pPr>
              <w:spacing w:line="360" w:lineRule="auto"/>
              <w:rPr>
                <w:rFonts w:hint="eastAsia"/>
                <w:color w:val="auto"/>
                <w:sz w:val="24"/>
                <w:highlight w:val="none"/>
              </w:rPr>
            </w:pPr>
            <w:r>
              <w:rPr>
                <w:rFonts w:hint="eastAsia"/>
                <w:color w:val="auto"/>
                <w:sz w:val="24"/>
                <w:highlight w:val="none"/>
              </w:rPr>
              <w:t>投标人须满足以下财务要求：</w:t>
            </w:r>
          </w:p>
          <w:p>
            <w:pPr>
              <w:numPr>
                <w:ilvl w:val="0"/>
                <w:numId w:val="2"/>
              </w:num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注册资本金不少于</w:t>
            </w:r>
            <w:r>
              <w:rPr>
                <w:rFonts w:ascii="宋体" w:hAnsi="宋体" w:cs="宋体"/>
                <w:color w:val="auto"/>
                <w:sz w:val="24"/>
                <w:highlight w:val="none"/>
              </w:rPr>
              <w:t>1000</w:t>
            </w:r>
            <w:r>
              <w:rPr>
                <w:rFonts w:hint="eastAsia" w:ascii="宋体" w:hAnsi="宋体" w:cs="宋体"/>
                <w:color w:val="auto"/>
                <w:sz w:val="24"/>
                <w:highlight w:val="none"/>
                <w:lang w:val="zh-CN"/>
              </w:rPr>
              <w:t>万元人民币（含</w:t>
            </w:r>
            <w:r>
              <w:rPr>
                <w:rFonts w:ascii="宋体" w:hAnsi="宋体" w:cs="宋体"/>
                <w:color w:val="auto"/>
                <w:sz w:val="24"/>
                <w:highlight w:val="none"/>
              </w:rPr>
              <w:t>1000</w:t>
            </w:r>
            <w:r>
              <w:rPr>
                <w:rFonts w:hint="eastAsia" w:ascii="宋体" w:hAnsi="宋体" w:cs="宋体"/>
                <w:color w:val="auto"/>
                <w:sz w:val="24"/>
                <w:highlight w:val="none"/>
              </w:rPr>
              <w:t>万元）</w:t>
            </w:r>
            <w:r>
              <w:rPr>
                <w:rFonts w:hint="eastAsia" w:ascii="宋体" w:hAnsi="宋体" w:cs="宋体"/>
                <w:color w:val="auto"/>
                <w:sz w:val="24"/>
                <w:highlight w:val="none"/>
                <w:lang w:val="zh-CN"/>
              </w:rPr>
              <w:t>；</w:t>
            </w:r>
          </w:p>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0" w:hRule="atLeast"/>
          <w:jc w:val="center"/>
        </w:trPr>
        <w:tc>
          <w:tcPr>
            <w:tcW w:w="9391" w:type="dxa"/>
            <w:noWrap w:val="0"/>
            <w:vAlign w:val="center"/>
          </w:tcPr>
          <w:p>
            <w:pPr>
              <w:adjustRightInd w:val="0"/>
              <w:snapToGrid w:val="0"/>
              <w:spacing w:line="400" w:lineRule="atLeast"/>
              <w:ind w:firstLine="360" w:firstLineChars="200"/>
              <w:rPr>
                <w:rFonts w:hint="eastAsia"/>
                <w:color w:val="auto"/>
                <w:sz w:val="18"/>
                <w:szCs w:val="18"/>
                <w:highlight w:val="none"/>
              </w:rPr>
            </w:pPr>
            <w:r>
              <w:rPr>
                <w:rFonts w:hint="eastAsia"/>
                <w:color w:val="auto"/>
                <w:sz w:val="18"/>
                <w:szCs w:val="18"/>
                <w:highlight w:val="none"/>
              </w:rPr>
              <w:t>备注：上述第1点以营业执照上注册资本金金额为准，若营业执照上无注册资本金，则以“全国企业信用信息公示系统”公示的注册资本金为准。</w:t>
            </w:r>
          </w:p>
          <w:p>
            <w:pPr>
              <w:adjustRightInd w:val="0"/>
              <w:snapToGrid w:val="0"/>
              <w:spacing w:line="400" w:lineRule="atLeast"/>
              <w:ind w:firstLine="480" w:firstLineChars="200"/>
              <w:rPr>
                <w:rFonts w:hint="eastAsia"/>
                <w:color w:val="auto"/>
                <w:sz w:val="24"/>
                <w:highlight w:val="none"/>
              </w:rPr>
            </w:pPr>
          </w:p>
        </w:tc>
      </w:tr>
    </w:tbl>
    <w:p>
      <w:pPr>
        <w:adjustRightInd w:val="0"/>
        <w:snapToGrid w:val="0"/>
        <w:spacing w:line="300" w:lineRule="exact"/>
        <w:jc w:val="center"/>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r>
        <w:rPr>
          <w:rFonts w:ascii="宋体" w:hAnsi="宋体"/>
          <w:color w:val="auto"/>
          <w:sz w:val="24"/>
          <w:highlight w:val="none"/>
        </w:rPr>
        <w:br w:type="page"/>
      </w:r>
    </w:p>
    <w:p>
      <w:pPr>
        <w:pStyle w:val="3"/>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r>
        <w:rPr>
          <w:rFonts w:ascii="宋体" w:hAnsi="宋体"/>
          <w:color w:val="auto"/>
          <w:sz w:val="24"/>
          <w:highlight w:val="none"/>
        </w:rPr>
        <w:t xml:space="preserve">附录3 资格审查条件(业绩最低要求) </w:t>
      </w:r>
    </w:p>
    <w:p>
      <w:pPr>
        <w:pStyle w:val="3"/>
        <w:rPr>
          <w:color w:val="auto"/>
          <w:highlight w:val="none"/>
        </w:rPr>
      </w:pPr>
    </w:p>
    <w:tbl>
      <w:tblPr>
        <w:tblStyle w:val="4"/>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8877" w:type="dxa"/>
            <w:noWrap w:val="0"/>
            <w:vAlign w:val="center"/>
          </w:tcPr>
          <w:p>
            <w:pPr>
              <w:adjustRightInd w:val="0"/>
              <w:snapToGrid w:val="0"/>
              <w:spacing w:line="400" w:lineRule="atLeast"/>
              <w:jc w:val="center"/>
              <w:rPr>
                <w:rFonts w:hint="eastAsia" w:ascii="宋体" w:hAnsi="宋体"/>
                <w:color w:val="auto"/>
                <w:sz w:val="24"/>
                <w:highlight w:val="none"/>
              </w:rPr>
            </w:pPr>
            <w:r>
              <w:rPr>
                <w:rFonts w:hint="eastAsia" w:ascii="宋体" w:hAnsi="宋体"/>
                <w:color w:val="auto"/>
                <w:sz w:val="24"/>
                <w:highlight w:val="none"/>
              </w:rPr>
              <w:t>业绩</w:t>
            </w:r>
            <w:r>
              <w:rPr>
                <w:rFonts w:ascii="宋体" w:hAnsi="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8877" w:type="dxa"/>
            <w:noWrap w:val="0"/>
            <w:vAlign w:val="center"/>
          </w:tcPr>
          <w:p>
            <w:pPr>
              <w:spacing w:line="360" w:lineRule="auto"/>
              <w:rPr>
                <w:rFonts w:hint="eastAsia"/>
                <w:color w:val="auto"/>
                <w:sz w:val="24"/>
                <w:highlight w:val="none"/>
              </w:rPr>
            </w:pPr>
            <w:r>
              <w:rPr>
                <w:rFonts w:hint="eastAsia"/>
                <w:color w:val="auto"/>
                <w:sz w:val="24"/>
                <w:highlight w:val="none"/>
              </w:rPr>
              <w:t>投标人应满足以下业绩要求：</w:t>
            </w:r>
          </w:p>
          <w:p>
            <w:pPr>
              <w:adjustRightInd w:val="0"/>
              <w:snapToGrid w:val="0"/>
              <w:spacing w:line="400" w:lineRule="atLeast"/>
              <w:ind w:firstLine="420" w:firstLineChars="200"/>
              <w:rPr>
                <w:rFonts w:hint="eastAsia"/>
                <w:color w:val="auto"/>
                <w:sz w:val="24"/>
                <w:highlight w:val="none"/>
              </w:rPr>
            </w:pPr>
            <w:r>
              <w:rPr>
                <w:rFonts w:hint="eastAsia"/>
                <w:color w:val="auto"/>
                <w:highlight w:val="none"/>
              </w:rPr>
              <w:t>1.近3年内，投标人至少有1个</w:t>
            </w:r>
            <w:r>
              <w:rPr>
                <w:rFonts w:hint="eastAsia"/>
                <w:color w:val="auto"/>
                <w:highlight w:val="none"/>
                <w:lang w:val="en-US" w:eastAsia="zh-CN"/>
              </w:rPr>
              <w:t>工作</w:t>
            </w:r>
            <w:r>
              <w:rPr>
                <w:rFonts w:hint="eastAsia"/>
                <w:color w:val="auto"/>
                <w:highlight w:val="none"/>
              </w:rPr>
              <w:t>服装定制合同金额200万元及以上。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5" w:hRule="atLeast"/>
          <w:jc w:val="center"/>
        </w:trPr>
        <w:tc>
          <w:tcPr>
            <w:tcW w:w="8877" w:type="dxa"/>
            <w:noWrap w:val="0"/>
            <w:vAlign w:val="center"/>
          </w:tcPr>
          <w:p>
            <w:pPr>
              <w:adjustRightInd w:val="0"/>
              <w:snapToGrid w:val="0"/>
              <w:spacing w:line="400" w:lineRule="atLeast"/>
              <w:ind w:firstLine="360" w:firstLineChars="200"/>
              <w:rPr>
                <w:rFonts w:hint="eastAsia"/>
                <w:color w:val="auto"/>
                <w:sz w:val="18"/>
                <w:szCs w:val="18"/>
                <w:highlight w:val="none"/>
              </w:rPr>
            </w:pPr>
            <w:r>
              <w:rPr>
                <w:rFonts w:hint="eastAsia"/>
                <w:color w:val="auto"/>
                <w:sz w:val="18"/>
                <w:szCs w:val="18"/>
                <w:highlight w:val="none"/>
              </w:rPr>
              <w:t>备注：1、近3年内指2020年1月1日至投标文件递交之日止。</w:t>
            </w:r>
          </w:p>
          <w:p>
            <w:pPr>
              <w:adjustRightInd w:val="0"/>
              <w:snapToGrid w:val="0"/>
              <w:spacing w:line="400" w:lineRule="atLeast"/>
              <w:ind w:firstLine="900" w:firstLineChars="500"/>
              <w:rPr>
                <w:rFonts w:hint="eastAsia"/>
                <w:color w:val="auto"/>
                <w:sz w:val="18"/>
                <w:szCs w:val="18"/>
                <w:highlight w:val="none"/>
              </w:rPr>
            </w:pPr>
            <w:r>
              <w:rPr>
                <w:rFonts w:hint="eastAsia"/>
                <w:color w:val="auto"/>
                <w:sz w:val="18"/>
                <w:szCs w:val="18"/>
                <w:highlight w:val="none"/>
              </w:rPr>
              <w:t>2、需附以下以及证明材料：中标通知书（如有）、合同协议书的复印件（附完整的合同供货清单）及结算书的复印件（结算书须清晰体现最终供货数量及供货金额）。</w:t>
            </w:r>
          </w:p>
          <w:p>
            <w:pPr>
              <w:adjustRightInd w:val="0"/>
              <w:snapToGrid w:val="0"/>
              <w:spacing w:line="400" w:lineRule="atLeast"/>
              <w:ind w:firstLine="900" w:firstLineChars="500"/>
              <w:rPr>
                <w:rFonts w:hint="eastAsia"/>
                <w:color w:val="auto"/>
                <w:sz w:val="24"/>
                <w:highlight w:val="none"/>
              </w:rPr>
            </w:pPr>
            <w:r>
              <w:rPr>
                <w:rFonts w:hint="eastAsia"/>
                <w:color w:val="auto"/>
                <w:sz w:val="18"/>
                <w:szCs w:val="18"/>
                <w:highlight w:val="none"/>
                <w:lang w:val="en-US" w:eastAsia="zh-CN"/>
              </w:rPr>
              <w:t>3、</w:t>
            </w:r>
            <w:r>
              <w:rPr>
                <w:rFonts w:hint="eastAsia"/>
                <w:color w:val="auto"/>
                <w:sz w:val="18"/>
                <w:szCs w:val="18"/>
                <w:highlight w:val="none"/>
              </w:rPr>
              <w:t>招标人保留在公示期间核查投标人业绩的权利，如发现业绩作假，则取消投标人中标资格并按虚假资料处理，请投标人如实填报资料。</w:t>
            </w:r>
          </w:p>
        </w:tc>
      </w:tr>
    </w:tbl>
    <w:p>
      <w:pPr>
        <w:pStyle w:val="3"/>
        <w:rPr>
          <w:rFonts w:hint="eastAsia" w:ascii="宋体" w:hAnsi="宋体"/>
          <w:color w:val="auto"/>
          <w:sz w:val="24"/>
          <w:highlight w:val="none"/>
        </w:rPr>
      </w:pPr>
    </w:p>
    <w:p>
      <w:pPr>
        <w:pStyle w:val="3"/>
        <w:rPr>
          <w:rFonts w:ascii="宋体" w:hAnsi="宋体"/>
          <w:color w:val="auto"/>
          <w:sz w:val="24"/>
          <w:highlight w:val="none"/>
        </w:rPr>
      </w:pPr>
    </w:p>
    <w:p>
      <w:pPr>
        <w:adjustRightInd w:val="0"/>
        <w:snapToGrid w:val="0"/>
        <w:spacing w:line="300" w:lineRule="exact"/>
        <w:jc w:val="center"/>
        <w:rPr>
          <w:rFonts w:ascii="宋体" w:hAnsi="宋体"/>
          <w:color w:val="auto"/>
          <w:sz w:val="24"/>
          <w:highlight w:val="none"/>
        </w:rPr>
      </w:pPr>
      <w:r>
        <w:rPr>
          <w:rFonts w:ascii="宋体" w:hAnsi="宋体"/>
          <w:color w:val="auto"/>
          <w:sz w:val="24"/>
          <w:highlight w:val="none"/>
        </w:rPr>
        <w:t>附录4  资格审查条件(信誉最低要求)</w:t>
      </w:r>
    </w:p>
    <w:p>
      <w:pPr>
        <w:pStyle w:val="3"/>
        <w:rPr>
          <w:rFonts w:hint="eastAsia"/>
          <w:color w:val="auto"/>
          <w:highlight w:val="none"/>
        </w:rPr>
      </w:pPr>
    </w:p>
    <w:tbl>
      <w:tblPr>
        <w:tblStyle w:val="4"/>
        <w:tblW w:w="89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jc w:val="center"/>
        </w:trPr>
        <w:tc>
          <w:tcPr>
            <w:tcW w:w="8945" w:type="dxa"/>
            <w:noWrap w:val="0"/>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0" w:hRule="atLeast"/>
          <w:jc w:val="center"/>
        </w:trPr>
        <w:tc>
          <w:tcPr>
            <w:tcW w:w="8945" w:type="dxa"/>
            <w:noWrap w:val="0"/>
            <w:vAlign w:val="center"/>
          </w:tcPr>
          <w:p>
            <w:pPr>
              <w:spacing w:line="400" w:lineRule="exact"/>
              <w:ind w:firstLine="480" w:firstLineChars="200"/>
              <w:rPr>
                <w:rFonts w:hint="eastAsia"/>
                <w:color w:val="auto"/>
                <w:sz w:val="24"/>
                <w:highlight w:val="none"/>
              </w:rPr>
            </w:pPr>
            <w:r>
              <w:rPr>
                <w:rFonts w:hint="eastAsia"/>
                <w:color w:val="auto"/>
                <w:sz w:val="24"/>
                <w:highlight w:val="none"/>
              </w:rPr>
              <w:t>投标人不得存在下列不良状况或不良信用记录：</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1、被省级及以上交通运输主管部门取消招标项目所在地的投标资格且处于有效期内；</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2、被责令停业，暂扣或吊销执照，财务处于被接管、冻结、破产状态；</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3、进入清算程序，或被宣告破产，或其他丧失履约能力的情形；</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4、投标人或其法定代表人在近三年内有行贿犯罪行为的；</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5、投标人没有涉及正在诉讼的案件，或虽涉及正在诉讼的案件但经评审委员会认定不会对承担本项目造成重大影响；</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6、在国家企业信用信息公示系统（</w:t>
            </w:r>
            <w:r>
              <w:rPr>
                <w:rFonts w:ascii="宋体" w:hAnsi="宋体"/>
                <w:color w:val="auto"/>
                <w:sz w:val="24"/>
                <w:highlight w:val="none"/>
              </w:rPr>
              <w:fldChar w:fldCharType="begin"/>
            </w:r>
            <w:r>
              <w:rPr>
                <w:rFonts w:ascii="宋体" w:hAnsi="宋体"/>
                <w:color w:val="auto"/>
                <w:sz w:val="24"/>
                <w:highlight w:val="none"/>
              </w:rPr>
              <w:instrText xml:space="preserve">HYPERLINK "http://www.gsxt.gov.cn/" \h</w:instrText>
            </w:r>
            <w:r>
              <w:rPr>
                <w:rFonts w:ascii="宋体" w:hAnsi="宋体"/>
                <w:color w:val="auto"/>
                <w:sz w:val="24"/>
                <w:highlight w:val="none"/>
              </w:rPr>
              <w:fldChar w:fldCharType="separate"/>
            </w:r>
            <w:r>
              <w:rPr>
                <w:color w:val="auto"/>
                <w:sz w:val="24"/>
                <w:highlight w:val="none"/>
              </w:rPr>
              <w:t>http://www.gsxt.gov.cn/</w:t>
            </w:r>
            <w:r>
              <w:rPr>
                <w:rFonts w:ascii="宋体" w:hAnsi="宋体"/>
                <w:color w:val="auto"/>
                <w:sz w:val="24"/>
                <w:highlight w:val="none"/>
              </w:rPr>
              <w:fldChar w:fldCharType="end"/>
            </w:r>
            <w:r>
              <w:rPr>
                <w:rFonts w:hint="eastAsia" w:ascii="宋体" w:hAnsi="宋体"/>
                <w:color w:val="auto"/>
                <w:sz w:val="24"/>
                <w:highlight w:val="none"/>
              </w:rPr>
              <w:t>）中被列入严重违法失信企业名单；</w:t>
            </w:r>
          </w:p>
          <w:p>
            <w:pPr>
              <w:spacing w:line="400" w:lineRule="exact"/>
              <w:ind w:firstLine="480" w:firstLineChars="200"/>
              <w:rPr>
                <w:rFonts w:hint="eastAsia"/>
                <w:color w:val="auto"/>
                <w:sz w:val="24"/>
                <w:highlight w:val="none"/>
              </w:rPr>
            </w:pPr>
            <w:r>
              <w:rPr>
                <w:rFonts w:hint="eastAsia" w:ascii="宋体" w:hAnsi="宋体"/>
                <w:color w:val="auto"/>
                <w:sz w:val="24"/>
                <w:highlight w:val="none"/>
              </w:rPr>
              <w:t>7、在“信用中国”网站（</w:t>
            </w:r>
            <w:r>
              <w:rPr>
                <w:rFonts w:ascii="宋体" w:hAnsi="宋体"/>
                <w:color w:val="auto"/>
                <w:sz w:val="24"/>
                <w:highlight w:val="none"/>
              </w:rPr>
              <w:fldChar w:fldCharType="begin"/>
            </w:r>
            <w:r>
              <w:rPr>
                <w:rFonts w:ascii="宋体" w:hAnsi="宋体"/>
                <w:color w:val="auto"/>
                <w:sz w:val="24"/>
                <w:highlight w:val="none"/>
              </w:rPr>
              <w:instrText xml:space="preserve">HYPERLINK "http://www.creditchina.gov.cn/" \h</w:instrText>
            </w:r>
            <w:r>
              <w:rPr>
                <w:rFonts w:ascii="宋体" w:hAnsi="宋体"/>
                <w:color w:val="auto"/>
                <w:sz w:val="24"/>
                <w:highlight w:val="none"/>
              </w:rPr>
              <w:fldChar w:fldCharType="separate"/>
            </w:r>
            <w:r>
              <w:rPr>
                <w:color w:val="auto"/>
                <w:sz w:val="24"/>
                <w:highlight w:val="none"/>
              </w:rPr>
              <w:t>http://www.creditchina.gov.cn/</w:t>
            </w:r>
            <w:r>
              <w:rPr>
                <w:rFonts w:ascii="宋体" w:hAnsi="宋体"/>
                <w:color w:val="auto"/>
                <w:sz w:val="24"/>
                <w:highlight w:val="none"/>
              </w:rPr>
              <w:fldChar w:fldCharType="end"/>
            </w:r>
            <w:r>
              <w:rPr>
                <w:rFonts w:hint="eastAsia" w:ascii="宋体" w:hAnsi="宋体"/>
                <w:color w:val="auto"/>
                <w:sz w:val="24"/>
                <w:highlight w:val="none"/>
              </w:rPr>
              <w:t>）中被列入失信被执行人名单。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945" w:type="dxa"/>
            <w:noWrap w:val="0"/>
            <w:vAlign w:val="center"/>
          </w:tcPr>
          <w:p>
            <w:pPr>
              <w:adjustRightInd w:val="0"/>
              <w:snapToGrid w:val="0"/>
              <w:spacing w:line="400" w:lineRule="atLeast"/>
              <w:ind w:firstLine="360" w:firstLineChars="200"/>
              <w:rPr>
                <w:rFonts w:hint="eastAsia"/>
                <w:color w:val="auto"/>
                <w:sz w:val="24"/>
                <w:highlight w:val="none"/>
              </w:rPr>
            </w:pPr>
            <w:r>
              <w:rPr>
                <w:rFonts w:hint="eastAsia"/>
                <w:color w:val="auto"/>
                <w:sz w:val="18"/>
                <w:szCs w:val="18"/>
                <w:highlight w:val="none"/>
              </w:rPr>
              <w:t>备注：上述第1至5点，以投标人的承诺为准，格式自拟；上述第6至7点，以对应网站的截图为准。</w:t>
            </w:r>
          </w:p>
        </w:tc>
      </w:tr>
    </w:tbl>
    <w:p>
      <w:pPr>
        <w:adjustRightInd w:val="0"/>
        <w:snapToGrid w:val="0"/>
        <w:spacing w:line="300" w:lineRule="auto"/>
        <w:jc w:val="center"/>
        <w:rPr>
          <w:rFonts w:hint="eastAsia" w:ascii="宋体" w:hAnsi="宋体"/>
          <w:color w:val="auto"/>
          <w:szCs w:val="21"/>
          <w:highlight w:val="none"/>
        </w:rPr>
      </w:pPr>
    </w:p>
    <w:p>
      <w:pPr>
        <w:pStyle w:val="3"/>
        <w:ind w:left="0" w:leftChars="0" w:firstLine="0" w:firstLineChars="0"/>
        <w:rPr>
          <w:rFonts w:ascii="宋体" w:hAnsi="宋体"/>
          <w:color w:val="auto"/>
          <w:sz w:val="24"/>
          <w:highlight w:val="none"/>
        </w:rPr>
      </w:pPr>
      <w:bookmarkStart w:id="0" w:name="_GoBack"/>
      <w:bookmarkEnd w:id="0"/>
    </w:p>
    <w:p>
      <w:pPr>
        <w:adjustRightInd w:val="0"/>
        <w:snapToGrid w:val="0"/>
        <w:spacing w:line="300" w:lineRule="exact"/>
        <w:jc w:val="center"/>
        <w:rPr>
          <w:rFonts w:ascii="宋体" w:hAnsi="宋体"/>
          <w:color w:val="auto"/>
          <w:sz w:val="24"/>
          <w:highlight w:val="none"/>
        </w:rPr>
      </w:pPr>
      <w:r>
        <w:rPr>
          <w:rFonts w:ascii="宋体" w:hAnsi="宋体"/>
          <w:color w:val="auto"/>
          <w:sz w:val="24"/>
          <w:highlight w:val="none"/>
        </w:rPr>
        <w:t>附录</w:t>
      </w:r>
      <w:r>
        <w:rPr>
          <w:rFonts w:hint="eastAsia" w:ascii="宋体" w:hAnsi="宋体"/>
          <w:color w:val="auto"/>
          <w:sz w:val="24"/>
          <w:highlight w:val="none"/>
        </w:rPr>
        <w:t>5</w:t>
      </w:r>
      <w:r>
        <w:rPr>
          <w:rFonts w:ascii="宋体" w:hAnsi="宋体"/>
          <w:color w:val="auto"/>
          <w:sz w:val="24"/>
          <w:highlight w:val="none"/>
        </w:rPr>
        <w:t xml:space="preserve">  资格审查条件(</w:t>
      </w:r>
      <w:r>
        <w:rPr>
          <w:rFonts w:hint="eastAsia" w:ascii="宋体" w:hAnsi="宋体"/>
          <w:color w:val="auto"/>
          <w:sz w:val="24"/>
          <w:highlight w:val="none"/>
        </w:rPr>
        <w:t>样品</w:t>
      </w:r>
      <w:r>
        <w:rPr>
          <w:rFonts w:ascii="宋体" w:hAnsi="宋体"/>
          <w:color w:val="auto"/>
          <w:sz w:val="24"/>
          <w:highlight w:val="none"/>
        </w:rPr>
        <w:t>要求)</w:t>
      </w:r>
    </w:p>
    <w:p>
      <w:pPr>
        <w:pStyle w:val="3"/>
        <w:rPr>
          <w:rFonts w:hint="eastAsia"/>
          <w:color w:val="auto"/>
          <w:highlight w:val="none"/>
        </w:rPr>
      </w:pPr>
    </w:p>
    <w:tbl>
      <w:tblPr>
        <w:tblStyle w:val="4"/>
        <w:tblW w:w="89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jc w:val="center"/>
        </w:trPr>
        <w:tc>
          <w:tcPr>
            <w:tcW w:w="8945" w:type="dxa"/>
            <w:noWrap w:val="0"/>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样品</w:t>
            </w:r>
            <w:r>
              <w:rPr>
                <w:rFonts w:ascii="宋体" w:hAnsi="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8945" w:type="dxa"/>
            <w:noWrap w:val="0"/>
            <w:vAlign w:val="center"/>
          </w:tcPr>
          <w:p>
            <w:pPr>
              <w:spacing w:line="400" w:lineRule="exact"/>
              <w:ind w:firstLine="480" w:firstLineChars="200"/>
              <w:rPr>
                <w:rFonts w:hint="eastAsia"/>
                <w:color w:val="auto"/>
                <w:sz w:val="24"/>
                <w:highlight w:val="none"/>
              </w:rPr>
            </w:pPr>
            <w:r>
              <w:rPr>
                <w:rFonts w:hint="eastAsia"/>
                <w:color w:val="auto"/>
                <w:sz w:val="24"/>
                <w:highlight w:val="none"/>
              </w:rPr>
              <w:t>投标人的服装样衣需符合招标文件要求，其中：</w:t>
            </w:r>
          </w:p>
          <w:p>
            <w:pPr>
              <w:spacing w:line="400" w:lineRule="exact"/>
              <w:ind w:firstLine="480" w:firstLineChars="200"/>
              <w:rPr>
                <w:rFonts w:hint="eastAsia"/>
                <w:color w:val="auto"/>
                <w:sz w:val="24"/>
                <w:highlight w:val="none"/>
              </w:rPr>
            </w:pPr>
            <w:r>
              <w:rPr>
                <w:rFonts w:hint="eastAsia"/>
                <w:color w:val="auto"/>
                <w:sz w:val="24"/>
                <w:highlight w:val="none"/>
              </w:rPr>
              <w:t>（1）实物密封递交的投标样品种类及数量详见第三章“第六点 投标样品清单”，投标样品及附属品不能带有任何能识别投标人的厂家标签、品牌标志、与招标人展示的版衣外观明显不一致（单件样品三处以上含三处）或全套样品出现缺件等不完整的情况，则视为全套样品无效可否决其投标。</w:t>
            </w:r>
          </w:p>
          <w:p>
            <w:pPr>
              <w:spacing w:line="400" w:lineRule="exact"/>
              <w:ind w:firstLine="480" w:firstLineChars="200"/>
              <w:rPr>
                <w:rFonts w:hint="eastAsia"/>
                <w:color w:val="auto"/>
                <w:sz w:val="24"/>
                <w:highlight w:val="none"/>
              </w:rPr>
            </w:pPr>
            <w:r>
              <w:rPr>
                <w:rFonts w:hint="eastAsia"/>
                <w:color w:val="auto"/>
                <w:sz w:val="24"/>
                <w:highlight w:val="none"/>
              </w:rPr>
              <w:t>（2）出具检测报告的样品种类、检测指标详见本章“第七点 检测指标”，投标人需提供经省级（或以上）纺织品服装产品质量监督检验中心检测成品、成品面料、成品里料合格的成衣检测报告，检测报告需附有查询结果二维码，同时提交原件和检测报告网上查询结果截图。</w:t>
            </w:r>
          </w:p>
        </w:tc>
      </w:tr>
    </w:tbl>
    <w:p>
      <w:pPr>
        <w:adjustRightInd w:val="0"/>
        <w:snapToGrid w:val="0"/>
        <w:spacing w:line="300" w:lineRule="auto"/>
        <w:jc w:val="center"/>
        <w:rPr>
          <w:rFonts w:hint="eastAsia" w:ascii="宋体" w:hAnsi="宋体"/>
          <w:color w:val="auto"/>
          <w:szCs w:val="21"/>
          <w:highlight w:val="none"/>
        </w:rPr>
      </w:pPr>
    </w:p>
    <w:p>
      <w:pPr>
        <w:adjustRightInd w:val="0"/>
        <w:snapToGrid w:val="0"/>
        <w:spacing w:line="300" w:lineRule="auto"/>
        <w:jc w:val="center"/>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pPr>
        <w:pStyle w:val="3"/>
        <w:rPr>
          <w:rFonts w:hint="eastAsia" w:ascii="宋体" w:hAnsi="宋体"/>
          <w:color w:val="auto"/>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301FD"/>
    <w:multiLevelType w:val="singleLevel"/>
    <w:tmpl w:val="A91301FD"/>
    <w:lvl w:ilvl="0" w:tentative="0">
      <w:start w:val="1"/>
      <w:numFmt w:val="decimal"/>
      <w:suff w:val="nothing"/>
      <w:lvlText w:val="%1、"/>
      <w:lvlJc w:val="left"/>
    </w:lvl>
  </w:abstractNum>
  <w:abstractNum w:abstractNumId="1">
    <w:nsid w:val="04FC5EBB"/>
    <w:multiLevelType w:val="singleLevel"/>
    <w:tmpl w:val="04FC5EB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E3252"/>
    <w:rsid w:val="2E7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rPr>
  </w:style>
  <w:style w:type="paragraph" w:styleId="3">
    <w:name w:val="Body Text Indent"/>
    <w:basedOn w:val="1"/>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2023-07-28T03:32:00Z</dcterms:created>
  <dc:creator>刘广</dc:creator>
  <cp:lastModifiedBy>刘广</cp:lastModifiedBy>
  <dcterms:modified xsi:type="dcterms:W3CDTF">2023-07-28T03:34:35Z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