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20"/>
          <w:tab w:val="left" w:pos="2400"/>
          <w:tab w:val="left" w:pos="3160"/>
          <w:tab w:val="left" w:pos="6020"/>
          <w:tab w:val="left" w:pos="7720"/>
          <w:tab w:val="left" w:pos="8660"/>
        </w:tabs>
        <w:autoSpaceDE w:val="0"/>
        <w:autoSpaceDN w:val="0"/>
        <w:adjustRightInd w:val="0"/>
        <w:spacing w:before="74" w:line="580" w:lineRule="exact"/>
        <w:ind w:right="44"/>
        <w:jc w:val="center"/>
        <w:rPr>
          <w:rFonts w:hint="eastAsia" w:ascii="宋体" w:hAnsi="宋体" w:cs="宋体"/>
          <w:b/>
          <w:bCs/>
          <w:color w:val="auto"/>
          <w:kern w:val="0"/>
          <w:sz w:val="30"/>
          <w:szCs w:val="30"/>
          <w:highlight w:val="none"/>
          <w:lang w:eastAsia="zh-CN"/>
        </w:rPr>
      </w:pPr>
      <w:r>
        <w:rPr>
          <w:rFonts w:hint="eastAsia" w:ascii="宋体" w:hAnsi="宋体" w:cs="宋体"/>
          <w:b/>
          <w:bCs/>
          <w:color w:val="auto"/>
          <w:kern w:val="0"/>
          <w:sz w:val="30"/>
          <w:szCs w:val="30"/>
          <w:highlight w:val="none"/>
          <w:lang w:eastAsia="zh-CN"/>
        </w:rPr>
        <w:t>增城区2022年道路交通安全隐患治理工程施工</w:t>
      </w:r>
    </w:p>
    <w:p>
      <w:pPr>
        <w:tabs>
          <w:tab w:val="left" w:pos="2320"/>
          <w:tab w:val="left" w:pos="2400"/>
          <w:tab w:val="left" w:pos="3160"/>
          <w:tab w:val="left" w:pos="6020"/>
          <w:tab w:val="left" w:pos="7720"/>
          <w:tab w:val="left" w:pos="8660"/>
        </w:tabs>
        <w:autoSpaceDE w:val="0"/>
        <w:autoSpaceDN w:val="0"/>
        <w:adjustRightInd w:val="0"/>
        <w:spacing w:before="74" w:line="580" w:lineRule="exact"/>
        <w:ind w:right="44"/>
        <w:jc w:val="cente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eastAsia="zh-CN"/>
        </w:rPr>
        <w:t>招标</w:t>
      </w:r>
      <w:r>
        <w:rPr>
          <w:rFonts w:hint="eastAsia" w:ascii="宋体" w:hAnsi="宋体" w:cs="宋体"/>
          <w:b/>
          <w:bCs/>
          <w:color w:val="auto"/>
          <w:kern w:val="0"/>
          <w:sz w:val="30"/>
          <w:szCs w:val="30"/>
          <w:highlight w:val="none"/>
        </w:rPr>
        <w:t>公告</w:t>
      </w:r>
    </w:p>
    <w:p>
      <w:pPr>
        <w:adjustRightInd w:val="0"/>
        <w:snapToGrid w:val="0"/>
        <w:spacing w:before="120" w:beforeLines="50" w:after="120" w:afterLines="50" w:line="480" w:lineRule="exact"/>
        <w:outlineLvl w:val="2"/>
        <w:rPr>
          <w:b/>
          <w:color w:val="auto"/>
          <w:kern w:val="0"/>
          <w:sz w:val="24"/>
          <w:highlight w:val="none"/>
        </w:rPr>
      </w:pPr>
      <w:bookmarkStart w:id="0" w:name="_Toc514924085"/>
      <w:bookmarkStart w:id="1" w:name="_Toc23192"/>
      <w:bookmarkStart w:id="2" w:name="_Toc23154"/>
      <w:bookmarkStart w:id="3" w:name="_Toc409622230"/>
      <w:bookmarkStart w:id="4" w:name="_Toc7059"/>
      <w:bookmarkStart w:id="5" w:name="_Toc11424"/>
      <w:r>
        <w:rPr>
          <w:b/>
          <w:color w:val="auto"/>
          <w:kern w:val="0"/>
          <w:sz w:val="24"/>
          <w:highlight w:val="none"/>
        </w:rPr>
        <w:t>1.</w:t>
      </w:r>
      <w:r>
        <w:rPr>
          <w:rFonts w:hint="eastAsia"/>
          <w:b/>
          <w:color w:val="auto"/>
          <w:kern w:val="0"/>
          <w:sz w:val="24"/>
          <w:highlight w:val="none"/>
        </w:rPr>
        <w:t>招标条件</w:t>
      </w:r>
      <w:bookmarkEnd w:id="0"/>
      <w:bookmarkEnd w:id="1"/>
      <w:bookmarkEnd w:id="2"/>
      <w:bookmarkEnd w:id="3"/>
      <w:bookmarkEnd w:id="4"/>
      <w:bookmarkEnd w:id="5"/>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color w:val="auto"/>
          <w:sz w:val="24"/>
          <w:highlight w:val="none"/>
        </w:rPr>
      </w:pPr>
      <w:r>
        <w:rPr>
          <w:rFonts w:hint="eastAsia" w:ascii="宋体" w:hAnsi="宋体" w:cs="宋体"/>
          <w:color w:val="auto"/>
          <w:kern w:val="0"/>
          <w:sz w:val="24"/>
          <w:highlight w:val="none"/>
        </w:rPr>
        <w:t>本招标项</w:t>
      </w:r>
      <w:r>
        <w:rPr>
          <w:rFonts w:hint="eastAsia" w:ascii="宋体" w:hAnsi="宋体" w:cs="宋体"/>
          <w:color w:val="auto"/>
          <w:kern w:val="0"/>
          <w:sz w:val="24"/>
          <w:highlight w:val="none"/>
          <w:lang w:val="en-US" w:eastAsia="zh-CN"/>
        </w:rPr>
        <w:t>目</w:t>
      </w:r>
      <w:r>
        <w:rPr>
          <w:rFonts w:hint="eastAsia" w:ascii="宋体" w:hAnsi="宋体"/>
          <w:color w:val="auto"/>
          <w:sz w:val="24"/>
          <w:highlight w:val="none"/>
          <w:u w:val="single"/>
          <w:lang w:eastAsia="zh-CN"/>
        </w:rPr>
        <w:t>增城区2022年道路交通安全隐患治理工程</w:t>
      </w:r>
      <w:r>
        <w:rPr>
          <w:rFonts w:hint="eastAsia" w:ascii="宋体" w:hAnsi="宋体"/>
          <w:color w:val="auto"/>
          <w:sz w:val="24"/>
          <w:highlight w:val="none"/>
        </w:rPr>
        <w:t>已由</w:t>
      </w:r>
      <w:r>
        <w:rPr>
          <w:rFonts w:hint="eastAsia" w:ascii="宋体" w:hAnsi="宋体" w:eastAsia="Calibri" w:cs="Times New Roman"/>
          <w:color w:val="auto"/>
          <w:kern w:val="2"/>
          <w:sz w:val="24"/>
          <w:szCs w:val="24"/>
          <w:highlight w:val="none"/>
          <w:u w:val="single"/>
          <w:lang w:val="en-US" w:eastAsia="zh-CN" w:bidi="ar-SA"/>
        </w:rPr>
        <w:t>广州市增城区发展和改革局</w:t>
      </w:r>
      <w:r>
        <w:rPr>
          <w:rFonts w:hint="eastAsia" w:ascii="宋体" w:hAnsi="宋体"/>
          <w:color w:val="auto"/>
          <w:sz w:val="24"/>
          <w:highlight w:val="none"/>
        </w:rPr>
        <w:t>以</w:t>
      </w:r>
      <w:r>
        <w:rPr>
          <w:rFonts w:hint="eastAsia" w:ascii="宋体" w:hAnsi="宋体"/>
          <w:color w:val="auto"/>
          <w:sz w:val="24"/>
          <w:highlight w:val="none"/>
          <w:u w:val="single"/>
          <w:lang w:val="en-US" w:eastAsia="zh-CN"/>
        </w:rPr>
        <w:t>穗增发改投批</w:t>
      </w:r>
      <w:r>
        <w:rPr>
          <w:rFonts w:hint="eastAsia" w:ascii="宋体" w:hAnsi="宋体"/>
          <w:color w:val="auto"/>
          <w:sz w:val="24"/>
          <w:highlight w:val="none"/>
          <w:u w:val="single"/>
        </w:rPr>
        <w:t>【</w:t>
      </w:r>
      <w:r>
        <w:rPr>
          <w:rFonts w:hint="eastAsia" w:ascii="宋体" w:hAnsi="宋体" w:eastAsia="宋体"/>
          <w:color w:val="auto"/>
          <w:sz w:val="24"/>
          <w:highlight w:val="none"/>
          <w:u w:val="single"/>
          <w:lang w:val="en-US" w:eastAsia="zh-CN"/>
        </w:rPr>
        <w:t>2022</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130</w:t>
      </w:r>
      <w:r>
        <w:rPr>
          <w:rFonts w:hint="eastAsia" w:ascii="宋体" w:hAnsi="宋体"/>
          <w:color w:val="auto"/>
          <w:sz w:val="24"/>
          <w:highlight w:val="none"/>
          <w:u w:val="single"/>
        </w:rPr>
        <w:t>号</w:t>
      </w:r>
      <w:r>
        <w:rPr>
          <w:rFonts w:hint="eastAsia" w:ascii="宋体" w:hAnsi="宋体"/>
          <w:color w:val="auto"/>
          <w:sz w:val="24"/>
          <w:highlight w:val="none"/>
        </w:rPr>
        <w:t>批准建设</w:t>
      </w:r>
      <w:r>
        <w:rPr>
          <w:rFonts w:hint="eastAsia" w:ascii="宋体" w:hAnsi="宋体"/>
          <w:color w:val="auto"/>
          <w:sz w:val="24"/>
          <w:highlight w:val="none"/>
          <w:lang w:eastAsia="zh-CN"/>
        </w:rPr>
        <w:t>，</w:t>
      </w:r>
      <w:r>
        <w:rPr>
          <w:rFonts w:hint="eastAsia" w:ascii="宋体" w:hAnsi="宋体" w:cs="宋体"/>
          <w:color w:val="auto"/>
          <w:spacing w:val="1"/>
          <w:kern w:val="0"/>
          <w:sz w:val="24"/>
          <w:highlight w:val="none"/>
        </w:rPr>
        <w:t>项目</w:t>
      </w:r>
      <w:r>
        <w:rPr>
          <w:rFonts w:hint="eastAsia" w:ascii="宋体" w:hAnsi="宋体" w:cs="宋体"/>
          <w:color w:val="auto"/>
          <w:kern w:val="0"/>
          <w:sz w:val="24"/>
          <w:highlight w:val="none"/>
          <w:lang w:val="en-US" w:eastAsia="zh-CN"/>
        </w:rPr>
        <w:t>业主</w:t>
      </w:r>
      <w:r>
        <w:rPr>
          <w:rFonts w:hint="eastAsia" w:ascii="宋体" w:hAnsi="宋体" w:cs="宋体"/>
          <w:color w:val="auto"/>
          <w:spacing w:val="1"/>
          <w:kern w:val="0"/>
          <w:sz w:val="24"/>
          <w:highlight w:val="none"/>
        </w:rPr>
        <w:t>为</w:t>
      </w:r>
      <w:r>
        <w:rPr>
          <w:rFonts w:hint="eastAsia" w:ascii="宋体" w:hAnsi="宋体"/>
          <w:color w:val="auto"/>
          <w:sz w:val="24"/>
          <w:highlight w:val="none"/>
          <w:u w:val="single"/>
          <w:lang w:eastAsia="zh-CN"/>
        </w:rPr>
        <w:t>广州市增城区道路养护中心</w:t>
      </w:r>
      <w:r>
        <w:rPr>
          <w:rFonts w:hint="eastAsia" w:ascii="宋体" w:hAnsi="宋体" w:cs="宋体"/>
          <w:color w:val="auto"/>
          <w:kern w:val="0"/>
          <w:sz w:val="24"/>
          <w:highlight w:val="none"/>
        </w:rPr>
        <w:t>，</w:t>
      </w:r>
      <w:r>
        <w:rPr>
          <w:rFonts w:hint="eastAsia" w:ascii="宋体" w:hAnsi="宋体" w:cs="宋体"/>
          <w:color w:val="auto"/>
          <w:spacing w:val="1"/>
          <w:kern w:val="0"/>
          <w:sz w:val="24"/>
          <w:highlight w:val="none"/>
        </w:rPr>
        <w:t>建设</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金来自</w:t>
      </w:r>
      <w:r>
        <w:rPr>
          <w:rFonts w:hint="eastAsia" w:ascii="宋体" w:hAnsi="宋体"/>
          <w:color w:val="auto"/>
          <w:kern w:val="0"/>
          <w:sz w:val="24"/>
          <w:highlight w:val="none"/>
          <w:u w:val="single"/>
          <w:lang w:val="en-US" w:eastAsia="zh-CN"/>
        </w:rPr>
        <w:t>区</w:t>
      </w:r>
      <w:r>
        <w:rPr>
          <w:rFonts w:hint="eastAsia" w:ascii="宋体" w:hAnsi="宋体"/>
          <w:color w:val="auto"/>
          <w:kern w:val="0"/>
          <w:sz w:val="24"/>
          <w:highlight w:val="none"/>
          <w:u w:val="single"/>
        </w:rPr>
        <w:t>财政</w:t>
      </w:r>
      <w:r>
        <w:rPr>
          <w:rFonts w:hint="eastAsia" w:ascii="宋体" w:hAnsi="宋体" w:eastAsia="宋体"/>
          <w:color w:val="auto"/>
          <w:kern w:val="0"/>
          <w:sz w:val="24"/>
          <w:highlight w:val="none"/>
          <w:u w:val="single"/>
          <w:lang w:eastAsia="zh-CN"/>
        </w:rPr>
        <w:t>资金安排</w:t>
      </w:r>
      <w:r>
        <w:rPr>
          <w:rFonts w:hint="eastAsia" w:ascii="宋体" w:hAnsi="宋体"/>
          <w:color w:val="auto"/>
          <w:kern w:val="0"/>
          <w:sz w:val="24"/>
          <w:highlight w:val="none"/>
          <w:u w:val="single"/>
        </w:rPr>
        <w:t>解决</w:t>
      </w:r>
      <w:r>
        <w:rPr>
          <w:rFonts w:hint="eastAsia" w:ascii="宋体" w:hAnsi="宋体"/>
          <w:color w:val="auto"/>
          <w:kern w:val="0"/>
          <w:sz w:val="24"/>
          <w:highlight w:val="none"/>
          <w:u w:val="none"/>
          <w:lang w:eastAsia="zh-CN"/>
        </w:rPr>
        <w:t>，</w:t>
      </w:r>
      <w:r>
        <w:rPr>
          <w:rFonts w:hint="eastAsia" w:ascii="宋体" w:hAnsi="宋体"/>
          <w:color w:val="auto"/>
          <w:kern w:val="0"/>
          <w:sz w:val="24"/>
          <w:highlight w:val="none"/>
          <w:u w:val="none"/>
          <w:lang w:val="en-US" w:eastAsia="zh-CN"/>
        </w:rPr>
        <w:t>项目出资比例为</w:t>
      </w:r>
      <w:r>
        <w:rPr>
          <w:rFonts w:hint="eastAsia" w:ascii="宋体" w:hAnsi="宋体"/>
          <w:color w:val="auto"/>
          <w:kern w:val="0"/>
          <w:sz w:val="24"/>
          <w:highlight w:val="none"/>
          <w:u w:val="single"/>
          <w:lang w:val="en-US" w:eastAsia="zh-CN"/>
        </w:rPr>
        <w:t>100%</w:t>
      </w:r>
      <w:r>
        <w:rPr>
          <w:rFonts w:hint="eastAsia" w:ascii="宋体" w:hAnsi="宋体" w:eastAsia="宋体" w:cs="宋体"/>
          <w:color w:val="auto"/>
          <w:spacing w:val="-42"/>
          <w:kern w:val="0"/>
          <w:sz w:val="24"/>
          <w:highlight w:val="none"/>
          <w:lang w:eastAsia="zh-CN"/>
        </w:rPr>
        <w:t>，</w:t>
      </w:r>
      <w:r>
        <w:rPr>
          <w:rFonts w:hint="eastAsia" w:ascii="宋体" w:hAnsi="宋体" w:cs="宋体"/>
          <w:color w:val="auto"/>
          <w:kern w:val="0"/>
          <w:sz w:val="24"/>
          <w:highlight w:val="none"/>
        </w:rPr>
        <w:t>招标人</w:t>
      </w:r>
      <w:r>
        <w:rPr>
          <w:rFonts w:hint="eastAsia" w:ascii="宋体" w:hAnsi="宋体" w:cs="宋体"/>
          <w:color w:val="auto"/>
          <w:spacing w:val="-1"/>
          <w:kern w:val="0"/>
          <w:sz w:val="24"/>
          <w:highlight w:val="none"/>
        </w:rPr>
        <w:t>为</w:t>
      </w:r>
      <w:r>
        <w:rPr>
          <w:rFonts w:hint="eastAsia" w:ascii="宋体" w:hAnsi="宋体"/>
          <w:color w:val="auto"/>
          <w:sz w:val="24"/>
          <w:highlight w:val="none"/>
          <w:u w:val="single"/>
          <w:lang w:eastAsia="zh-CN"/>
        </w:rPr>
        <w:t>广州市增城区道路养护中心</w:t>
      </w:r>
      <w:r>
        <w:rPr>
          <w:rFonts w:hint="eastAsia" w:ascii="宋体" w:hAnsi="宋体"/>
          <w:color w:val="auto"/>
          <w:sz w:val="24"/>
          <w:highlight w:val="none"/>
          <w:u w:val="none"/>
          <w:lang w:eastAsia="zh-CN"/>
        </w:rPr>
        <w:t>。</w:t>
      </w:r>
      <w:r>
        <w:rPr>
          <w:rFonts w:hint="eastAsia" w:ascii="宋体" w:hAnsi="宋体" w:cs="宋体"/>
          <w:color w:val="auto"/>
          <w:kern w:val="0"/>
          <w:sz w:val="24"/>
          <w:highlight w:val="none"/>
        </w:rPr>
        <w:t>项目已具备招标条件，</w:t>
      </w:r>
      <w:r>
        <w:rPr>
          <w:rFonts w:ascii="宋体" w:hAnsi="宋体"/>
          <w:color w:val="auto"/>
          <w:sz w:val="24"/>
          <w:highlight w:val="none"/>
        </w:rPr>
        <w:t>现对该项目的施工</w:t>
      </w:r>
      <w:r>
        <w:rPr>
          <w:rFonts w:hint="eastAsia" w:ascii="宋体" w:hAnsi="宋体"/>
          <w:color w:val="auto"/>
          <w:sz w:val="24"/>
          <w:highlight w:val="none"/>
        </w:rPr>
        <w:t>采用资格后审方式</w:t>
      </w:r>
      <w:r>
        <w:rPr>
          <w:rFonts w:ascii="宋体" w:hAnsi="宋体"/>
          <w:color w:val="auto"/>
          <w:sz w:val="24"/>
          <w:highlight w:val="none"/>
        </w:rPr>
        <w:t>进行公开招标</w:t>
      </w:r>
      <w:r>
        <w:rPr>
          <w:rFonts w:hint="eastAsia" w:ascii="宋体" w:hAnsi="宋体"/>
          <w:color w:val="auto"/>
          <w:sz w:val="24"/>
          <w:highlight w:val="none"/>
        </w:rPr>
        <w:t>。</w:t>
      </w:r>
    </w:p>
    <w:p>
      <w:pPr>
        <w:adjustRightInd w:val="0"/>
        <w:snapToGrid w:val="0"/>
        <w:spacing w:before="120" w:beforeLines="50" w:after="120" w:afterLines="50" w:line="360" w:lineRule="auto"/>
        <w:outlineLvl w:val="2"/>
        <w:rPr>
          <w:b/>
          <w:color w:val="auto"/>
          <w:kern w:val="0"/>
          <w:sz w:val="24"/>
          <w:highlight w:val="none"/>
        </w:rPr>
      </w:pPr>
      <w:bookmarkStart w:id="6" w:name="_Toc4593"/>
      <w:bookmarkStart w:id="7" w:name="_Toc409622231"/>
      <w:bookmarkStart w:id="8" w:name="_Toc514924086"/>
      <w:bookmarkStart w:id="9" w:name="_Toc18105"/>
      <w:bookmarkStart w:id="10" w:name="_Toc776"/>
      <w:bookmarkStart w:id="11" w:name="_Toc14673"/>
      <w:r>
        <w:rPr>
          <w:b/>
          <w:color w:val="auto"/>
          <w:kern w:val="0"/>
          <w:sz w:val="24"/>
          <w:highlight w:val="none"/>
        </w:rPr>
        <w:t>2.</w:t>
      </w:r>
      <w:r>
        <w:rPr>
          <w:rFonts w:hint="eastAsia"/>
          <w:b/>
          <w:color w:val="auto"/>
          <w:kern w:val="0"/>
          <w:sz w:val="24"/>
          <w:highlight w:val="none"/>
        </w:rPr>
        <w:t>项目概况与招标范围</w:t>
      </w:r>
      <w:bookmarkEnd w:id="6"/>
      <w:bookmarkEnd w:id="7"/>
      <w:bookmarkEnd w:id="8"/>
      <w:bookmarkEnd w:id="9"/>
      <w:bookmarkEnd w:id="10"/>
      <w:bookmarkEnd w:id="11"/>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项目实施包括永宁路（太新路-</w:t>
      </w:r>
      <w:r>
        <w:rPr>
          <w:rFonts w:hint="eastAsia" w:ascii="宋体" w:hAnsi="宋体" w:cs="宋体"/>
          <w:color w:val="auto"/>
          <w:kern w:val="0"/>
          <w:sz w:val="24"/>
          <w:highlight w:val="none"/>
        </w:rPr>
        <w:t>永宁大道）、朱宁路、G324线、X290线、S118线、S379线、X291线、S379线、荔新公路仙村桥花圈路段、仙宁路涵洞、S119线、G107线、G355线、S380线、S254线、S256线、前海人寿广州总医院地（新城大道）、X292线、朱村社区医院（朱村大道）、Y280线，主要对道路实施安全设施改造，主要实施内容包括标志、标线、中央分</w:t>
      </w:r>
      <w:bookmarkStart w:id="104" w:name="_GoBack"/>
      <w:bookmarkEnd w:id="104"/>
      <w:r>
        <w:rPr>
          <w:rFonts w:hint="eastAsia" w:ascii="宋体" w:hAnsi="宋体" w:cs="宋体"/>
          <w:color w:val="auto"/>
          <w:kern w:val="0"/>
          <w:sz w:val="24"/>
          <w:highlight w:val="none"/>
        </w:rPr>
        <w:t>隔栏、信号灯及监控设施等。</w:t>
      </w:r>
      <w:r>
        <w:rPr>
          <w:rFonts w:hint="eastAsia" w:ascii="宋体" w:hAnsi="宋体" w:cs="宋体"/>
          <w:color w:val="auto"/>
          <w:kern w:val="0"/>
          <w:sz w:val="24"/>
          <w:highlight w:val="none"/>
          <w:lang w:val="en-US" w:eastAsia="zh-CN"/>
        </w:rPr>
        <w:t>本项目施工最</w:t>
      </w:r>
      <w:r>
        <w:rPr>
          <w:rFonts w:hint="eastAsia"/>
          <w:color w:val="auto"/>
          <w:kern w:val="0"/>
          <w:sz w:val="24"/>
          <w:highlight w:val="none"/>
          <w:lang w:val="en-US" w:eastAsia="zh-CN"/>
        </w:rPr>
        <w:t>高投标限价为</w:t>
      </w:r>
      <w:r>
        <w:rPr>
          <w:rFonts w:hint="eastAsia" w:ascii="宋体" w:hAnsi="宋体"/>
          <w:color w:val="auto"/>
          <w:sz w:val="24"/>
          <w:highlight w:val="none"/>
          <w:u w:val="single"/>
          <w:lang w:val="en-US" w:eastAsia="zh-CN"/>
        </w:rPr>
        <w:t>19343699.00</w:t>
      </w:r>
      <w:r>
        <w:rPr>
          <w:rFonts w:hint="eastAsia"/>
          <w:color w:val="auto"/>
          <w:kern w:val="0"/>
          <w:sz w:val="24"/>
          <w:highlight w:val="none"/>
          <w:lang w:val="en-US" w:eastAsia="zh-CN"/>
        </w:rPr>
        <w:t>元。（以上为暂</w:t>
      </w:r>
      <w:r>
        <w:rPr>
          <w:rFonts w:hint="eastAsia" w:ascii="宋体" w:hAnsi="宋体" w:cs="宋体"/>
          <w:color w:val="auto"/>
          <w:kern w:val="0"/>
          <w:sz w:val="24"/>
          <w:highlight w:val="none"/>
          <w:lang w:val="en-US" w:eastAsia="zh-CN"/>
        </w:rPr>
        <w:t>定工程概况，实际施工以招标人提供的经审核的施工图纸及招标工程量清单为准）。</w:t>
      </w:r>
    </w:p>
    <w:p>
      <w:pPr>
        <w:tabs>
          <w:tab w:val="left" w:pos="1155"/>
          <w:tab w:val="left" w:pos="2880"/>
          <w:tab w:val="left" w:pos="3440"/>
          <w:tab w:val="left" w:pos="3680"/>
          <w:tab w:val="left" w:pos="6120"/>
          <w:tab w:val="left" w:pos="7840"/>
          <w:tab w:val="left" w:pos="8120"/>
        </w:tabs>
        <w:autoSpaceDE w:val="0"/>
        <w:autoSpaceDN w:val="0"/>
        <w:adjustRightInd w:val="0"/>
        <w:spacing w:before="74" w:line="360" w:lineRule="auto"/>
        <w:ind w:right="60" w:firstLine="480" w:firstLineChars="200"/>
        <w:rPr>
          <w:rFonts w:hint="eastAsia" w:eastAsia="宋体"/>
          <w:color w:val="auto"/>
          <w:kern w:val="0"/>
          <w:sz w:val="24"/>
          <w:highlight w:val="none"/>
          <w:u w:val="single"/>
          <w:lang w:eastAsia="zh-CN"/>
        </w:rPr>
      </w:pPr>
      <w:r>
        <w:rPr>
          <w:rFonts w:hint="eastAsia"/>
          <w:color w:val="auto"/>
          <w:kern w:val="0"/>
          <w:sz w:val="24"/>
          <w:highlight w:val="none"/>
          <w:lang w:val="en-US" w:eastAsia="zh-CN"/>
        </w:rPr>
        <w:t>本次施工招标设1个合同段，计划施工工期为</w:t>
      </w:r>
      <w:r>
        <w:rPr>
          <w:rFonts w:hint="eastAsia"/>
          <w:color w:val="auto"/>
          <w:kern w:val="0"/>
          <w:sz w:val="24"/>
          <w:highlight w:val="none"/>
          <w:u w:val="single"/>
          <w:lang w:val="en-US" w:eastAsia="zh-CN"/>
        </w:rPr>
        <w:t>6</w:t>
      </w:r>
      <w:r>
        <w:rPr>
          <w:rFonts w:hint="eastAsia"/>
          <w:color w:val="auto"/>
          <w:kern w:val="0"/>
          <w:sz w:val="24"/>
          <w:highlight w:val="none"/>
          <w:u w:val="single"/>
        </w:rPr>
        <w:t>个月</w:t>
      </w:r>
      <w:r>
        <w:rPr>
          <w:rFonts w:hint="eastAsia"/>
          <w:color w:val="auto"/>
          <w:kern w:val="0"/>
          <w:sz w:val="24"/>
          <w:highlight w:val="none"/>
          <w:u w:val="single"/>
          <w:lang w:eastAsia="zh-CN"/>
        </w:rPr>
        <w:t>。</w:t>
      </w:r>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cs="宋体"/>
          <w:color w:val="auto"/>
          <w:kern w:val="0"/>
          <w:sz w:val="24"/>
          <w:highlight w:val="none"/>
          <w:u w:val="none"/>
        </w:rPr>
      </w:pPr>
      <w:r>
        <w:rPr>
          <w:rFonts w:hint="eastAsia"/>
          <w:color w:val="auto"/>
          <w:kern w:val="0"/>
          <w:sz w:val="24"/>
          <w:highlight w:val="none"/>
          <w:u w:val="none"/>
        </w:rPr>
        <w:t>招标范围</w:t>
      </w:r>
      <w:r>
        <w:rPr>
          <w:rFonts w:hint="eastAsia" w:ascii="宋体" w:hAnsi="宋体" w:cs="宋体"/>
          <w:color w:val="auto"/>
          <w:sz w:val="24"/>
          <w:highlight w:val="none"/>
          <w:u w:val="none"/>
        </w:rPr>
        <w:t>主要包括交通</w:t>
      </w:r>
      <w:r>
        <w:rPr>
          <w:rFonts w:hint="eastAsia" w:ascii="宋体" w:hAnsi="宋体" w:eastAsia="宋体" w:cs="宋体"/>
          <w:color w:val="auto"/>
          <w:sz w:val="24"/>
          <w:highlight w:val="none"/>
          <w:u w:val="none"/>
          <w:lang w:eastAsia="zh-CN"/>
        </w:rPr>
        <w:t>安全</w:t>
      </w:r>
      <w:r>
        <w:rPr>
          <w:rFonts w:hint="eastAsia" w:ascii="宋体" w:hAnsi="宋体" w:cs="宋体"/>
          <w:color w:val="auto"/>
          <w:sz w:val="24"/>
          <w:highlight w:val="none"/>
          <w:u w:val="none"/>
        </w:rPr>
        <w:t>设施</w:t>
      </w:r>
      <w:r>
        <w:rPr>
          <w:rFonts w:hint="eastAsia" w:ascii="宋体" w:hAnsi="宋体" w:eastAsia="宋体" w:cs="宋体"/>
          <w:color w:val="auto"/>
          <w:sz w:val="24"/>
          <w:highlight w:val="none"/>
          <w:u w:val="none"/>
          <w:lang w:eastAsia="zh-CN"/>
        </w:rPr>
        <w:t>及监控设施</w:t>
      </w:r>
      <w:r>
        <w:rPr>
          <w:rFonts w:hint="eastAsia" w:ascii="宋体" w:hAnsi="宋体" w:eastAsia="宋体" w:cs="宋体"/>
          <w:color w:val="auto"/>
          <w:sz w:val="24"/>
          <w:highlight w:val="none"/>
          <w:u w:val="none"/>
          <w:lang w:val="en-US" w:eastAsia="zh-CN"/>
        </w:rPr>
        <w:t>改造</w:t>
      </w:r>
      <w:r>
        <w:rPr>
          <w:rFonts w:hint="eastAsia" w:ascii="宋体" w:hAnsi="宋体" w:eastAsia="宋体" w:cs="宋体"/>
          <w:color w:val="auto"/>
          <w:sz w:val="24"/>
          <w:highlight w:val="none"/>
          <w:u w:val="none"/>
          <w:lang w:eastAsia="zh-CN"/>
        </w:rPr>
        <w:t>工程</w:t>
      </w:r>
      <w:r>
        <w:rPr>
          <w:rFonts w:hint="eastAsia" w:ascii="宋体" w:hAnsi="宋体" w:cs="宋体"/>
          <w:color w:val="auto"/>
          <w:sz w:val="24"/>
          <w:highlight w:val="none"/>
          <w:u w:val="none"/>
          <w:lang w:val="en-US" w:eastAsia="zh-CN"/>
        </w:rPr>
        <w:t>的</w:t>
      </w:r>
      <w:r>
        <w:rPr>
          <w:rFonts w:hint="eastAsia" w:ascii="宋体" w:hAnsi="宋体" w:cs="宋体"/>
          <w:color w:val="auto"/>
          <w:sz w:val="24"/>
          <w:highlight w:val="none"/>
          <w:u w:val="none"/>
        </w:rPr>
        <w:t>施工及缺陷修复（具体内容以施工图纸及招标工程量清单为准）。</w:t>
      </w:r>
      <w:bookmarkStart w:id="12" w:name="_Toc409622232"/>
    </w:p>
    <w:p>
      <w:pPr>
        <w:adjustRightInd w:val="0"/>
        <w:snapToGrid w:val="0"/>
        <w:spacing w:before="120" w:beforeLines="50" w:after="120" w:afterLines="50" w:line="360" w:lineRule="auto"/>
        <w:outlineLvl w:val="2"/>
        <w:rPr>
          <w:rFonts w:hint="eastAsia"/>
          <w:b/>
          <w:color w:val="auto"/>
          <w:kern w:val="0"/>
          <w:sz w:val="24"/>
          <w:highlight w:val="none"/>
        </w:rPr>
      </w:pPr>
      <w:bookmarkStart w:id="13" w:name="_Toc32231"/>
      <w:bookmarkStart w:id="14" w:name="_Toc840"/>
      <w:bookmarkStart w:id="15" w:name="_Toc29228"/>
      <w:bookmarkStart w:id="16" w:name="_Toc11257"/>
      <w:bookmarkStart w:id="17" w:name="_Toc514924087"/>
      <w:r>
        <w:rPr>
          <w:b/>
          <w:color w:val="auto"/>
          <w:kern w:val="0"/>
          <w:sz w:val="24"/>
          <w:highlight w:val="none"/>
        </w:rPr>
        <w:t>3.</w:t>
      </w:r>
      <w:r>
        <w:rPr>
          <w:rFonts w:hint="eastAsia"/>
          <w:b/>
          <w:color w:val="auto"/>
          <w:kern w:val="0"/>
          <w:sz w:val="24"/>
          <w:highlight w:val="none"/>
        </w:rPr>
        <w:t>投标人资格要求</w:t>
      </w:r>
      <w:bookmarkEnd w:id="12"/>
      <w:bookmarkEnd w:id="13"/>
      <w:bookmarkEnd w:id="14"/>
      <w:bookmarkEnd w:id="15"/>
      <w:bookmarkEnd w:id="16"/>
      <w:bookmarkEnd w:id="17"/>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color w:val="auto"/>
          <w:kern w:val="0"/>
          <w:sz w:val="24"/>
          <w:highlight w:val="none"/>
          <w:u w:val="none"/>
        </w:rPr>
      </w:pPr>
      <w:bookmarkStart w:id="18" w:name="_Toc144974397"/>
      <w:r>
        <w:rPr>
          <w:rFonts w:hint="default"/>
          <w:color w:val="auto"/>
          <w:kern w:val="0"/>
          <w:sz w:val="24"/>
          <w:highlight w:val="none"/>
          <w:lang w:val="en-US" w:eastAsia="zh-CN"/>
        </w:rPr>
        <w:t>3.1</w:t>
      </w:r>
      <w:r>
        <w:rPr>
          <w:rFonts w:hint="eastAsia"/>
          <w:color w:val="auto"/>
          <w:kern w:val="0"/>
          <w:sz w:val="24"/>
          <w:highlight w:val="none"/>
          <w:lang w:val="en-US" w:eastAsia="zh-CN"/>
        </w:rPr>
        <w:t>本次招标要求投标人具备</w:t>
      </w:r>
      <w:r>
        <w:rPr>
          <w:rFonts w:hint="eastAsia" w:ascii="Calibri" w:hAnsi="Calibri" w:eastAsia="Calibri" w:cs="Times New Roman"/>
          <w:color w:val="auto"/>
          <w:spacing w:val="0"/>
          <w:kern w:val="0"/>
          <w:sz w:val="24"/>
          <w:highlight w:val="none"/>
          <w:u w:val="single"/>
          <w:lang w:val="en-US" w:eastAsia="zh-CN" w:bidi="ar-SA"/>
        </w:rPr>
        <w:t>建设行政主管部门核发的</w:t>
      </w:r>
      <w:r>
        <w:rPr>
          <w:rFonts w:hint="eastAsia" w:ascii="Times New Roman" w:hAnsi="Times New Roman" w:eastAsia="宋体" w:cs="Times New Roman"/>
          <w:color w:val="auto"/>
          <w:spacing w:val="-5"/>
          <w:kern w:val="2"/>
          <w:sz w:val="24"/>
          <w:highlight w:val="none"/>
          <w:u w:val="single"/>
          <w:lang w:val="en-US" w:eastAsia="zh-CN" w:bidi="ar-SA"/>
        </w:rPr>
        <w:t>公路交通工程（公路机电工程分项）专业承包二级（或以上）资质</w:t>
      </w:r>
      <w:r>
        <w:rPr>
          <w:rFonts w:hint="eastAsia" w:ascii="宋体" w:hAnsi="宋体" w:cs="宋体"/>
          <w:color w:val="auto"/>
          <w:sz w:val="24"/>
          <w:szCs w:val="24"/>
          <w:highlight w:val="none"/>
          <w:u w:val="single"/>
          <w:lang w:val="en-US" w:eastAsia="zh-CN"/>
        </w:rPr>
        <w:t>及</w:t>
      </w:r>
      <w:r>
        <w:rPr>
          <w:rFonts w:hint="eastAsia" w:ascii="Times New Roman" w:hAnsi="Times New Roman" w:eastAsia="宋体" w:cs="Times New Roman"/>
          <w:color w:val="auto"/>
          <w:spacing w:val="-5"/>
          <w:kern w:val="2"/>
          <w:sz w:val="24"/>
          <w:highlight w:val="none"/>
          <w:u w:val="single"/>
          <w:lang w:val="en-US" w:eastAsia="zh-CN" w:bidi="ar-SA"/>
        </w:rPr>
        <w:t>公路交通工程（公路安全设施分项）专业承包二级（或以上）资质</w:t>
      </w:r>
      <w:r>
        <w:rPr>
          <w:rFonts w:hint="eastAsia"/>
          <w:color w:val="auto"/>
          <w:kern w:val="0"/>
          <w:sz w:val="24"/>
          <w:highlight w:val="none"/>
          <w:lang w:val="en-US" w:eastAsia="zh-CN"/>
        </w:rPr>
        <w:t>、</w:t>
      </w:r>
      <w:r>
        <w:rPr>
          <w:rFonts w:hint="eastAsia"/>
          <w:color w:val="auto"/>
          <w:kern w:val="0"/>
          <w:sz w:val="24"/>
          <w:highlight w:val="none"/>
          <w:u w:val="single"/>
          <w:lang w:val="en-US" w:eastAsia="zh-CN"/>
        </w:rPr>
        <w:t>类似工程</w:t>
      </w:r>
      <w:r>
        <w:rPr>
          <w:rFonts w:hint="eastAsia"/>
          <w:color w:val="auto"/>
          <w:kern w:val="0"/>
          <w:sz w:val="24"/>
          <w:highlight w:val="none"/>
          <w:lang w:val="en-US" w:eastAsia="zh-CN"/>
        </w:rPr>
        <w:t>业绩，</w:t>
      </w:r>
      <w:r>
        <w:rPr>
          <w:rFonts w:hint="eastAsia"/>
          <w:color w:val="auto"/>
          <w:kern w:val="0"/>
          <w:sz w:val="24"/>
          <w:highlight w:val="none"/>
          <w:u w:val="none"/>
          <w:lang w:val="en-US" w:eastAsia="zh-CN"/>
        </w:rPr>
        <w:t>并在人员、设备、资金等方面具有相应的施工能力。</w:t>
      </w:r>
    </w:p>
    <w:p>
      <w:pPr>
        <w:keepNext w:val="0"/>
        <w:keepLines w:val="0"/>
        <w:pageBreakBefore w:val="0"/>
        <w:widowControl w:val="0"/>
        <w:tabs>
          <w:tab w:val="left" w:pos="2320"/>
          <w:tab w:val="left" w:pos="2400"/>
          <w:tab w:val="left" w:pos="3160"/>
          <w:tab w:val="left" w:pos="6020"/>
          <w:tab w:val="left" w:pos="7720"/>
          <w:tab w:val="left" w:pos="8660"/>
        </w:tabs>
        <w:kinsoku w:val="0"/>
        <w:wordWrap w:val="0"/>
        <w:overflowPunct/>
        <w:topLinePunct w:val="0"/>
        <w:autoSpaceDE w:val="0"/>
        <w:autoSpaceDN w:val="0"/>
        <w:bidi w:val="0"/>
        <w:adjustRightInd w:val="0"/>
        <w:snapToGrid/>
        <w:spacing w:before="74" w:line="360" w:lineRule="auto"/>
        <w:ind w:right="45" w:firstLine="480" w:firstLineChars="200"/>
        <w:jc w:val="left"/>
        <w:textAlignment w:val="auto"/>
        <w:rPr>
          <w:rFonts w:hint="eastAsia"/>
          <w:color w:val="auto"/>
          <w:kern w:val="0"/>
          <w:sz w:val="24"/>
          <w:highlight w:val="none"/>
          <w:u w:val="none"/>
        </w:rPr>
      </w:pPr>
      <w:r>
        <w:rPr>
          <w:rFonts w:hint="eastAsia"/>
          <w:color w:val="auto"/>
          <w:kern w:val="0"/>
          <w:sz w:val="24"/>
          <w:highlight w:val="none"/>
          <w:u w:val="none"/>
          <w:lang w:val="en-US" w:eastAsia="zh-CN"/>
        </w:rPr>
        <w:t>投标人应进入交通运输部“全国公路建设市场信用信息管理系统（</w:t>
      </w:r>
      <w:r>
        <w:rPr>
          <w:rFonts w:hint="default"/>
          <w:color w:val="auto"/>
          <w:kern w:val="0"/>
          <w:sz w:val="24"/>
          <w:highlight w:val="none"/>
          <w:u w:val="none"/>
          <w:lang w:val="en-US" w:eastAsia="zh-CN"/>
        </w:rPr>
        <w:t>http://glxy.mot.gov.cn</w:t>
      </w:r>
      <w:r>
        <w:rPr>
          <w:rFonts w:hint="eastAsia"/>
          <w:color w:val="auto"/>
          <w:kern w:val="0"/>
          <w:sz w:val="24"/>
          <w:highlight w:val="none"/>
          <w:u w:val="none"/>
          <w:lang w:val="en-US" w:eastAsia="zh-CN"/>
        </w:rPr>
        <w:t>）”中的公路工程施工资质企业名录，且投标人名称和资质与该名录中的相应企业名称和资质完全一致。</w:t>
      </w:r>
      <w:r>
        <w:rPr>
          <w:rStyle w:val="72"/>
          <w:rFonts w:hint="eastAsia"/>
          <w:color w:val="auto"/>
          <w:kern w:val="0"/>
          <w:sz w:val="24"/>
          <w:highlight w:val="none"/>
          <w:u w:val="none"/>
          <w:lang w:val="en-US" w:eastAsia="zh-CN"/>
        </w:rPr>
        <w:footnoteReference w:id="0"/>
      </w:r>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color w:val="auto"/>
          <w:kern w:val="0"/>
          <w:sz w:val="24"/>
          <w:highlight w:val="none"/>
          <w:u w:val="none"/>
        </w:rPr>
      </w:pPr>
      <w:r>
        <w:rPr>
          <w:rFonts w:hint="default"/>
          <w:color w:val="auto"/>
          <w:kern w:val="0"/>
          <w:sz w:val="24"/>
          <w:highlight w:val="none"/>
          <w:u w:val="none"/>
          <w:lang w:val="en-US" w:eastAsia="zh-CN"/>
        </w:rPr>
        <w:t>3.2</w:t>
      </w:r>
      <w:r>
        <w:rPr>
          <w:rFonts w:hint="eastAsia"/>
          <w:color w:val="auto"/>
          <w:kern w:val="0"/>
          <w:sz w:val="24"/>
          <w:highlight w:val="none"/>
          <w:u w:val="none"/>
          <w:lang w:val="en-US" w:eastAsia="zh-CN"/>
        </w:rPr>
        <w:t>本次招标</w:t>
      </w:r>
      <w:r>
        <w:rPr>
          <w:rFonts w:hint="eastAsia"/>
          <w:color w:val="auto"/>
          <w:kern w:val="0"/>
          <w:sz w:val="24"/>
          <w:highlight w:val="none"/>
          <w:u w:val="single"/>
          <w:lang w:val="en-US" w:eastAsia="zh-CN"/>
        </w:rPr>
        <w:t>不接受</w:t>
      </w:r>
      <w:r>
        <w:rPr>
          <w:rFonts w:hint="eastAsia"/>
          <w:color w:val="auto"/>
          <w:kern w:val="0"/>
          <w:sz w:val="24"/>
          <w:highlight w:val="none"/>
          <w:u w:val="none"/>
          <w:lang w:val="en-US" w:eastAsia="zh-CN"/>
        </w:rPr>
        <w:t>联合体投标。</w:t>
      </w:r>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color w:val="auto"/>
          <w:kern w:val="0"/>
          <w:sz w:val="24"/>
          <w:highlight w:val="none"/>
          <w:u w:val="none"/>
          <w:lang w:val="en-US" w:eastAsia="zh-CN"/>
        </w:rPr>
      </w:pPr>
      <w:r>
        <w:rPr>
          <w:rFonts w:hint="default"/>
          <w:color w:val="auto"/>
          <w:kern w:val="0"/>
          <w:sz w:val="24"/>
          <w:highlight w:val="none"/>
          <w:u w:val="none"/>
          <w:lang w:val="en-US" w:eastAsia="zh-CN"/>
        </w:rPr>
        <w:t>3.3</w:t>
      </w:r>
      <w:r>
        <w:rPr>
          <w:rFonts w:hint="eastAsia"/>
          <w:color w:val="auto"/>
          <w:kern w:val="0"/>
          <w:sz w:val="24"/>
          <w:highlight w:val="none"/>
          <w:u w:val="none"/>
          <w:lang w:val="en-US" w:eastAsia="zh-CN"/>
        </w:rPr>
        <w:t>与招标人存在利害关系可能影响招标公正性的法人，不得参加投标；若单位负责人</w:t>
      </w:r>
      <w:r>
        <w:rPr>
          <w:rFonts w:hint="eastAsia"/>
          <w:color w:val="auto"/>
          <w:kern w:val="0"/>
          <w:sz w:val="24"/>
          <w:highlight w:val="none"/>
          <w:u w:val="none"/>
          <w:vertAlign w:val="superscript"/>
          <w:lang w:val="en-US" w:eastAsia="zh-CN"/>
        </w:rPr>
        <w:footnoteReference w:id="1"/>
      </w:r>
      <w:r>
        <w:rPr>
          <w:rFonts w:hint="eastAsia"/>
          <w:color w:val="auto"/>
          <w:kern w:val="0"/>
          <w:sz w:val="24"/>
          <w:highlight w:val="none"/>
          <w:u w:val="none"/>
          <w:lang w:val="en-US" w:eastAsia="zh-CN"/>
        </w:rPr>
        <w:t>为同一人、或者存在控股</w:t>
      </w:r>
      <w:r>
        <w:rPr>
          <w:rFonts w:hint="eastAsia"/>
          <w:color w:val="auto"/>
          <w:kern w:val="0"/>
          <w:sz w:val="24"/>
          <w:highlight w:val="none"/>
          <w:u w:val="none"/>
          <w:vertAlign w:val="superscript"/>
          <w:lang w:val="en-US" w:eastAsia="zh-CN"/>
        </w:rPr>
        <w:footnoteReference w:id="2"/>
      </w:r>
      <w:r>
        <w:rPr>
          <w:rFonts w:hint="eastAsia"/>
          <w:color w:val="auto"/>
          <w:kern w:val="0"/>
          <w:sz w:val="24"/>
          <w:highlight w:val="none"/>
          <w:u w:val="none"/>
          <w:lang w:val="en-US" w:eastAsia="zh-CN"/>
        </w:rPr>
        <w:t>、管理关系</w:t>
      </w:r>
      <w:r>
        <w:rPr>
          <w:rFonts w:hint="eastAsia"/>
          <w:color w:val="auto"/>
          <w:kern w:val="0"/>
          <w:sz w:val="24"/>
          <w:highlight w:val="none"/>
          <w:u w:val="none"/>
          <w:vertAlign w:val="superscript"/>
          <w:lang w:val="en-US" w:eastAsia="zh-CN"/>
        </w:rPr>
        <w:footnoteReference w:id="3"/>
      </w:r>
      <w:r>
        <w:rPr>
          <w:rFonts w:hint="eastAsia"/>
          <w:color w:val="auto"/>
          <w:kern w:val="0"/>
          <w:sz w:val="24"/>
          <w:highlight w:val="none"/>
          <w:u w:val="none"/>
          <w:lang w:val="en-US" w:eastAsia="zh-CN"/>
        </w:rPr>
        <w:t>的不同单位，不得参加同一标段投标或者未划分标段的同一招标项目投标，否则按否决其投标处理。</w:t>
      </w:r>
    </w:p>
    <w:p>
      <w:pPr>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color w:val="auto"/>
          <w:kern w:val="0"/>
          <w:sz w:val="24"/>
          <w:highlight w:val="none"/>
          <w:u w:val="none"/>
        </w:rPr>
      </w:pPr>
      <w:r>
        <w:rPr>
          <w:rFonts w:hint="default"/>
          <w:color w:val="auto"/>
          <w:kern w:val="0"/>
          <w:sz w:val="24"/>
          <w:highlight w:val="none"/>
          <w:u w:val="none"/>
          <w:lang w:val="en-US" w:eastAsia="zh-CN"/>
        </w:rPr>
        <w:t>3.4</w:t>
      </w:r>
      <w:r>
        <w:rPr>
          <w:rFonts w:hint="eastAsia"/>
          <w:color w:val="auto"/>
          <w:kern w:val="0"/>
          <w:sz w:val="24"/>
          <w:highlight w:val="none"/>
          <w:u w:val="none"/>
          <w:lang w:val="en-US" w:eastAsia="zh-CN"/>
        </w:rPr>
        <w:t>在“信用中国”网站（</w:t>
      </w:r>
      <w:r>
        <w:rPr>
          <w:rFonts w:hint="default"/>
          <w:color w:val="auto"/>
          <w:kern w:val="0"/>
          <w:sz w:val="24"/>
          <w:highlight w:val="none"/>
          <w:u w:val="none"/>
          <w:lang w:val="en-US" w:eastAsia="zh-CN"/>
        </w:rPr>
        <w:t>http://www.creditchina.gov.cn/</w:t>
      </w:r>
      <w:r>
        <w:rPr>
          <w:rFonts w:hint="eastAsia"/>
          <w:color w:val="auto"/>
          <w:kern w:val="0"/>
          <w:sz w:val="24"/>
          <w:highlight w:val="none"/>
          <w:u w:val="none"/>
          <w:lang w:val="en-US" w:eastAsia="zh-CN"/>
        </w:rPr>
        <w:t>）中被列入失信被执行人名单的投标人，在国家企业信用信息公示系统（</w:t>
      </w:r>
      <w:r>
        <w:rPr>
          <w:rFonts w:hint="default"/>
          <w:color w:val="auto"/>
          <w:kern w:val="0"/>
          <w:sz w:val="24"/>
          <w:highlight w:val="none"/>
          <w:u w:val="none"/>
          <w:lang w:val="en-US" w:eastAsia="zh-CN"/>
        </w:rPr>
        <w:t>www.gsxt.gov.cn</w:t>
      </w:r>
      <w:r>
        <w:rPr>
          <w:rFonts w:hint="eastAsia"/>
          <w:color w:val="auto"/>
          <w:kern w:val="0"/>
          <w:sz w:val="24"/>
          <w:highlight w:val="none"/>
          <w:u w:val="none"/>
          <w:lang w:val="en-US" w:eastAsia="zh-CN"/>
        </w:rPr>
        <w:t>）中被列入严重违法失信企业名单的投标人，均按否决投标处理。</w:t>
      </w:r>
    </w:p>
    <w:bookmarkEnd w:id="18"/>
    <w:p>
      <w:pPr>
        <w:adjustRightInd w:val="0"/>
        <w:snapToGrid w:val="0"/>
        <w:spacing w:before="120" w:beforeLines="50" w:after="120" w:afterLines="50" w:line="360" w:lineRule="auto"/>
        <w:outlineLvl w:val="2"/>
        <w:rPr>
          <w:rFonts w:hint="eastAsia"/>
          <w:b/>
          <w:color w:val="auto"/>
          <w:kern w:val="0"/>
          <w:sz w:val="24"/>
          <w:highlight w:val="none"/>
        </w:rPr>
      </w:pPr>
      <w:bookmarkStart w:id="19" w:name="_Toc409622233"/>
      <w:bookmarkStart w:id="20" w:name="_Toc514924088"/>
      <w:bookmarkStart w:id="21" w:name="_Toc524"/>
      <w:bookmarkStart w:id="22" w:name="_Toc3361"/>
      <w:bookmarkStart w:id="23" w:name="_Toc1713"/>
      <w:bookmarkStart w:id="24" w:name="_Toc15505"/>
      <w:r>
        <w:rPr>
          <w:b/>
          <w:color w:val="auto"/>
          <w:kern w:val="0"/>
          <w:sz w:val="24"/>
          <w:highlight w:val="none"/>
        </w:rPr>
        <w:t>4.</w:t>
      </w:r>
      <w:r>
        <w:rPr>
          <w:rFonts w:hint="eastAsia"/>
          <w:b/>
          <w:color w:val="auto"/>
          <w:kern w:val="0"/>
          <w:sz w:val="24"/>
          <w:highlight w:val="none"/>
        </w:rPr>
        <w:t>招标文件的获取</w:t>
      </w:r>
      <w:bookmarkEnd w:id="19"/>
      <w:bookmarkEnd w:id="20"/>
      <w:bookmarkEnd w:id="21"/>
      <w:bookmarkEnd w:id="22"/>
      <w:bookmarkEnd w:id="23"/>
      <w:bookmarkEnd w:id="24"/>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szCs w:val="24"/>
          <w:highlight w:val="none"/>
          <w:u w:val="none"/>
          <w:lang w:val="en-US" w:eastAsia="zh-CN" w:bidi="ar"/>
        </w:rPr>
      </w:pPr>
      <w:bookmarkStart w:id="25" w:name="_Toc15932"/>
      <w:bookmarkStart w:id="26" w:name="_Toc409622234"/>
      <w:bookmarkStart w:id="27" w:name="_Toc514924089"/>
      <w:r>
        <w:rPr>
          <w:rFonts w:hint="eastAsia" w:ascii="宋体" w:hAnsi="宋体" w:eastAsia="宋体" w:cs="宋体"/>
          <w:color w:val="auto"/>
          <w:kern w:val="0"/>
          <w:sz w:val="24"/>
          <w:highlight w:val="none"/>
          <w:u w:val="none"/>
          <w:lang w:val="en-US" w:eastAsia="zh-CN"/>
        </w:rPr>
        <w:t>4.1</w:t>
      </w:r>
      <w:r>
        <w:rPr>
          <w:rFonts w:hint="eastAsia" w:ascii="宋体" w:hAnsi="宋体" w:eastAsia="宋体" w:cs="宋体"/>
          <w:color w:val="auto"/>
          <w:kern w:val="0"/>
          <w:sz w:val="24"/>
          <w:szCs w:val="24"/>
          <w:highlight w:val="none"/>
          <w:u w:val="none"/>
          <w:lang w:val="en-US" w:eastAsia="zh-CN"/>
        </w:rPr>
        <w:t>凡有意参加投标者，请于2023年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日</w:t>
      </w:r>
      <w:r>
        <w:rPr>
          <w:rFonts w:hint="eastAsia" w:ascii="宋体" w:hAnsi="宋体" w:eastAsia="宋体" w:cs="宋体"/>
          <w:color w:val="auto"/>
          <w:kern w:val="2"/>
          <w:sz w:val="24"/>
          <w:szCs w:val="24"/>
          <w:highlight w:val="none"/>
          <w:u w:val="single"/>
          <w:lang w:val="en-US" w:eastAsia="zh-CN" w:bidi="ar"/>
        </w:rPr>
        <w:t>00</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00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u w:val="none"/>
          <w:lang w:val="en-US" w:eastAsia="zh-CN"/>
        </w:rPr>
        <w:t>至2023年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日</w:t>
      </w:r>
      <w:r>
        <w:rPr>
          <w:rFonts w:hint="eastAsia" w:ascii="宋体" w:hAnsi="宋体" w:cs="宋体"/>
          <w:color w:val="auto"/>
          <w:kern w:val="2"/>
          <w:sz w:val="24"/>
          <w:szCs w:val="24"/>
          <w:highlight w:val="none"/>
          <w:u w:val="single"/>
          <w:lang w:val="en-US" w:eastAsia="zh-CN" w:bidi="ar"/>
        </w:rPr>
        <w:t>23</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u w:val="single"/>
          <w:lang w:val="en-US" w:eastAsia="zh-CN" w:bidi="ar"/>
        </w:rPr>
        <w:t>59</w:t>
      </w:r>
      <w:r>
        <w:rPr>
          <w:rFonts w:hint="eastAsia" w:ascii="宋体" w:hAnsi="宋体" w:eastAsia="宋体" w:cs="宋体"/>
          <w:color w:val="auto"/>
          <w:kern w:val="2"/>
          <w:sz w:val="24"/>
          <w:szCs w:val="24"/>
          <w:highlight w:val="none"/>
          <w:lang w:val="en-US" w:eastAsia="zh-CN" w:bidi="ar"/>
        </w:rPr>
        <w:t>分(北京时间，下同)</w:t>
      </w:r>
      <w:r>
        <w:rPr>
          <w:rFonts w:hint="eastAsia" w:ascii="宋体" w:hAnsi="宋体" w:eastAsia="宋体" w:cs="宋体"/>
          <w:color w:val="auto"/>
          <w:kern w:val="0"/>
          <w:sz w:val="24"/>
          <w:szCs w:val="24"/>
          <w:highlight w:val="none"/>
          <w:u w:val="none"/>
          <w:lang w:val="en-US" w:eastAsia="zh-CN" w:bidi="ar"/>
        </w:rPr>
        <w:t>，登陆</w:t>
      </w:r>
      <w:r>
        <w:rPr>
          <w:rFonts w:hint="eastAsia" w:ascii="宋体" w:hAnsi="宋体" w:eastAsia="宋体" w:cs="宋体"/>
          <w:color w:val="auto"/>
          <w:kern w:val="0"/>
          <w:sz w:val="24"/>
          <w:szCs w:val="24"/>
          <w:highlight w:val="none"/>
          <w:u w:val="single"/>
          <w:lang w:val="en-US" w:eastAsia="zh-CN" w:bidi="ar"/>
        </w:rPr>
        <w:t>广州</w:t>
      </w:r>
      <w:r>
        <w:rPr>
          <w:rFonts w:hint="eastAsia" w:ascii="宋体" w:hAnsi="宋体" w:eastAsia="宋体" w:cs="宋体"/>
          <w:color w:val="auto"/>
          <w:kern w:val="0"/>
          <w:sz w:val="24"/>
          <w:szCs w:val="24"/>
          <w:highlight w:val="none"/>
          <w:u w:val="none"/>
          <w:lang w:val="en-US" w:eastAsia="zh-CN" w:bidi="ar"/>
        </w:rPr>
        <w:t>公共资源交易中心网站</w:t>
      </w:r>
      <w:r>
        <w:rPr>
          <w:rFonts w:hint="eastAsia" w:ascii="宋体" w:hAnsi="宋体" w:eastAsia="宋体" w:cs="宋体"/>
          <w:color w:val="auto"/>
          <w:kern w:val="0"/>
          <w:sz w:val="24"/>
          <w:szCs w:val="24"/>
          <w:highlight w:val="none"/>
          <w:u w:val="single"/>
          <w:lang w:val="en-US" w:eastAsia="zh-CN" w:bidi="ar"/>
        </w:rPr>
        <w:t>（http://www.gzggzy.cn）</w:t>
      </w:r>
      <w:r>
        <w:rPr>
          <w:rFonts w:hint="eastAsia" w:ascii="宋体" w:hAnsi="宋体" w:eastAsia="宋体" w:cs="宋体"/>
          <w:color w:val="auto"/>
          <w:kern w:val="0"/>
          <w:sz w:val="24"/>
          <w:szCs w:val="24"/>
          <w:highlight w:val="none"/>
          <w:u w:val="none"/>
          <w:lang w:val="en-US" w:eastAsia="zh-CN" w:bidi="ar"/>
        </w:rPr>
        <w:t>，并选择对应招标项目进行</w:t>
      </w:r>
      <w:r>
        <w:rPr>
          <w:rFonts w:hint="eastAsia" w:ascii="宋体" w:hAnsi="宋体" w:eastAsia="宋体" w:cs="宋体"/>
          <w:color w:val="auto"/>
          <w:kern w:val="0"/>
          <w:sz w:val="24"/>
          <w:szCs w:val="24"/>
          <w:highlight w:val="none"/>
          <w:u w:val="single"/>
          <w:lang w:val="en-US" w:eastAsia="zh-CN" w:bidi="ar"/>
        </w:rPr>
        <w:t>线上投标登记信息填写，投标人提交登记信息并经招标代理在公共资源交易系统投标登记确认后，可自行在系统专区下载招标文件等相关资料</w:t>
      </w:r>
      <w:r>
        <w:rPr>
          <w:rFonts w:hint="eastAsia" w:ascii="宋体" w:hAnsi="宋体" w:eastAsia="宋体" w:cs="宋体"/>
          <w:color w:val="auto"/>
          <w:kern w:val="0"/>
          <w:sz w:val="24"/>
          <w:szCs w:val="24"/>
          <w:highlight w:val="none"/>
          <w:u w:val="none"/>
          <w:lang w:val="en-US" w:eastAsia="zh-CN" w:bidi="ar"/>
        </w:rPr>
        <w:t>。</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4.2如招标人需发布补充公告的，以最后发布的补充公告的时间起计算编制投标文件时间，并需在补充公告中明确说明，如有补充资料通过交易中心网站同时发布。</w:t>
      </w:r>
    </w:p>
    <w:p>
      <w:pPr>
        <w:adjustRightInd w:val="0"/>
        <w:snapToGrid w:val="0"/>
        <w:spacing w:before="120" w:beforeLines="50" w:after="120" w:afterLines="50" w:line="360" w:lineRule="auto"/>
        <w:outlineLvl w:val="2"/>
        <w:rPr>
          <w:b/>
          <w:color w:val="auto"/>
          <w:kern w:val="0"/>
          <w:sz w:val="24"/>
          <w:highlight w:val="none"/>
        </w:rPr>
      </w:pPr>
      <w:bookmarkStart w:id="28" w:name="_Toc10599"/>
      <w:bookmarkStart w:id="29" w:name="_Toc11376"/>
      <w:bookmarkStart w:id="30" w:name="_Toc23011"/>
      <w:r>
        <w:rPr>
          <w:rFonts w:hint="eastAsia"/>
          <w:b/>
          <w:color w:val="auto"/>
          <w:kern w:val="0"/>
          <w:sz w:val="24"/>
          <w:highlight w:val="none"/>
        </w:rPr>
        <w:t>5</w:t>
      </w:r>
      <w:r>
        <w:rPr>
          <w:b/>
          <w:color w:val="auto"/>
          <w:kern w:val="0"/>
          <w:sz w:val="24"/>
          <w:highlight w:val="none"/>
        </w:rPr>
        <w:t>.</w:t>
      </w:r>
      <w:r>
        <w:rPr>
          <w:rFonts w:hint="eastAsia"/>
          <w:b/>
          <w:color w:val="auto"/>
          <w:kern w:val="0"/>
          <w:sz w:val="24"/>
          <w:highlight w:val="none"/>
        </w:rPr>
        <w:t>投标文件的递交及相关事宜</w:t>
      </w:r>
      <w:bookmarkEnd w:id="25"/>
      <w:bookmarkEnd w:id="26"/>
      <w:bookmarkEnd w:id="27"/>
      <w:bookmarkEnd w:id="28"/>
      <w:bookmarkEnd w:id="29"/>
      <w:bookmarkEnd w:id="30"/>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bookmarkStart w:id="31" w:name="_Toc14867"/>
      <w:bookmarkStart w:id="32" w:name="_Toc409622235"/>
      <w:bookmarkStart w:id="33" w:name="_Toc8655"/>
      <w:bookmarkStart w:id="34" w:name="_Toc514924090"/>
      <w:r>
        <w:rPr>
          <w:rFonts w:hint="eastAsia" w:ascii="宋体" w:hAnsi="宋体" w:eastAsia="宋体" w:cs="宋体"/>
          <w:color w:val="auto"/>
          <w:kern w:val="0"/>
          <w:sz w:val="24"/>
          <w:highlight w:val="none"/>
          <w:u w:val="single"/>
          <w:lang w:val="en-US" w:eastAsia="zh-CN"/>
        </w:rPr>
        <w:t>5.1招标人将不召开投标预备会，不组织集中踏勘现场；</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5.2投标文件递交的截止时间(投标截止时间，下同)为2023年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分。投标文件应为加密的电子投标文件，投标人递交电子投标文件通过广州公共资源交易网进行。递交电子投标文件的时间为2023年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分至2023年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分，电子投标文件递交截止时间为2023年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投标人应在递交投标文件截止时间前，登录广州公共资源交易网投标人服务专区完成投标人的相关信息录入；投标人核对并确认投标文件信息无误后，上传带有电子签名及电子签章的加密投标文件。在递交投标文件截止时间前，投标人可以补充、修改或撤回投标文件。投标文件须于递交投标文件截止时间前完整上传并保存到广州公共资源交易中心的电子评标系统且取得回执。操作详见（电子招投标操作流程详见广州公共资源交易中心网站发布的关于交通公路工程项目操作手册）。</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5.3递交纸质版投标文件（备用）截止时间为2023年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分，投标人应于2023年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分至2023年</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月</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日</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时</w:t>
      </w:r>
      <w:r>
        <w:rPr>
          <w:rFonts w:hint="eastAsia"/>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分将纸质版投标文件递交至广州公共资源交易中心</w:t>
      </w:r>
      <w:r>
        <w:rPr>
          <w:rFonts w:hint="eastAsia" w:ascii="宋体" w:hAnsi="宋体" w:eastAsia="宋体" w:cs="宋体"/>
          <w:color w:val="auto"/>
          <w:kern w:val="0"/>
          <w:sz w:val="24"/>
          <w:szCs w:val="24"/>
          <w:highlight w:val="none"/>
          <w:u w:val="single"/>
          <w:lang w:val="en-US" w:eastAsia="zh-CN"/>
        </w:rPr>
        <w:t>增城交易部</w:t>
      </w:r>
      <w:r>
        <w:rPr>
          <w:rFonts w:hint="eastAsia" w:ascii="宋体" w:hAnsi="宋体" w:eastAsia="宋体" w:cs="宋体"/>
          <w:color w:val="auto"/>
          <w:kern w:val="0"/>
          <w:sz w:val="24"/>
          <w:highlight w:val="none"/>
          <w:u w:val="single"/>
          <w:lang w:val="en-US" w:eastAsia="zh-CN"/>
        </w:rPr>
        <w:t>相应的开标室，具体开标室投标人可登录广州公共资源交易中心网站首页，点击“建设工程”专栏中的“项目查询（日程安排、答疑纪要）”，输入项目编号或项目名称查询最新信息。</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5.4 递交投标文件截止时间及开标时间是否有变化，请密切留意交易中心网站中的相关信息。递交投标文件截止时间后，投标文件评审时间因故推迟的，相关资审信息仍以原递交投标文件截止时间的信息为准。</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5.5逾期送达的或者未送达指定网站的投标文件，招标人不予受理。</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5.6投标人在递交投标文件前，应按广州公共资源交易中心要求办理进场和投标登记手续。若投标人未按要求办理手续，招标人将不承担与此有关的责任。</w:t>
      </w:r>
    </w:p>
    <w:p>
      <w:pPr>
        <w:adjustRightInd w:val="0"/>
        <w:snapToGrid w:val="0"/>
        <w:spacing w:before="120" w:beforeLines="50" w:after="120" w:afterLines="50" w:line="360" w:lineRule="auto"/>
        <w:outlineLvl w:val="2"/>
        <w:rPr>
          <w:rFonts w:hint="eastAsia"/>
          <w:b/>
          <w:color w:val="auto"/>
          <w:kern w:val="0"/>
          <w:sz w:val="24"/>
          <w:highlight w:val="none"/>
          <w:u w:val="single"/>
        </w:rPr>
      </w:pPr>
      <w:bookmarkStart w:id="35" w:name="_Toc4145"/>
      <w:bookmarkStart w:id="36" w:name="_Toc4050"/>
      <w:r>
        <w:rPr>
          <w:rFonts w:hint="eastAsia"/>
          <w:b/>
          <w:color w:val="auto"/>
          <w:kern w:val="0"/>
          <w:sz w:val="24"/>
          <w:highlight w:val="none"/>
          <w:u w:val="single"/>
        </w:rPr>
        <w:t>6．投标文件解密</w:t>
      </w:r>
      <w:bookmarkEnd w:id="35"/>
      <w:bookmarkEnd w:id="36"/>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6.1投标人解密：投标人在递交电子投标文件截止时间到达后的</w:t>
      </w:r>
      <w:r>
        <w:rPr>
          <w:rFonts w:hint="eastAsia" w:ascii="宋体" w:hAnsi="宋体" w:eastAsia="宋体" w:cs="宋体"/>
          <w:b/>
          <w:bCs/>
          <w:color w:val="auto"/>
          <w:kern w:val="0"/>
          <w:sz w:val="24"/>
          <w:highlight w:val="none"/>
          <w:u w:val="single"/>
          <w:lang w:val="en-US" w:eastAsia="zh-CN"/>
        </w:rPr>
        <w:t>1个小时</w:t>
      </w:r>
      <w:r>
        <w:rPr>
          <w:rFonts w:hint="eastAsia" w:ascii="宋体" w:hAnsi="宋体" w:eastAsia="宋体" w:cs="宋体"/>
          <w:color w:val="auto"/>
          <w:kern w:val="0"/>
          <w:sz w:val="24"/>
          <w:highlight w:val="none"/>
          <w:u w:val="single"/>
          <w:lang w:val="en-US" w:eastAsia="zh-CN"/>
        </w:rPr>
        <w:t>内使用制作该电子投标文件的机构业务数字证书对电子投标文件进行解密。逾期未解密或因投标人原因造成电子投标文件解密不成功的，视为投标人未递交电子投标文件。</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6.2招标人解密：招标人用打包电子招标文件的机构业务数字证书对电子投标文件进行解密。</w:t>
      </w:r>
    </w:p>
    <w:p>
      <w:pPr>
        <w:widowControl/>
        <w:tabs>
          <w:tab w:val="left" w:pos="2320"/>
          <w:tab w:val="left" w:pos="2400"/>
          <w:tab w:val="left" w:pos="3160"/>
          <w:tab w:val="left" w:pos="6020"/>
          <w:tab w:val="left" w:pos="7720"/>
          <w:tab w:val="left" w:pos="8660"/>
        </w:tabs>
        <w:autoSpaceDE w:val="0"/>
        <w:autoSpaceDN w:val="0"/>
        <w:adjustRightInd w:val="0"/>
        <w:spacing w:before="74" w:line="360" w:lineRule="auto"/>
        <w:ind w:right="44" w:firstLine="480" w:firstLineChars="200"/>
        <w:jc w:val="left"/>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single"/>
          <w:lang w:val="en-US" w:eastAsia="zh-CN"/>
        </w:rPr>
        <w:t>6.3因投标人原因造成电子投标文件未解密的不参与投标文件评审。</w:t>
      </w:r>
    </w:p>
    <w:p>
      <w:pPr>
        <w:adjustRightInd w:val="0"/>
        <w:snapToGrid w:val="0"/>
        <w:spacing w:before="120" w:beforeLines="50" w:after="120" w:afterLines="50" w:line="360" w:lineRule="auto"/>
        <w:outlineLvl w:val="2"/>
        <w:rPr>
          <w:b/>
          <w:color w:val="auto"/>
          <w:kern w:val="0"/>
          <w:sz w:val="24"/>
          <w:highlight w:val="none"/>
        </w:rPr>
      </w:pPr>
      <w:bookmarkStart w:id="37" w:name="_Toc17626"/>
      <w:bookmarkStart w:id="38" w:name="_Toc30521"/>
      <w:r>
        <w:rPr>
          <w:rFonts w:hint="eastAsia" w:eastAsia="宋体"/>
          <w:b/>
          <w:color w:val="auto"/>
          <w:kern w:val="0"/>
          <w:sz w:val="24"/>
          <w:highlight w:val="none"/>
          <w:lang w:val="en-US" w:eastAsia="zh-CN"/>
        </w:rPr>
        <w:t>7</w:t>
      </w:r>
      <w:r>
        <w:rPr>
          <w:rFonts w:hint="eastAsia"/>
          <w:b/>
          <w:color w:val="auto"/>
          <w:kern w:val="0"/>
          <w:sz w:val="24"/>
          <w:highlight w:val="none"/>
        </w:rPr>
        <w:t>.发布公告的媒介</w:t>
      </w:r>
      <w:bookmarkEnd w:id="31"/>
      <w:bookmarkEnd w:id="32"/>
      <w:bookmarkEnd w:id="33"/>
      <w:bookmarkEnd w:id="34"/>
      <w:bookmarkEnd w:id="37"/>
      <w:bookmarkEnd w:id="38"/>
    </w:p>
    <w:p>
      <w:pPr>
        <w:tabs>
          <w:tab w:val="left" w:pos="1155"/>
          <w:tab w:val="left" w:pos="2880"/>
          <w:tab w:val="left" w:pos="3440"/>
          <w:tab w:val="left" w:pos="3680"/>
          <w:tab w:val="left" w:pos="6120"/>
          <w:tab w:val="left" w:pos="7840"/>
          <w:tab w:val="left" w:pos="8120"/>
        </w:tabs>
        <w:autoSpaceDE w:val="0"/>
        <w:autoSpaceDN w:val="0"/>
        <w:adjustRightInd w:val="0"/>
        <w:spacing w:before="74" w:line="360" w:lineRule="auto"/>
        <w:ind w:right="317" w:firstLine="480" w:firstLineChars="200"/>
        <w:rPr>
          <w:rFonts w:hint="eastAsia" w:ascii="宋体" w:cs="宋体"/>
          <w:color w:val="auto"/>
          <w:kern w:val="0"/>
          <w:sz w:val="24"/>
          <w:highlight w:val="none"/>
        </w:rPr>
      </w:pPr>
      <w:r>
        <w:rPr>
          <w:rFonts w:hint="eastAsia" w:ascii="宋体" w:cs="宋体"/>
          <w:color w:val="auto"/>
          <w:kern w:val="0"/>
          <w:sz w:val="24"/>
          <w:highlight w:val="none"/>
        </w:rPr>
        <w:t>本次招标公告同时在</w:t>
      </w:r>
      <w:r>
        <w:rPr>
          <w:rFonts w:hint="eastAsia" w:ascii="宋体" w:cs="宋体"/>
          <w:color w:val="auto"/>
          <w:kern w:val="0"/>
          <w:sz w:val="24"/>
          <w:highlight w:val="none"/>
          <w:u w:val="single"/>
        </w:rPr>
        <w:t>中国招标投标公共服务平台、</w:t>
      </w:r>
      <w:r>
        <w:rPr>
          <w:rFonts w:hint="eastAsia" w:ascii="宋体" w:cs="宋体"/>
          <w:color w:val="auto"/>
          <w:kern w:val="0"/>
          <w:sz w:val="24"/>
          <w:highlight w:val="none"/>
          <w:u w:val="single"/>
          <w:lang w:val="en-US" w:eastAsia="zh-CN"/>
        </w:rPr>
        <w:t>广东省招标投标监管网、</w:t>
      </w:r>
      <w:r>
        <w:rPr>
          <w:rFonts w:hint="default" w:ascii="宋体" w:cs="宋体"/>
          <w:color w:val="auto"/>
          <w:kern w:val="0"/>
          <w:sz w:val="24"/>
          <w:highlight w:val="none"/>
          <w:u w:val="single"/>
          <w:lang w:val="en-US" w:eastAsia="zh-CN"/>
        </w:rPr>
        <w:t>广州公共资源交易中心网</w:t>
      </w:r>
      <w:r>
        <w:rPr>
          <w:rFonts w:hint="eastAsia" w:ascii="宋体" w:cs="宋体"/>
          <w:color w:val="auto"/>
          <w:kern w:val="0"/>
          <w:sz w:val="24"/>
          <w:highlight w:val="none"/>
          <w:u w:val="single"/>
          <w:lang w:val="en-US" w:eastAsia="zh-CN"/>
        </w:rPr>
        <w:t>站</w:t>
      </w:r>
      <w:r>
        <w:rPr>
          <w:rFonts w:hint="eastAsia" w:ascii="宋体" w:cs="宋体"/>
          <w:color w:val="auto"/>
          <w:kern w:val="0"/>
          <w:sz w:val="24"/>
          <w:highlight w:val="none"/>
        </w:rPr>
        <w:t>上发布。如媒体发布公告内容不</w:t>
      </w:r>
      <w:r>
        <w:rPr>
          <w:rFonts w:hint="eastAsia" w:ascii="宋体" w:cs="宋体"/>
          <w:color w:val="auto"/>
          <w:kern w:val="0"/>
          <w:sz w:val="24"/>
          <w:highlight w:val="none"/>
          <w:u w:val="single"/>
        </w:rPr>
        <w:t>一致者，以广东省招标投标监管网</w:t>
      </w:r>
      <w:r>
        <w:rPr>
          <w:rFonts w:hint="eastAsia" w:ascii="宋体" w:cs="宋体"/>
          <w:color w:val="auto"/>
          <w:kern w:val="0"/>
          <w:sz w:val="24"/>
          <w:highlight w:val="none"/>
        </w:rPr>
        <w:t>公告为准。</w:t>
      </w:r>
    </w:p>
    <w:p>
      <w:pPr>
        <w:adjustRightInd w:val="0"/>
        <w:snapToGrid w:val="0"/>
        <w:spacing w:before="120" w:beforeLines="50" w:after="120" w:afterLines="50" w:line="360" w:lineRule="auto"/>
        <w:outlineLvl w:val="2"/>
        <w:rPr>
          <w:rFonts w:hint="eastAsia" w:ascii="宋体" w:cs="宋体"/>
          <w:color w:val="auto"/>
          <w:kern w:val="0"/>
          <w:sz w:val="24"/>
          <w:highlight w:val="none"/>
        </w:rPr>
      </w:pPr>
      <w:r>
        <w:rPr>
          <w:rFonts w:hint="eastAsia" w:eastAsia="宋体"/>
          <w:b/>
          <w:color w:val="auto"/>
          <w:kern w:val="0"/>
          <w:sz w:val="24"/>
          <w:highlight w:val="none"/>
          <w:lang w:val="en-US" w:eastAsia="zh-CN"/>
        </w:rPr>
        <w:t>8.</w:t>
      </w:r>
      <w:r>
        <w:rPr>
          <w:rFonts w:hint="eastAsia" w:ascii="宋体" w:cs="宋体"/>
          <w:color w:val="auto"/>
          <w:kern w:val="0"/>
          <w:sz w:val="24"/>
          <w:highlight w:val="none"/>
        </w:rPr>
        <w:t>在规定的投标登记期间，投标登记的投标人不足3名时，招标人有权选择以下任一方式：（1）</w:t>
      </w:r>
      <w:r>
        <w:rPr>
          <w:rFonts w:ascii="宋体" w:hAnsi="宋体" w:eastAsia="宋体" w:cs="宋体"/>
          <w:color w:val="auto"/>
          <w:spacing w:val="6"/>
          <w:sz w:val="23"/>
          <w:szCs w:val="23"/>
          <w:highlight w:val="none"/>
        </w:rPr>
        <w:t>在广东省招标投标监管网及</w:t>
      </w:r>
      <w:r>
        <w:rPr>
          <w:rFonts w:hint="eastAsia" w:ascii="宋体" w:cs="宋体"/>
          <w:color w:val="auto"/>
          <w:kern w:val="0"/>
          <w:sz w:val="24"/>
          <w:highlight w:val="none"/>
        </w:rPr>
        <w:t>广州公共资源交易网发布公告延长投标登记时间，在延期投标登记时间内，已投标登记投标人的资料仍有效并可自行补充资料，未投标登记的投标人可根据公告的约定参与投标登记。（2）依法重新组织招标或不再招标。</w:t>
      </w:r>
    </w:p>
    <w:p>
      <w:pPr>
        <w:tabs>
          <w:tab w:val="left" w:pos="1155"/>
          <w:tab w:val="left" w:pos="2880"/>
          <w:tab w:val="left" w:pos="3440"/>
          <w:tab w:val="left" w:pos="3680"/>
          <w:tab w:val="left" w:pos="6120"/>
          <w:tab w:val="left" w:pos="7840"/>
          <w:tab w:val="left" w:pos="8120"/>
        </w:tabs>
        <w:autoSpaceDE w:val="0"/>
        <w:autoSpaceDN w:val="0"/>
        <w:adjustRightInd w:val="0"/>
        <w:spacing w:before="74" w:line="360" w:lineRule="auto"/>
        <w:ind w:right="317"/>
        <w:rPr>
          <w:rFonts w:hint="eastAsia" w:eastAsia="宋体"/>
          <w:b/>
          <w:color w:val="auto"/>
          <w:kern w:val="0"/>
          <w:sz w:val="24"/>
          <w:highlight w:val="none"/>
          <w:lang w:val="en-US" w:eastAsia="zh-CN"/>
        </w:rPr>
      </w:pPr>
      <w:bookmarkStart w:id="39" w:name="_Toc8412"/>
      <w:bookmarkStart w:id="40" w:name="_Toc22168"/>
      <w:bookmarkStart w:id="41" w:name="_Toc514924091"/>
    </w:p>
    <w:p>
      <w:pPr>
        <w:tabs>
          <w:tab w:val="left" w:pos="1155"/>
          <w:tab w:val="left" w:pos="2880"/>
          <w:tab w:val="left" w:pos="3440"/>
          <w:tab w:val="left" w:pos="3680"/>
          <w:tab w:val="left" w:pos="6120"/>
          <w:tab w:val="left" w:pos="7840"/>
          <w:tab w:val="left" w:pos="8120"/>
        </w:tabs>
        <w:autoSpaceDE w:val="0"/>
        <w:autoSpaceDN w:val="0"/>
        <w:adjustRightInd w:val="0"/>
        <w:spacing w:before="74" w:line="360" w:lineRule="auto"/>
        <w:ind w:right="317"/>
        <w:rPr>
          <w:rFonts w:hint="eastAsia"/>
          <w:b/>
          <w:color w:val="auto"/>
          <w:kern w:val="0"/>
          <w:sz w:val="24"/>
          <w:highlight w:val="none"/>
        </w:rPr>
      </w:pPr>
      <w:r>
        <w:rPr>
          <w:rFonts w:hint="eastAsia" w:eastAsia="宋体"/>
          <w:b/>
          <w:color w:val="auto"/>
          <w:kern w:val="0"/>
          <w:sz w:val="24"/>
          <w:highlight w:val="none"/>
          <w:lang w:val="en-US" w:eastAsia="zh-CN"/>
        </w:rPr>
        <w:t>9</w:t>
      </w:r>
      <w:r>
        <w:rPr>
          <w:rFonts w:hint="eastAsia"/>
          <w:b/>
          <w:color w:val="auto"/>
          <w:kern w:val="0"/>
          <w:sz w:val="24"/>
          <w:highlight w:val="none"/>
        </w:rPr>
        <w:t>.</w:t>
      </w:r>
      <w:bookmarkEnd w:id="39"/>
      <w:bookmarkEnd w:id="40"/>
      <w:bookmarkEnd w:id="41"/>
      <w:bookmarkStart w:id="42" w:name="_Toc4056"/>
      <w:bookmarkStart w:id="43" w:name="_Toc10906"/>
      <w:bookmarkStart w:id="44" w:name="_Toc409622236"/>
      <w:bookmarkStart w:id="45" w:name="_Toc514924092"/>
      <w:r>
        <w:rPr>
          <w:rFonts w:hint="eastAsia"/>
          <w:b/>
          <w:color w:val="auto"/>
          <w:kern w:val="0"/>
          <w:sz w:val="24"/>
          <w:highlight w:val="none"/>
        </w:rPr>
        <w:t>联系方式</w:t>
      </w:r>
      <w:bookmarkEnd w:id="42"/>
      <w:bookmarkEnd w:id="43"/>
      <w:bookmarkEnd w:id="44"/>
      <w:bookmarkEnd w:id="45"/>
    </w:p>
    <w:p>
      <w:pPr>
        <w:adjustRightInd w:val="0"/>
        <w:snapToGrid w:val="0"/>
        <w:spacing w:before="120" w:beforeLines="50" w:after="120" w:afterLines="50"/>
        <w:outlineLvl w:val="2"/>
        <w:rPr>
          <w:rFonts w:hint="eastAsia"/>
          <w:bCs/>
          <w:color w:val="auto"/>
          <w:kern w:val="0"/>
          <w:sz w:val="24"/>
          <w:highlight w:val="none"/>
          <w:lang w:eastAsia="zh-CN"/>
        </w:rPr>
      </w:pPr>
      <w:bookmarkStart w:id="46" w:name="_Toc25813"/>
      <w:bookmarkStart w:id="47" w:name="_Toc514924093"/>
      <w:bookmarkStart w:id="48" w:name="_Toc20395"/>
      <w:bookmarkStart w:id="49" w:name="_Toc24485"/>
      <w:bookmarkStart w:id="50" w:name="_Toc17719"/>
      <w:r>
        <w:rPr>
          <w:rFonts w:hint="eastAsia"/>
          <w:bCs/>
          <w:color w:val="auto"/>
          <w:kern w:val="0"/>
          <w:sz w:val="24"/>
          <w:highlight w:val="none"/>
        </w:rPr>
        <w:t>招</w:t>
      </w:r>
      <w:r>
        <w:rPr>
          <w:rFonts w:hint="eastAsia"/>
          <w:bCs/>
          <w:color w:val="auto"/>
          <w:kern w:val="0"/>
          <w:sz w:val="24"/>
          <w:highlight w:val="none"/>
          <w:lang w:eastAsia="zh-CN"/>
        </w:rPr>
        <w:t>标人：</w:t>
      </w:r>
      <w:bookmarkEnd w:id="46"/>
      <w:bookmarkEnd w:id="47"/>
      <w:bookmarkEnd w:id="48"/>
      <w:r>
        <w:rPr>
          <w:rFonts w:hint="eastAsia"/>
          <w:bCs/>
          <w:color w:val="auto"/>
          <w:kern w:val="0"/>
          <w:sz w:val="24"/>
          <w:highlight w:val="none"/>
          <w:lang w:eastAsia="zh-CN"/>
        </w:rPr>
        <w:t>广州市增城区道路养护中心</w:t>
      </w:r>
      <w:bookmarkEnd w:id="49"/>
      <w:bookmarkEnd w:id="50"/>
    </w:p>
    <w:p>
      <w:pPr>
        <w:adjustRightInd w:val="0"/>
        <w:snapToGrid w:val="0"/>
        <w:spacing w:before="120" w:beforeLines="50" w:after="120" w:afterLines="50"/>
        <w:outlineLvl w:val="2"/>
        <w:rPr>
          <w:rFonts w:hint="eastAsia"/>
          <w:bCs/>
          <w:color w:val="auto"/>
          <w:kern w:val="0"/>
          <w:sz w:val="24"/>
          <w:highlight w:val="none"/>
          <w:lang w:eastAsia="zh-CN"/>
        </w:rPr>
      </w:pPr>
      <w:bookmarkStart w:id="51" w:name="_Toc514924094"/>
      <w:bookmarkStart w:id="52" w:name="_Toc14995"/>
      <w:bookmarkStart w:id="53" w:name="_Toc12076"/>
      <w:bookmarkStart w:id="54" w:name="_Toc6988"/>
      <w:r>
        <w:rPr>
          <w:rFonts w:hint="eastAsia"/>
          <w:bCs/>
          <w:color w:val="auto"/>
          <w:kern w:val="0"/>
          <w:sz w:val="24"/>
          <w:highlight w:val="none"/>
          <w:lang w:eastAsia="zh-CN"/>
        </w:rPr>
        <w:t>地址：</w:t>
      </w:r>
      <w:bookmarkEnd w:id="51"/>
      <w:bookmarkEnd w:id="52"/>
      <w:r>
        <w:rPr>
          <w:rFonts w:hint="eastAsia"/>
          <w:bCs/>
          <w:color w:val="auto"/>
          <w:kern w:val="0"/>
          <w:sz w:val="24"/>
          <w:highlight w:val="none"/>
          <w:lang w:eastAsia="zh-CN"/>
        </w:rPr>
        <w:t>广州市增城区荔城街新桥路62号</w:t>
      </w:r>
      <w:bookmarkEnd w:id="53"/>
      <w:bookmarkEnd w:id="54"/>
    </w:p>
    <w:p>
      <w:pPr>
        <w:adjustRightInd w:val="0"/>
        <w:snapToGrid w:val="0"/>
        <w:spacing w:before="120" w:beforeLines="50" w:after="120" w:afterLines="50"/>
        <w:outlineLvl w:val="2"/>
        <w:rPr>
          <w:rFonts w:hint="eastAsia"/>
          <w:bCs/>
          <w:color w:val="auto"/>
          <w:kern w:val="0"/>
          <w:sz w:val="24"/>
          <w:highlight w:val="none"/>
        </w:rPr>
      </w:pPr>
      <w:bookmarkStart w:id="55" w:name="_Toc22320"/>
      <w:bookmarkStart w:id="56" w:name="_Toc13897"/>
      <w:bookmarkStart w:id="57" w:name="_Toc514924096"/>
      <w:bookmarkStart w:id="58" w:name="_Toc7663"/>
      <w:bookmarkStart w:id="59" w:name="_Toc27669"/>
      <w:r>
        <w:rPr>
          <w:rFonts w:hint="eastAsia"/>
          <w:bCs/>
          <w:color w:val="auto"/>
          <w:kern w:val="0"/>
          <w:sz w:val="24"/>
          <w:highlight w:val="none"/>
        </w:rPr>
        <w:t>联系人：</w:t>
      </w:r>
      <w:r>
        <w:rPr>
          <w:rFonts w:hint="eastAsia"/>
          <w:bCs/>
          <w:color w:val="auto"/>
          <w:kern w:val="0"/>
          <w:sz w:val="24"/>
          <w:highlight w:val="none"/>
          <w:lang w:val="en-US" w:eastAsia="zh-CN"/>
        </w:rPr>
        <w:t>李</w:t>
      </w:r>
      <w:r>
        <w:rPr>
          <w:rFonts w:hint="eastAsia"/>
          <w:bCs/>
          <w:color w:val="auto"/>
          <w:kern w:val="0"/>
          <w:sz w:val="24"/>
          <w:highlight w:val="none"/>
        </w:rPr>
        <w:t>先生</w:t>
      </w:r>
      <w:bookmarkEnd w:id="55"/>
      <w:bookmarkEnd w:id="56"/>
      <w:bookmarkEnd w:id="57"/>
      <w:bookmarkEnd w:id="58"/>
      <w:bookmarkEnd w:id="59"/>
    </w:p>
    <w:p>
      <w:pPr>
        <w:keepNext w:val="0"/>
        <w:keepLines w:val="0"/>
        <w:widowControl/>
        <w:suppressLineNumbers w:val="0"/>
        <w:jc w:val="left"/>
        <w:rPr>
          <w:rFonts w:hint="default" w:eastAsia="宋体"/>
          <w:color w:val="auto"/>
          <w:highlight w:val="none"/>
          <w:lang w:val="en-US" w:eastAsia="zh-CN"/>
        </w:rPr>
      </w:pPr>
      <w:bookmarkStart w:id="60" w:name="_Toc11589"/>
      <w:bookmarkStart w:id="61" w:name="_Toc514924097"/>
      <w:r>
        <w:rPr>
          <w:rFonts w:hint="eastAsia"/>
          <w:bCs/>
          <w:color w:val="auto"/>
          <w:kern w:val="0"/>
          <w:sz w:val="24"/>
          <w:highlight w:val="none"/>
        </w:rPr>
        <w:t>电话：</w:t>
      </w:r>
      <w:bookmarkEnd w:id="60"/>
      <w:bookmarkEnd w:id="61"/>
      <w:r>
        <w:rPr>
          <w:rFonts w:hint="eastAsia" w:eastAsia="宋体"/>
          <w:bCs/>
          <w:color w:val="auto"/>
          <w:kern w:val="0"/>
          <w:sz w:val="24"/>
          <w:highlight w:val="none"/>
          <w:lang w:val="en-US" w:eastAsia="zh-CN"/>
        </w:rPr>
        <w:t>020-82754504</w:t>
      </w:r>
    </w:p>
    <w:p>
      <w:pPr>
        <w:adjustRightInd w:val="0"/>
        <w:snapToGrid w:val="0"/>
        <w:spacing w:before="120" w:beforeLines="50" w:after="120" w:afterLines="50"/>
        <w:outlineLvl w:val="2"/>
        <w:rPr>
          <w:rFonts w:hint="eastAsia"/>
          <w:bCs/>
          <w:color w:val="auto"/>
          <w:kern w:val="0"/>
          <w:sz w:val="24"/>
          <w:highlight w:val="none"/>
        </w:rPr>
      </w:pPr>
      <w:bookmarkStart w:id="62" w:name="_Toc27354"/>
      <w:bookmarkStart w:id="63" w:name="_Toc514924099"/>
      <w:bookmarkStart w:id="64" w:name="_Toc16664"/>
    </w:p>
    <w:p>
      <w:pPr>
        <w:adjustRightInd w:val="0"/>
        <w:snapToGrid w:val="0"/>
        <w:spacing w:before="120" w:beforeLines="50" w:after="120" w:afterLines="50"/>
        <w:outlineLvl w:val="2"/>
        <w:rPr>
          <w:rFonts w:hint="eastAsia"/>
          <w:bCs/>
          <w:color w:val="auto"/>
          <w:kern w:val="0"/>
          <w:sz w:val="24"/>
          <w:highlight w:val="none"/>
        </w:rPr>
      </w:pPr>
      <w:bookmarkStart w:id="65" w:name="_Toc4721"/>
      <w:bookmarkStart w:id="66" w:name="_Toc24109"/>
      <w:r>
        <w:rPr>
          <w:rFonts w:hint="eastAsia"/>
          <w:bCs/>
          <w:color w:val="auto"/>
          <w:kern w:val="0"/>
          <w:sz w:val="24"/>
          <w:highlight w:val="none"/>
        </w:rPr>
        <w:t>招标代理：广州建筑工程监理有限公司</w:t>
      </w:r>
      <w:bookmarkEnd w:id="62"/>
      <w:bookmarkEnd w:id="63"/>
      <w:bookmarkEnd w:id="64"/>
      <w:bookmarkEnd w:id="65"/>
      <w:bookmarkEnd w:id="66"/>
    </w:p>
    <w:p>
      <w:pPr>
        <w:adjustRightInd w:val="0"/>
        <w:snapToGrid w:val="0"/>
        <w:spacing w:before="120" w:beforeLines="50" w:after="120" w:afterLines="50"/>
        <w:outlineLvl w:val="2"/>
        <w:rPr>
          <w:rFonts w:hint="eastAsia"/>
          <w:bCs/>
          <w:color w:val="auto"/>
          <w:kern w:val="0"/>
          <w:sz w:val="24"/>
          <w:highlight w:val="none"/>
        </w:rPr>
      </w:pPr>
      <w:bookmarkStart w:id="67" w:name="_Toc11276"/>
      <w:bookmarkStart w:id="68" w:name="_Toc17325"/>
      <w:bookmarkStart w:id="69" w:name="_Toc24189"/>
      <w:bookmarkStart w:id="70" w:name="_Toc17367"/>
      <w:bookmarkStart w:id="71" w:name="_Toc514924100"/>
      <w:r>
        <w:rPr>
          <w:rFonts w:hint="eastAsia"/>
          <w:bCs/>
          <w:color w:val="auto"/>
          <w:kern w:val="0"/>
          <w:sz w:val="24"/>
          <w:highlight w:val="none"/>
        </w:rPr>
        <w:t>地址：广州市广卫路4号20楼</w:t>
      </w:r>
      <w:bookmarkEnd w:id="67"/>
      <w:bookmarkEnd w:id="68"/>
      <w:bookmarkEnd w:id="69"/>
      <w:bookmarkEnd w:id="70"/>
      <w:bookmarkEnd w:id="71"/>
    </w:p>
    <w:p>
      <w:pPr>
        <w:adjustRightInd w:val="0"/>
        <w:snapToGrid w:val="0"/>
        <w:spacing w:before="120" w:beforeLines="50" w:after="120" w:afterLines="50"/>
        <w:outlineLvl w:val="2"/>
        <w:rPr>
          <w:rFonts w:hint="eastAsia"/>
          <w:bCs/>
          <w:color w:val="auto"/>
          <w:kern w:val="0"/>
          <w:sz w:val="24"/>
          <w:highlight w:val="none"/>
        </w:rPr>
      </w:pPr>
      <w:bookmarkStart w:id="72" w:name="_Toc16429"/>
      <w:bookmarkStart w:id="73" w:name="_Toc514924102"/>
      <w:bookmarkStart w:id="74" w:name="_Toc25716"/>
      <w:bookmarkStart w:id="75" w:name="_Toc1285"/>
      <w:bookmarkStart w:id="76" w:name="_Toc31189"/>
      <w:r>
        <w:rPr>
          <w:rFonts w:hint="eastAsia"/>
          <w:bCs/>
          <w:color w:val="auto"/>
          <w:kern w:val="0"/>
          <w:sz w:val="24"/>
          <w:highlight w:val="none"/>
        </w:rPr>
        <w:t>联系人：陆先生</w:t>
      </w:r>
      <w:bookmarkEnd w:id="72"/>
      <w:bookmarkEnd w:id="73"/>
      <w:bookmarkEnd w:id="74"/>
      <w:bookmarkEnd w:id="75"/>
      <w:bookmarkEnd w:id="76"/>
    </w:p>
    <w:p>
      <w:pPr>
        <w:adjustRightInd w:val="0"/>
        <w:snapToGrid w:val="0"/>
        <w:spacing w:before="120" w:beforeLines="50" w:after="120" w:afterLines="50"/>
        <w:outlineLvl w:val="2"/>
        <w:rPr>
          <w:rFonts w:hint="default" w:eastAsia="宋体"/>
          <w:bCs/>
          <w:color w:val="auto"/>
          <w:kern w:val="0"/>
          <w:sz w:val="24"/>
          <w:highlight w:val="none"/>
          <w:lang w:val="en-US" w:eastAsia="zh-CN"/>
        </w:rPr>
      </w:pPr>
      <w:bookmarkStart w:id="77" w:name="_Toc514924103"/>
      <w:bookmarkStart w:id="78" w:name="_Toc21895"/>
      <w:bookmarkStart w:id="79" w:name="_Toc3197"/>
      <w:bookmarkStart w:id="80" w:name="_Toc29897"/>
      <w:bookmarkStart w:id="81" w:name="_Toc3130"/>
      <w:r>
        <w:rPr>
          <w:rFonts w:hint="eastAsia"/>
          <w:bCs/>
          <w:color w:val="auto"/>
          <w:kern w:val="0"/>
          <w:sz w:val="24"/>
          <w:highlight w:val="none"/>
        </w:rPr>
        <w:t>电话：020-8</w:t>
      </w:r>
      <w:bookmarkEnd w:id="77"/>
      <w:bookmarkEnd w:id="78"/>
      <w:bookmarkEnd w:id="79"/>
      <w:r>
        <w:rPr>
          <w:rFonts w:hint="eastAsia" w:eastAsia="宋体"/>
          <w:bCs/>
          <w:color w:val="auto"/>
          <w:kern w:val="0"/>
          <w:sz w:val="24"/>
          <w:highlight w:val="none"/>
          <w:lang w:val="en-US" w:eastAsia="zh-CN"/>
        </w:rPr>
        <w:t>2627566</w:t>
      </w:r>
      <w:bookmarkEnd w:id="80"/>
      <w:bookmarkEnd w:id="81"/>
    </w:p>
    <w:p>
      <w:pPr>
        <w:spacing w:line="480" w:lineRule="exact"/>
        <w:jc w:val="right"/>
        <w:rPr>
          <w:color w:val="auto"/>
          <w:highlight w:val="none"/>
        </w:rPr>
      </w:pPr>
      <w:r>
        <w:rPr>
          <w:rFonts w:hint="eastAsia"/>
          <w:color w:val="auto"/>
          <w:sz w:val="24"/>
          <w:highlight w:val="none"/>
          <w:u w:val="single"/>
        </w:rPr>
        <w:t>20</w:t>
      </w:r>
      <w:r>
        <w:rPr>
          <w:rFonts w:hint="eastAsia"/>
          <w:color w:val="auto"/>
          <w:sz w:val="24"/>
          <w:highlight w:val="none"/>
          <w:u w:val="single"/>
          <w:lang w:val="en-US" w:eastAsia="zh-CN"/>
        </w:rPr>
        <w:t>23</w:t>
      </w:r>
      <w:r>
        <w:rPr>
          <w:rFonts w:hint="eastAsia"/>
          <w:color w:val="auto"/>
          <w:sz w:val="24"/>
          <w:highlight w:val="none"/>
        </w:rPr>
        <w:t>年</w:t>
      </w:r>
      <w:r>
        <w:rPr>
          <w:rFonts w:hint="eastAsia" w:eastAsia="宋体"/>
          <w:color w:val="auto"/>
          <w:sz w:val="24"/>
          <w:highlight w:val="none"/>
          <w:u w:val="single"/>
          <w:lang w:val="en-US" w:eastAsia="zh-CN"/>
        </w:rPr>
        <w:t xml:space="preserve">  </w:t>
      </w:r>
      <w:r>
        <w:rPr>
          <w:rFonts w:hint="eastAsia"/>
          <w:color w:val="auto"/>
          <w:sz w:val="24"/>
          <w:highlight w:val="none"/>
        </w:rPr>
        <w:t>月</w:t>
      </w:r>
      <w:r>
        <w:rPr>
          <w:rFonts w:hint="eastAsia"/>
          <w:color w:val="auto"/>
          <w:kern w:val="0"/>
          <w:sz w:val="24"/>
          <w:highlight w:val="none"/>
          <w:u w:val="single"/>
          <w:lang w:val="en-US" w:eastAsia="zh-CN"/>
        </w:rPr>
        <w:t xml:space="preserve">  </w:t>
      </w:r>
      <w:r>
        <w:rPr>
          <w:rFonts w:hint="eastAsia"/>
          <w:color w:val="auto"/>
          <w:sz w:val="24"/>
          <w:highlight w:val="none"/>
        </w:rPr>
        <w:t>日</w:t>
      </w:r>
    </w:p>
    <w:p>
      <w:pPr>
        <w:adjustRightInd w:val="0"/>
        <w:snapToGrid w:val="0"/>
        <w:spacing w:before="120" w:beforeLines="50" w:after="120" w:afterLines="50"/>
        <w:outlineLvl w:val="2"/>
        <w:rPr>
          <w:rFonts w:hint="default"/>
          <w:bCs/>
          <w:color w:val="auto"/>
          <w:kern w:val="0"/>
          <w:sz w:val="24"/>
          <w:highlight w:val="none"/>
          <w:lang w:val="en-US" w:eastAsia="zh-CN"/>
        </w:rPr>
      </w:pPr>
    </w:p>
    <w:p>
      <w:pPr>
        <w:adjustRightInd w:val="0"/>
        <w:snapToGrid w:val="0"/>
        <w:spacing w:before="120" w:beforeLines="50" w:after="120" w:afterLines="50"/>
        <w:outlineLvl w:val="2"/>
        <w:rPr>
          <w:rFonts w:hint="default"/>
          <w:bCs/>
          <w:color w:val="auto"/>
          <w:kern w:val="0"/>
          <w:sz w:val="24"/>
          <w:highlight w:val="none"/>
          <w:lang w:val="en-US" w:eastAsia="zh-CN"/>
        </w:rPr>
      </w:pPr>
      <w:bookmarkStart w:id="82" w:name="_Toc15557"/>
      <w:bookmarkStart w:id="83" w:name="_Toc31401"/>
      <w:r>
        <w:rPr>
          <w:rFonts w:hint="eastAsia"/>
          <w:bCs/>
          <w:color w:val="auto"/>
          <w:kern w:val="0"/>
          <w:sz w:val="24"/>
          <w:highlight w:val="none"/>
          <w:lang w:val="en-US" w:eastAsia="zh-CN"/>
        </w:rPr>
        <w:t>附件 1</w:t>
      </w:r>
      <w:r>
        <w:rPr>
          <w:rFonts w:hint="eastAsia"/>
          <w:bCs/>
          <w:color w:val="auto"/>
          <w:kern w:val="0"/>
          <w:sz w:val="24"/>
          <w:highlight w:val="none"/>
          <w:lang w:val="en-US" w:eastAsia="zh-CN"/>
        </w:rPr>
        <w:tab/>
      </w:r>
      <w:r>
        <w:rPr>
          <w:rFonts w:hint="eastAsia"/>
          <w:bCs/>
          <w:color w:val="auto"/>
          <w:kern w:val="0"/>
          <w:sz w:val="24"/>
          <w:highlight w:val="none"/>
          <w:lang w:val="en-US" w:eastAsia="zh-CN"/>
        </w:rPr>
        <w:t>资格审查条件</w:t>
      </w:r>
      <w:bookmarkEnd w:id="82"/>
      <w:bookmarkEnd w:id="83"/>
    </w:p>
    <w:p>
      <w:pPr>
        <w:adjustRightInd w:val="0"/>
        <w:snapToGrid w:val="0"/>
        <w:spacing w:before="120" w:beforeLines="50" w:after="120" w:afterLines="50"/>
        <w:outlineLvl w:val="2"/>
        <w:rPr>
          <w:rFonts w:hint="eastAsia"/>
          <w:bCs/>
          <w:color w:val="auto"/>
          <w:kern w:val="0"/>
          <w:sz w:val="24"/>
          <w:highlight w:val="none"/>
          <w:lang w:val="en-US" w:eastAsia="zh-CN"/>
        </w:rPr>
      </w:pPr>
      <w:bookmarkStart w:id="84" w:name="_Toc11201"/>
      <w:bookmarkStart w:id="85" w:name="_Toc8445"/>
      <w:r>
        <w:rPr>
          <w:rFonts w:hint="eastAsia"/>
          <w:bCs/>
          <w:color w:val="auto"/>
          <w:kern w:val="0"/>
          <w:sz w:val="24"/>
          <w:highlight w:val="none"/>
          <w:lang w:val="en-US" w:eastAsia="zh-CN"/>
        </w:rPr>
        <w:t>附件 2</w:t>
      </w:r>
      <w:r>
        <w:rPr>
          <w:rFonts w:hint="eastAsia"/>
          <w:bCs/>
          <w:color w:val="auto"/>
          <w:kern w:val="0"/>
          <w:sz w:val="24"/>
          <w:highlight w:val="none"/>
          <w:lang w:val="en-US" w:eastAsia="zh-CN"/>
        </w:rPr>
        <w:tab/>
      </w:r>
      <w:r>
        <w:rPr>
          <w:rFonts w:hint="eastAsia"/>
          <w:bCs/>
          <w:color w:val="auto"/>
          <w:kern w:val="0"/>
          <w:sz w:val="24"/>
          <w:highlight w:val="none"/>
          <w:lang w:val="en-US" w:eastAsia="zh-CN"/>
        </w:rPr>
        <w:t>评标办法</w:t>
      </w:r>
      <w:bookmarkEnd w:id="84"/>
      <w:bookmarkEnd w:id="85"/>
    </w:p>
    <w:p>
      <w:pPr>
        <w:adjustRightInd w:val="0"/>
        <w:snapToGrid w:val="0"/>
        <w:spacing w:before="120" w:beforeLines="50" w:after="120" w:afterLines="50"/>
        <w:outlineLvl w:val="2"/>
        <w:rPr>
          <w:rFonts w:hint="default"/>
          <w:bCs/>
          <w:color w:val="auto"/>
          <w:kern w:val="0"/>
          <w:sz w:val="24"/>
          <w:highlight w:val="none"/>
        </w:rPr>
      </w:pPr>
      <w:bookmarkStart w:id="86" w:name="_Toc2679"/>
      <w:bookmarkStart w:id="87" w:name="_Toc7038"/>
      <w:r>
        <w:rPr>
          <w:rFonts w:hint="default"/>
          <w:bCs/>
          <w:color w:val="auto"/>
          <w:kern w:val="0"/>
          <w:sz w:val="24"/>
          <w:highlight w:val="none"/>
          <w:lang w:val="en-US" w:eastAsia="zh-CN"/>
        </w:rPr>
        <w:t>以上附件可从广州公共资源交易中心网（</w:t>
      </w:r>
      <w:r>
        <w:rPr>
          <w:rFonts w:hint="eastAsia" w:ascii="宋体" w:hAnsi="宋体" w:eastAsia="宋体" w:cs="宋体"/>
          <w:color w:val="auto"/>
          <w:kern w:val="0"/>
          <w:sz w:val="24"/>
          <w:szCs w:val="24"/>
          <w:highlight w:val="none"/>
          <w:u w:val="single"/>
          <w:lang w:val="en-US" w:eastAsia="zh-CN" w:bidi="ar"/>
        </w:rPr>
        <w:t>http://www.gzggzy.cn）</w:t>
      </w:r>
      <w:r>
        <w:rPr>
          <w:rFonts w:hint="default"/>
          <w:bCs/>
          <w:color w:val="auto"/>
          <w:kern w:val="0"/>
          <w:sz w:val="24"/>
          <w:highlight w:val="none"/>
          <w:lang w:val="en-US" w:eastAsia="zh-CN"/>
        </w:rPr>
        <w:t>）</w:t>
      </w:r>
      <w:r>
        <w:rPr>
          <w:rFonts w:hint="eastAsia"/>
          <w:bCs/>
          <w:color w:val="auto"/>
          <w:kern w:val="0"/>
          <w:sz w:val="24"/>
          <w:highlight w:val="none"/>
          <w:lang w:val="en-US" w:eastAsia="zh-CN"/>
        </w:rPr>
        <w:t>上下载。</w:t>
      </w:r>
      <w:bookmarkEnd w:id="86"/>
      <w:bookmarkEnd w:id="87"/>
    </w:p>
    <w:p>
      <w:pPr>
        <w:spacing w:line="480" w:lineRule="exact"/>
        <w:jc w:val="right"/>
        <w:rPr>
          <w:rFonts w:hint="eastAsia"/>
          <w:color w:val="auto"/>
          <w:sz w:val="24"/>
          <w:highlight w:val="none"/>
          <w:u w:val="single"/>
        </w:rPr>
      </w:pPr>
    </w:p>
    <w:p>
      <w:pPr>
        <w:pStyle w:val="31"/>
        <w:rPr>
          <w:rFonts w:hint="eastAsia"/>
          <w:color w:val="auto"/>
          <w:highlight w:val="none"/>
        </w:rPr>
        <w:sectPr>
          <w:headerReference r:id="rId4" w:type="default"/>
          <w:footerReference r:id="rId5" w:type="default"/>
          <w:footnotePr>
            <w:numFmt w:val="decimalEnclosedCircleChinese"/>
          </w:footnotePr>
          <w:pgSz w:w="11900" w:h="16840"/>
          <w:pgMar w:top="1500" w:right="1600" w:bottom="780" w:left="1480" w:header="0" w:footer="667" w:gutter="0"/>
          <w:pgBorders>
            <w:top w:val="none" w:sz="0" w:space="0"/>
            <w:left w:val="none" w:sz="0" w:space="0"/>
            <w:bottom w:val="none" w:sz="0" w:space="0"/>
            <w:right w:val="none" w:sz="0" w:space="0"/>
          </w:pgBorders>
          <w:cols w:space="720" w:num="1"/>
        </w:sectPr>
      </w:pPr>
    </w:p>
    <w:p>
      <w:pPr>
        <w:spacing w:after="120" w:afterLines="50"/>
        <w:jc w:val="center"/>
        <w:rPr>
          <w:rFonts w:hint="eastAsia"/>
          <w:b/>
          <w:color w:val="auto"/>
          <w:sz w:val="24"/>
          <w:highlight w:val="none"/>
        </w:rPr>
      </w:pPr>
      <w:r>
        <w:rPr>
          <w:rFonts w:hint="eastAsia"/>
          <w:b/>
          <w:color w:val="auto"/>
          <w:sz w:val="24"/>
          <w:highlight w:val="none"/>
        </w:rPr>
        <w:t>附录1资格审查条件（资质最低条件）</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9257" w:type="dxa"/>
            <w:noWrap w:val="0"/>
            <w:vAlign w:val="center"/>
          </w:tcPr>
          <w:p>
            <w:pPr>
              <w:adjustRightInd w:val="0"/>
              <w:snapToGrid w:val="0"/>
              <w:spacing w:line="360" w:lineRule="exact"/>
              <w:jc w:val="center"/>
              <w:rPr>
                <w:rFonts w:ascii="宋体" w:hAnsi="宋体" w:eastAsia="黑体"/>
                <w:color w:val="auto"/>
                <w:szCs w:val="21"/>
                <w:highlight w:val="none"/>
              </w:rPr>
            </w:pPr>
            <w:r>
              <w:rPr>
                <w:color w:val="auto"/>
                <w:szCs w:val="21"/>
                <w:highlight w:val="none"/>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40" w:hRule="exact"/>
          <w:jc w:val="center"/>
        </w:trPr>
        <w:tc>
          <w:tcPr>
            <w:tcW w:w="9257" w:type="dxa"/>
            <w:noWrap w:val="0"/>
            <w:vAlign w:val="center"/>
          </w:tcPr>
          <w:p>
            <w:pPr>
              <w:spacing w:line="36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1、中华人民共和国国内注册成立的独立企业法人；</w:t>
            </w:r>
          </w:p>
          <w:p>
            <w:pPr>
              <w:spacing w:line="36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具备建设行政主管部门核发的公路交通工程（公路机电工程分项）专业承包二级（或以上）资质及公路交通工程（公路安全设施分项）专业承包二级（或以上）资质（根据《住房和城乡建设部办公厅关于建设工程企业资质统一延续有关事项的通知》，资质证书有效期统一延期至2023年12月31日）；</w:t>
            </w:r>
          </w:p>
          <w:p>
            <w:pPr>
              <w:spacing w:line="360" w:lineRule="exact"/>
              <w:rPr>
                <w:rFonts w:ascii="宋体" w:hAnsi="宋体"/>
                <w:color w:val="auto"/>
                <w:szCs w:val="21"/>
                <w:highlight w:val="none"/>
              </w:rPr>
            </w:pPr>
            <w:r>
              <w:rPr>
                <w:rFonts w:hint="eastAsia" w:ascii="宋体" w:hAnsi="宋体" w:cs="Times New Roman"/>
                <w:color w:val="auto"/>
                <w:szCs w:val="21"/>
                <w:highlight w:val="none"/>
                <w:lang w:val="en-US" w:eastAsia="zh-CN"/>
              </w:rPr>
              <w:t>3、具有有效的安全生产许可证。</w:t>
            </w:r>
          </w:p>
        </w:tc>
      </w:tr>
    </w:tbl>
    <w:p>
      <w:pPr>
        <w:adjustRightInd w:val="0"/>
        <w:snapToGrid w:val="0"/>
        <w:spacing w:line="300" w:lineRule="exact"/>
        <w:ind w:left="210" w:leftChars="100"/>
        <w:rPr>
          <w:rFonts w:hint="eastAsia" w:ascii="宋体" w:hAnsi="宋体"/>
          <w:color w:val="auto"/>
          <w:szCs w:val="21"/>
          <w:highlight w:val="none"/>
        </w:rPr>
      </w:pPr>
      <w:r>
        <w:rPr>
          <w:rFonts w:hint="eastAsia" w:ascii="宋体" w:hAnsi="宋体"/>
          <w:color w:val="auto"/>
          <w:szCs w:val="21"/>
          <w:highlight w:val="none"/>
        </w:rPr>
        <w:t>注：投标人应根据投标文件第二章“投标人须知”第 3.5.1 项的要求附相关证明材料。</w:t>
      </w:r>
    </w:p>
    <w:p>
      <w:pPr>
        <w:rPr>
          <w:color w:val="auto"/>
          <w:sz w:val="18"/>
          <w:szCs w:val="18"/>
          <w:highlight w:val="none"/>
        </w:rPr>
      </w:pPr>
    </w:p>
    <w:p>
      <w:pPr>
        <w:jc w:val="center"/>
        <w:rPr>
          <w:rFonts w:hint="eastAsia" w:ascii="宋体" w:hAnsi="宋体" w:eastAsia="宋体"/>
          <w:b/>
          <w:color w:val="auto"/>
          <w:sz w:val="24"/>
          <w:highlight w:val="none"/>
          <w:lang w:val="en-US" w:eastAsia="zh-CN"/>
        </w:rPr>
      </w:pPr>
    </w:p>
    <w:p>
      <w:pPr>
        <w:pStyle w:val="31"/>
        <w:rPr>
          <w:rFonts w:hint="eastAsia"/>
          <w:color w:val="auto"/>
          <w:highlight w:val="none"/>
          <w:lang w:val="en-US" w:eastAsia="zh-CN"/>
        </w:rPr>
      </w:pPr>
    </w:p>
    <w:p>
      <w:pPr>
        <w:pStyle w:val="31"/>
        <w:rPr>
          <w:rFonts w:hint="eastAsia"/>
          <w:color w:val="auto"/>
          <w:highlight w:val="none"/>
          <w:lang w:val="en-US" w:eastAsia="zh-CN"/>
        </w:rPr>
      </w:pPr>
    </w:p>
    <w:p>
      <w:pPr>
        <w:pStyle w:val="31"/>
        <w:rPr>
          <w:rFonts w:hint="eastAsia"/>
          <w:color w:val="auto"/>
          <w:highlight w:val="none"/>
          <w:lang w:val="en-US" w:eastAsia="zh-CN"/>
        </w:rPr>
      </w:pPr>
    </w:p>
    <w:p>
      <w:pPr>
        <w:pStyle w:val="31"/>
        <w:rPr>
          <w:rFonts w:hint="eastAsia"/>
          <w:color w:val="auto"/>
          <w:highlight w:val="none"/>
          <w:lang w:val="en-US" w:eastAsia="zh-CN"/>
        </w:rPr>
      </w:pPr>
    </w:p>
    <w:p>
      <w:pPr>
        <w:pStyle w:val="31"/>
        <w:rPr>
          <w:rFonts w:hint="eastAsia"/>
          <w:color w:val="auto"/>
          <w:highlight w:val="none"/>
          <w:lang w:val="en-US" w:eastAsia="zh-CN"/>
        </w:rPr>
      </w:pPr>
    </w:p>
    <w:p>
      <w:pPr>
        <w:spacing w:after="120" w:afterLines="50"/>
        <w:jc w:val="center"/>
        <w:rPr>
          <w:color w:val="auto"/>
          <w:sz w:val="24"/>
          <w:highlight w:val="none"/>
        </w:rPr>
      </w:pPr>
      <w:r>
        <w:rPr>
          <w:rFonts w:hint="eastAsia"/>
          <w:b/>
          <w:color w:val="auto"/>
          <w:sz w:val="24"/>
          <w:highlight w:val="none"/>
        </w:rPr>
        <w:t>附录2资格审查条件</w:t>
      </w:r>
      <w:r>
        <w:rPr>
          <w:rFonts w:hint="eastAsia"/>
          <w:color w:val="auto"/>
          <w:sz w:val="24"/>
          <w:highlight w:val="none"/>
        </w:rPr>
        <w:t>（财务最低要求）</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305" w:type="dxa"/>
            <w:noWrap w:val="0"/>
            <w:vAlign w:val="center"/>
          </w:tcPr>
          <w:p>
            <w:pPr>
              <w:jc w:val="center"/>
              <w:rPr>
                <w:color w:val="auto"/>
                <w:szCs w:val="21"/>
                <w:highlight w:val="none"/>
              </w:rPr>
            </w:pPr>
            <w:r>
              <w:rPr>
                <w:color w:val="auto"/>
                <w:szCs w:val="21"/>
                <w:highlight w:val="none"/>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9" w:hRule="atLeast"/>
          <w:jc w:val="center"/>
        </w:trPr>
        <w:tc>
          <w:tcPr>
            <w:tcW w:w="9305" w:type="dxa"/>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1、最</w:t>
            </w:r>
            <w:r>
              <w:rPr>
                <w:rFonts w:hint="eastAsia" w:ascii="宋体" w:hAnsi="宋体"/>
                <w:color w:val="auto"/>
                <w:szCs w:val="21"/>
                <w:highlight w:val="none"/>
              </w:rPr>
              <w:t>近一年（</w:t>
            </w:r>
            <w:r>
              <w:rPr>
                <w:rFonts w:hint="eastAsia" w:ascii="宋体" w:hAnsi="宋体" w:eastAsia="宋体"/>
                <w:color w:val="auto"/>
                <w:szCs w:val="21"/>
                <w:highlight w:val="none"/>
                <w:lang w:val="en-US" w:eastAsia="zh-CN"/>
              </w:rPr>
              <w:t>2021</w:t>
            </w:r>
            <w:r>
              <w:rPr>
                <w:rFonts w:hint="eastAsia" w:ascii="宋体" w:hAnsi="宋体"/>
                <w:color w:val="auto"/>
                <w:szCs w:val="21"/>
                <w:highlight w:val="none"/>
              </w:rPr>
              <w:t>年），企业净资产（总资产-总负债）不少于</w:t>
            </w:r>
            <w:r>
              <w:rPr>
                <w:rFonts w:hint="eastAsia" w:ascii="宋体" w:hAnsi="宋体"/>
                <w:color w:val="auto"/>
                <w:szCs w:val="21"/>
                <w:highlight w:val="none"/>
                <w:lang w:val="en-US" w:eastAsia="zh-CN"/>
              </w:rPr>
              <w:t>30</w:t>
            </w:r>
            <w:r>
              <w:rPr>
                <w:rFonts w:hint="eastAsia" w:ascii="宋体" w:hAnsi="宋体" w:eastAsia="Calibri"/>
                <w:color w:val="auto"/>
                <w:szCs w:val="21"/>
                <w:highlight w:val="none"/>
                <w:lang w:val="en-US" w:eastAsia="zh-CN"/>
              </w:rPr>
              <w:t>0</w:t>
            </w:r>
            <w:r>
              <w:rPr>
                <w:rFonts w:hint="eastAsia" w:ascii="宋体" w:hAnsi="宋体" w:eastAsia="Calibri"/>
                <w:color w:val="auto"/>
                <w:szCs w:val="21"/>
                <w:highlight w:val="none"/>
              </w:rPr>
              <w:t>0</w:t>
            </w:r>
            <w:r>
              <w:rPr>
                <w:rFonts w:hint="eastAsia" w:ascii="宋体" w:hAnsi="宋体"/>
                <w:color w:val="auto"/>
                <w:szCs w:val="21"/>
                <w:highlight w:val="none"/>
              </w:rPr>
              <w:t>万元人民币；</w:t>
            </w:r>
          </w:p>
          <w:p>
            <w:pPr>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2、最</w:t>
            </w:r>
            <w:r>
              <w:rPr>
                <w:rFonts w:hint="eastAsia" w:ascii="宋体" w:hAnsi="宋体"/>
                <w:color w:val="auto"/>
                <w:szCs w:val="21"/>
                <w:highlight w:val="none"/>
              </w:rPr>
              <w:t>近一年（</w:t>
            </w:r>
            <w:r>
              <w:rPr>
                <w:rFonts w:hint="eastAsia" w:ascii="宋体" w:hAnsi="宋体" w:eastAsia="宋体"/>
                <w:color w:val="auto"/>
                <w:szCs w:val="21"/>
                <w:highlight w:val="none"/>
                <w:lang w:val="en-US" w:eastAsia="zh-CN"/>
              </w:rPr>
              <w:t>2021</w:t>
            </w:r>
            <w:r>
              <w:rPr>
                <w:rFonts w:hint="eastAsia" w:ascii="宋体" w:hAnsi="宋体"/>
                <w:color w:val="auto"/>
                <w:szCs w:val="21"/>
                <w:highlight w:val="none"/>
              </w:rPr>
              <w:t>年），</w:t>
            </w:r>
            <w:r>
              <w:rPr>
                <w:rFonts w:hint="eastAsia" w:ascii="宋体" w:hAnsi="宋体"/>
                <w:color w:val="auto"/>
                <w:szCs w:val="21"/>
                <w:highlight w:val="none"/>
                <w:lang w:val="en-US" w:eastAsia="zh-CN"/>
              </w:rPr>
              <w:t>营运资金（流动资产－流动负债）不少于5000万元人民币；</w:t>
            </w:r>
          </w:p>
          <w:p>
            <w:pPr>
              <w:spacing w:line="36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、近三个年度（20</w:t>
            </w:r>
            <w:r>
              <w:rPr>
                <w:rFonts w:hint="eastAsia" w:ascii="宋体" w:hAnsi="宋体" w:eastAsia="宋体"/>
                <w:color w:val="auto"/>
                <w:szCs w:val="21"/>
                <w:highlight w:val="none"/>
                <w:lang w:val="en-US" w:eastAsia="zh-CN"/>
              </w:rPr>
              <w:t>19</w:t>
            </w:r>
            <w:r>
              <w:rPr>
                <w:rFonts w:hint="eastAsia" w:ascii="宋体" w:hAnsi="宋体"/>
                <w:color w:val="auto"/>
                <w:szCs w:val="21"/>
                <w:highlight w:val="none"/>
              </w:rPr>
              <w:t>年至20</w:t>
            </w:r>
            <w:r>
              <w:rPr>
                <w:rFonts w:hint="eastAsia" w:ascii="宋体" w:hAnsi="宋体" w:eastAsia="宋体"/>
                <w:color w:val="auto"/>
                <w:szCs w:val="21"/>
                <w:highlight w:val="none"/>
                <w:lang w:val="en-US" w:eastAsia="zh-CN"/>
              </w:rPr>
              <w:t>21</w:t>
            </w:r>
            <w:r>
              <w:rPr>
                <w:rFonts w:hint="eastAsia" w:ascii="宋体" w:hAnsi="宋体"/>
                <w:color w:val="auto"/>
                <w:szCs w:val="21"/>
                <w:highlight w:val="none"/>
              </w:rPr>
              <w:t>年）的</w:t>
            </w:r>
            <w:r>
              <w:rPr>
                <w:rFonts w:hint="eastAsia" w:ascii="宋体" w:hAnsi="宋体" w:eastAsia="宋体"/>
                <w:color w:val="auto"/>
                <w:szCs w:val="21"/>
                <w:highlight w:val="none"/>
                <w:lang w:eastAsia="zh-CN"/>
              </w:rPr>
              <w:t>年</w:t>
            </w:r>
            <w:r>
              <w:rPr>
                <w:rFonts w:hint="eastAsia" w:ascii="宋体" w:hAnsi="宋体"/>
                <w:color w:val="auto"/>
                <w:szCs w:val="21"/>
                <w:highlight w:val="none"/>
              </w:rPr>
              <w:t>平均营业总收入</w:t>
            </w:r>
            <w:r>
              <w:rPr>
                <w:rFonts w:hint="eastAsia" w:ascii="宋体" w:hAnsi="宋体" w:eastAsia="Calibri"/>
                <w:color w:val="auto"/>
                <w:szCs w:val="21"/>
                <w:highlight w:val="none"/>
                <w:lang w:val="en-US" w:eastAsia="zh-CN"/>
              </w:rPr>
              <w:t>不少于</w:t>
            </w:r>
            <w:r>
              <w:rPr>
                <w:rFonts w:hint="eastAsia" w:ascii="宋体" w:hAnsi="宋体"/>
                <w:color w:val="auto"/>
                <w:szCs w:val="21"/>
                <w:highlight w:val="none"/>
                <w:lang w:val="en-US" w:eastAsia="zh-CN"/>
              </w:rPr>
              <w:t>8</w:t>
            </w:r>
            <w:r>
              <w:rPr>
                <w:rFonts w:hint="eastAsia" w:ascii="宋体" w:hAnsi="宋体" w:eastAsia="Calibri"/>
                <w:color w:val="auto"/>
                <w:szCs w:val="21"/>
                <w:highlight w:val="none"/>
                <w:lang w:val="en-US" w:eastAsia="zh-CN"/>
              </w:rPr>
              <w:t>000万元</w:t>
            </w:r>
            <w:r>
              <w:rPr>
                <w:rFonts w:hint="eastAsia" w:ascii="宋体" w:hAnsi="宋体"/>
                <w:color w:val="auto"/>
                <w:szCs w:val="21"/>
                <w:highlight w:val="none"/>
              </w:rPr>
              <w:t>人民币</w:t>
            </w:r>
            <w:r>
              <w:rPr>
                <w:rFonts w:hint="eastAsia" w:ascii="宋体" w:hAnsi="宋体"/>
                <w:color w:val="auto"/>
                <w:szCs w:val="21"/>
                <w:highlight w:val="none"/>
                <w:lang w:eastAsia="zh-CN"/>
              </w:rPr>
              <w:t>；</w:t>
            </w:r>
          </w:p>
          <w:p>
            <w:pPr>
              <w:spacing w:line="36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近</w:t>
            </w:r>
            <w:r>
              <w:rPr>
                <w:rFonts w:hint="eastAsia" w:ascii="宋体" w:hAnsi="宋体"/>
                <w:color w:val="auto"/>
                <w:szCs w:val="21"/>
                <w:highlight w:val="none"/>
                <w:lang w:val="en-US" w:eastAsia="zh-CN"/>
              </w:rPr>
              <w:t>三个年度</w:t>
            </w:r>
            <w:r>
              <w:rPr>
                <w:rFonts w:hint="eastAsia" w:ascii="宋体" w:hAnsi="宋体"/>
                <w:color w:val="auto"/>
                <w:szCs w:val="21"/>
                <w:highlight w:val="none"/>
              </w:rPr>
              <w:t>（20</w:t>
            </w:r>
            <w:r>
              <w:rPr>
                <w:rFonts w:hint="eastAsia" w:ascii="宋体" w:hAnsi="宋体" w:eastAsia="宋体"/>
                <w:color w:val="auto"/>
                <w:szCs w:val="21"/>
                <w:highlight w:val="none"/>
                <w:lang w:val="en-US" w:eastAsia="zh-CN"/>
              </w:rPr>
              <w:t>19</w:t>
            </w:r>
            <w:r>
              <w:rPr>
                <w:rFonts w:hint="eastAsia" w:ascii="宋体" w:hAnsi="宋体"/>
                <w:color w:val="auto"/>
                <w:szCs w:val="21"/>
                <w:highlight w:val="none"/>
              </w:rPr>
              <w:t>年至20</w:t>
            </w:r>
            <w:r>
              <w:rPr>
                <w:rFonts w:hint="eastAsia" w:ascii="宋体" w:hAnsi="宋体" w:eastAsia="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至少有2年盈利。</w:t>
            </w:r>
          </w:p>
          <w:p>
            <w:pPr>
              <w:adjustRightInd w:val="0"/>
              <w:snapToGrid w:val="0"/>
              <w:spacing w:line="360" w:lineRule="auto"/>
              <w:ind w:firstLine="289" w:firstLineChars="138"/>
              <w:rPr>
                <w:color w:val="auto"/>
                <w:szCs w:val="21"/>
                <w:highlight w:val="none"/>
              </w:rPr>
            </w:pPr>
          </w:p>
        </w:tc>
      </w:tr>
    </w:tbl>
    <w:p>
      <w:pPr>
        <w:adjustRightInd w:val="0"/>
        <w:snapToGrid w:val="0"/>
        <w:spacing w:line="300" w:lineRule="exact"/>
        <w:ind w:left="210" w:leftChars="100"/>
        <w:rPr>
          <w:rFonts w:ascii="宋体" w:hAnsi="宋体"/>
          <w:color w:val="auto"/>
          <w:szCs w:val="21"/>
          <w:highlight w:val="none"/>
        </w:rPr>
      </w:pPr>
      <w:r>
        <w:rPr>
          <w:rFonts w:hint="eastAsia" w:ascii="宋体" w:hAnsi="宋体"/>
          <w:color w:val="auto"/>
          <w:szCs w:val="21"/>
          <w:highlight w:val="none"/>
        </w:rPr>
        <w:t>注:1、企业净资产</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营运资金</w:t>
      </w:r>
      <w:r>
        <w:rPr>
          <w:rFonts w:hint="eastAsia" w:ascii="宋体" w:hAnsi="宋体"/>
          <w:color w:val="auto"/>
          <w:szCs w:val="21"/>
          <w:highlight w:val="none"/>
        </w:rPr>
        <w:t>是按交通运输部“全国公路建设市场信用信息管理系统”登记的最新年度数据计算得出。</w:t>
      </w:r>
    </w:p>
    <w:p>
      <w:pPr>
        <w:spacing w:line="226" w:lineRule="auto"/>
        <w:ind w:left="431"/>
        <w:rPr>
          <w:rFonts w:ascii="宋体" w:hAnsi="宋体" w:eastAsia="宋体" w:cs="宋体"/>
          <w:color w:val="auto"/>
          <w:sz w:val="20"/>
          <w:szCs w:val="20"/>
          <w:highlight w:val="none"/>
        </w:rPr>
      </w:pPr>
      <w:r>
        <w:rPr>
          <w:rFonts w:hint="eastAsia" w:ascii="宋体" w:hAnsi="宋体"/>
          <w:color w:val="auto"/>
          <w:szCs w:val="21"/>
          <w:highlight w:val="none"/>
        </w:rPr>
        <w:t>2、</w:t>
      </w:r>
      <w:r>
        <w:rPr>
          <w:rFonts w:ascii="宋体" w:hAnsi="宋体" w:eastAsia="宋体" w:cs="宋体"/>
          <w:color w:val="auto"/>
          <w:spacing w:val="6"/>
          <w:sz w:val="20"/>
          <w:szCs w:val="20"/>
          <w:highlight w:val="none"/>
        </w:rPr>
        <w:t>投标人应根据招标文件第二章“投标人须知”第 3.5.2 项的要求附相关证明材料。</w:t>
      </w:r>
    </w:p>
    <w:p>
      <w:pPr>
        <w:ind w:firstLine="360" w:firstLineChars="200"/>
        <w:rPr>
          <w:rFonts w:ascii="宋体" w:hAnsi="宋体"/>
          <w:color w:val="auto"/>
          <w:sz w:val="18"/>
          <w:szCs w:val="18"/>
          <w:highlight w:val="none"/>
        </w:rPr>
      </w:pPr>
    </w:p>
    <w:p>
      <w:pPr>
        <w:jc w:val="center"/>
        <w:rPr>
          <w:rFonts w:ascii="宋体" w:hAnsi="宋体"/>
          <w:b/>
          <w:color w:val="auto"/>
          <w:sz w:val="24"/>
          <w:highlight w:val="none"/>
        </w:rPr>
      </w:pPr>
    </w:p>
    <w:p>
      <w:pPr>
        <w:pStyle w:val="31"/>
        <w:rPr>
          <w:rFonts w:ascii="宋体" w:hAnsi="宋体"/>
          <w:b/>
          <w:color w:val="auto"/>
          <w:sz w:val="24"/>
          <w:highlight w:val="none"/>
        </w:rPr>
      </w:pPr>
    </w:p>
    <w:p>
      <w:pPr>
        <w:jc w:val="center"/>
        <w:rPr>
          <w:rFonts w:hint="eastAsia" w:ascii="宋体" w:hAnsi="宋体"/>
          <w:b/>
          <w:color w:val="auto"/>
          <w:sz w:val="24"/>
          <w:highlight w:val="none"/>
        </w:rPr>
      </w:pPr>
    </w:p>
    <w:p>
      <w:pPr>
        <w:pStyle w:val="2"/>
        <w:rPr>
          <w:rFonts w:hint="eastAsia" w:ascii="宋体" w:hAnsi="宋体"/>
          <w:b/>
          <w:color w:val="auto"/>
          <w:sz w:val="24"/>
          <w:highlight w:val="none"/>
        </w:rPr>
      </w:pPr>
    </w:p>
    <w:p>
      <w:pPr>
        <w:pStyle w:val="2"/>
        <w:rPr>
          <w:rFonts w:hint="eastAsia" w:ascii="宋体" w:hAnsi="宋体"/>
          <w:b/>
          <w:color w:val="auto"/>
          <w:sz w:val="24"/>
          <w:highlight w:val="none"/>
        </w:rPr>
      </w:pPr>
    </w:p>
    <w:p>
      <w:pPr>
        <w:jc w:val="center"/>
        <w:rPr>
          <w:rFonts w:ascii="宋体" w:hAnsi="宋体"/>
          <w:color w:val="auto"/>
          <w:sz w:val="24"/>
          <w:highlight w:val="none"/>
        </w:rPr>
      </w:pPr>
      <w:r>
        <w:rPr>
          <w:rFonts w:hint="eastAsia" w:ascii="宋体" w:hAnsi="宋体"/>
          <w:b/>
          <w:color w:val="auto"/>
          <w:sz w:val="24"/>
          <w:highlight w:val="none"/>
        </w:rPr>
        <w:t>附录</w:t>
      </w:r>
      <w:r>
        <w:rPr>
          <w:rFonts w:hint="eastAsia" w:ascii="宋体" w:hAnsi="宋体" w:eastAsia="宋体"/>
          <w:b/>
          <w:color w:val="auto"/>
          <w:sz w:val="24"/>
          <w:highlight w:val="none"/>
          <w:lang w:val="en-US" w:eastAsia="zh-CN"/>
        </w:rPr>
        <w:t>3</w:t>
      </w:r>
      <w:r>
        <w:rPr>
          <w:rFonts w:hint="eastAsia" w:ascii="宋体" w:hAnsi="宋体"/>
          <w:b/>
          <w:color w:val="auto"/>
          <w:sz w:val="24"/>
          <w:highlight w:val="none"/>
        </w:rPr>
        <w:t>资格审查条件</w:t>
      </w:r>
      <w:r>
        <w:rPr>
          <w:rFonts w:hint="eastAsia" w:ascii="宋体" w:hAnsi="宋体"/>
          <w:color w:val="auto"/>
          <w:sz w:val="24"/>
          <w:highlight w:val="none"/>
        </w:rPr>
        <w:t>（业绩最低要求）</w:t>
      </w: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25" w:hRule="atLeast"/>
          <w:jc w:val="center"/>
        </w:trPr>
        <w:tc>
          <w:tcPr>
            <w:tcW w:w="9299" w:type="dxa"/>
            <w:noWrap w:val="0"/>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7" w:hRule="atLeast"/>
          <w:jc w:val="center"/>
        </w:trPr>
        <w:tc>
          <w:tcPr>
            <w:tcW w:w="9299" w:type="dxa"/>
            <w:noWrap w:val="0"/>
            <w:vAlign w:val="center"/>
          </w:tcPr>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近5年内（2018年5月 1日至投标截止日）成功独立完成以下业绩：</w:t>
            </w:r>
          </w:p>
          <w:p>
            <w:pPr>
              <w:spacing w:line="36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①、至少3项一级或以上等级公路机电工程（须含监控系统）施工项目业绩,单项合同金额不低于2000万元；</w:t>
            </w:r>
          </w:p>
          <w:p>
            <w:pPr>
              <w:spacing w:line="360" w:lineRule="exact"/>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②、至少3项一级或以上等级公路交通安全设施工程（须同时含有标志、标线、护栏）施工项目业绩，单项里程不少于25km，累计里程不少于100km。</w:t>
            </w:r>
          </w:p>
        </w:tc>
      </w:tr>
    </w:tbl>
    <w:p>
      <w:pPr>
        <w:tabs>
          <w:tab w:val="center" w:pos="4535"/>
          <w:tab w:val="left" w:pos="7740"/>
        </w:tabs>
        <w:spacing w:line="360" w:lineRule="auto"/>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eastAsia="宋体"/>
          <w:color w:val="auto"/>
          <w:szCs w:val="21"/>
          <w:highlight w:val="none"/>
          <w:lang w:eastAsia="zh-CN"/>
        </w:rPr>
        <w:t>：</w:t>
      </w:r>
      <w:r>
        <w:rPr>
          <w:rFonts w:hint="eastAsia" w:ascii="宋体" w:hAnsi="宋体"/>
          <w:color w:val="auto"/>
          <w:szCs w:val="21"/>
          <w:highlight w:val="none"/>
        </w:rPr>
        <w:t>1、本附录所要求的业绩仅限中华人民共和国境内业绩。</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olor w:val="auto"/>
          <w:szCs w:val="21"/>
          <w:highlight w:val="none"/>
        </w:rPr>
        <w:t>2、</w:t>
      </w:r>
      <w:r>
        <w:rPr>
          <w:rFonts w:ascii="宋体" w:hAnsi="宋体" w:cs="宋体"/>
          <w:color w:val="auto"/>
          <w:kern w:val="0"/>
          <w:szCs w:val="21"/>
          <w:highlight w:val="none"/>
        </w:rPr>
        <w:t>投标人提供的业绩证明</w:t>
      </w:r>
      <w:r>
        <w:rPr>
          <w:rFonts w:hint="eastAsia" w:ascii="宋体" w:hAnsi="宋体" w:cs="宋体"/>
          <w:color w:val="auto"/>
          <w:kern w:val="0"/>
          <w:szCs w:val="21"/>
          <w:highlight w:val="none"/>
        </w:rPr>
        <w:t>为</w:t>
      </w:r>
      <w:r>
        <w:rPr>
          <w:rFonts w:ascii="宋体" w:hAnsi="宋体" w:cs="宋体"/>
          <w:color w:val="auto"/>
          <w:kern w:val="0"/>
          <w:szCs w:val="21"/>
          <w:highlight w:val="none"/>
        </w:rPr>
        <w:t>交通运输部</w:t>
      </w:r>
      <w:r>
        <w:rPr>
          <w:rFonts w:ascii="宋体" w:hAnsi="宋体" w:cs="宋体"/>
          <w:color w:val="auto"/>
          <w:kern w:val="0"/>
          <w:szCs w:val="21"/>
          <w:highlight w:val="none"/>
          <w:u w:val="none"/>
        </w:rPr>
        <w:t>“</w:t>
      </w:r>
      <w:r>
        <w:rPr>
          <w:rFonts w:hint="eastAsia" w:ascii="宋体" w:hAnsi="宋体" w:cs="宋体"/>
          <w:color w:val="auto"/>
          <w:kern w:val="0"/>
          <w:szCs w:val="21"/>
          <w:highlight w:val="none"/>
          <w:u w:val="none"/>
        </w:rPr>
        <w:t>全国</w:t>
      </w:r>
      <w:r>
        <w:rPr>
          <w:rFonts w:ascii="宋体" w:hAnsi="宋体" w:cs="宋体"/>
          <w:color w:val="auto"/>
          <w:kern w:val="0"/>
          <w:szCs w:val="21"/>
          <w:highlight w:val="none"/>
          <w:u w:val="none"/>
        </w:rPr>
        <w:t>公路建设市场信用信息管理系统”</w:t>
      </w:r>
      <w:r>
        <w:rPr>
          <w:rFonts w:hint="eastAsia" w:ascii="宋体" w:hAnsi="宋体" w:cs="宋体"/>
          <w:color w:val="auto"/>
          <w:kern w:val="0"/>
          <w:szCs w:val="21"/>
          <w:highlight w:val="none"/>
          <w:u w:val="none"/>
        </w:rPr>
        <w:t>业绩</w:t>
      </w:r>
      <w:r>
        <w:rPr>
          <w:rFonts w:ascii="宋体" w:hAnsi="宋体" w:cs="宋体"/>
          <w:color w:val="auto"/>
          <w:kern w:val="0"/>
          <w:szCs w:val="21"/>
          <w:highlight w:val="none"/>
          <w:u w:val="none"/>
        </w:rPr>
        <w:t>信息的网页截图体现</w:t>
      </w:r>
      <w:r>
        <w:rPr>
          <w:rFonts w:hint="eastAsia" w:ascii="宋体" w:hAnsi="宋体" w:cs="宋体"/>
          <w:color w:val="auto"/>
          <w:kern w:val="0"/>
          <w:szCs w:val="21"/>
          <w:highlight w:val="none"/>
          <w:u w:val="none"/>
        </w:rPr>
        <w:t>其</w:t>
      </w:r>
      <w:r>
        <w:rPr>
          <w:rFonts w:ascii="宋体" w:hAnsi="宋体" w:cs="宋体"/>
          <w:color w:val="auto"/>
          <w:kern w:val="0"/>
          <w:szCs w:val="21"/>
          <w:highlight w:val="none"/>
          <w:u w:val="none"/>
        </w:rPr>
        <w:t>完成的工作</w:t>
      </w:r>
      <w:r>
        <w:rPr>
          <w:rFonts w:hint="eastAsia" w:ascii="宋体" w:hAnsi="宋体" w:cs="宋体"/>
          <w:color w:val="auto"/>
          <w:kern w:val="0"/>
          <w:szCs w:val="21"/>
          <w:highlight w:val="none"/>
          <w:u w:val="none"/>
        </w:rPr>
        <w:t>必须为</w:t>
      </w:r>
      <w:r>
        <w:rPr>
          <w:rFonts w:hint="eastAsia" w:ascii="宋体" w:hAnsi="宋体" w:eastAsia="宋体" w:cs="宋体"/>
          <w:color w:val="auto"/>
          <w:szCs w:val="21"/>
          <w:highlight w:val="none"/>
        </w:rPr>
        <w:t>公路</w:t>
      </w:r>
      <w:r>
        <w:rPr>
          <w:rFonts w:hint="eastAsia" w:ascii="宋体" w:hAnsi="宋体" w:eastAsia="宋体" w:cs="宋体"/>
          <w:bCs/>
          <w:color w:val="auto"/>
          <w:szCs w:val="21"/>
          <w:highlight w:val="none"/>
          <w:lang w:val="en-US" w:eastAsia="zh-CN"/>
        </w:rPr>
        <w:t>新建机电工程项目（或机电专项施工工程项目）或公路新建交通安全设施工程项目（或交通安全设施专项施工工程项目）</w:t>
      </w:r>
      <w:r>
        <w:rPr>
          <w:rFonts w:hint="eastAsia" w:ascii="宋体" w:hAnsi="宋体" w:eastAsia="宋体" w:cs="宋体"/>
          <w:color w:val="auto"/>
          <w:szCs w:val="21"/>
          <w:highlight w:val="none"/>
        </w:rPr>
        <w:t>，不含公路机电工程日常维护（养护）项目</w:t>
      </w:r>
      <w:r>
        <w:rPr>
          <w:rFonts w:hint="eastAsia" w:ascii="宋体" w:hAnsi="宋体" w:cs="宋体"/>
          <w:color w:val="auto"/>
          <w:szCs w:val="21"/>
          <w:highlight w:val="none"/>
          <w:lang w:eastAsia="zh-CN"/>
        </w:rPr>
        <w:t>和公路交通安全设施工程日常维护（养护）项目。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none"/>
        </w:rPr>
        <w:t>3、本表要求业绩指由投标人完成的业绩</w:t>
      </w:r>
      <w:r>
        <w:rPr>
          <w:rFonts w:hint="eastAsia" w:ascii="宋体" w:hAnsi="宋体" w:eastAsia="宋体"/>
          <w:color w:val="auto"/>
          <w:szCs w:val="21"/>
          <w:highlight w:val="none"/>
          <w:u w:val="none"/>
          <w:lang w:eastAsia="zh-CN"/>
        </w:rPr>
        <w:t>，</w:t>
      </w:r>
      <w:r>
        <w:rPr>
          <w:rFonts w:hint="eastAsia" w:ascii="宋体" w:hAnsi="宋体"/>
          <w:color w:val="auto"/>
          <w:szCs w:val="21"/>
          <w:highlight w:val="none"/>
          <w:u w:val="none"/>
        </w:rPr>
        <w:t>机构总部（如总公司、集团公司、局等）与其下属机构</w:t>
      </w:r>
      <w:r>
        <w:rPr>
          <w:rFonts w:hint="eastAsia" w:ascii="宋体" w:hAnsi="宋体"/>
          <w:color w:val="auto"/>
          <w:szCs w:val="21"/>
          <w:highlight w:val="none"/>
        </w:rPr>
        <w:t>或专业单位的施工业绩经验不予认定。业绩计算时间以此期间通过交工验收的时间为准。</w:t>
      </w:r>
      <w:r>
        <w:rPr>
          <w:rFonts w:hint="eastAsia" w:ascii="宋体" w:hAnsi="宋体"/>
          <w:color w:val="auto"/>
          <w:szCs w:val="21"/>
          <w:highlight w:val="none"/>
          <w:lang w:val="en-US" w:eastAsia="zh-CN"/>
        </w:rPr>
        <w:t>若投标人提供的业绩证明为联合体业绩，则按交通运输部“全国公路建设市场信用信息管理系统”业绩信息的网页截图体现其完成的工作量认定，无法界定其完成的工作量，此业绩不予认定。</w:t>
      </w:r>
    </w:p>
    <w:p>
      <w:pPr>
        <w:adjustRightInd w:val="0"/>
        <w:snapToGrid w:val="0"/>
        <w:spacing w:line="360" w:lineRule="auto"/>
        <w:ind w:firstLine="420" w:firstLineChars="200"/>
        <w:rPr>
          <w:rFonts w:hint="eastAsia"/>
          <w:color w:val="auto"/>
          <w:highlight w:val="none"/>
        </w:rPr>
      </w:pPr>
      <w:r>
        <w:rPr>
          <w:rFonts w:hint="eastAsia" w:ascii="宋体" w:hAnsi="宋体" w:eastAsia="宋体" w:cs="宋体"/>
          <w:color w:val="auto"/>
          <w:szCs w:val="21"/>
          <w:highlight w:val="none"/>
          <w:lang w:val="en-US" w:eastAsia="zh-CN"/>
        </w:rPr>
        <w:t>4、同一工程项目业绩同时满足①、②项业绩要求条件的，可分别计算。</w:t>
      </w:r>
    </w:p>
    <w:p>
      <w:pPr>
        <w:spacing w:line="360" w:lineRule="auto"/>
        <w:ind w:firstLine="420" w:firstLineChars="200"/>
        <w:rPr>
          <w:rFonts w:hint="default" w:eastAsia="宋体"/>
          <w:color w:val="auto"/>
          <w:highlight w:val="none"/>
          <w:lang w:val="en-US" w:eastAsia="zh-CN"/>
        </w:rPr>
      </w:pPr>
      <w:r>
        <w:rPr>
          <w:rFonts w:hint="eastAsia" w:ascii="宋体" w:hAnsi="宋体"/>
          <w:color w:val="auto"/>
          <w:szCs w:val="21"/>
          <w:highlight w:val="none"/>
          <w:lang w:val="en-US" w:eastAsia="zh-CN"/>
        </w:rPr>
        <w:t>5、</w:t>
      </w:r>
      <w:r>
        <w:rPr>
          <w:rFonts w:ascii="宋体" w:hAnsi="宋体" w:eastAsia="宋体" w:cs="宋体"/>
          <w:color w:val="auto"/>
          <w:spacing w:val="6"/>
          <w:sz w:val="20"/>
          <w:szCs w:val="20"/>
          <w:highlight w:val="none"/>
        </w:rPr>
        <w:t>投标人应根据招标文件第二章“投标人须知”第 3.5.3 项的要求附相关证明材料</w:t>
      </w:r>
      <w:r>
        <w:rPr>
          <w:rFonts w:hint="eastAsia" w:ascii="宋体" w:hAnsi="宋体"/>
          <w:color w:val="auto"/>
          <w:szCs w:val="21"/>
          <w:highlight w:val="none"/>
        </w:rPr>
        <w:t>。</w:t>
      </w:r>
    </w:p>
    <w:p>
      <w:pPr>
        <w:pStyle w:val="31"/>
        <w:rPr>
          <w:rFonts w:hint="eastAsia" w:ascii="宋体" w:hAnsi="宋体" w:eastAsia="宋体"/>
          <w:b/>
          <w:color w:val="auto"/>
          <w:sz w:val="24"/>
          <w:highlight w:val="none"/>
          <w:lang w:val="en-US" w:eastAsia="zh-CN"/>
        </w:rPr>
      </w:pPr>
    </w:p>
    <w:p>
      <w:pPr>
        <w:pStyle w:val="31"/>
        <w:rPr>
          <w:rFonts w:hint="eastAsia" w:ascii="宋体" w:hAnsi="宋体"/>
          <w:b/>
          <w:color w:val="auto"/>
          <w:sz w:val="24"/>
          <w:highlight w:val="none"/>
        </w:rPr>
      </w:pPr>
    </w:p>
    <w:p>
      <w:pPr>
        <w:pStyle w:val="31"/>
        <w:rPr>
          <w:rFonts w:hint="eastAsia" w:ascii="宋体" w:hAnsi="宋体"/>
          <w:b/>
          <w:color w:val="auto"/>
          <w:sz w:val="24"/>
          <w:highlight w:val="none"/>
        </w:rPr>
      </w:pPr>
    </w:p>
    <w:p>
      <w:pPr>
        <w:jc w:val="center"/>
        <w:rPr>
          <w:rFonts w:ascii="宋体" w:hAnsi="宋体"/>
          <w:color w:val="auto"/>
          <w:sz w:val="24"/>
          <w:highlight w:val="none"/>
        </w:rPr>
      </w:pPr>
      <w:r>
        <w:rPr>
          <w:rFonts w:hint="eastAsia" w:ascii="宋体" w:hAnsi="宋体"/>
          <w:b/>
          <w:color w:val="auto"/>
          <w:sz w:val="24"/>
          <w:highlight w:val="none"/>
        </w:rPr>
        <w:t>附录</w:t>
      </w:r>
      <w:r>
        <w:rPr>
          <w:rFonts w:hint="eastAsia" w:ascii="宋体" w:hAnsi="宋体" w:eastAsia="宋体"/>
          <w:b/>
          <w:color w:val="auto"/>
          <w:sz w:val="24"/>
          <w:highlight w:val="none"/>
          <w:lang w:val="en-US" w:eastAsia="zh-CN"/>
        </w:rPr>
        <w:t>4</w:t>
      </w:r>
      <w:r>
        <w:rPr>
          <w:rFonts w:hint="eastAsia" w:ascii="宋体" w:hAnsi="宋体"/>
          <w:b/>
          <w:color w:val="auto"/>
          <w:sz w:val="24"/>
          <w:highlight w:val="none"/>
        </w:rPr>
        <w:t>资格审查条件</w:t>
      </w:r>
      <w:r>
        <w:rPr>
          <w:rFonts w:hint="eastAsia" w:ascii="宋体" w:hAnsi="宋体"/>
          <w:color w:val="auto"/>
          <w:sz w:val="24"/>
          <w:highlight w:val="none"/>
        </w:rPr>
        <w:t>（信誉</w:t>
      </w:r>
      <w:r>
        <w:rPr>
          <w:rFonts w:hint="eastAsia" w:ascii="宋体" w:hAnsi="宋体" w:eastAsia="宋体"/>
          <w:color w:val="auto"/>
          <w:sz w:val="24"/>
          <w:highlight w:val="none"/>
          <w:lang w:eastAsia="zh-CN"/>
        </w:rPr>
        <w:t>最低</w:t>
      </w:r>
      <w:r>
        <w:rPr>
          <w:rFonts w:hint="eastAsia" w:ascii="宋体" w:hAnsi="宋体"/>
          <w:color w:val="auto"/>
          <w:sz w:val="24"/>
          <w:highlight w:val="none"/>
        </w:rPr>
        <w:t>要求）</w:t>
      </w:r>
    </w:p>
    <w:p>
      <w:pPr>
        <w:jc w:val="center"/>
        <w:rPr>
          <w:rFonts w:ascii="宋体" w:hAnsi="宋体"/>
          <w:color w:val="auto"/>
          <w:highlight w:val="none"/>
        </w:rPr>
      </w:pPr>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25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5" w:hRule="atLeast"/>
          <w:jc w:val="center"/>
        </w:trPr>
        <w:tc>
          <w:tcPr>
            <w:tcW w:w="9252" w:type="dxa"/>
            <w:noWrap w:val="0"/>
            <w:vAlign w:val="center"/>
          </w:tcPr>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在最新年度广东省公路工程从业单位 (施工单位) 信用评价 (含无最新年度而 上一年度有信用评价) 中，信用等级未被评为 D 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初次进入广东省的投标人，在最新年度的全国公路从业单位 (施工单位) 信用 评价结果中未被评为 D 级。</w:t>
            </w:r>
          </w:p>
        </w:tc>
      </w:tr>
    </w:tbl>
    <w:p>
      <w:pPr>
        <w:spacing w:line="360" w:lineRule="auto"/>
        <w:ind w:firstLine="420" w:firstLineChars="200"/>
        <w:rPr>
          <w:rFonts w:hint="eastAsia" w:ascii="宋体" w:hAnsi="宋体" w:cs="宋体"/>
          <w:color w:val="auto"/>
          <w:kern w:val="0"/>
          <w:szCs w:val="21"/>
          <w:highlight w:val="none"/>
        </w:rPr>
      </w:pPr>
      <w:bookmarkStart w:id="88" w:name="_Toc24101"/>
      <w:bookmarkStart w:id="89" w:name="_Toc29604"/>
      <w:bookmarkStart w:id="90" w:name="_Toc510089796"/>
      <w:bookmarkStart w:id="91" w:name="_Toc510172709"/>
      <w:bookmarkStart w:id="92" w:name="_Toc7002"/>
      <w:bookmarkStart w:id="93" w:name="_Toc26582"/>
      <w:r>
        <w:rPr>
          <w:rFonts w:hint="eastAsia" w:ascii="宋体" w:hAnsi="宋体" w:cs="宋体"/>
          <w:color w:val="auto"/>
          <w:kern w:val="0"/>
          <w:szCs w:val="21"/>
          <w:highlight w:val="none"/>
        </w:rPr>
        <w:t>注:</w:t>
      </w:r>
      <w:bookmarkEnd w:id="88"/>
      <w:bookmarkEnd w:id="89"/>
      <w:bookmarkStart w:id="94" w:name="_Toc27270"/>
      <w:bookmarkStart w:id="95" w:name="_Toc14557"/>
      <w:r>
        <w:rPr>
          <w:rFonts w:hint="eastAsia" w:ascii="宋体" w:hAnsi="宋体" w:cs="宋体"/>
          <w:color w:val="auto"/>
          <w:kern w:val="0"/>
          <w:szCs w:val="21"/>
          <w:highlight w:val="none"/>
        </w:rPr>
        <w:t>1、</w:t>
      </w:r>
      <w:bookmarkEnd w:id="90"/>
      <w:bookmarkEnd w:id="91"/>
      <w:bookmarkEnd w:id="94"/>
      <w:r>
        <w:rPr>
          <w:rFonts w:hint="eastAsia" w:ascii="宋体" w:hAnsi="宋体" w:cs="宋体"/>
          <w:color w:val="auto"/>
          <w:kern w:val="0"/>
          <w:szCs w:val="21"/>
          <w:highlight w:val="none"/>
        </w:rPr>
        <w:t>信用等级类别应与招标相应的标段类别对应。</w:t>
      </w:r>
      <w:bookmarkEnd w:id="92"/>
      <w:bookmarkEnd w:id="93"/>
      <w:bookmarkEnd w:id="95"/>
    </w:p>
    <w:p>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2、信用等级的确定原则遵循投标人须知前附表10.2款的规定。</w:t>
      </w:r>
    </w:p>
    <w:p>
      <w:pPr>
        <w:spacing w:line="360" w:lineRule="auto"/>
        <w:ind w:firstLine="630" w:firstLineChars="30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rPr>
        <w:t>、投标人应根据第九章“投标文件格式”中“八、资格审查资料  (五) 投标人的信誉情况表”填写情况说明。</w:t>
      </w:r>
    </w:p>
    <w:p>
      <w:pPr>
        <w:spacing w:line="360" w:lineRule="auto"/>
        <w:ind w:firstLine="840" w:firstLineChars="400"/>
        <w:rPr>
          <w:rFonts w:ascii="宋体" w:hAnsi="宋体" w:cs="宋体"/>
          <w:color w:val="auto"/>
          <w:kern w:val="0"/>
          <w:szCs w:val="21"/>
          <w:highlight w:val="none"/>
        </w:rPr>
      </w:pPr>
    </w:p>
    <w:p>
      <w:pPr>
        <w:jc w:val="center"/>
        <w:rPr>
          <w:rFonts w:hint="eastAsia" w:ascii="宋体" w:hAnsi="宋体"/>
          <w:b/>
          <w:color w:val="auto"/>
          <w:sz w:val="24"/>
          <w:highlight w:val="none"/>
        </w:rPr>
      </w:pPr>
    </w:p>
    <w:p>
      <w:pPr>
        <w:jc w:val="center"/>
        <w:rPr>
          <w:rFonts w:ascii="宋体" w:hAnsi="宋体"/>
          <w:color w:val="auto"/>
          <w:sz w:val="24"/>
          <w:highlight w:val="none"/>
        </w:rPr>
      </w:pPr>
      <w:r>
        <w:rPr>
          <w:rFonts w:hint="eastAsia" w:ascii="宋体" w:hAnsi="宋体"/>
          <w:b/>
          <w:color w:val="auto"/>
          <w:sz w:val="24"/>
          <w:highlight w:val="none"/>
        </w:rPr>
        <w:t>附录</w:t>
      </w:r>
      <w:r>
        <w:rPr>
          <w:rFonts w:hint="eastAsia" w:ascii="宋体" w:hAnsi="宋体" w:eastAsia="宋体"/>
          <w:b/>
          <w:color w:val="auto"/>
          <w:sz w:val="24"/>
          <w:highlight w:val="none"/>
          <w:lang w:val="en-US" w:eastAsia="zh-CN"/>
        </w:rPr>
        <w:t>5</w:t>
      </w:r>
      <w:r>
        <w:rPr>
          <w:rFonts w:hint="eastAsia" w:ascii="宋体" w:hAnsi="宋体"/>
          <w:b/>
          <w:color w:val="auto"/>
          <w:sz w:val="24"/>
          <w:highlight w:val="none"/>
        </w:rPr>
        <w:t>资格审查条件</w:t>
      </w:r>
      <w:r>
        <w:rPr>
          <w:rFonts w:hint="eastAsia" w:ascii="宋体" w:hAnsi="宋体"/>
          <w:color w:val="auto"/>
          <w:sz w:val="24"/>
          <w:highlight w:val="none"/>
        </w:rPr>
        <w:t>（项目经理和项目总工最低要求）</w:t>
      </w:r>
    </w:p>
    <w:p>
      <w:pPr>
        <w:jc w:val="center"/>
        <w:rPr>
          <w:rFonts w:ascii="宋体" w:hAnsi="宋体"/>
          <w:b/>
          <w:color w:val="auto"/>
          <w:sz w:val="24"/>
          <w:highlight w:val="none"/>
        </w:rPr>
      </w:pPr>
    </w:p>
    <w:tbl>
      <w:tblPr>
        <w:tblStyle w:val="60"/>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62"/>
        <w:gridCol w:w="3975"/>
        <w:gridCol w:w="3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3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人员</w:t>
            </w:r>
          </w:p>
        </w:tc>
        <w:tc>
          <w:tcPr>
            <w:tcW w:w="76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数量（个）</w:t>
            </w:r>
          </w:p>
        </w:tc>
        <w:tc>
          <w:tcPr>
            <w:tcW w:w="397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资格要求</w:t>
            </w:r>
          </w:p>
        </w:tc>
        <w:tc>
          <w:tcPr>
            <w:tcW w:w="3168" w:type="dxa"/>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在岗要求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435" w:type="dxa"/>
            <w:noWrap w:val="0"/>
            <w:vAlign w:val="center"/>
          </w:tcPr>
          <w:p>
            <w:pPr>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项目经理</w:t>
            </w:r>
          </w:p>
        </w:tc>
        <w:tc>
          <w:tcPr>
            <w:tcW w:w="762" w:type="dxa"/>
            <w:noWrap w:val="0"/>
            <w:vAlign w:val="center"/>
          </w:tcPr>
          <w:p>
            <w:pPr>
              <w:spacing w:line="36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1</w:t>
            </w:r>
          </w:p>
        </w:tc>
        <w:tc>
          <w:tcPr>
            <w:tcW w:w="3975" w:type="dxa"/>
            <w:noWrap w:val="0"/>
            <w:vAlign w:val="center"/>
          </w:tcPr>
          <w:p>
            <w:pPr>
              <w:spacing w:line="36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工程师或以上职称，担任类似工程项目经理（或项目副经理或项目总工）岗位累计12个月，并持有住房和城乡建设部颁发的机电工程</w:t>
            </w:r>
            <w:r>
              <w:rPr>
                <w:rFonts w:hint="eastAsia" w:ascii="宋体" w:hAnsi="宋体" w:eastAsia="Calibri"/>
                <w:color w:val="auto"/>
                <w:sz w:val="21"/>
                <w:szCs w:val="21"/>
                <w:highlight w:val="none"/>
              </w:rPr>
              <w:t>专业</w:t>
            </w:r>
            <w:r>
              <w:rPr>
                <w:rFonts w:hint="eastAsia" w:ascii="宋体" w:hAnsi="宋体" w:eastAsia="Calibri"/>
                <w:color w:val="auto"/>
                <w:sz w:val="21"/>
                <w:szCs w:val="21"/>
                <w:highlight w:val="none"/>
                <w:u w:val="none"/>
                <w:lang w:eastAsia="zh-CN"/>
              </w:rPr>
              <w:t>壹</w:t>
            </w:r>
            <w:r>
              <w:rPr>
                <w:rFonts w:hint="eastAsia" w:ascii="宋体" w:hAnsi="宋体" w:eastAsia="Calibri"/>
                <w:color w:val="auto"/>
                <w:sz w:val="21"/>
                <w:szCs w:val="21"/>
                <w:highlight w:val="none"/>
                <w:u w:val="none"/>
              </w:rPr>
              <w:t>级</w:t>
            </w:r>
            <w:r>
              <w:rPr>
                <w:rFonts w:hint="eastAsia" w:ascii="宋体" w:hAnsi="宋体" w:eastAsia="Calibri"/>
                <w:color w:val="auto"/>
                <w:sz w:val="21"/>
                <w:szCs w:val="21"/>
                <w:highlight w:val="none"/>
              </w:rPr>
              <w:t>建造师注册证书或</w:t>
            </w:r>
            <w:r>
              <w:rPr>
                <w:rFonts w:hint="eastAsia" w:ascii="宋体" w:hAnsi="宋体" w:cs="Times New Roman"/>
                <w:color w:val="auto"/>
                <w:szCs w:val="21"/>
                <w:highlight w:val="none"/>
                <w:lang w:val="en-US" w:eastAsia="zh-CN"/>
              </w:rPr>
              <w:t>公路工程专业贰级（或以上）建造师注册证书，具有交通主管部门颁发的有效安全生产“三类人员”B类证书，年龄不超过 55 周岁。</w:t>
            </w:r>
          </w:p>
        </w:tc>
        <w:tc>
          <w:tcPr>
            <w:tcW w:w="3168" w:type="dxa"/>
            <w:vMerge w:val="restart"/>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无在岗项目（指目前未在其他项目上任职，或虽在其他项目上任职但本项目中标后能够从该项目</w:t>
            </w:r>
          </w:p>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撤离）</w:t>
            </w:r>
          </w:p>
          <w:p>
            <w:pPr>
              <w:jc w:val="center"/>
              <w:rPr>
                <w:rFonts w:hint="eastAsia" w:ascii="宋体" w:hAnsi="宋体"/>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435" w:type="dxa"/>
            <w:noWrap w:val="0"/>
            <w:vAlign w:val="center"/>
          </w:tcPr>
          <w:p>
            <w:pPr>
              <w:spacing w:line="360" w:lineRule="auto"/>
              <w:jc w:val="center"/>
              <w:rPr>
                <w:rFonts w:hint="eastAsia" w:ascii="宋体" w:hAnsi="宋体" w:cs="Times New Roman"/>
                <w:color w:val="auto"/>
                <w:szCs w:val="21"/>
                <w:highlight w:val="none"/>
                <w:lang w:val="en-US" w:eastAsia="zh-CN"/>
              </w:rPr>
            </w:pPr>
            <w:r>
              <w:rPr>
                <w:rFonts w:hint="eastAsia" w:ascii="宋体" w:hAnsi="宋体"/>
                <w:color w:val="auto"/>
                <w:szCs w:val="21"/>
                <w:highlight w:val="none"/>
              </w:rPr>
              <w:t>项目总工</w:t>
            </w:r>
          </w:p>
        </w:tc>
        <w:tc>
          <w:tcPr>
            <w:tcW w:w="762" w:type="dxa"/>
            <w:noWrap w:val="0"/>
            <w:vAlign w:val="center"/>
          </w:tcPr>
          <w:p>
            <w:pPr>
              <w:spacing w:line="360" w:lineRule="auto"/>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p>
        </w:tc>
        <w:tc>
          <w:tcPr>
            <w:tcW w:w="3975" w:type="dxa"/>
            <w:noWrap w:val="0"/>
            <w:vAlign w:val="center"/>
          </w:tcPr>
          <w:p>
            <w:pPr>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高级工程师或以上职称，主管类似工程技术工作岗位累计12个月，具有交通主管部门颁发的有效安全生产“三类人员”B类证书，年龄不超过 55 周岁。</w:t>
            </w:r>
          </w:p>
        </w:tc>
        <w:tc>
          <w:tcPr>
            <w:tcW w:w="3168" w:type="dxa"/>
            <w:vMerge w:val="continue"/>
            <w:noWrap w:val="0"/>
            <w:vAlign w:val="center"/>
          </w:tcPr>
          <w:p>
            <w:pPr>
              <w:spacing w:line="360" w:lineRule="exact"/>
              <w:rPr>
                <w:rFonts w:hint="eastAsia" w:ascii="宋体" w:hAnsi="宋体"/>
                <w:color w:val="auto"/>
                <w:szCs w:val="21"/>
                <w:highlight w:val="none"/>
                <w:lang w:val="en-US" w:eastAsia="zh-CN"/>
              </w:rPr>
            </w:pPr>
          </w:p>
        </w:tc>
      </w:tr>
    </w:tbl>
    <w:p>
      <w:pPr>
        <w:tabs>
          <w:tab w:val="center" w:pos="4535"/>
          <w:tab w:val="left" w:pos="7740"/>
        </w:tabs>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资格要求的人员建造师注册证书、安全生产“三类人员”B类证书均应在申请人所在单位，否则视为无效。</w:t>
      </w:r>
    </w:p>
    <w:p>
      <w:pPr>
        <w:tabs>
          <w:tab w:val="center" w:pos="4535"/>
          <w:tab w:val="left" w:pos="77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2、主</w:t>
      </w:r>
      <w:r>
        <w:rPr>
          <w:rFonts w:hint="eastAsia" w:ascii="宋体" w:hAnsi="宋体" w:cs="宋体"/>
          <w:color w:val="auto"/>
          <w:kern w:val="0"/>
          <w:szCs w:val="21"/>
          <w:highlight w:val="none"/>
        </w:rPr>
        <w:t>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pPr>
        <w:tabs>
          <w:tab w:val="center" w:pos="4535"/>
          <w:tab w:val="left" w:pos="77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3、投标人应根据招标文件第二章“投标人须知”第3.5.5项的要求附相关证明材料。</w:t>
      </w:r>
    </w:p>
    <w:p>
      <w:pPr>
        <w:spacing w:line="360" w:lineRule="auto"/>
        <w:ind w:firstLine="420" w:firstLineChars="200"/>
        <w:rPr>
          <w:rFonts w:hint="eastAsia" w:ascii="宋体" w:hAnsi="宋体" w:cs="宋体"/>
          <w:color w:val="auto"/>
          <w:kern w:val="0"/>
          <w:szCs w:val="21"/>
          <w:highlight w:val="none"/>
        </w:rPr>
      </w:pPr>
    </w:p>
    <w:p>
      <w:pPr>
        <w:rPr>
          <w:rFonts w:ascii="宋体" w:hAnsi="宋体"/>
          <w:color w:val="auto"/>
          <w:highlight w:val="none"/>
        </w:rPr>
      </w:pPr>
      <w:bookmarkStart w:id="96" w:name="_Toc514924107"/>
      <w:bookmarkStart w:id="97" w:name="_Toc433205688"/>
      <w:bookmarkStart w:id="98" w:name="_Toc20346"/>
      <w:r>
        <w:rPr>
          <w:rFonts w:ascii="宋体" w:hAnsi="宋体"/>
          <w:color w:val="auto"/>
          <w:highlight w:val="none"/>
        </w:rPr>
        <w:br w:type="page"/>
      </w:r>
    </w:p>
    <w:bookmarkEnd w:id="96"/>
    <w:bookmarkEnd w:id="97"/>
    <w:bookmarkEnd w:id="98"/>
    <w:p>
      <w:pPr>
        <w:pStyle w:val="4"/>
        <w:jc w:val="center"/>
        <w:rPr>
          <w:rFonts w:hint="eastAsia" w:ascii="宋体" w:hAnsi="宋体"/>
          <w:color w:val="auto"/>
          <w:highlight w:val="none"/>
        </w:rPr>
      </w:pPr>
      <w:r>
        <w:rPr>
          <w:rFonts w:ascii="宋体" w:hAnsi="宋体"/>
          <w:color w:val="auto"/>
          <w:highlight w:val="none"/>
        </w:rPr>
        <w:t>第三章评标办法</w:t>
      </w:r>
      <w:r>
        <w:rPr>
          <w:rFonts w:hint="eastAsia" w:ascii="宋体" w:hAnsi="宋体"/>
          <w:color w:val="auto"/>
          <w:highlight w:val="none"/>
        </w:rPr>
        <w:t>（</w:t>
      </w:r>
      <w:r>
        <w:rPr>
          <w:rFonts w:hint="eastAsia"/>
          <w:b/>
          <w:bCs w:val="0"/>
          <w:color w:val="auto"/>
          <w:highlight w:val="none"/>
        </w:rPr>
        <w:t>双信封的技术评分最低标价法</w:t>
      </w:r>
      <w:r>
        <w:rPr>
          <w:rFonts w:hint="eastAsia" w:ascii="宋体" w:hAnsi="宋体"/>
          <w:color w:val="auto"/>
          <w:highlight w:val="none"/>
        </w:rPr>
        <w:t>）</w:t>
      </w:r>
    </w:p>
    <w:p>
      <w:pPr>
        <w:outlineLvl w:val="1"/>
        <w:rPr>
          <w:rFonts w:ascii="宋体" w:hAnsi="宋体" w:cs="宋体"/>
          <w:color w:val="auto"/>
          <w:sz w:val="28"/>
          <w:szCs w:val="28"/>
          <w:highlight w:val="none"/>
        </w:rPr>
      </w:pPr>
      <w:bookmarkStart w:id="99" w:name="_Toc27781"/>
      <w:bookmarkStart w:id="100" w:name="_Toc4493"/>
      <w:bookmarkStart w:id="101" w:name="_Toc15257"/>
      <w:r>
        <w:rPr>
          <w:rFonts w:hint="eastAsia" w:ascii="宋体" w:hAnsi="宋体" w:cs="宋体"/>
          <w:color w:val="auto"/>
          <w:sz w:val="28"/>
          <w:szCs w:val="28"/>
          <w:highlight w:val="none"/>
        </w:rPr>
        <w:t>评标办法前附表</w:t>
      </w:r>
      <w:bookmarkEnd w:id="99"/>
      <w:bookmarkEnd w:id="100"/>
      <w:bookmarkEnd w:id="101"/>
    </w:p>
    <w:tbl>
      <w:tblPr>
        <w:tblStyle w:val="60"/>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13"/>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gridSpan w:val="2"/>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条款号</w:t>
            </w:r>
          </w:p>
        </w:tc>
        <w:tc>
          <w:tcPr>
            <w:tcW w:w="7642" w:type="dxa"/>
            <w:noWrap w:val="0"/>
            <w:vAlign w:val="center"/>
          </w:tcPr>
          <w:p>
            <w:pPr>
              <w:autoSpaceDE w:val="0"/>
              <w:autoSpaceDN w:val="0"/>
              <w:adjustRightIn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w w:val="86"/>
                <w:kern w:val="0"/>
                <w:sz w:val="21"/>
                <w:szCs w:val="21"/>
                <w:highlight w:val="none"/>
              </w:rPr>
              <w:t>1</w:t>
            </w:r>
          </w:p>
        </w:tc>
        <w:tc>
          <w:tcPr>
            <w:tcW w:w="1213" w:type="dxa"/>
            <w:noWrap w:val="0"/>
            <w:vAlign w:val="center"/>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7642" w:type="dxa"/>
            <w:noWrap w:val="0"/>
            <w:vAlign w:val="center"/>
          </w:tcPr>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评标价相等时，评标委员会依次按照以下优先顺序推荐中标候选人或确定中标人：</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(1)按招标文件规定被认定为最新年度广东省公路工程从业单位信用评价等级较高的投标人优先；</w:t>
            </w:r>
            <w:r>
              <w:rPr>
                <w:rStyle w:val="72"/>
                <w:rFonts w:hint="eastAsia" w:ascii="宋体" w:hAnsi="宋体" w:eastAsia="宋体" w:cs="宋体"/>
                <w:color w:val="auto"/>
                <w:sz w:val="21"/>
                <w:szCs w:val="21"/>
                <w:highlight w:val="none"/>
              </w:rPr>
              <w:footnoteReference w:id="4"/>
            </w:r>
            <w:r>
              <w:rPr>
                <w:rFonts w:hint="eastAsia" w:ascii="宋体" w:hAnsi="宋体" w:eastAsia="宋体" w:cs="宋体"/>
                <w:color w:val="auto"/>
                <w:sz w:val="21"/>
                <w:szCs w:val="21"/>
                <w:highlight w:val="none"/>
              </w:rPr>
              <w:t>【采用如下的优先顺序：承诺使用的AA级投标人、不承诺使用的AA级投标人、承诺使用的A级投标人、不承诺使用的A级投标人、B级投标人、未参评且被确定为B级投标人】</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(2)以投标人企业最新年度净资产较高的优先；</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0" w:type="dxa"/>
            <w:noWrap w:val="0"/>
            <w:vAlign w:val="center"/>
          </w:tcPr>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p>
            <w:pPr>
              <w:autoSpaceDE w:val="0"/>
              <w:autoSpaceDN w:val="0"/>
              <w:adjustRightIn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213" w:type="dxa"/>
            <w:noWrap w:val="0"/>
            <w:vAlign w:val="bottom"/>
          </w:tcPr>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形式评审与响应性评审标准</w:t>
            </w: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widowControl/>
              <w:spacing w:line="360" w:lineRule="auto"/>
              <w:rPr>
                <w:rFonts w:hint="eastAsia" w:ascii="宋体" w:hAnsi="宋体" w:eastAsia="宋体" w:cs="宋体"/>
                <w:color w:val="auto"/>
                <w:kern w:val="0"/>
                <w:sz w:val="21"/>
                <w:szCs w:val="21"/>
                <w:highlight w:val="none"/>
              </w:rPr>
            </w:pPr>
          </w:p>
          <w:p>
            <w:pPr>
              <w:autoSpaceDE w:val="0"/>
              <w:autoSpaceDN w:val="0"/>
              <w:adjustRightInd w:val="0"/>
              <w:spacing w:line="360" w:lineRule="auto"/>
              <w:rPr>
                <w:rFonts w:hint="eastAsia" w:ascii="宋体" w:hAnsi="宋体" w:eastAsia="宋体" w:cs="宋体"/>
                <w:color w:val="auto"/>
                <w:kern w:val="0"/>
                <w:sz w:val="21"/>
                <w:szCs w:val="21"/>
                <w:highlight w:val="none"/>
              </w:rPr>
            </w:pPr>
          </w:p>
        </w:tc>
        <w:tc>
          <w:tcPr>
            <w:tcW w:w="7642" w:type="dxa"/>
            <w:noWrap w:val="0"/>
            <w:vAlign w:val="top"/>
          </w:tcPr>
          <w:p>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第一个信封（商务及技术文件）评审标准：</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按照招标文件规定的格式、内容填写，字迹清晰可辨：</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a.投标函按招标文件规定填报了项目名称、标段号（如有)、补遗书编号（如有)、工期、工程质量要求及安全目标；</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w:t>
            </w:r>
            <w:r>
              <w:rPr>
                <w:rFonts w:hint="eastAsia" w:ascii="宋体" w:hAnsi="宋体" w:eastAsia="宋体" w:cs="宋体"/>
                <w:color w:val="auto"/>
                <w:sz w:val="21"/>
                <w:szCs w:val="21"/>
                <w:highlight w:val="none"/>
                <w:lang w:val="en-US" w:eastAsia="zh-CN"/>
              </w:rPr>
              <w:t>字</w:t>
            </w:r>
            <w:r>
              <w:rPr>
                <w:rFonts w:hint="eastAsia" w:ascii="宋体" w:hAnsi="宋体" w:eastAsia="宋体" w:cs="宋体"/>
                <w:color w:val="auto"/>
                <w:sz w:val="21"/>
                <w:szCs w:val="21"/>
                <w:highlight w:val="none"/>
              </w:rPr>
              <w:t>、投标人的单位章盖章齐全，符合招标文件规定。</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）投标人法定代表人授权委托代理人签署投标文件的，需提交授权委托书，且授权人和被授权人均在授权委托书上签名，未使用印章、签名章或其他电子制版签名代替。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）投标人法定代表人亲自签署投标文件的，提供了法定代表人身份证明，且法定代表人在法定代表人身份证明上签名，未使用印章、签名章或其他电子制版签名代替。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）投标人未以联合体形式进行投标。</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）投标人如有分包计划，符合招标文件第二章“投标人须知”第1.11款规定，且按招标文件第九章“投标文件格式”的要求填写了“拟分包项目情况表”。</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）同一投标人未提交两个以上不同的投标文件，但招标文件要求提交备选投标的除外。</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）投标文件中未出现有关投标报价的内容。</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）投标文件载明的招标项目完成期限未超过招标文件规定的时限。</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）投标文件对招标文件的实质性要求和条件作出响应。</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）权利义务符合招标文件规定：</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）投标文件未附有招标人不能接受的条件。</w:t>
            </w:r>
          </w:p>
          <w:p>
            <w:pPr>
              <w:widowControl/>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第二个信封（报价文件）评审标准：</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（1）投标文件按照招标文件规定的格式、内容填写，字迹清晰可辩：</w:t>
            </w:r>
          </w:p>
          <w:p>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zh-CN"/>
              </w:rPr>
              <w:t>投标函按招标文件规定填报了项目名称、标段号（如有)、补遗书编号（如有)、投标总报价 (包括大写金额和小写金额)；</w:t>
            </w:r>
          </w:p>
          <w:p>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b.已标价工程量清单说明文字与招标文件规定一致，未进行实质性修 改和删减；</w:t>
            </w:r>
          </w:p>
          <w:p>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c.投标文件组成齐全完整，内容均按规定填写。</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（2）投标文</w:t>
            </w:r>
            <w:r>
              <w:rPr>
                <w:rFonts w:hint="eastAsia" w:ascii="宋体" w:hAnsi="宋体" w:eastAsia="宋体" w:cs="宋体"/>
                <w:color w:val="auto"/>
                <w:kern w:val="0"/>
                <w:sz w:val="21"/>
                <w:szCs w:val="21"/>
                <w:highlight w:val="none"/>
              </w:rPr>
              <w:t>件上法定代表人或其委托代理人的签字、投标人的单位章盖章齐全，符合招标文件规定。</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（3）投标总报价或调价函中的报价未超过招标文件设定的最高投标限价 (如有)及最高评标限价 (如有)。</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（4）投标报价或调价函中报价的大写金额能够确定具体数值。</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（5）同一投标人未提交两个以上不同的投标报价，但招标文件要求提交备选投标的除外。</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（6）投标人若提交调价函，调价函符合招标文件第二章“投标人须知”第3.2.6项要求。</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zh-CN"/>
              </w:rPr>
              <w:t>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autoSpaceDE w:val="0"/>
              <w:autoSpaceDN w:val="0"/>
              <w:adjustRightInd w:val="0"/>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2.1.2</w:t>
            </w:r>
          </w:p>
          <w:p>
            <w:pPr>
              <w:autoSpaceDE w:val="0"/>
              <w:autoSpaceDN w:val="0"/>
              <w:adjustRightInd w:val="0"/>
              <w:spacing w:line="360" w:lineRule="auto"/>
              <w:jc w:val="center"/>
              <w:rPr>
                <w:rFonts w:hint="eastAsia" w:ascii="宋体" w:hAnsi="宋体" w:eastAsia="宋体" w:cs="宋体"/>
                <w:color w:val="auto"/>
                <w:kern w:val="0"/>
                <w:sz w:val="21"/>
                <w:szCs w:val="21"/>
                <w:highlight w:val="none"/>
              </w:rPr>
            </w:pPr>
          </w:p>
        </w:tc>
        <w:tc>
          <w:tcPr>
            <w:tcW w:w="1213" w:type="dxa"/>
            <w:noWrap w:val="0"/>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7642" w:type="dxa"/>
            <w:noWrap w:val="0"/>
            <w:vAlign w:val="top"/>
          </w:tcPr>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（1）投标人具备有效的营业执照、资质证书、安全生产许可证和基本账 户开户许可证 (如企业所在地已取消企业银行账户许可而无法提供开户 许可证的，则需附上开户银行出具的“基本存款账户信息”或“人民银 行账户管理系统查询的基本账户信息截图”) ；</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（2）投标人的资质等级符合招标文件规定；</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（3）投标人的财务状况符合招标文件规定；</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投标人的类似项目业绩符合招标文件规定；</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）投标人的信誉符合招标文件规定；</w:t>
            </w:r>
          </w:p>
          <w:p>
            <w:pPr>
              <w:widowControl/>
              <w:spacing w:line="360" w:lineRule="auto"/>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）投标人的项目经理和项目总工资格 、在岗情况符合招标文件规定，并按规定在投标文件中签字确认</w:t>
            </w:r>
            <w:r>
              <w:rPr>
                <w:rFonts w:hint="eastAsia" w:ascii="宋体" w:hAnsi="宋体" w:eastAsia="宋体" w:cs="宋体"/>
                <w:color w:val="auto"/>
                <w:kern w:val="0"/>
                <w:sz w:val="21"/>
                <w:szCs w:val="21"/>
                <w:highlight w:val="none"/>
                <w:lang w:val="en-US" w:eastAsia="zh-CN"/>
              </w:rPr>
              <w:t>；</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）投标人不存在第二章“投标人须知”第1.4.3项或第1.4.4项规定的任何一种情形；</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10" w:type="dxa"/>
            <w:noWrap w:val="0"/>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2.2.1</w:t>
            </w:r>
          </w:p>
        </w:tc>
        <w:tc>
          <w:tcPr>
            <w:tcW w:w="1213" w:type="dxa"/>
            <w:noWrap w:val="0"/>
            <w:vAlign w:val="top"/>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第一个信封评分分值构成</w:t>
            </w:r>
          </w:p>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(总分100分）</w:t>
            </w:r>
          </w:p>
        </w:tc>
        <w:tc>
          <w:tcPr>
            <w:tcW w:w="7642" w:type="dxa"/>
            <w:noWrap w:val="0"/>
            <w:vAlign w:val="center"/>
          </w:tcPr>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施工组织设计（A）：</w:t>
            </w:r>
            <w:r>
              <w:rPr>
                <w:rFonts w:hint="eastAsia" w:ascii="宋体" w:hAnsi="宋体" w:eastAsia="宋体" w:cs="宋体"/>
                <w:color w:val="auto"/>
                <w:sz w:val="21"/>
                <w:szCs w:val="21"/>
                <w:highlight w:val="none"/>
                <w:u w:val="single"/>
                <w:lang w:val="en-US" w:eastAsia="zh-CN" w:bidi="ar"/>
              </w:rPr>
              <w:t>30</w:t>
            </w:r>
            <w:r>
              <w:rPr>
                <w:rFonts w:hint="eastAsia" w:ascii="宋体" w:hAnsi="宋体" w:eastAsia="宋体" w:cs="宋体"/>
                <w:color w:val="auto"/>
                <w:sz w:val="21"/>
                <w:szCs w:val="21"/>
                <w:highlight w:val="none"/>
                <w:lang w:bidi="ar"/>
              </w:rPr>
              <w:t>分</w:t>
            </w:r>
          </w:p>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主要人员（B）：</w:t>
            </w:r>
            <w:r>
              <w:rPr>
                <w:rFonts w:hint="eastAsia" w:ascii="宋体" w:hAnsi="宋体" w:eastAsia="宋体" w:cs="宋体"/>
                <w:color w:val="auto"/>
                <w:sz w:val="21"/>
                <w:szCs w:val="21"/>
                <w:highlight w:val="none"/>
                <w:u w:val="single"/>
                <w:lang w:val="en-US" w:eastAsia="zh-CN" w:bidi="ar"/>
              </w:rPr>
              <w:t>35</w:t>
            </w:r>
            <w:r>
              <w:rPr>
                <w:rFonts w:hint="eastAsia" w:ascii="宋体" w:hAnsi="宋体" w:eastAsia="宋体" w:cs="宋体"/>
                <w:color w:val="auto"/>
                <w:sz w:val="21"/>
                <w:szCs w:val="21"/>
                <w:highlight w:val="none"/>
                <w:lang w:bidi="ar"/>
              </w:rPr>
              <w:t>分</w:t>
            </w:r>
          </w:p>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其他因素（</w:t>
            </w:r>
            <w:r>
              <w:rPr>
                <w:rFonts w:hint="eastAsia" w:ascii="宋体" w:hAnsi="宋体" w:eastAsia="宋体" w:cs="宋体"/>
                <w:color w:val="auto"/>
                <w:sz w:val="21"/>
                <w:szCs w:val="21"/>
                <w:highlight w:val="none"/>
                <w:lang w:val="en-US" w:eastAsia="zh-CN" w:bidi="ar"/>
              </w:rPr>
              <w:t>C</w:t>
            </w:r>
            <w:r>
              <w:rPr>
                <w:rFonts w:hint="eastAsia" w:ascii="宋体" w:hAnsi="宋体" w:eastAsia="宋体" w:cs="宋体"/>
                <w:color w:val="auto"/>
                <w:sz w:val="21"/>
                <w:szCs w:val="21"/>
                <w:highlight w:val="none"/>
                <w:lang w:bidi="ar"/>
              </w:rPr>
              <w:t>）</w:t>
            </w:r>
          </w:p>
          <w:p>
            <w:pPr>
              <w:widowControl/>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技术能力：</w:t>
            </w:r>
            <w:r>
              <w:rPr>
                <w:rFonts w:hint="eastAsia" w:ascii="宋体" w:hAnsi="宋体" w:eastAsia="宋体" w:cs="宋体"/>
                <w:color w:val="auto"/>
                <w:sz w:val="21"/>
                <w:szCs w:val="21"/>
                <w:highlight w:val="none"/>
                <w:u w:val="single"/>
                <w:lang w:val="en-US" w:eastAsia="zh-CN" w:bidi="ar"/>
              </w:rPr>
              <w:t>10</w:t>
            </w:r>
            <w:r>
              <w:rPr>
                <w:rFonts w:hint="eastAsia" w:ascii="宋体" w:hAnsi="宋体" w:eastAsia="宋体" w:cs="宋体"/>
                <w:color w:val="auto"/>
                <w:sz w:val="21"/>
                <w:szCs w:val="21"/>
                <w:highlight w:val="none"/>
                <w:lang w:bidi="ar"/>
              </w:rPr>
              <w:t>分</w:t>
            </w:r>
          </w:p>
          <w:p>
            <w:pPr>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履约信誉：</w:t>
            </w:r>
            <w:r>
              <w:rPr>
                <w:rFonts w:hint="eastAsia" w:ascii="宋体" w:hAnsi="宋体" w:eastAsia="宋体" w:cs="宋体"/>
                <w:color w:val="auto"/>
                <w:sz w:val="21"/>
                <w:szCs w:val="21"/>
                <w:highlight w:val="none"/>
                <w:u w:val="single"/>
                <w:lang w:val="en-US" w:eastAsia="zh-CN" w:bidi="ar"/>
              </w:rPr>
              <w:t>25</w:t>
            </w:r>
            <w:r>
              <w:rPr>
                <w:rFonts w:hint="eastAsia" w:ascii="宋体" w:hAnsi="宋体"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810" w:type="dxa"/>
            <w:noWrap w:val="0"/>
            <w:vAlign w:val="center"/>
          </w:tcPr>
          <w:p>
            <w:pPr>
              <w:pStyle w:val="213"/>
              <w:shd w:val="clear" w:color="auto" w:fill="auto"/>
              <w:spacing w:before="0" w:line="360" w:lineRule="auto"/>
              <w:jc w:val="center"/>
              <w:rPr>
                <w:rStyle w:val="141"/>
                <w:rFonts w:hint="eastAsia" w:ascii="宋体" w:hAnsi="宋体" w:eastAsia="宋体"/>
                <w:color w:val="auto"/>
                <w:highlight w:val="none"/>
              </w:rPr>
            </w:pPr>
            <w:r>
              <w:rPr>
                <w:rStyle w:val="141"/>
                <w:rFonts w:ascii="宋体" w:hAnsi="宋体" w:eastAsia="宋体"/>
                <w:color w:val="auto"/>
                <w:highlight w:val="none"/>
              </w:rPr>
              <w:t>2.2.3</w:t>
            </w:r>
          </w:p>
        </w:tc>
        <w:tc>
          <w:tcPr>
            <w:tcW w:w="1213" w:type="dxa"/>
            <w:noWrap w:val="0"/>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第二个信封详细评审标准</w:t>
            </w:r>
          </w:p>
        </w:tc>
        <w:tc>
          <w:tcPr>
            <w:tcW w:w="7642" w:type="dxa"/>
            <w:noWrap w:val="0"/>
            <w:vAlign w:val="center"/>
          </w:tcPr>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评标价的评审：</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评标价计算公式：</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评标价=投标函文字报价一暂估价一暂列金额（不含计日工总额）</w:t>
            </w:r>
            <w:r>
              <w:rPr>
                <w:rStyle w:val="72"/>
                <w:rFonts w:hint="eastAsia" w:ascii="宋体" w:hAnsi="宋体" w:eastAsia="宋体" w:cs="宋体"/>
                <w:color w:val="auto"/>
                <w:kern w:val="0"/>
                <w:sz w:val="21"/>
                <w:szCs w:val="21"/>
                <w:highlight w:val="none"/>
              </w:rPr>
              <w:footnoteReference w:id="5"/>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若投标人的评标价小于最高投标限价 85％的，启动澄清程序，要求投 标人作出书面说明并提供相关证明材料。投标人不能合理说明或者不能提供 相关证明资料的，评标委员会认定该投标人以低于成本报价竞标，否决其投 标。当所有投标人的投标因此种情况被否决；或当因此种情况被否决部分投 标人后，有效投标人不足三家，评标委员会认为竞争不足的情况出现时，评 标委员会可以否决全部投标。未否决全部投标的，评标委员会应当在评标报 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0" w:type="dxa"/>
            <w:noWrap w:val="0"/>
            <w:vAlign w:val="center"/>
          </w:tcPr>
          <w:p>
            <w:pPr>
              <w:pStyle w:val="213"/>
              <w:shd w:val="clear" w:color="auto" w:fill="auto"/>
              <w:spacing w:before="0" w:line="360" w:lineRule="auto"/>
              <w:jc w:val="center"/>
              <w:rPr>
                <w:rStyle w:val="141"/>
                <w:rFonts w:hint="eastAsia" w:ascii="宋体" w:hAnsi="宋体" w:eastAsia="宋体"/>
                <w:color w:val="auto"/>
                <w:highlight w:val="none"/>
              </w:rPr>
            </w:pPr>
            <w:r>
              <w:rPr>
                <w:rStyle w:val="141"/>
                <w:rFonts w:ascii="宋体" w:hAnsi="宋体" w:eastAsia="宋体"/>
                <w:color w:val="auto"/>
                <w:highlight w:val="none"/>
              </w:rPr>
              <w:t>3.2.4</w:t>
            </w:r>
          </w:p>
        </w:tc>
        <w:tc>
          <w:tcPr>
            <w:tcW w:w="1213" w:type="dxa"/>
            <w:noWrap w:val="0"/>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通过第一个信封详细评审的投标人数量</w:t>
            </w:r>
          </w:p>
        </w:tc>
        <w:tc>
          <w:tcPr>
            <w:tcW w:w="7642" w:type="dxa"/>
            <w:noWrap w:val="0"/>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zh-CN"/>
              </w:rPr>
              <w:t>按照投标人的商务和技术得分由高到低排序，选择</w:t>
            </w:r>
            <w:r>
              <w:rPr>
                <w:rFonts w:hint="eastAsia" w:ascii="宋体" w:hAnsi="宋体" w:eastAsia="宋体" w:cs="宋体"/>
                <w:color w:val="auto"/>
                <w:kern w:val="0"/>
                <w:sz w:val="20"/>
                <w:szCs w:val="20"/>
                <w:highlight w:val="none"/>
                <w:lang w:val="en-US" w:eastAsia="zh-CN" w:bidi="ar"/>
              </w:rPr>
              <w:t>择前5名（不少于3名但不足</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0"/>
                <w:szCs w:val="20"/>
                <w:highlight w:val="none"/>
                <w:lang w:val="en-US" w:eastAsia="zh-CN" w:bidi="ar"/>
              </w:rPr>
              <w:t>5名时，按全部实际数量）</w:t>
            </w:r>
            <w:r>
              <w:rPr>
                <w:rFonts w:hint="eastAsia" w:ascii="宋体" w:hAnsi="宋体" w:eastAsia="宋体" w:cs="宋体"/>
                <w:color w:val="auto"/>
                <w:kern w:val="0"/>
                <w:sz w:val="21"/>
                <w:szCs w:val="21"/>
                <w:highlight w:val="none"/>
                <w:lang w:val="zh-CN"/>
              </w:rPr>
              <w:t>通过详细评审。</w:t>
            </w:r>
            <w:r>
              <w:rPr>
                <w:rStyle w:val="72"/>
                <w:rFonts w:hint="eastAsia" w:ascii="宋体" w:hAnsi="宋体" w:eastAsia="宋体" w:cs="宋体"/>
                <w:color w:val="auto"/>
                <w:kern w:val="0"/>
                <w:sz w:val="21"/>
                <w:szCs w:val="21"/>
                <w:highlight w:val="none"/>
                <w:lang w:val="zh-CN"/>
              </w:rPr>
              <w:footnoteReference w:id="6"/>
            </w:r>
          </w:p>
        </w:tc>
      </w:tr>
    </w:tbl>
    <w:p>
      <w:pPr>
        <w:rPr>
          <w:color w:val="auto"/>
          <w:highlight w:val="none"/>
        </w:rPr>
      </w:pPr>
    </w:p>
    <w:p>
      <w:pPr>
        <w:widowControl/>
        <w:spacing w:line="360" w:lineRule="auto"/>
        <w:jc w:val="left"/>
        <w:rPr>
          <w:b/>
          <w:bCs/>
          <w:color w:val="auto"/>
          <w:highlight w:val="none"/>
        </w:rPr>
      </w:pPr>
      <w:r>
        <w:rPr>
          <w:b/>
          <w:bCs/>
          <w:color w:val="auto"/>
          <w:highlight w:val="none"/>
        </w:rPr>
        <w:br w:type="page"/>
      </w:r>
    </w:p>
    <w:tbl>
      <w:tblPr>
        <w:tblStyle w:val="60"/>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8"/>
        <w:gridCol w:w="438"/>
        <w:gridCol w:w="950"/>
        <w:gridCol w:w="1130"/>
        <w:gridCol w:w="892"/>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7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评分因素与权重分值</w:t>
            </w:r>
          </w:p>
        </w:tc>
        <w:tc>
          <w:tcPr>
            <w:tcW w:w="4886" w:type="dxa"/>
            <w:vMerge w:val="restart"/>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条款号</w:t>
            </w:r>
          </w:p>
        </w:tc>
        <w:tc>
          <w:tcPr>
            <w:tcW w:w="85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评分因素</w:t>
            </w:r>
          </w:p>
        </w:tc>
        <w:tc>
          <w:tcPr>
            <w:tcW w:w="95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评分因素权重分值</w:t>
            </w:r>
          </w:p>
        </w:tc>
        <w:tc>
          <w:tcPr>
            <w:tcW w:w="113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各评分因素细分项</w:t>
            </w:r>
          </w:p>
        </w:tc>
        <w:tc>
          <w:tcPr>
            <w:tcW w:w="89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color w:val="auto"/>
                <w:sz w:val="21"/>
                <w:szCs w:val="21"/>
                <w:highlight w:val="none"/>
              </w:rPr>
            </w:pPr>
            <w:r>
              <w:rPr>
                <w:rFonts w:hint="eastAsia" w:ascii="宋体" w:hAnsi="宋体"/>
                <w:b/>
                <w:bCs/>
                <w:color w:val="auto"/>
                <w:sz w:val="21"/>
                <w:szCs w:val="21"/>
                <w:highlight w:val="none"/>
              </w:rPr>
              <w:t>分值</w:t>
            </w:r>
          </w:p>
        </w:tc>
        <w:tc>
          <w:tcPr>
            <w:tcW w:w="4886" w:type="dxa"/>
            <w:vMerge w:val="continue"/>
            <w:tcBorders>
              <w:top w:val="single" w:color="auto" w:sz="4" w:space="0"/>
              <w:left w:val="nil"/>
              <w:bottom w:val="single" w:color="auto" w:sz="4" w:space="0"/>
              <w:right w:val="single" w:color="auto" w:sz="4" w:space="0"/>
            </w:tcBorders>
            <w:noWrap w:val="0"/>
            <w:vAlign w:val="center"/>
          </w:tcPr>
          <w:p>
            <w:pPr>
              <w:widowControl/>
              <w:rPr>
                <w:rFonts w:ascii="宋体"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2.2.</w:t>
            </w:r>
            <w:r>
              <w:rPr>
                <w:rFonts w:hint="eastAsia" w:ascii="宋体" w:hAnsi="宋体" w:cs="宋体"/>
                <w:color w:val="auto"/>
                <w:sz w:val="21"/>
                <w:szCs w:val="21"/>
                <w:highlight w:val="none"/>
                <w:lang w:val="en-US" w:eastAsia="zh-CN"/>
              </w:rPr>
              <w:t>2</w:t>
            </w:r>
          </w:p>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p>
            <w:pPr>
              <w:jc w:val="center"/>
              <w:rPr>
                <w:rFonts w:hint="eastAsia" w:ascii="宋体" w:hAnsi="宋体" w:cs="宋体"/>
                <w:color w:val="auto"/>
                <w:sz w:val="21"/>
                <w:szCs w:val="21"/>
                <w:highlight w:val="none"/>
              </w:rPr>
            </w:pPr>
          </w:p>
        </w:tc>
        <w:tc>
          <w:tcPr>
            <w:tcW w:w="856" w:type="dxa"/>
            <w:gridSpan w:val="2"/>
            <w:vMerge w:val="restart"/>
            <w:tcBorders>
              <w:top w:val="nil"/>
              <w:left w:val="nil"/>
              <w:bottom w:val="single" w:color="auto" w:sz="4" w:space="0"/>
              <w:right w:val="single" w:color="auto" w:sz="4" w:space="0"/>
            </w:tcBorders>
            <w:noWrap w:val="0"/>
            <w:vAlign w:val="center"/>
          </w:tcPr>
          <w:p>
            <w:pPr>
              <w:pStyle w:val="200"/>
              <w:widowControl w:val="0"/>
              <w:rPr>
                <w:rFonts w:hint="eastAsia"/>
                <w:color w:val="auto"/>
                <w:sz w:val="21"/>
                <w:szCs w:val="21"/>
                <w:highlight w:val="none"/>
              </w:rPr>
            </w:pPr>
            <w:r>
              <w:rPr>
                <w:rFonts w:hint="eastAsia"/>
                <w:color w:val="auto"/>
                <w:sz w:val="21"/>
                <w:szCs w:val="21"/>
                <w:highlight w:val="none"/>
              </w:rPr>
              <w:t>施工组织设计</w:t>
            </w:r>
          </w:p>
          <w:p>
            <w:pPr>
              <w:jc w:val="center"/>
              <w:rPr>
                <w:rFonts w:hint="eastAsia" w:ascii="宋体" w:hAnsi="宋体" w:cs="宋体"/>
                <w:color w:val="auto"/>
                <w:sz w:val="21"/>
                <w:szCs w:val="21"/>
                <w:highlight w:val="none"/>
              </w:rPr>
            </w:pPr>
          </w:p>
        </w:tc>
        <w:tc>
          <w:tcPr>
            <w:tcW w:w="950"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rPr>
              <w:t>分</w:t>
            </w:r>
          </w:p>
        </w:tc>
        <w:tc>
          <w:tcPr>
            <w:tcW w:w="113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总体施工组织布置及规划</w:t>
            </w:r>
          </w:p>
        </w:tc>
        <w:tc>
          <w:tcPr>
            <w:tcW w:w="892" w:type="dxa"/>
            <w:tcBorders>
              <w:top w:val="nil"/>
              <w:left w:val="nil"/>
              <w:bottom w:val="single" w:color="auto" w:sz="4" w:space="0"/>
              <w:right w:val="single" w:color="auto" w:sz="4" w:space="0"/>
            </w:tcBorders>
            <w:noWrap w:val="0"/>
            <w:vAlign w:val="center"/>
          </w:tcPr>
          <w:p>
            <w:pPr>
              <w:jc w:val="center"/>
              <w:rPr>
                <w:rFonts w:hint="eastAsia"/>
                <w:color w:val="auto"/>
                <w:sz w:val="21"/>
                <w:szCs w:val="21"/>
                <w:highlight w:val="none"/>
                <w:lang w:val="en-US"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86"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eastAsia="宋体" w:cs="宋体"/>
                <w:color w:val="auto"/>
                <w:szCs w:val="21"/>
                <w:highlight w:val="none"/>
                <w:lang w:val="en-US" w:eastAsia="zh-CN"/>
              </w:rPr>
              <w:t>8-10</w:t>
            </w:r>
            <w:r>
              <w:rPr>
                <w:rFonts w:hint="eastAsia" w:ascii="宋体" w:hAnsi="宋体" w:eastAsia="宋体" w:cs="宋体"/>
                <w:color w:val="auto"/>
                <w:szCs w:val="21"/>
                <w:highlight w:val="none"/>
              </w:rPr>
              <w:t>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(2)满足工程建设需要，施工总体布置规划、施工进度计划基本可行，得</w:t>
            </w:r>
            <w:r>
              <w:rPr>
                <w:rFonts w:hint="eastAsia" w:ascii="宋体" w:hAnsi="宋体" w:eastAsia="宋体" w:cs="宋体"/>
                <w:color w:val="auto"/>
                <w:szCs w:val="21"/>
                <w:highlight w:val="none"/>
                <w:lang w:val="en-US" w:eastAsia="zh-CN"/>
              </w:rPr>
              <w:t>6-8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rPr>
              <w:tab/>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(3)一般但不被评定为不响应的,得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1"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856" w:type="dxa"/>
            <w:gridSpan w:val="2"/>
            <w:vMerge w:val="continue"/>
            <w:tcBorders>
              <w:left w:val="nil"/>
              <w:right w:val="single" w:color="auto" w:sz="4" w:space="0"/>
            </w:tcBorders>
            <w:noWrap w:val="0"/>
            <w:vAlign w:val="center"/>
          </w:tcPr>
          <w:p>
            <w:pPr>
              <w:jc w:val="center"/>
              <w:rPr>
                <w:rFonts w:hint="eastAsia" w:ascii="宋体" w:hAnsi="宋体" w:cs="宋体"/>
                <w:color w:val="auto"/>
                <w:sz w:val="21"/>
                <w:szCs w:val="21"/>
                <w:highlight w:val="none"/>
              </w:rPr>
            </w:pPr>
          </w:p>
        </w:tc>
        <w:tc>
          <w:tcPr>
            <w:tcW w:w="9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rPr>
              <w:t>分</w:t>
            </w:r>
          </w:p>
        </w:tc>
        <w:tc>
          <w:tcPr>
            <w:tcW w:w="11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重点、难点和关键工程的施工方案与技术措施</w:t>
            </w:r>
          </w:p>
        </w:tc>
        <w:tc>
          <w:tcPr>
            <w:tcW w:w="892" w:type="dxa"/>
            <w:tcBorders>
              <w:top w:val="nil"/>
              <w:left w:val="nil"/>
              <w:bottom w:val="single" w:color="auto" w:sz="4" w:space="0"/>
              <w:right w:val="single" w:color="auto" w:sz="4" w:space="0"/>
            </w:tcBorders>
            <w:noWrap w:val="0"/>
            <w:vAlign w:val="center"/>
          </w:tcPr>
          <w:p>
            <w:pPr>
              <w:jc w:val="center"/>
              <w:rPr>
                <w:rFonts w:hint="default"/>
                <w:color w:val="auto"/>
                <w:sz w:val="21"/>
                <w:szCs w:val="21"/>
                <w:highlight w:val="none"/>
                <w:lang w:val="en-US"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86"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eastAsia="宋体" w:cs="宋体"/>
                <w:color w:val="auto"/>
                <w:szCs w:val="21"/>
                <w:highlight w:val="none"/>
                <w:lang w:val="en-US" w:eastAsia="zh-CN"/>
              </w:rPr>
              <w:t>8-10</w:t>
            </w:r>
            <w:r>
              <w:rPr>
                <w:rFonts w:hint="eastAsia" w:ascii="宋体" w:hAnsi="宋体" w:eastAsia="宋体" w:cs="宋体"/>
                <w:color w:val="auto"/>
                <w:szCs w:val="21"/>
                <w:highlight w:val="none"/>
              </w:rPr>
              <w:t>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(2)对项目重点、难点和关键工程认识基本到位，施工方案与技术措施基本可行，重点较为突出的，得</w:t>
            </w:r>
            <w:r>
              <w:rPr>
                <w:rFonts w:hint="eastAsia" w:ascii="宋体" w:hAnsi="宋体" w:eastAsia="宋体" w:cs="宋体"/>
                <w:color w:val="auto"/>
                <w:szCs w:val="21"/>
                <w:highlight w:val="none"/>
                <w:lang w:val="en-US" w:eastAsia="zh-CN"/>
              </w:rPr>
              <w:t>6-8</w:t>
            </w:r>
            <w:r>
              <w:rPr>
                <w:rFonts w:hint="eastAsia" w:ascii="宋体" w:hAnsi="宋体" w:eastAsia="宋体" w:cs="宋体"/>
                <w:color w:val="auto"/>
                <w:szCs w:val="21"/>
                <w:highlight w:val="none"/>
              </w:rPr>
              <w:t>分；</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(3)一般但不被评定为不响应的,得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1" w:type="dxa"/>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856" w:type="dxa"/>
            <w:gridSpan w:val="2"/>
            <w:vMerge w:val="continue"/>
            <w:tcBorders>
              <w:left w:val="nil"/>
              <w:right w:val="single" w:color="auto" w:sz="4" w:space="0"/>
            </w:tcBorders>
            <w:noWrap w:val="0"/>
            <w:vAlign w:val="center"/>
          </w:tcPr>
          <w:p>
            <w:pPr>
              <w:jc w:val="center"/>
              <w:rPr>
                <w:rFonts w:hint="eastAsia" w:ascii="宋体" w:hAnsi="宋体" w:cs="宋体"/>
                <w:color w:val="auto"/>
                <w:sz w:val="21"/>
                <w:szCs w:val="21"/>
                <w:highlight w:val="none"/>
              </w:rPr>
            </w:pPr>
          </w:p>
        </w:tc>
        <w:tc>
          <w:tcPr>
            <w:tcW w:w="950" w:type="dxa"/>
            <w:tcBorders>
              <w:top w:val="single" w:color="auto" w:sz="4" w:space="0"/>
              <w:left w:val="nil"/>
              <w:right w:val="single" w:color="auto" w:sz="4" w:space="0"/>
            </w:tcBorders>
            <w:noWrap w:val="0"/>
            <w:vAlign w:val="center"/>
          </w:tcPr>
          <w:p>
            <w:pPr>
              <w:jc w:val="center"/>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rPr>
              <w:t>分</w:t>
            </w:r>
          </w:p>
        </w:tc>
        <w:tc>
          <w:tcPr>
            <w:tcW w:w="11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工期、质量、安全、环保水保、文明施工保证措施</w:t>
            </w:r>
          </w:p>
        </w:tc>
        <w:tc>
          <w:tcPr>
            <w:tcW w:w="89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4886"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auto"/>
                <w:szCs w:val="21"/>
                <w:highlight w:val="none"/>
                <w:lang w:val="en-US" w:eastAsia="zh-CN"/>
              </w:rPr>
              <w:t>8-10</w:t>
            </w:r>
            <w:r>
              <w:rPr>
                <w:rFonts w:hint="eastAsia" w:ascii="宋体" w:hAnsi="宋体" w:eastAsia="宋体" w:cs="宋体"/>
                <w:color w:val="auto"/>
                <w:szCs w:val="21"/>
                <w:highlight w:val="none"/>
              </w:rPr>
              <w:t>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(2)对工期、质量、安全、环保、水保等风险有一定认识，预防保证措施基本可行，重点较为突出的，得</w:t>
            </w:r>
            <w:r>
              <w:rPr>
                <w:rFonts w:hint="eastAsia" w:ascii="宋体" w:hAnsi="宋体" w:eastAsia="宋体" w:cs="宋体"/>
                <w:color w:val="auto"/>
                <w:szCs w:val="21"/>
                <w:highlight w:val="none"/>
                <w:lang w:val="en-US" w:eastAsia="zh-CN"/>
              </w:rPr>
              <w:t>6-8</w:t>
            </w:r>
            <w:r>
              <w:rPr>
                <w:rFonts w:hint="eastAsia" w:ascii="宋体" w:hAnsi="宋体" w:eastAsia="宋体" w:cs="宋体"/>
                <w:color w:val="auto"/>
                <w:szCs w:val="21"/>
                <w:highlight w:val="none"/>
              </w:rPr>
              <w:t>分；</w:t>
            </w:r>
          </w:p>
          <w:p>
            <w:pP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(3)一般但不被评定为不响应的,得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5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856" w:type="dxa"/>
            <w:gridSpan w:val="2"/>
            <w:vMerge w:val="restart"/>
            <w:tcBorders>
              <w:top w:val="single" w:color="auto" w:sz="4" w:space="0"/>
              <w:left w:val="nil"/>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主要人员</w:t>
            </w:r>
          </w:p>
        </w:tc>
        <w:tc>
          <w:tcPr>
            <w:tcW w:w="950" w:type="dxa"/>
            <w:vMerge w:val="restart"/>
            <w:tcBorders>
              <w:top w:val="single" w:color="auto" w:sz="4" w:space="0"/>
              <w:left w:val="nil"/>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val="en-US" w:eastAsia="zh-CN"/>
              </w:rPr>
              <w:t>35</w:t>
            </w:r>
            <w:r>
              <w:rPr>
                <w:rFonts w:hint="eastAsia" w:ascii="宋体" w:hAnsi="宋体" w:cs="宋体"/>
                <w:color w:val="auto"/>
                <w:sz w:val="21"/>
                <w:szCs w:val="21"/>
                <w:highlight w:val="none"/>
              </w:rPr>
              <w:t>分</w:t>
            </w:r>
          </w:p>
        </w:tc>
        <w:tc>
          <w:tcPr>
            <w:tcW w:w="11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olor w:val="auto"/>
                <w:sz w:val="21"/>
                <w:szCs w:val="21"/>
                <w:highlight w:val="none"/>
              </w:rPr>
            </w:pPr>
            <w:r>
              <w:rPr>
                <w:rFonts w:hAnsi="宋体"/>
                <w:color w:val="auto"/>
                <w:highlight w:val="none"/>
              </w:rPr>
              <w:t>项目经理任职资格</w:t>
            </w:r>
            <w:r>
              <w:rPr>
                <w:rFonts w:hint="eastAsia" w:hAnsi="宋体"/>
                <w:color w:val="auto"/>
                <w:highlight w:val="none"/>
                <w:lang w:val="en-US" w:eastAsia="zh-CN"/>
              </w:rPr>
              <w:t>与业绩</w:t>
            </w:r>
          </w:p>
        </w:tc>
        <w:tc>
          <w:tcPr>
            <w:tcW w:w="892" w:type="dxa"/>
            <w:tcBorders>
              <w:top w:val="single" w:color="auto" w:sz="4" w:space="0"/>
              <w:left w:val="nil"/>
              <w:bottom w:val="single" w:color="auto" w:sz="4" w:space="0"/>
              <w:right w:val="single" w:color="auto" w:sz="4" w:space="0"/>
            </w:tcBorders>
            <w:noWrap w:val="0"/>
            <w:vAlign w:val="center"/>
          </w:tcPr>
          <w:p>
            <w:pPr>
              <w:jc w:val="left"/>
              <w:rPr>
                <w:rFonts w:hint="eastAsia"/>
                <w:color w:val="auto"/>
                <w:sz w:val="21"/>
                <w:szCs w:val="21"/>
                <w:highlight w:val="none"/>
                <w:lang w:val="en-US" w:eastAsia="zh-CN"/>
              </w:rPr>
            </w:pPr>
            <w:r>
              <w:rPr>
                <w:rFonts w:hint="eastAsia" w:ascii="宋体" w:hAnsi="宋体" w:eastAsia="宋体" w:cs="宋体"/>
                <w:color w:val="auto"/>
                <w:szCs w:val="21"/>
                <w:highlight w:val="none"/>
                <w:lang w:val="en-US" w:eastAsia="zh-CN"/>
              </w:rPr>
              <w:t>20分</w:t>
            </w:r>
          </w:p>
        </w:tc>
        <w:tc>
          <w:tcPr>
            <w:tcW w:w="4886" w:type="dxa"/>
            <w:tcBorders>
              <w:top w:val="single" w:color="auto" w:sz="4" w:space="0"/>
              <w:left w:val="nil"/>
              <w:bottom w:val="single" w:color="auto" w:sz="4" w:space="0"/>
              <w:right w:val="single" w:color="auto" w:sz="4" w:space="0"/>
            </w:tcBorders>
            <w:noWrap w:val="0"/>
            <w:vAlign w:val="center"/>
          </w:tcPr>
          <w:p>
            <w:pPr>
              <w:jc w:val="left"/>
              <w:rPr>
                <w:rFonts w:hint="eastAsia"/>
                <w:color w:val="auto"/>
                <w:highlight w:val="none"/>
              </w:rPr>
            </w:pPr>
            <w:r>
              <w:rPr>
                <w:rFonts w:hint="eastAsia" w:eastAsia="宋体"/>
                <w:color w:val="auto"/>
                <w:highlight w:val="none"/>
                <w:lang w:eastAsia="zh-CN"/>
              </w:rPr>
              <w:t>（</w:t>
            </w:r>
            <w:r>
              <w:rPr>
                <w:rFonts w:hint="eastAsia" w:eastAsia="宋体"/>
                <w:color w:val="auto"/>
                <w:highlight w:val="none"/>
                <w:lang w:val="en-US" w:eastAsia="zh-CN"/>
              </w:rPr>
              <w:t>1</w:t>
            </w:r>
            <w:r>
              <w:rPr>
                <w:rFonts w:hint="eastAsia" w:eastAsia="宋体"/>
                <w:color w:val="auto"/>
                <w:highlight w:val="none"/>
                <w:lang w:eastAsia="zh-CN"/>
              </w:rPr>
              <w:t>）</w:t>
            </w:r>
            <w:r>
              <w:rPr>
                <w:rFonts w:hint="eastAsia"/>
                <w:color w:val="auto"/>
                <w:highlight w:val="none"/>
              </w:rPr>
              <w:t xml:space="preserve">满足资格审查条件 </w:t>
            </w:r>
            <w:r>
              <w:rPr>
                <w:rFonts w:hint="eastAsia" w:eastAsia="宋体"/>
                <w:color w:val="auto"/>
                <w:highlight w:val="none"/>
                <w:lang w:eastAsia="zh-CN"/>
              </w:rPr>
              <w:t>（</w:t>
            </w:r>
            <w:r>
              <w:rPr>
                <w:rFonts w:hint="eastAsia"/>
                <w:color w:val="auto"/>
                <w:highlight w:val="none"/>
              </w:rPr>
              <w:t>项目经理和项目总工最低要求</w:t>
            </w:r>
            <w:r>
              <w:rPr>
                <w:rFonts w:hint="eastAsia" w:eastAsia="宋体"/>
                <w:color w:val="auto"/>
                <w:highlight w:val="none"/>
                <w:lang w:eastAsia="zh-CN"/>
              </w:rPr>
              <w:t>）</w:t>
            </w:r>
            <w:r>
              <w:rPr>
                <w:rFonts w:hint="eastAsia"/>
                <w:color w:val="auto"/>
                <w:highlight w:val="none"/>
              </w:rPr>
              <w:t>时，得</w:t>
            </w:r>
            <w:r>
              <w:rPr>
                <w:rFonts w:hint="eastAsia" w:eastAsia="宋体"/>
                <w:color w:val="auto"/>
                <w:highlight w:val="none"/>
                <w:lang w:val="en-US" w:eastAsia="zh-CN"/>
              </w:rPr>
              <w:t>12</w:t>
            </w:r>
            <w:r>
              <w:rPr>
                <w:rFonts w:hint="eastAsia"/>
                <w:color w:val="auto"/>
                <w:highlight w:val="none"/>
              </w:rPr>
              <w:t>分；</w:t>
            </w:r>
          </w:p>
          <w:p>
            <w:pPr>
              <w:jc w:val="left"/>
              <w:rPr>
                <w:rFonts w:hint="eastAsia"/>
                <w:color w:val="auto"/>
                <w:highlight w:val="none"/>
              </w:rPr>
            </w:pPr>
            <w:r>
              <w:rPr>
                <w:rFonts w:hint="eastAsia"/>
                <w:color w:val="auto"/>
                <w:highlight w:val="none"/>
              </w:rPr>
              <w:t>（2）项目经理具有高级工程师或以上资格的，加2分。</w:t>
            </w:r>
          </w:p>
          <w:p>
            <w:pPr>
              <w:jc w:val="left"/>
              <w:rPr>
                <w:rFonts w:hint="eastAsia"/>
                <w:color w:val="auto"/>
                <w:highlight w:val="none"/>
                <w:lang w:eastAsia="zh-CN"/>
              </w:rPr>
            </w:pPr>
            <w:r>
              <w:rPr>
                <w:rFonts w:hint="eastAsia"/>
                <w:color w:val="auto"/>
                <w:highlight w:val="none"/>
                <w:lang w:eastAsia="zh-CN"/>
              </w:rPr>
              <w:t>（3）项目经理在满足资格审查条件 （项目经理和项目总工最低要求）基础上，每增加担任 1 个类似工程项目经理岗位工作经验的，加2分，最多加6分。</w:t>
            </w:r>
          </w:p>
          <w:p>
            <w:pPr>
              <w:pStyle w:val="2"/>
              <w:jc w:val="both"/>
              <w:rPr>
                <w:rFonts w:hint="default" w:ascii="宋体" w:hAnsi="宋体" w:eastAsia="宋体" w:cs="Times New Roman"/>
                <w:color w:val="auto"/>
                <w:szCs w:val="21"/>
                <w:highlight w:val="none"/>
                <w:lang w:val="en-US" w:eastAsia="zh-CN"/>
              </w:rPr>
            </w:pPr>
            <w:r>
              <w:rPr>
                <w:rFonts w:hint="eastAsia" w:ascii="Times New Roman" w:hAnsi="Times New Roman" w:eastAsia="宋体" w:cs="Times New Roman"/>
                <w:b w:val="0"/>
                <w:color w:val="auto"/>
                <w:kern w:val="2"/>
                <w:sz w:val="21"/>
                <w:szCs w:val="20"/>
                <w:highlight w:val="none"/>
                <w:lang w:val="en-US" w:eastAsia="zh-CN" w:bidi="ar-SA"/>
              </w:rPr>
              <w:t>注：类似</w:t>
            </w:r>
            <w:r>
              <w:rPr>
                <w:rFonts w:hint="eastAsia" w:cs="Times New Roman"/>
                <w:b w:val="0"/>
                <w:color w:val="auto"/>
                <w:kern w:val="2"/>
                <w:sz w:val="21"/>
                <w:szCs w:val="20"/>
                <w:highlight w:val="none"/>
                <w:lang w:val="en-US" w:eastAsia="zh-CN" w:bidi="ar-SA"/>
              </w:rPr>
              <w:t>工程</w:t>
            </w:r>
            <w:r>
              <w:rPr>
                <w:rFonts w:hint="eastAsia" w:ascii="Times New Roman" w:hAnsi="Times New Roman" w:eastAsia="宋体" w:cs="Times New Roman"/>
                <w:b w:val="0"/>
                <w:color w:val="auto"/>
                <w:kern w:val="2"/>
                <w:sz w:val="21"/>
                <w:szCs w:val="20"/>
                <w:highlight w:val="none"/>
                <w:lang w:val="en-US" w:eastAsia="zh-CN" w:bidi="ar-SA"/>
              </w:rPr>
              <w:t>指单项合同金额不低于2000万元的一级或以上</w:t>
            </w:r>
            <w:r>
              <w:rPr>
                <w:rFonts w:hint="eastAsia" w:cs="Times New Roman"/>
                <w:b w:val="0"/>
                <w:color w:val="auto"/>
                <w:kern w:val="2"/>
                <w:sz w:val="21"/>
                <w:szCs w:val="20"/>
                <w:highlight w:val="none"/>
                <w:lang w:val="en-US" w:eastAsia="zh-CN" w:bidi="ar-SA"/>
              </w:rPr>
              <w:t>等级</w:t>
            </w:r>
            <w:r>
              <w:rPr>
                <w:rFonts w:hint="eastAsia" w:ascii="Times New Roman" w:hAnsi="Times New Roman" w:eastAsia="宋体" w:cs="Times New Roman"/>
                <w:b w:val="0"/>
                <w:color w:val="auto"/>
                <w:kern w:val="2"/>
                <w:sz w:val="21"/>
                <w:szCs w:val="20"/>
                <w:highlight w:val="none"/>
                <w:lang w:val="en-US" w:eastAsia="zh-CN" w:bidi="ar-SA"/>
              </w:rPr>
              <w:t>公路的新建机电工程项目（或机电专项施工工程项目）</w:t>
            </w:r>
            <w:r>
              <w:rPr>
                <w:rFonts w:hint="eastAsia" w:cs="Times New Roman"/>
                <w:b w:val="0"/>
                <w:color w:val="auto"/>
                <w:kern w:val="2"/>
                <w:sz w:val="21"/>
                <w:szCs w:val="20"/>
                <w:highlight w:val="none"/>
                <w:lang w:val="en-US" w:eastAsia="zh-CN" w:bidi="ar-SA"/>
              </w:rPr>
              <w:t>，</w:t>
            </w:r>
            <w:r>
              <w:rPr>
                <w:rFonts w:hint="eastAsia" w:ascii="Times New Roman" w:hAnsi="Times New Roman" w:eastAsia="宋体" w:cs="Times New Roman"/>
                <w:b w:val="0"/>
                <w:color w:val="auto"/>
                <w:kern w:val="2"/>
                <w:sz w:val="21"/>
                <w:szCs w:val="20"/>
                <w:highlight w:val="none"/>
                <w:lang w:val="en-US" w:eastAsia="zh-CN" w:bidi="ar-SA"/>
              </w:rPr>
              <w:t>或单项里程不少于25km的一级或以上</w:t>
            </w:r>
            <w:r>
              <w:rPr>
                <w:rFonts w:hint="eastAsia" w:cs="Times New Roman"/>
                <w:b w:val="0"/>
                <w:color w:val="auto"/>
                <w:kern w:val="2"/>
                <w:sz w:val="21"/>
                <w:szCs w:val="20"/>
                <w:highlight w:val="none"/>
                <w:lang w:val="en-US" w:eastAsia="zh-CN" w:bidi="ar-SA"/>
              </w:rPr>
              <w:t>等级</w:t>
            </w:r>
            <w:r>
              <w:rPr>
                <w:rFonts w:hint="eastAsia" w:ascii="Times New Roman" w:hAnsi="Times New Roman" w:eastAsia="宋体" w:cs="Times New Roman"/>
                <w:b w:val="0"/>
                <w:color w:val="auto"/>
                <w:kern w:val="2"/>
                <w:sz w:val="21"/>
                <w:szCs w:val="20"/>
                <w:highlight w:val="none"/>
                <w:lang w:val="en-US" w:eastAsia="zh-CN" w:bidi="ar-SA"/>
              </w:rPr>
              <w:t>公路的新建交通安全设施工程项目（或</w:t>
            </w:r>
            <w:r>
              <w:rPr>
                <w:rFonts w:hint="eastAsia" w:cs="Times New Roman"/>
                <w:b w:val="0"/>
                <w:color w:val="auto"/>
                <w:kern w:val="2"/>
                <w:sz w:val="21"/>
                <w:szCs w:val="20"/>
                <w:highlight w:val="none"/>
                <w:lang w:val="en-US" w:eastAsia="zh-CN" w:bidi="ar-SA"/>
              </w:rPr>
              <w:t>交通安全设</w:t>
            </w:r>
            <w:r>
              <w:rPr>
                <w:rFonts w:hint="eastAsia" w:ascii="Times New Roman" w:hAnsi="Times New Roman" w:eastAsia="宋体" w:cs="Times New Roman"/>
                <w:b w:val="0"/>
                <w:color w:val="auto"/>
                <w:kern w:val="2"/>
                <w:sz w:val="21"/>
                <w:szCs w:val="20"/>
                <w:highlight w:val="none"/>
                <w:lang w:val="en-US" w:eastAsia="zh-CN" w:bidi="ar-SA"/>
              </w:rPr>
              <w:t>施专项施工工程项目）。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856" w:type="dxa"/>
            <w:gridSpan w:val="2"/>
            <w:vMerge w:val="continue"/>
            <w:tcBorders>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950" w:type="dxa"/>
            <w:vMerge w:val="continue"/>
            <w:tcBorders>
              <w:left w:val="nil"/>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113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olor w:val="auto"/>
                <w:sz w:val="21"/>
                <w:szCs w:val="21"/>
                <w:highlight w:val="none"/>
              </w:rPr>
            </w:pPr>
            <w:r>
              <w:rPr>
                <w:rFonts w:hAnsi="宋体"/>
                <w:color w:val="auto"/>
                <w:highlight w:val="none"/>
              </w:rPr>
              <w:t>项目总工任职资格</w:t>
            </w:r>
            <w:r>
              <w:rPr>
                <w:rFonts w:hint="eastAsia" w:hAnsi="宋体"/>
                <w:color w:val="auto"/>
                <w:highlight w:val="none"/>
                <w:lang w:val="en-US" w:eastAsia="zh-CN"/>
              </w:rPr>
              <w:t>与业绩</w:t>
            </w:r>
          </w:p>
        </w:tc>
        <w:tc>
          <w:tcPr>
            <w:tcW w:w="892" w:type="dxa"/>
            <w:tcBorders>
              <w:top w:val="single" w:color="auto" w:sz="4" w:space="0"/>
              <w:left w:val="nil"/>
              <w:bottom w:val="single" w:color="auto" w:sz="4" w:space="0"/>
              <w:right w:val="single" w:color="auto" w:sz="4" w:space="0"/>
            </w:tcBorders>
            <w:noWrap w:val="0"/>
            <w:vAlign w:val="center"/>
          </w:tcPr>
          <w:p>
            <w:pPr>
              <w:jc w:val="left"/>
              <w:rPr>
                <w:rFonts w:hint="eastAsia"/>
                <w:color w:val="auto"/>
                <w:sz w:val="21"/>
                <w:szCs w:val="21"/>
                <w:highlight w:val="none"/>
                <w:lang w:val="en-US" w:eastAsia="zh-CN"/>
              </w:rPr>
            </w:pPr>
            <w:r>
              <w:rPr>
                <w:rFonts w:hint="eastAsia" w:ascii="宋体" w:hAnsi="宋体" w:eastAsia="宋体" w:cs="宋体"/>
                <w:color w:val="auto"/>
                <w:szCs w:val="21"/>
                <w:highlight w:val="none"/>
                <w:lang w:val="en-US" w:eastAsia="zh-CN"/>
              </w:rPr>
              <w:t>15分</w:t>
            </w:r>
          </w:p>
        </w:tc>
        <w:tc>
          <w:tcPr>
            <w:tcW w:w="4886" w:type="dxa"/>
            <w:tcBorders>
              <w:top w:val="single" w:color="auto" w:sz="4" w:space="0"/>
              <w:left w:val="nil"/>
              <w:bottom w:val="single" w:color="auto" w:sz="4" w:space="0"/>
              <w:right w:val="single" w:color="auto" w:sz="4" w:space="0"/>
            </w:tcBorders>
            <w:noWrap w:val="0"/>
            <w:vAlign w:val="center"/>
          </w:tcPr>
          <w:p>
            <w:pPr>
              <w:jc w:val="left"/>
              <w:rPr>
                <w:rFonts w:hint="eastAsia"/>
                <w:color w:val="auto"/>
                <w:highlight w:val="none"/>
              </w:rPr>
            </w:pPr>
            <w:r>
              <w:rPr>
                <w:color w:val="auto"/>
                <w:highlight w:val="none"/>
              </w:rPr>
              <w:t>（1）</w:t>
            </w:r>
            <w:r>
              <w:rPr>
                <w:rFonts w:hint="eastAsia"/>
                <w:color w:val="auto"/>
                <w:highlight w:val="none"/>
              </w:rPr>
              <w:t xml:space="preserve">满足资格审查条件 </w:t>
            </w:r>
            <w:r>
              <w:rPr>
                <w:rFonts w:hint="eastAsia" w:eastAsia="宋体"/>
                <w:color w:val="auto"/>
                <w:highlight w:val="none"/>
                <w:lang w:eastAsia="zh-CN"/>
              </w:rPr>
              <w:t>（</w:t>
            </w:r>
            <w:r>
              <w:rPr>
                <w:rFonts w:hint="eastAsia"/>
                <w:color w:val="auto"/>
                <w:highlight w:val="none"/>
              </w:rPr>
              <w:t>项目经理和项目总工最低要求</w:t>
            </w:r>
            <w:r>
              <w:rPr>
                <w:rFonts w:hint="eastAsia" w:eastAsia="宋体"/>
                <w:color w:val="auto"/>
                <w:highlight w:val="none"/>
                <w:lang w:eastAsia="zh-CN"/>
              </w:rPr>
              <w:t>）</w:t>
            </w:r>
            <w:r>
              <w:rPr>
                <w:rFonts w:hint="eastAsia"/>
                <w:color w:val="auto"/>
                <w:highlight w:val="none"/>
              </w:rPr>
              <w:t>时，得</w:t>
            </w:r>
            <w:r>
              <w:rPr>
                <w:rFonts w:hint="eastAsia"/>
                <w:color w:val="auto"/>
                <w:highlight w:val="none"/>
                <w:lang w:val="en-US" w:eastAsia="zh-CN"/>
              </w:rPr>
              <w:t>9</w:t>
            </w:r>
            <w:r>
              <w:rPr>
                <w:rFonts w:hint="eastAsia"/>
                <w:color w:val="auto"/>
                <w:highlight w:val="none"/>
              </w:rPr>
              <w:t>分；</w:t>
            </w:r>
          </w:p>
          <w:p>
            <w:pPr>
              <w:jc w:val="left"/>
              <w:rPr>
                <w:rFonts w:hint="eastAsia"/>
                <w:color w:val="auto"/>
                <w:highlight w:val="none"/>
              </w:rPr>
            </w:pPr>
            <w:r>
              <w:rPr>
                <w:rFonts w:hint="eastAsia"/>
                <w:color w:val="auto"/>
                <w:highlight w:val="none"/>
              </w:rPr>
              <w:t>（2）</w:t>
            </w:r>
            <w:r>
              <w:rPr>
                <w:rFonts w:hint="eastAsia"/>
                <w:color w:val="auto"/>
                <w:highlight w:val="none"/>
                <w:lang w:eastAsia="zh-CN"/>
              </w:rPr>
              <w:t>项目</w:t>
            </w:r>
            <w:r>
              <w:rPr>
                <w:rFonts w:hint="eastAsia"/>
                <w:color w:val="auto"/>
                <w:highlight w:val="none"/>
                <w:lang w:val="en-US" w:eastAsia="zh-CN"/>
              </w:rPr>
              <w:t>总工</w:t>
            </w:r>
            <w:r>
              <w:rPr>
                <w:rFonts w:hint="eastAsia"/>
                <w:color w:val="auto"/>
                <w:highlight w:val="none"/>
                <w:lang w:eastAsia="zh-CN"/>
              </w:rPr>
              <w:t>在满足资格审查条件 （项目经理和项目总工最低要求）基础上，每增加担任</w:t>
            </w:r>
            <w:r>
              <w:rPr>
                <w:rFonts w:hint="eastAsia"/>
                <w:color w:val="auto"/>
                <w:highlight w:val="none"/>
              </w:rPr>
              <w:t>1个类似工程项目总工岗位工作经验的，加2分，最多加6分。</w:t>
            </w:r>
          </w:p>
          <w:p>
            <w:pPr>
              <w:pStyle w:val="2"/>
              <w:jc w:val="left"/>
              <w:rPr>
                <w:rFonts w:hint="eastAsia" w:ascii="宋体" w:hAnsi="宋体" w:eastAsia="宋体" w:cs="宋体"/>
                <w:color w:val="auto"/>
                <w:highlight w:val="none"/>
                <w:vertAlign w:val="baseline"/>
                <w:lang w:val="zh-CN" w:eastAsia="zh-CN"/>
              </w:rPr>
            </w:pPr>
            <w:r>
              <w:rPr>
                <w:rFonts w:hint="eastAsia" w:ascii="Times New Roman" w:hAnsi="Times New Roman" w:eastAsia="宋体" w:cs="Times New Roman"/>
                <w:b w:val="0"/>
                <w:color w:val="auto"/>
                <w:kern w:val="2"/>
                <w:sz w:val="21"/>
                <w:szCs w:val="20"/>
                <w:highlight w:val="none"/>
                <w:lang w:val="en-US" w:eastAsia="zh-CN" w:bidi="ar-SA"/>
              </w:rPr>
              <w:t>注：类似</w:t>
            </w:r>
            <w:r>
              <w:rPr>
                <w:rFonts w:hint="eastAsia" w:cs="Times New Roman"/>
                <w:b w:val="0"/>
                <w:color w:val="auto"/>
                <w:kern w:val="2"/>
                <w:sz w:val="21"/>
                <w:szCs w:val="20"/>
                <w:highlight w:val="none"/>
                <w:lang w:val="en-US" w:eastAsia="zh-CN" w:bidi="ar-SA"/>
              </w:rPr>
              <w:t>工程</w:t>
            </w:r>
            <w:r>
              <w:rPr>
                <w:rFonts w:hint="eastAsia" w:ascii="Times New Roman" w:hAnsi="Times New Roman" w:eastAsia="宋体" w:cs="Times New Roman"/>
                <w:b w:val="0"/>
                <w:color w:val="auto"/>
                <w:kern w:val="2"/>
                <w:sz w:val="21"/>
                <w:szCs w:val="20"/>
                <w:highlight w:val="none"/>
                <w:lang w:val="en-US" w:eastAsia="zh-CN" w:bidi="ar-SA"/>
              </w:rPr>
              <w:t>指单项合同金额不低于2000万元的一级或以上</w:t>
            </w:r>
            <w:r>
              <w:rPr>
                <w:rFonts w:hint="eastAsia" w:cs="Times New Roman"/>
                <w:b w:val="0"/>
                <w:color w:val="auto"/>
                <w:kern w:val="2"/>
                <w:sz w:val="21"/>
                <w:szCs w:val="20"/>
                <w:highlight w:val="none"/>
                <w:lang w:val="en-US" w:eastAsia="zh-CN" w:bidi="ar-SA"/>
              </w:rPr>
              <w:t>等级</w:t>
            </w:r>
            <w:r>
              <w:rPr>
                <w:rFonts w:hint="eastAsia" w:ascii="Times New Roman" w:hAnsi="Times New Roman" w:eastAsia="宋体" w:cs="Times New Roman"/>
                <w:b w:val="0"/>
                <w:color w:val="auto"/>
                <w:kern w:val="2"/>
                <w:sz w:val="21"/>
                <w:szCs w:val="20"/>
                <w:highlight w:val="none"/>
                <w:lang w:val="en-US" w:eastAsia="zh-CN" w:bidi="ar-SA"/>
              </w:rPr>
              <w:t>公路的新建机电工程项目（或机电专项施工工程项目）</w:t>
            </w:r>
            <w:r>
              <w:rPr>
                <w:rFonts w:hint="eastAsia" w:cs="Times New Roman"/>
                <w:b w:val="0"/>
                <w:color w:val="auto"/>
                <w:kern w:val="2"/>
                <w:sz w:val="21"/>
                <w:szCs w:val="20"/>
                <w:highlight w:val="none"/>
                <w:lang w:val="en-US" w:eastAsia="zh-CN" w:bidi="ar-SA"/>
              </w:rPr>
              <w:t>，</w:t>
            </w:r>
            <w:r>
              <w:rPr>
                <w:rFonts w:hint="eastAsia" w:ascii="Times New Roman" w:hAnsi="Times New Roman" w:eastAsia="宋体" w:cs="Times New Roman"/>
                <w:b w:val="0"/>
                <w:color w:val="auto"/>
                <w:kern w:val="2"/>
                <w:sz w:val="21"/>
                <w:szCs w:val="20"/>
                <w:highlight w:val="none"/>
                <w:lang w:val="en-US" w:eastAsia="zh-CN" w:bidi="ar-SA"/>
              </w:rPr>
              <w:t>或单项里程不少于25km的一级或以上</w:t>
            </w:r>
            <w:r>
              <w:rPr>
                <w:rFonts w:hint="eastAsia" w:cs="Times New Roman"/>
                <w:b w:val="0"/>
                <w:color w:val="auto"/>
                <w:kern w:val="2"/>
                <w:sz w:val="21"/>
                <w:szCs w:val="20"/>
                <w:highlight w:val="none"/>
                <w:lang w:val="en-US" w:eastAsia="zh-CN" w:bidi="ar-SA"/>
              </w:rPr>
              <w:t>等级</w:t>
            </w:r>
            <w:r>
              <w:rPr>
                <w:rFonts w:hint="eastAsia" w:ascii="Times New Roman" w:hAnsi="Times New Roman" w:eastAsia="宋体" w:cs="Times New Roman"/>
                <w:b w:val="0"/>
                <w:color w:val="auto"/>
                <w:kern w:val="2"/>
                <w:sz w:val="21"/>
                <w:szCs w:val="20"/>
                <w:highlight w:val="none"/>
                <w:lang w:val="en-US" w:eastAsia="zh-CN" w:bidi="ar-SA"/>
              </w:rPr>
              <w:t>公路的新建交通安全设施工程项目（或</w:t>
            </w:r>
            <w:r>
              <w:rPr>
                <w:rFonts w:hint="eastAsia" w:cs="Times New Roman"/>
                <w:b w:val="0"/>
                <w:color w:val="auto"/>
                <w:kern w:val="2"/>
                <w:sz w:val="21"/>
                <w:szCs w:val="20"/>
                <w:highlight w:val="none"/>
                <w:lang w:val="en-US" w:eastAsia="zh-CN" w:bidi="ar-SA"/>
              </w:rPr>
              <w:t>交通安全设</w:t>
            </w:r>
            <w:r>
              <w:rPr>
                <w:rFonts w:hint="eastAsia" w:ascii="Times New Roman" w:hAnsi="Times New Roman" w:eastAsia="宋体" w:cs="Times New Roman"/>
                <w:b w:val="0"/>
                <w:color w:val="auto"/>
                <w:kern w:val="2"/>
                <w:sz w:val="21"/>
                <w:szCs w:val="20"/>
                <w:highlight w:val="none"/>
                <w:lang w:val="en-US" w:eastAsia="zh-CN" w:bidi="ar-SA"/>
              </w:rPr>
              <w:t>施专项施工工程项目）。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p>
        </w:tc>
        <w:tc>
          <w:tcPr>
            <w:tcW w:w="418" w:type="dxa"/>
            <w:vMerge w:val="restart"/>
            <w:tcBorders>
              <w:top w:val="nil"/>
              <w:left w:val="nil"/>
              <w:bottom w:val="single" w:color="auto" w:sz="4" w:space="0"/>
              <w:right w:val="sing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其他因素</w:t>
            </w:r>
          </w:p>
        </w:tc>
        <w:tc>
          <w:tcPr>
            <w:tcW w:w="438" w:type="dxa"/>
            <w:tcBorders>
              <w:top w:val="nil"/>
              <w:left w:val="nil"/>
              <w:bottom w:val="single" w:color="auto" w:sz="4" w:space="0"/>
              <w:right w:val="single" w:color="auto" w:sz="4" w:space="0"/>
            </w:tcBorders>
            <w:noWrap w:val="0"/>
            <w:vAlign w:val="center"/>
          </w:tcPr>
          <w:p>
            <w:pPr>
              <w:pStyle w:val="200"/>
              <w:widowControl w:val="0"/>
              <w:rPr>
                <w:rFonts w:hint="eastAsia"/>
                <w:color w:val="auto"/>
                <w:sz w:val="21"/>
                <w:szCs w:val="21"/>
                <w:highlight w:val="none"/>
              </w:rPr>
            </w:pPr>
            <w:r>
              <w:rPr>
                <w:rFonts w:hint="eastAsia"/>
                <w:color w:val="auto"/>
                <w:sz w:val="21"/>
                <w:szCs w:val="21"/>
                <w:highlight w:val="none"/>
              </w:rPr>
              <w:t>技术能力</w:t>
            </w:r>
          </w:p>
        </w:tc>
        <w:tc>
          <w:tcPr>
            <w:tcW w:w="950" w:type="dxa"/>
            <w:tcBorders>
              <w:top w:val="nil"/>
              <w:left w:val="nil"/>
              <w:bottom w:val="single" w:color="auto" w:sz="4" w:space="0"/>
              <w:right w:val="single" w:color="auto" w:sz="4" w:space="0"/>
            </w:tcBorders>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10分</w:t>
            </w:r>
          </w:p>
        </w:tc>
        <w:tc>
          <w:tcPr>
            <w:tcW w:w="6908" w:type="dxa"/>
            <w:gridSpan w:val="3"/>
            <w:tcBorders>
              <w:top w:val="single" w:color="auto" w:sz="4" w:space="0"/>
              <w:left w:val="nil"/>
              <w:bottom w:val="single" w:color="auto" w:sz="4" w:space="0"/>
              <w:right w:val="single" w:color="auto" w:sz="4" w:space="0"/>
            </w:tcBorders>
            <w:noWrap w:val="0"/>
            <w:vAlign w:val="center"/>
          </w:tcPr>
          <w:p>
            <w:pPr>
              <w:jc w:val="left"/>
              <w:rPr>
                <w:rFonts w:hint="eastAsia"/>
                <w:color w:val="auto"/>
                <w:highlight w:val="none"/>
              </w:rPr>
            </w:pPr>
            <w:r>
              <w:rPr>
                <w:rFonts w:hint="eastAsia" w:ascii="宋体" w:hAnsi="宋体" w:eastAsia="宋体" w:cs="宋体"/>
                <w:color w:val="auto"/>
                <w:spacing w:val="1"/>
                <w:szCs w:val="22"/>
                <w:highlight w:val="none"/>
                <w:lang w:val="en-US" w:eastAsia="zh-CN"/>
              </w:rPr>
              <w:t>1、</w:t>
            </w:r>
            <w:r>
              <w:rPr>
                <w:rFonts w:hint="eastAsia" w:ascii="宋体" w:hAnsi="宋体" w:eastAsia="宋体" w:cs="宋体"/>
                <w:color w:val="auto"/>
                <w:spacing w:val="1"/>
                <w:szCs w:val="22"/>
                <w:highlight w:val="none"/>
              </w:rPr>
              <w:t>自2019年1月1日至投标截止之日止</w:t>
            </w:r>
            <w:r>
              <w:rPr>
                <w:rFonts w:hint="eastAsia" w:ascii="宋体" w:hAnsi="宋体" w:eastAsia="宋体" w:cs="宋体"/>
                <w:color w:val="auto"/>
                <w:spacing w:val="1"/>
                <w:szCs w:val="22"/>
                <w:highlight w:val="none"/>
                <w:lang w:eastAsia="zh-CN"/>
              </w:rPr>
              <w:t>投标人获得</w:t>
            </w:r>
            <w:r>
              <w:rPr>
                <w:rFonts w:hint="eastAsia" w:ascii="宋体" w:hAnsi="宋体" w:eastAsia="宋体" w:cs="宋体"/>
                <w:b w:val="0"/>
                <w:color w:val="auto"/>
                <w:spacing w:val="1"/>
                <w:kern w:val="2"/>
                <w:sz w:val="21"/>
                <w:szCs w:val="22"/>
                <w:highlight w:val="none"/>
                <w:lang w:val="en-US" w:eastAsia="zh-CN" w:bidi="ar-SA"/>
              </w:rPr>
              <w:t>公路交通安全设施或</w:t>
            </w:r>
            <w:r>
              <w:rPr>
                <w:rFonts w:hint="eastAsia" w:ascii="宋体" w:hAnsi="宋体" w:eastAsia="宋体" w:cs="宋体"/>
                <w:color w:val="auto"/>
                <w:spacing w:val="1"/>
                <w:szCs w:val="22"/>
                <w:highlight w:val="none"/>
              </w:rPr>
              <w:t>公路机电工程</w:t>
            </w:r>
            <w:r>
              <w:rPr>
                <w:rFonts w:hint="eastAsia" w:ascii="宋体" w:hAnsi="宋体" w:eastAsia="宋体" w:cs="宋体"/>
                <w:color w:val="auto"/>
                <w:spacing w:val="1"/>
                <w:kern w:val="2"/>
                <w:sz w:val="21"/>
                <w:szCs w:val="22"/>
                <w:highlight w:val="none"/>
                <w:lang w:val="en-US" w:eastAsia="zh-CN" w:bidi="ar"/>
              </w:rPr>
              <w:t>有关的</w:t>
            </w:r>
            <w:r>
              <w:rPr>
                <w:rFonts w:hint="eastAsia" w:ascii="宋体" w:hAnsi="宋体" w:eastAsia="宋体" w:cs="宋体"/>
                <w:color w:val="auto"/>
                <w:spacing w:val="1"/>
                <w:szCs w:val="22"/>
                <w:highlight w:val="none"/>
              </w:rPr>
              <w:t>国家级科学技术进步奖、主编或参编过国家标准、鲁班奖、詹天佑奖、国家优质工程奖，每项加</w:t>
            </w:r>
            <w:r>
              <w:rPr>
                <w:rFonts w:hint="eastAsia" w:ascii="宋体" w:hAnsi="宋体" w:eastAsia="宋体" w:cs="宋体"/>
                <w:color w:val="auto"/>
                <w:spacing w:val="1"/>
                <w:szCs w:val="22"/>
                <w:highlight w:val="none"/>
                <w:lang w:val="en-US" w:eastAsia="zh-CN"/>
              </w:rPr>
              <w:t>4</w:t>
            </w:r>
            <w:r>
              <w:rPr>
                <w:rFonts w:hint="eastAsia" w:ascii="宋体" w:hAnsi="宋体" w:eastAsia="宋体" w:cs="宋体"/>
                <w:color w:val="auto"/>
                <w:spacing w:val="1"/>
                <w:szCs w:val="22"/>
                <w:highlight w:val="none"/>
              </w:rPr>
              <w:t>分。</w:t>
            </w:r>
          </w:p>
          <w:p>
            <w:pPr>
              <w:jc w:val="left"/>
              <w:rPr>
                <w:rFonts w:hint="eastAsia" w:ascii="宋体" w:hAnsi="宋体" w:eastAsia="宋体" w:cs="宋体"/>
                <w:color w:val="auto"/>
                <w:spacing w:val="1"/>
                <w:szCs w:val="22"/>
                <w:highlight w:val="none"/>
              </w:rPr>
            </w:pPr>
            <w:r>
              <w:rPr>
                <w:rFonts w:hint="default" w:ascii="宋体" w:hAnsi="宋体" w:eastAsia="宋体" w:cs="宋体"/>
                <w:color w:val="auto"/>
                <w:spacing w:val="1"/>
                <w:szCs w:val="22"/>
                <w:highlight w:val="none"/>
                <w:lang w:val="en-US"/>
              </w:rPr>
              <w:t>2</w:t>
            </w:r>
            <w:r>
              <w:rPr>
                <w:rFonts w:hint="eastAsia" w:ascii="宋体" w:hAnsi="宋体" w:eastAsia="宋体" w:cs="宋体"/>
                <w:color w:val="auto"/>
                <w:spacing w:val="1"/>
                <w:szCs w:val="22"/>
                <w:highlight w:val="none"/>
              </w:rPr>
              <w:t>、投标人获得省级科学技术奖，主编或参编过的行业或地方（指省级）标准，每项加</w:t>
            </w:r>
            <w:r>
              <w:rPr>
                <w:rFonts w:hint="eastAsia" w:ascii="宋体" w:hAnsi="宋体" w:eastAsia="宋体" w:cs="宋体"/>
                <w:color w:val="auto"/>
                <w:spacing w:val="1"/>
                <w:szCs w:val="22"/>
                <w:highlight w:val="none"/>
                <w:lang w:val="en-US" w:eastAsia="zh-CN"/>
              </w:rPr>
              <w:t>2</w:t>
            </w:r>
            <w:r>
              <w:rPr>
                <w:rFonts w:hint="eastAsia" w:ascii="宋体" w:hAnsi="宋体" w:eastAsia="宋体" w:cs="宋体"/>
                <w:color w:val="auto"/>
                <w:spacing w:val="1"/>
                <w:szCs w:val="22"/>
                <w:highlight w:val="none"/>
              </w:rPr>
              <w:t>分；</w:t>
            </w:r>
          </w:p>
          <w:p>
            <w:pPr>
              <w:jc w:val="left"/>
              <w:rPr>
                <w:rFonts w:hint="eastAsia" w:ascii="宋体" w:hAnsi="宋体" w:eastAsia="宋体" w:cs="宋体"/>
                <w:color w:val="auto"/>
                <w:spacing w:val="1"/>
                <w:szCs w:val="22"/>
                <w:highlight w:val="none"/>
                <w:lang w:eastAsia="zh-CN"/>
              </w:rPr>
            </w:pPr>
            <w:r>
              <w:rPr>
                <w:rFonts w:hint="eastAsia" w:ascii="宋体" w:hAnsi="宋体" w:eastAsia="宋体" w:cs="宋体"/>
                <w:color w:val="auto"/>
                <w:spacing w:val="1"/>
                <w:szCs w:val="22"/>
                <w:highlight w:val="none"/>
              </w:rPr>
              <w:t>技术能力加分最高</w:t>
            </w:r>
            <w:r>
              <w:rPr>
                <w:rFonts w:hint="eastAsia" w:ascii="宋体" w:hAnsi="宋体" w:eastAsia="宋体" w:cs="宋体"/>
                <w:color w:val="auto"/>
                <w:spacing w:val="1"/>
                <w:szCs w:val="22"/>
                <w:highlight w:val="none"/>
                <w:lang w:val="en-US" w:eastAsia="zh-CN"/>
              </w:rPr>
              <w:t>10</w:t>
            </w:r>
            <w:r>
              <w:rPr>
                <w:rFonts w:hint="eastAsia" w:ascii="宋体" w:hAnsi="宋体" w:eastAsia="宋体" w:cs="宋体"/>
                <w:color w:val="auto"/>
                <w:spacing w:val="1"/>
                <w:szCs w:val="22"/>
                <w:highlight w:val="none"/>
              </w:rPr>
              <w:t>分，同一事项按较高分只计一次</w:t>
            </w:r>
            <w:r>
              <w:rPr>
                <w:rFonts w:hint="eastAsia" w:ascii="宋体" w:hAnsi="宋体" w:eastAsia="宋体" w:cs="宋体"/>
                <w:color w:val="auto"/>
                <w:spacing w:val="1"/>
                <w:szCs w:val="22"/>
                <w:highlight w:val="none"/>
                <w:lang w:eastAsia="zh-CN"/>
              </w:rPr>
              <w:t>。</w:t>
            </w:r>
          </w:p>
          <w:p>
            <w:pPr>
              <w:snapToGrid/>
              <w:spacing w:line="240" w:lineRule="auto"/>
              <w:ind w:left="0" w:leftChars="0" w:right="0" w:rightChars="0" w:firstLine="0" w:firstLineChars="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spacing w:val="1"/>
                <w:szCs w:val="22"/>
                <w:highlight w:val="none"/>
              </w:rPr>
              <w:t>注：（1）获奖时间以获奖证书或获奖文件的颁发时间为准，同项目获得多个奖项的，只计一次，不重复计分。</w:t>
            </w:r>
            <w:r>
              <w:rPr>
                <w:rFonts w:hint="eastAsia" w:ascii="宋体" w:hAnsi="宋体" w:eastAsia="宋体" w:cs="宋体"/>
                <w:color w:val="auto"/>
                <w:spacing w:val="1"/>
                <w:szCs w:val="22"/>
                <w:highlight w:val="none"/>
                <w:lang w:val="zh-CN"/>
              </w:rPr>
              <w:t>不提供或提供不齐不得分。</w:t>
            </w:r>
            <w:r>
              <w:rPr>
                <w:rFonts w:hint="eastAsia" w:ascii="宋体" w:hAnsi="宋体" w:eastAsia="宋体" w:cs="宋体"/>
                <w:color w:val="auto"/>
                <w:spacing w:val="1"/>
                <w:szCs w:val="22"/>
                <w:highlight w:val="none"/>
              </w:rPr>
              <w:t>（2）获奖证书（或获奖文件）应载明投标人单位名称；如获奖证书（或获奖文件）不能清晰反映有关特征和必要信息的，还须提供该项工程业绩的业主证明资料，且该证明资料中必须载有出具证明单位有效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sz w:val="21"/>
                <w:szCs w:val="21"/>
                <w:highlight w:val="none"/>
              </w:rPr>
            </w:pPr>
          </w:p>
        </w:tc>
        <w:tc>
          <w:tcPr>
            <w:tcW w:w="418" w:type="dxa"/>
            <w:vMerge w:val="continue"/>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color w:val="auto"/>
                <w:sz w:val="21"/>
                <w:szCs w:val="21"/>
                <w:highlight w:val="none"/>
              </w:rPr>
            </w:pPr>
          </w:p>
        </w:tc>
        <w:tc>
          <w:tcPr>
            <w:tcW w:w="43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履约信誉</w:t>
            </w:r>
          </w:p>
        </w:tc>
        <w:tc>
          <w:tcPr>
            <w:tcW w:w="9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25分</w:t>
            </w:r>
          </w:p>
        </w:tc>
        <w:tc>
          <w:tcPr>
            <w:tcW w:w="6908" w:type="dxa"/>
            <w:gridSpan w:val="3"/>
            <w:tcBorders>
              <w:top w:val="single" w:color="auto" w:sz="4" w:space="0"/>
              <w:left w:val="nil"/>
              <w:bottom w:val="single" w:color="auto" w:sz="4" w:space="0"/>
              <w:right w:val="single" w:color="auto" w:sz="4" w:space="0"/>
            </w:tcBorders>
            <w:noWrap w:val="0"/>
            <w:vAlign w:val="top"/>
          </w:tcPr>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1.信用等级分值（10分）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AA、A、B、C级单位的信用等级分得分分别为10、9.5、8.9、7.3分。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注：信用等级的确定原则遵循投标人须知前附表10.2款的规定。</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2.履约情况（15分）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若没出现下述情形得满分；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zh-CN" w:eastAsia="zh-CN" w:bidi="zh-CN"/>
              </w:rPr>
              <w:t>投标文件递交截止日前1年内，因公路工程（含附属设施）质量、</w:t>
            </w:r>
            <w:r>
              <w:rPr>
                <w:rFonts w:hint="eastAsia" w:ascii="宋体" w:hAnsi="宋体" w:eastAsia="宋体" w:cs="宋体"/>
                <w:color w:val="auto"/>
                <w:kern w:val="2"/>
                <w:sz w:val="21"/>
                <w:szCs w:val="21"/>
                <w:highlight w:val="none"/>
                <w:lang w:val="en-US" w:eastAsia="zh-CN" w:bidi="zh-CN"/>
              </w:rPr>
              <w:t>安</w:t>
            </w:r>
            <w:r>
              <w:rPr>
                <w:rFonts w:hint="eastAsia" w:ascii="宋体" w:hAnsi="宋体" w:eastAsia="宋体" w:cs="宋体"/>
                <w:color w:val="auto"/>
                <w:kern w:val="2"/>
                <w:sz w:val="21"/>
                <w:szCs w:val="21"/>
                <w:highlight w:val="none"/>
                <w:lang w:val="zh-CN" w:eastAsia="zh-CN" w:bidi="zh-CN"/>
              </w:rPr>
              <w:t>全、履约或招标投标问题等原因被</w:t>
            </w:r>
            <w:r>
              <w:rPr>
                <w:rFonts w:hint="eastAsia" w:ascii="宋体" w:hAnsi="宋体" w:eastAsia="宋体" w:cs="宋体"/>
                <w:color w:val="auto"/>
                <w:kern w:val="2"/>
                <w:sz w:val="21"/>
                <w:szCs w:val="21"/>
                <w:highlight w:val="none"/>
                <w:lang w:val="en-US" w:eastAsia="zh-CN" w:bidi="zh-CN"/>
              </w:rPr>
              <w:t>：</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(1)交通运输部行政处罚的，扣5分/次。</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(2)广东省交通运输厅行政处罚的，扣3分/次。</w:t>
            </w:r>
            <w:r>
              <w:rPr>
                <w:rFonts w:hint="eastAsia" w:ascii="宋体" w:hAnsi="宋体" w:eastAsia="宋体" w:cs="宋体"/>
                <w:color w:val="auto"/>
                <w:kern w:val="2"/>
                <w:sz w:val="21"/>
                <w:szCs w:val="21"/>
                <w:highlight w:val="none"/>
                <w:lang w:val="en-US" w:eastAsia="zh-CN" w:bidi="zh-CN"/>
              </w:rPr>
              <w:tab/>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(3)广州市交通运输局行政处罚的，扣1.5分/次。</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(4)广东省交通运输厅正式约谈的，扣0.1分/次。</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同一事项同时被多个部门行政处罚或正式约谈只按最高的扣分计算1次</w:t>
            </w:r>
            <w:r>
              <w:rPr>
                <w:rStyle w:val="72"/>
                <w:rFonts w:hint="eastAsia" w:ascii="宋体" w:hAnsi="宋体" w:eastAsia="宋体" w:cs="宋体"/>
                <w:color w:val="auto"/>
                <w:kern w:val="2"/>
                <w:sz w:val="21"/>
                <w:szCs w:val="21"/>
                <w:highlight w:val="none"/>
                <w:lang w:val="en-US" w:eastAsia="zh-CN" w:bidi="zh-CN"/>
              </w:rPr>
              <w:footnoteReference w:id="7"/>
            </w:r>
            <w:r>
              <w:rPr>
                <w:rFonts w:hint="eastAsia" w:ascii="宋体" w:hAnsi="宋体" w:eastAsia="宋体" w:cs="宋体"/>
                <w:color w:val="auto"/>
                <w:kern w:val="2"/>
                <w:sz w:val="21"/>
                <w:szCs w:val="21"/>
                <w:highlight w:val="none"/>
                <w:lang w:val="en-US" w:eastAsia="zh-CN" w:bidi="zh-CN"/>
              </w:rPr>
              <w:t>。如果扣完本项分值，可以从总分中扣。以联合体形式投标的，若各联合体成员任何一方或均存在上述情形的，对联合体各成员进行累计扣分。</w:t>
            </w:r>
          </w:p>
        </w:tc>
      </w:tr>
    </w:tbl>
    <w:p>
      <w:pPr>
        <w:spacing w:before="69"/>
        <w:ind w:left="472" w:right="0" w:firstLine="0"/>
        <w:jc w:val="left"/>
        <w:rPr>
          <w:rFonts w:hint="eastAsia" w:ascii="Calibri" w:hAnsi="Calibri" w:eastAsia="Calibri"/>
          <w:color w:val="auto"/>
          <w:sz w:val="21"/>
          <w:highlight w:val="none"/>
        </w:rPr>
      </w:pPr>
    </w:p>
    <w:sectPr>
      <w:footerReference r:id="rId6" w:type="default"/>
      <w:footnotePr>
        <w:numFmt w:val="decimalEnclosedCircleChinese"/>
        <w:numRestart w:val="eachPage"/>
      </w:footnotePr>
      <w:pgSz w:w="11906" w:h="16838"/>
      <w:pgMar w:top="1588" w:right="1644" w:bottom="1474"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Cambria Math">
    <w:panose1 w:val="02040503050406030204"/>
    <w:charset w:val="00"/>
    <w:family w:val="roman"/>
    <w:pitch w:val="default"/>
    <w:sig w:usb0="E00002FF" w:usb1="420024FF" w:usb2="00000000" w:usb3="00000000" w:csb0="2000019F" w:csb1="00000000"/>
  </w:font>
  <w:font w:name="MingLiU">
    <w:panose1 w:val="02020509000000000000"/>
    <w:charset w:val="7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7A"/>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Comic Sans MS">
    <w:panose1 w:val="030F0702030302020204"/>
    <w:charset w:val="00"/>
    <w:family w:val="script"/>
    <w:pitch w:val="default"/>
    <w:sig w:usb0="00000287" w:usb1="00000000" w:usb2="00000000" w:usb3="00000000" w:csb0="2000009F" w:csb1="00000000"/>
  </w:font>
  <w:font w:name="Cambria">
    <w:panose1 w:val="02040503050406030204"/>
    <w:charset w:val="00"/>
    <w:family w:val="roman"/>
    <w:pitch w:val="default"/>
    <w:sig w:usb0="E00002FF" w:usb1="400004FF" w:usb2="00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198</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pPr>
        <w:pStyle w:val="45"/>
        <w:ind w:firstLine="261"/>
        <w:rPr>
          <w:rFonts w:hint="eastAsia"/>
        </w:rPr>
      </w:pPr>
      <w:r>
        <w:rPr>
          <w:rFonts w:hint="eastAsia"/>
        </w:rPr>
        <w:footnoteRef/>
      </w:r>
      <w:r>
        <w:rPr>
          <w:rFonts w:hint="eastAsia"/>
        </w:rPr>
        <w:t xml:space="preserve"> </w:t>
      </w:r>
      <w:r>
        <w:rPr>
          <w:rFonts w:hint="default"/>
          <w:lang w:val="en-US" w:eastAsia="zh-CN"/>
        </w:rPr>
        <w:t>本</w:t>
      </w:r>
      <w:r>
        <w:rPr>
          <w:rFonts w:hint="eastAsia"/>
          <w:lang w:val="en-US" w:eastAsia="zh-CN"/>
        </w:rPr>
        <w:t>项</w:t>
      </w:r>
      <w:r>
        <w:rPr>
          <w:rFonts w:hint="default"/>
          <w:lang w:val="en-US" w:eastAsia="zh-CN"/>
        </w:rPr>
        <w:t>规定仅适用于</w:t>
      </w:r>
      <w:bookmarkStart w:id="102" w:name="_Toc315861048"/>
      <w:r>
        <w:rPr>
          <w:rFonts w:hint="eastAsia"/>
          <w:lang w:val="en-US" w:eastAsia="zh-CN"/>
        </w:rPr>
        <w:t>根据《关于发布公路工程从业企业资质名录的通知》</w:t>
      </w:r>
      <w:bookmarkEnd w:id="102"/>
      <w:r>
        <w:rPr>
          <w:rFonts w:hint="eastAsia"/>
          <w:lang w:val="en-US" w:eastAsia="zh-CN"/>
        </w:rPr>
        <w:t>（厅公路字〔2011〕114号）要求，招标人应通过名录对投标人资质条件进行审核的公路施工企业。</w:t>
      </w:r>
    </w:p>
  </w:footnote>
  <w:footnote w:id="1">
    <w:p>
      <w:pPr>
        <w:pStyle w:val="45"/>
        <w:ind w:firstLine="261"/>
        <w:rPr>
          <w:rFonts w:hint="eastAsia"/>
        </w:rPr>
      </w:pPr>
      <w:r>
        <w:rPr>
          <w:rFonts w:hint="eastAsia"/>
        </w:rPr>
        <w:footnoteRef/>
      </w:r>
      <w:r>
        <w:rPr>
          <w:rFonts w:hint="eastAsia"/>
        </w:rPr>
        <w:t>单位负责人是指单位的法定代表人或者法律、行政法规规定代表单位行使职权的主要负责人。</w:t>
      </w:r>
    </w:p>
  </w:footnote>
  <w:footnote w:id="2">
    <w:p>
      <w:pPr>
        <w:pStyle w:val="45"/>
        <w:ind w:firstLine="261"/>
        <w:rPr>
          <w:rFonts w:hint="eastAsia"/>
        </w:rPr>
      </w:pPr>
      <w:r>
        <w:rPr>
          <w:rFonts w:hint="eastAsia"/>
        </w:rPr>
        <w:footnoteRef/>
      </w:r>
      <w:r>
        <w:rPr>
          <w:rFonts w:hint="eastAsia"/>
        </w:rPr>
        <w:t xml:space="preserve">控股是指出资额占有限责任公司资本总额 50%以上或者其持有的股份占股份有限公司股本总额 50%以上的， 以及 出资额或者持有股份的比例虽然不足 50% ，但依其出资额或者持有的股份所享有的表决权已足以对股东会、股东大 </w:t>
      </w:r>
      <w:bookmarkStart w:id="103" w:name="_bookmark8"/>
      <w:bookmarkEnd w:id="103"/>
      <w:r>
        <w:rPr>
          <w:rFonts w:hint="eastAsia"/>
        </w:rPr>
        <w:t>会的决议产生重大影响的。</w:t>
      </w:r>
    </w:p>
  </w:footnote>
  <w:footnote w:id="3">
    <w:p>
      <w:pPr>
        <w:pStyle w:val="45"/>
        <w:ind w:firstLine="261"/>
      </w:pPr>
      <w:r>
        <w:rPr>
          <w:rFonts w:hint="eastAsia"/>
        </w:rPr>
        <w:footnoteRef/>
      </w:r>
      <w:r>
        <w:rPr>
          <w:rFonts w:hint="eastAsia"/>
        </w:rPr>
        <w:t>管理关系是指不具有出资持股关系的其它单位之间存在的管理与被管理关系。</w:t>
      </w:r>
    </w:p>
  </w:footnote>
  <w:footnote w:id="4">
    <w:p>
      <w:pPr>
        <w:spacing w:before="55" w:line="267" w:lineRule="auto"/>
        <w:ind w:left="52" w:right="113"/>
        <w:rPr>
          <w:rFonts w:ascii="宋体" w:hAnsi="宋体" w:eastAsia="宋体" w:cs="宋体"/>
          <w:sz w:val="17"/>
          <w:szCs w:val="17"/>
        </w:rPr>
      </w:pPr>
      <w:r>
        <w:rPr>
          <w:rFonts w:ascii="宋体" w:hAnsi="宋体" w:eastAsia="宋体" w:cs="宋体"/>
          <w:spacing w:val="16"/>
          <w:sz w:val="17"/>
          <w:szCs w:val="17"/>
        </w:rPr>
        <w:t>①</w:t>
      </w:r>
      <w:r>
        <w:rPr>
          <w:rFonts w:ascii="宋体" w:hAnsi="宋体" w:eastAsia="宋体" w:cs="宋体"/>
          <w:spacing w:val="11"/>
          <w:sz w:val="17"/>
          <w:szCs w:val="17"/>
        </w:rPr>
        <w:t>若</w:t>
      </w:r>
      <w:r>
        <w:rPr>
          <w:rFonts w:ascii="宋体" w:hAnsi="宋体" w:eastAsia="宋体" w:cs="宋体"/>
          <w:spacing w:val="8"/>
          <w:sz w:val="17"/>
          <w:szCs w:val="17"/>
        </w:rPr>
        <w:t xml:space="preserve">出现投标人须知前附表 </w:t>
      </w:r>
      <w:r>
        <w:rPr>
          <w:rFonts w:ascii="Times New Roman" w:hAnsi="Times New Roman" w:eastAsia="Times New Roman" w:cs="Times New Roman"/>
          <w:spacing w:val="8"/>
          <w:sz w:val="17"/>
          <w:szCs w:val="17"/>
        </w:rPr>
        <w:t>10.2.</w:t>
      </w:r>
      <w:r>
        <w:rPr>
          <w:rFonts w:hint="eastAsia" w:ascii="Times New Roman" w:hAnsi="Times New Roman" w:eastAsia="宋体" w:cs="Times New Roman"/>
          <w:spacing w:val="8"/>
          <w:sz w:val="17"/>
          <w:szCs w:val="17"/>
          <w:lang w:val="en-US" w:eastAsia="zh-CN"/>
        </w:rPr>
        <w:t>4</w:t>
      </w:r>
      <w:r>
        <w:rPr>
          <w:rFonts w:ascii="Times New Roman" w:hAnsi="Times New Roman" w:eastAsia="Times New Roman" w:cs="Times New Roman"/>
          <w:spacing w:val="8"/>
          <w:sz w:val="17"/>
          <w:szCs w:val="17"/>
        </w:rPr>
        <w:t xml:space="preserve"> </w:t>
      </w:r>
      <w:r>
        <w:rPr>
          <w:rFonts w:ascii="宋体" w:hAnsi="宋体" w:eastAsia="宋体" w:cs="宋体"/>
          <w:spacing w:val="8"/>
          <w:sz w:val="17"/>
          <w:szCs w:val="17"/>
        </w:rPr>
        <w:t>项招标内容包含多个类别的情况，按该条款的原则计算最终信用等级得分，得分</w:t>
      </w:r>
      <w:r>
        <w:rPr>
          <w:rFonts w:ascii="宋体" w:hAnsi="宋体" w:eastAsia="宋体" w:cs="宋体"/>
          <w:sz w:val="17"/>
          <w:szCs w:val="17"/>
        </w:rPr>
        <w:t xml:space="preserve"> </w:t>
      </w:r>
      <w:r>
        <w:rPr>
          <w:rFonts w:ascii="宋体" w:hAnsi="宋体" w:eastAsia="宋体" w:cs="宋体"/>
          <w:spacing w:val="7"/>
          <w:sz w:val="17"/>
          <w:szCs w:val="17"/>
        </w:rPr>
        <w:t>较高的优先。</w:t>
      </w:r>
    </w:p>
    <w:p>
      <w:pPr>
        <w:pStyle w:val="45"/>
        <w:snapToGrid w:val="0"/>
      </w:pPr>
      <w:r>
        <w:t xml:space="preserve"> </w:t>
      </w:r>
    </w:p>
  </w:footnote>
  <w:footnote w:id="5">
    <w:p>
      <w:pPr>
        <w:keepNext w:val="0"/>
        <w:keepLines w:val="0"/>
        <w:widowControl/>
        <w:suppressLineNumbers w:val="0"/>
        <w:jc w:val="left"/>
      </w:pPr>
      <w:r>
        <w:rPr>
          <w:rStyle w:val="72"/>
        </w:rPr>
        <w:footnoteRef/>
      </w:r>
      <w:r>
        <w:t xml:space="preserve"> </w:t>
      </w:r>
      <w:r>
        <w:rPr>
          <w:rFonts w:hint="eastAsia" w:ascii="宋体" w:hAnsi="宋体" w:eastAsia="宋体" w:cs="宋体"/>
          <w:color w:val="000000"/>
          <w:kern w:val="0"/>
          <w:sz w:val="18"/>
          <w:szCs w:val="18"/>
          <w:lang w:val="en-US" w:eastAsia="zh-CN" w:bidi="ar"/>
        </w:rPr>
        <w:t xml:space="preserve">如本项目招标采用第二章“投标人须知”第 </w:t>
      </w:r>
      <w:r>
        <w:rPr>
          <w:rFonts w:hint="default" w:ascii="Times New Roman" w:hAnsi="Times New Roman" w:eastAsia="宋体" w:cs="Times New Roman"/>
          <w:color w:val="000000"/>
          <w:kern w:val="0"/>
          <w:sz w:val="18"/>
          <w:szCs w:val="18"/>
          <w:lang w:val="en-US" w:eastAsia="zh-CN" w:bidi="ar"/>
        </w:rPr>
        <w:t xml:space="preserve">3.2.1 </w:t>
      </w:r>
      <w:r>
        <w:rPr>
          <w:rFonts w:hint="eastAsia" w:ascii="宋体" w:hAnsi="宋体" w:eastAsia="宋体" w:cs="宋体"/>
          <w:color w:val="000000"/>
          <w:kern w:val="0"/>
          <w:sz w:val="18"/>
          <w:szCs w:val="18"/>
          <w:lang w:val="en-US" w:eastAsia="zh-CN" w:bidi="ar"/>
        </w:rPr>
        <w:t>项（</w:t>
      </w:r>
      <w:r>
        <w:rPr>
          <w:rFonts w:hint="default" w:ascii="Times New Roman" w:hAnsi="Times New Roman" w:eastAsia="宋体" w:cs="Times New Roman"/>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 xml:space="preserve">）目规定的投标人按照招标人提供的工程量固化清单电子文件填写工程量清单的，无须按照本章第 </w:t>
      </w:r>
      <w:r>
        <w:rPr>
          <w:rFonts w:hint="default" w:ascii="Times New Roman" w:hAnsi="Times New Roman" w:eastAsia="宋体" w:cs="Times New Roman"/>
          <w:color w:val="000000"/>
          <w:kern w:val="0"/>
          <w:sz w:val="18"/>
          <w:szCs w:val="18"/>
          <w:lang w:val="en-US" w:eastAsia="zh-CN" w:bidi="ar"/>
        </w:rPr>
        <w:t xml:space="preserve">3.4.2 </w:t>
      </w:r>
      <w:r>
        <w:rPr>
          <w:rFonts w:hint="eastAsia" w:ascii="宋体" w:hAnsi="宋体" w:eastAsia="宋体" w:cs="宋体"/>
          <w:color w:val="000000"/>
          <w:kern w:val="0"/>
          <w:sz w:val="18"/>
          <w:szCs w:val="18"/>
          <w:lang w:val="en-US" w:eastAsia="zh-CN" w:bidi="ar"/>
        </w:rPr>
        <w:t xml:space="preserve">项和第 </w:t>
      </w:r>
      <w:r>
        <w:rPr>
          <w:rFonts w:hint="default" w:ascii="Times New Roman" w:hAnsi="Times New Roman" w:eastAsia="宋体" w:cs="Times New Roman"/>
          <w:color w:val="000000"/>
          <w:kern w:val="0"/>
          <w:sz w:val="18"/>
          <w:szCs w:val="18"/>
          <w:lang w:val="en-US" w:eastAsia="zh-CN" w:bidi="ar"/>
        </w:rPr>
        <w:t xml:space="preserve">3.4.3 </w:t>
      </w:r>
      <w:r>
        <w:rPr>
          <w:rFonts w:hint="eastAsia" w:ascii="宋体" w:hAnsi="宋体" w:eastAsia="宋体" w:cs="宋体"/>
          <w:color w:val="000000"/>
          <w:kern w:val="0"/>
          <w:sz w:val="18"/>
          <w:szCs w:val="18"/>
          <w:lang w:val="en-US" w:eastAsia="zh-CN" w:bidi="ar"/>
        </w:rPr>
        <w:t>项的规定对投标报价进行修正，经评审的投标价（评标价）</w:t>
      </w:r>
      <w:r>
        <w:rPr>
          <w:rFonts w:hint="default" w:ascii="Times New Roman" w:hAnsi="Times New Roman" w:eastAsia="宋体" w:cs="Times New Roman"/>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投标函文字报价一暂估价一暂列金额（不含计日工总额）。</w:t>
      </w:r>
    </w:p>
  </w:footnote>
  <w:footnote w:id="6">
    <w:p>
      <w:pPr>
        <w:pStyle w:val="45"/>
        <w:snapToGrid w:val="0"/>
      </w:pPr>
      <w:r>
        <w:rPr>
          <w:rStyle w:val="72"/>
        </w:rPr>
        <w:footnoteRef/>
      </w:r>
      <w:r>
        <w:t xml:space="preserve"> </w:t>
      </w:r>
      <w:r>
        <w:rPr>
          <w:rFonts w:ascii="宋体" w:hAnsi="宋体" w:eastAsia="宋体" w:cs="宋体"/>
          <w:spacing w:val="4"/>
          <w:sz w:val="17"/>
          <w:szCs w:val="17"/>
        </w:rPr>
        <w:t>本条所述</w:t>
      </w:r>
      <w:r>
        <w:rPr>
          <w:rFonts w:ascii="宋体" w:hAnsi="宋体" w:eastAsia="宋体" w:cs="宋体"/>
          <w:spacing w:val="3"/>
          <w:sz w:val="17"/>
          <w:szCs w:val="17"/>
        </w:rPr>
        <w:t>“</w:t>
      </w:r>
      <w:r>
        <w:rPr>
          <w:rFonts w:ascii="宋体" w:hAnsi="宋体" w:eastAsia="宋体" w:cs="宋体"/>
          <w:spacing w:val="2"/>
          <w:sz w:val="17"/>
          <w:szCs w:val="17"/>
        </w:rPr>
        <w:t xml:space="preserve">名次”包含了并列的情况；如名次为 </w:t>
      </w:r>
      <w:r>
        <w:rPr>
          <w:rFonts w:ascii="Times New Roman" w:hAnsi="Times New Roman" w:eastAsia="Times New Roman" w:cs="Times New Roman"/>
          <w:spacing w:val="2"/>
          <w:sz w:val="17"/>
          <w:szCs w:val="17"/>
        </w:rPr>
        <w:t xml:space="preserve">1, 1,3,4,5 </w:t>
      </w:r>
      <w:r>
        <w:rPr>
          <w:rFonts w:ascii="宋体" w:hAnsi="宋体" w:eastAsia="宋体" w:cs="宋体"/>
          <w:spacing w:val="2"/>
          <w:sz w:val="17"/>
          <w:szCs w:val="17"/>
        </w:rPr>
        <w:t xml:space="preserve">，则前 </w:t>
      </w:r>
      <w:r>
        <w:rPr>
          <w:rFonts w:ascii="Times New Roman" w:hAnsi="Times New Roman" w:eastAsia="Times New Roman" w:cs="Times New Roman"/>
          <w:spacing w:val="2"/>
          <w:sz w:val="17"/>
          <w:szCs w:val="17"/>
        </w:rPr>
        <w:t xml:space="preserve">5 </w:t>
      </w:r>
      <w:r>
        <w:rPr>
          <w:rFonts w:ascii="宋体" w:hAnsi="宋体" w:eastAsia="宋体" w:cs="宋体"/>
          <w:spacing w:val="2"/>
          <w:sz w:val="17"/>
          <w:szCs w:val="17"/>
        </w:rPr>
        <w:t xml:space="preserve">名为 </w:t>
      </w:r>
      <w:r>
        <w:rPr>
          <w:rFonts w:ascii="Times New Roman" w:hAnsi="Times New Roman" w:eastAsia="Times New Roman" w:cs="Times New Roman"/>
          <w:spacing w:val="2"/>
          <w:sz w:val="17"/>
          <w:szCs w:val="17"/>
        </w:rPr>
        <w:t xml:space="preserve">5 </w:t>
      </w:r>
      <w:r>
        <w:rPr>
          <w:rFonts w:ascii="宋体" w:hAnsi="宋体" w:eastAsia="宋体" w:cs="宋体"/>
          <w:spacing w:val="2"/>
          <w:sz w:val="17"/>
          <w:szCs w:val="17"/>
        </w:rPr>
        <w:t xml:space="preserve">家投标人；如名次为 </w:t>
      </w:r>
      <w:r>
        <w:rPr>
          <w:rFonts w:ascii="Times New Roman" w:hAnsi="Times New Roman" w:eastAsia="Times New Roman" w:cs="Times New Roman"/>
          <w:spacing w:val="2"/>
          <w:sz w:val="17"/>
          <w:szCs w:val="17"/>
        </w:rPr>
        <w:t xml:space="preserve">1,2,3,4,5,5 </w:t>
      </w:r>
      <w:r>
        <w:rPr>
          <w:rFonts w:ascii="宋体" w:hAnsi="宋体" w:eastAsia="宋体" w:cs="宋体"/>
          <w:spacing w:val="2"/>
          <w:sz w:val="17"/>
          <w:szCs w:val="17"/>
        </w:rPr>
        <w:t xml:space="preserve">，则前 </w:t>
      </w:r>
      <w:r>
        <w:rPr>
          <w:rFonts w:ascii="Times New Roman" w:hAnsi="Times New Roman" w:eastAsia="Times New Roman" w:cs="Times New Roman"/>
          <w:spacing w:val="2"/>
          <w:sz w:val="17"/>
          <w:szCs w:val="17"/>
        </w:rPr>
        <w:t>5</w:t>
      </w:r>
      <w:r>
        <w:rPr>
          <w:rFonts w:ascii="Times New Roman" w:hAnsi="Times New Roman" w:eastAsia="Times New Roman" w:cs="Times New Roman"/>
          <w:sz w:val="17"/>
          <w:szCs w:val="17"/>
        </w:rPr>
        <w:t xml:space="preserve"> </w:t>
      </w:r>
      <w:r>
        <w:rPr>
          <w:rFonts w:ascii="宋体" w:hAnsi="宋体" w:eastAsia="宋体" w:cs="宋体"/>
          <w:spacing w:val="6"/>
          <w:sz w:val="17"/>
          <w:szCs w:val="17"/>
        </w:rPr>
        <w:t xml:space="preserve">名为 </w:t>
      </w:r>
      <w:r>
        <w:rPr>
          <w:rFonts w:ascii="Times New Roman" w:hAnsi="Times New Roman" w:eastAsia="Times New Roman" w:cs="Times New Roman"/>
          <w:spacing w:val="3"/>
          <w:sz w:val="17"/>
          <w:szCs w:val="17"/>
        </w:rPr>
        <w:t xml:space="preserve">6 </w:t>
      </w:r>
      <w:r>
        <w:rPr>
          <w:rFonts w:ascii="宋体" w:hAnsi="宋体" w:eastAsia="宋体" w:cs="宋体"/>
          <w:spacing w:val="3"/>
          <w:sz w:val="17"/>
          <w:szCs w:val="17"/>
        </w:rPr>
        <w:t>家投标人，下同</w:t>
      </w:r>
    </w:p>
  </w:footnote>
  <w:footnote w:id="7">
    <w:p>
      <w:pPr>
        <w:pStyle w:val="45"/>
        <w:snapToGrid w:val="0"/>
        <w:rPr>
          <w:rFonts w:hint="eastAsia" w:eastAsia="宋体"/>
          <w:lang w:eastAsia="zh-CN"/>
        </w:rPr>
      </w:pPr>
      <w:r>
        <w:rPr>
          <w:rStyle w:val="72"/>
        </w:rPr>
        <w:footnoteRef/>
      </w:r>
      <w:r>
        <w:t xml:space="preserve"> </w:t>
      </w:r>
      <w:r>
        <w:rPr>
          <w:rFonts w:ascii="宋体" w:hAnsi="宋体" w:eastAsia="宋体" w:cs="宋体"/>
          <w:spacing w:val="10"/>
          <w:sz w:val="17"/>
          <w:szCs w:val="17"/>
        </w:rPr>
        <w:t>本条内容所指的行政处罚和正式约谈是指本范本施行之日起发生的行政处罚和正式约谈。其中：正式约谈是指</w:t>
      </w:r>
      <w:r>
        <w:rPr>
          <w:rFonts w:ascii="宋体" w:hAnsi="宋体" w:eastAsia="宋体" w:cs="宋体"/>
          <w:spacing w:val="4"/>
          <w:sz w:val="17"/>
          <w:szCs w:val="17"/>
        </w:rPr>
        <w:t>从</w:t>
      </w:r>
      <w:r>
        <w:rPr>
          <w:rFonts w:ascii="宋体" w:hAnsi="宋体" w:eastAsia="宋体" w:cs="宋体"/>
          <w:sz w:val="17"/>
          <w:szCs w:val="17"/>
        </w:rPr>
        <w:t xml:space="preserve"> </w:t>
      </w:r>
      <w:r>
        <w:rPr>
          <w:rFonts w:ascii="宋体" w:hAnsi="宋体" w:eastAsia="宋体" w:cs="宋体"/>
          <w:spacing w:val="10"/>
          <w:sz w:val="17"/>
          <w:szCs w:val="17"/>
        </w:rPr>
        <w:t>业单位的企业法人因建设项目质量、安全、履约或招标投标等问题，被上述单位约谈的情形。行政处罚要以上述</w:t>
      </w:r>
      <w:r>
        <w:rPr>
          <w:rFonts w:ascii="宋体" w:hAnsi="宋体" w:eastAsia="宋体" w:cs="宋体"/>
          <w:spacing w:val="4"/>
          <w:sz w:val="17"/>
          <w:szCs w:val="17"/>
        </w:rPr>
        <w:t>单</w:t>
      </w:r>
      <w:r>
        <w:rPr>
          <w:rFonts w:ascii="宋体" w:hAnsi="宋体" w:eastAsia="宋体" w:cs="宋体"/>
          <w:sz w:val="17"/>
          <w:szCs w:val="17"/>
        </w:rPr>
        <w:t xml:space="preserve"> </w:t>
      </w:r>
      <w:r>
        <w:rPr>
          <w:rFonts w:ascii="宋体" w:hAnsi="宋体" w:eastAsia="宋体" w:cs="宋体"/>
          <w:spacing w:val="9"/>
          <w:sz w:val="17"/>
          <w:szCs w:val="17"/>
        </w:rPr>
        <w:t>位</w:t>
      </w:r>
      <w:r>
        <w:rPr>
          <w:rFonts w:ascii="宋体" w:hAnsi="宋体" w:eastAsia="宋体" w:cs="宋体"/>
          <w:spacing w:val="8"/>
          <w:sz w:val="17"/>
          <w:szCs w:val="17"/>
        </w:rPr>
        <w:t>正式发文为依据， 以正式发文时间为准；正式约谈要以上述单位的书面通知和约谈会议纪要为依据，时间以约谈</w:t>
      </w:r>
      <w:r>
        <w:rPr>
          <w:rFonts w:ascii="宋体" w:hAnsi="宋体" w:eastAsia="宋体" w:cs="宋体"/>
          <w:sz w:val="17"/>
          <w:szCs w:val="17"/>
        </w:rPr>
        <w:t xml:space="preserve"> </w:t>
      </w:r>
      <w:r>
        <w:rPr>
          <w:rFonts w:ascii="宋体" w:hAnsi="宋体" w:eastAsia="宋体" w:cs="宋体"/>
          <w:spacing w:val="14"/>
          <w:sz w:val="17"/>
          <w:szCs w:val="17"/>
        </w:rPr>
        <w:t>会</w:t>
      </w:r>
      <w:r>
        <w:rPr>
          <w:rFonts w:ascii="宋体" w:hAnsi="宋体" w:eastAsia="宋体" w:cs="宋体"/>
          <w:spacing w:val="8"/>
          <w:sz w:val="17"/>
          <w:szCs w:val="17"/>
        </w:rPr>
        <w:t>议纪要发文时间为准</w:t>
      </w:r>
      <w:r>
        <w:rPr>
          <w:rFonts w:hint="eastAsia" w:ascii="宋体" w:hAnsi="宋体" w:eastAsia="宋体" w:cs="宋体"/>
          <w:spacing w:val="8"/>
          <w:sz w:val="17"/>
          <w:szCs w:val="17"/>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
  <w:displayHorizontalDrawingGridEvery w:val="1"/>
  <w:displayVerticalDrawingGridEvery w:val="1"/>
  <w:doNotShadeFormData w:val="1"/>
  <w:noPunctuationKerning w:val="1"/>
  <w:characterSpacingControl w:val="compressPunctuation"/>
  <w:doNotValidateAgainstSchema/>
  <w:doNotDemarcateInvalidXml/>
  <w:footnotePr>
    <w:numFmt w:val="decimalEnclosedCircleChinese"/>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172A27"/>
    <w:rsid w:val="0000137D"/>
    <w:rsid w:val="000019DB"/>
    <w:rsid w:val="00002222"/>
    <w:rsid w:val="00004489"/>
    <w:rsid w:val="0000578A"/>
    <w:rsid w:val="00007E1D"/>
    <w:rsid w:val="00013B13"/>
    <w:rsid w:val="00015BF2"/>
    <w:rsid w:val="000201F6"/>
    <w:rsid w:val="000202B3"/>
    <w:rsid w:val="00025C14"/>
    <w:rsid w:val="000264C7"/>
    <w:rsid w:val="0003073B"/>
    <w:rsid w:val="00030C81"/>
    <w:rsid w:val="00034BAB"/>
    <w:rsid w:val="00044848"/>
    <w:rsid w:val="0004656D"/>
    <w:rsid w:val="00050AA3"/>
    <w:rsid w:val="00053C9B"/>
    <w:rsid w:val="000560C9"/>
    <w:rsid w:val="0006245D"/>
    <w:rsid w:val="000625A3"/>
    <w:rsid w:val="000626AB"/>
    <w:rsid w:val="00064ADD"/>
    <w:rsid w:val="0007779B"/>
    <w:rsid w:val="00080F03"/>
    <w:rsid w:val="00090289"/>
    <w:rsid w:val="000907E4"/>
    <w:rsid w:val="00091A7F"/>
    <w:rsid w:val="00092E10"/>
    <w:rsid w:val="000932D6"/>
    <w:rsid w:val="00094532"/>
    <w:rsid w:val="00097E11"/>
    <w:rsid w:val="000A1F67"/>
    <w:rsid w:val="000A36C6"/>
    <w:rsid w:val="000B04F8"/>
    <w:rsid w:val="000B3617"/>
    <w:rsid w:val="000B42AE"/>
    <w:rsid w:val="000B49F3"/>
    <w:rsid w:val="000B51D6"/>
    <w:rsid w:val="000B58CE"/>
    <w:rsid w:val="000B79B4"/>
    <w:rsid w:val="000C09C2"/>
    <w:rsid w:val="000C496F"/>
    <w:rsid w:val="000D1CD3"/>
    <w:rsid w:val="000D2BED"/>
    <w:rsid w:val="000D4805"/>
    <w:rsid w:val="000D6419"/>
    <w:rsid w:val="000D7257"/>
    <w:rsid w:val="000E0A06"/>
    <w:rsid w:val="000E2B60"/>
    <w:rsid w:val="000E61DB"/>
    <w:rsid w:val="000E771E"/>
    <w:rsid w:val="000E7AA4"/>
    <w:rsid w:val="000F1B2C"/>
    <w:rsid w:val="000F1BC5"/>
    <w:rsid w:val="000F216E"/>
    <w:rsid w:val="000F58B3"/>
    <w:rsid w:val="000F71B2"/>
    <w:rsid w:val="000F7226"/>
    <w:rsid w:val="001005FD"/>
    <w:rsid w:val="0010185E"/>
    <w:rsid w:val="0010286B"/>
    <w:rsid w:val="00103AAA"/>
    <w:rsid w:val="0010799F"/>
    <w:rsid w:val="00112849"/>
    <w:rsid w:val="0011474D"/>
    <w:rsid w:val="00114EAA"/>
    <w:rsid w:val="001152E5"/>
    <w:rsid w:val="001153A0"/>
    <w:rsid w:val="0011561F"/>
    <w:rsid w:val="00115BFD"/>
    <w:rsid w:val="001164CA"/>
    <w:rsid w:val="00117A70"/>
    <w:rsid w:val="00120EC0"/>
    <w:rsid w:val="00122B7F"/>
    <w:rsid w:val="00122FB2"/>
    <w:rsid w:val="001232EE"/>
    <w:rsid w:val="00123A4D"/>
    <w:rsid w:val="0012711F"/>
    <w:rsid w:val="00133707"/>
    <w:rsid w:val="00133BED"/>
    <w:rsid w:val="00133F08"/>
    <w:rsid w:val="00134CE2"/>
    <w:rsid w:val="001429FF"/>
    <w:rsid w:val="00142B70"/>
    <w:rsid w:val="0014540C"/>
    <w:rsid w:val="001466B8"/>
    <w:rsid w:val="00147669"/>
    <w:rsid w:val="00150381"/>
    <w:rsid w:val="001509D4"/>
    <w:rsid w:val="00150AAA"/>
    <w:rsid w:val="00151115"/>
    <w:rsid w:val="00155A3D"/>
    <w:rsid w:val="00156694"/>
    <w:rsid w:val="0015702A"/>
    <w:rsid w:val="0015785B"/>
    <w:rsid w:val="00157D75"/>
    <w:rsid w:val="00157F0F"/>
    <w:rsid w:val="0016278C"/>
    <w:rsid w:val="00162B2B"/>
    <w:rsid w:val="00164028"/>
    <w:rsid w:val="00166BF0"/>
    <w:rsid w:val="0016769D"/>
    <w:rsid w:val="001676D8"/>
    <w:rsid w:val="00167784"/>
    <w:rsid w:val="001678CB"/>
    <w:rsid w:val="00167D11"/>
    <w:rsid w:val="001769BC"/>
    <w:rsid w:val="00177412"/>
    <w:rsid w:val="00180C61"/>
    <w:rsid w:val="00181AD0"/>
    <w:rsid w:val="00182119"/>
    <w:rsid w:val="00182EC8"/>
    <w:rsid w:val="0018483D"/>
    <w:rsid w:val="00184D03"/>
    <w:rsid w:val="00186283"/>
    <w:rsid w:val="00186E41"/>
    <w:rsid w:val="00191295"/>
    <w:rsid w:val="00193573"/>
    <w:rsid w:val="00193817"/>
    <w:rsid w:val="00196E81"/>
    <w:rsid w:val="001976D1"/>
    <w:rsid w:val="001976F1"/>
    <w:rsid w:val="00197A27"/>
    <w:rsid w:val="00197CFA"/>
    <w:rsid w:val="001A292A"/>
    <w:rsid w:val="001A2FE8"/>
    <w:rsid w:val="001A5E3C"/>
    <w:rsid w:val="001C0A32"/>
    <w:rsid w:val="001C2C77"/>
    <w:rsid w:val="001C4F40"/>
    <w:rsid w:val="001C52E7"/>
    <w:rsid w:val="001C7B05"/>
    <w:rsid w:val="001D0A44"/>
    <w:rsid w:val="001D0A9F"/>
    <w:rsid w:val="001D243C"/>
    <w:rsid w:val="001D26A8"/>
    <w:rsid w:val="001D3BA1"/>
    <w:rsid w:val="001D570E"/>
    <w:rsid w:val="001D6868"/>
    <w:rsid w:val="001D6BF5"/>
    <w:rsid w:val="001D7671"/>
    <w:rsid w:val="001E03A1"/>
    <w:rsid w:val="001E231C"/>
    <w:rsid w:val="001E4D3E"/>
    <w:rsid w:val="001E6A7B"/>
    <w:rsid w:val="001E73B6"/>
    <w:rsid w:val="001E7CC4"/>
    <w:rsid w:val="001F1122"/>
    <w:rsid w:val="001F1672"/>
    <w:rsid w:val="001F26D3"/>
    <w:rsid w:val="001F36BB"/>
    <w:rsid w:val="001F490F"/>
    <w:rsid w:val="001F73C2"/>
    <w:rsid w:val="00202258"/>
    <w:rsid w:val="002032E1"/>
    <w:rsid w:val="00204EFD"/>
    <w:rsid w:val="002055DE"/>
    <w:rsid w:val="00205F33"/>
    <w:rsid w:val="002075E5"/>
    <w:rsid w:val="00210910"/>
    <w:rsid w:val="00211773"/>
    <w:rsid w:val="002309B5"/>
    <w:rsid w:val="00230A5D"/>
    <w:rsid w:val="002320EE"/>
    <w:rsid w:val="002349CD"/>
    <w:rsid w:val="00236D4B"/>
    <w:rsid w:val="00237AB4"/>
    <w:rsid w:val="0024349D"/>
    <w:rsid w:val="002443E9"/>
    <w:rsid w:val="00244415"/>
    <w:rsid w:val="00245A7C"/>
    <w:rsid w:val="0025297F"/>
    <w:rsid w:val="00252E4C"/>
    <w:rsid w:val="00253C6E"/>
    <w:rsid w:val="0025407B"/>
    <w:rsid w:val="0025471F"/>
    <w:rsid w:val="00256230"/>
    <w:rsid w:val="002569BA"/>
    <w:rsid w:val="00257360"/>
    <w:rsid w:val="00262466"/>
    <w:rsid w:val="00262491"/>
    <w:rsid w:val="002636DC"/>
    <w:rsid w:val="00264CAE"/>
    <w:rsid w:val="00267BDF"/>
    <w:rsid w:val="00267F79"/>
    <w:rsid w:val="00271B1C"/>
    <w:rsid w:val="00275C21"/>
    <w:rsid w:val="0028055B"/>
    <w:rsid w:val="00281DB8"/>
    <w:rsid w:val="00282C0B"/>
    <w:rsid w:val="00287C8F"/>
    <w:rsid w:val="00291258"/>
    <w:rsid w:val="00291E4E"/>
    <w:rsid w:val="00292F67"/>
    <w:rsid w:val="00292F96"/>
    <w:rsid w:val="00296B7E"/>
    <w:rsid w:val="00297A6D"/>
    <w:rsid w:val="00297E8D"/>
    <w:rsid w:val="002A1F86"/>
    <w:rsid w:val="002A3FB1"/>
    <w:rsid w:val="002A56E6"/>
    <w:rsid w:val="002A58F2"/>
    <w:rsid w:val="002A7662"/>
    <w:rsid w:val="002B01BA"/>
    <w:rsid w:val="002B0AED"/>
    <w:rsid w:val="002B312F"/>
    <w:rsid w:val="002B4013"/>
    <w:rsid w:val="002B41BD"/>
    <w:rsid w:val="002B523C"/>
    <w:rsid w:val="002B7FAB"/>
    <w:rsid w:val="002C06DB"/>
    <w:rsid w:val="002C0AA6"/>
    <w:rsid w:val="002C36A2"/>
    <w:rsid w:val="002C45CD"/>
    <w:rsid w:val="002C53C9"/>
    <w:rsid w:val="002C700F"/>
    <w:rsid w:val="002D1278"/>
    <w:rsid w:val="002D4ED0"/>
    <w:rsid w:val="002D6816"/>
    <w:rsid w:val="002E1C95"/>
    <w:rsid w:val="002E2B39"/>
    <w:rsid w:val="002E2BC5"/>
    <w:rsid w:val="002E3488"/>
    <w:rsid w:val="002E4299"/>
    <w:rsid w:val="002E7335"/>
    <w:rsid w:val="002F349A"/>
    <w:rsid w:val="002F3F82"/>
    <w:rsid w:val="002F6488"/>
    <w:rsid w:val="002F686D"/>
    <w:rsid w:val="002F6C49"/>
    <w:rsid w:val="002F7F1B"/>
    <w:rsid w:val="0030133D"/>
    <w:rsid w:val="003018F7"/>
    <w:rsid w:val="0030227F"/>
    <w:rsid w:val="00303EC2"/>
    <w:rsid w:val="00304CAC"/>
    <w:rsid w:val="00304E45"/>
    <w:rsid w:val="003074EF"/>
    <w:rsid w:val="003101D7"/>
    <w:rsid w:val="00314B54"/>
    <w:rsid w:val="003162FA"/>
    <w:rsid w:val="0031760A"/>
    <w:rsid w:val="00317A96"/>
    <w:rsid w:val="0032005E"/>
    <w:rsid w:val="0032310C"/>
    <w:rsid w:val="003239D4"/>
    <w:rsid w:val="00323BED"/>
    <w:rsid w:val="00326017"/>
    <w:rsid w:val="00327167"/>
    <w:rsid w:val="00327636"/>
    <w:rsid w:val="00334096"/>
    <w:rsid w:val="003404B9"/>
    <w:rsid w:val="00341D7D"/>
    <w:rsid w:val="003425E7"/>
    <w:rsid w:val="00343871"/>
    <w:rsid w:val="00344F4B"/>
    <w:rsid w:val="00345EBC"/>
    <w:rsid w:val="00347128"/>
    <w:rsid w:val="003530D2"/>
    <w:rsid w:val="00353240"/>
    <w:rsid w:val="00355CD6"/>
    <w:rsid w:val="003564DD"/>
    <w:rsid w:val="00356D2C"/>
    <w:rsid w:val="0035779D"/>
    <w:rsid w:val="00367043"/>
    <w:rsid w:val="00370E4F"/>
    <w:rsid w:val="00371632"/>
    <w:rsid w:val="00371778"/>
    <w:rsid w:val="00372DD2"/>
    <w:rsid w:val="00376C65"/>
    <w:rsid w:val="00376D67"/>
    <w:rsid w:val="0038109E"/>
    <w:rsid w:val="003845B2"/>
    <w:rsid w:val="00384C67"/>
    <w:rsid w:val="00386179"/>
    <w:rsid w:val="003940D1"/>
    <w:rsid w:val="00394C19"/>
    <w:rsid w:val="00394E21"/>
    <w:rsid w:val="00395B4C"/>
    <w:rsid w:val="003A2EB3"/>
    <w:rsid w:val="003A4D60"/>
    <w:rsid w:val="003A7BD6"/>
    <w:rsid w:val="003B3A63"/>
    <w:rsid w:val="003B41D8"/>
    <w:rsid w:val="003B5444"/>
    <w:rsid w:val="003B7B0A"/>
    <w:rsid w:val="003B7FBA"/>
    <w:rsid w:val="003C083B"/>
    <w:rsid w:val="003C1BBF"/>
    <w:rsid w:val="003C4CCB"/>
    <w:rsid w:val="003D234E"/>
    <w:rsid w:val="003D244F"/>
    <w:rsid w:val="003E08A8"/>
    <w:rsid w:val="003E0BB1"/>
    <w:rsid w:val="003E62A7"/>
    <w:rsid w:val="003E652A"/>
    <w:rsid w:val="003F049E"/>
    <w:rsid w:val="003F5204"/>
    <w:rsid w:val="003F6821"/>
    <w:rsid w:val="003F6D72"/>
    <w:rsid w:val="00401C21"/>
    <w:rsid w:val="00404D26"/>
    <w:rsid w:val="00405B10"/>
    <w:rsid w:val="00406146"/>
    <w:rsid w:val="0040620C"/>
    <w:rsid w:val="004077FA"/>
    <w:rsid w:val="00412E99"/>
    <w:rsid w:val="00413A7A"/>
    <w:rsid w:val="00415007"/>
    <w:rsid w:val="0041535D"/>
    <w:rsid w:val="00416EAF"/>
    <w:rsid w:val="00417BB0"/>
    <w:rsid w:val="004219FC"/>
    <w:rsid w:val="00423871"/>
    <w:rsid w:val="00423AAD"/>
    <w:rsid w:val="004258BB"/>
    <w:rsid w:val="004265A6"/>
    <w:rsid w:val="004322E7"/>
    <w:rsid w:val="004325A0"/>
    <w:rsid w:val="00433269"/>
    <w:rsid w:val="00434F01"/>
    <w:rsid w:val="0044339E"/>
    <w:rsid w:val="00443BBF"/>
    <w:rsid w:val="004454D4"/>
    <w:rsid w:val="00446043"/>
    <w:rsid w:val="004467D0"/>
    <w:rsid w:val="0044698E"/>
    <w:rsid w:val="00450081"/>
    <w:rsid w:val="00453046"/>
    <w:rsid w:val="004536C4"/>
    <w:rsid w:val="004553B2"/>
    <w:rsid w:val="00457A68"/>
    <w:rsid w:val="0046025E"/>
    <w:rsid w:val="004605BA"/>
    <w:rsid w:val="00461A17"/>
    <w:rsid w:val="00461EB8"/>
    <w:rsid w:val="004636D5"/>
    <w:rsid w:val="004654E2"/>
    <w:rsid w:val="00466220"/>
    <w:rsid w:val="004670AB"/>
    <w:rsid w:val="00467195"/>
    <w:rsid w:val="0047113C"/>
    <w:rsid w:val="004713DF"/>
    <w:rsid w:val="00472C39"/>
    <w:rsid w:val="004747F9"/>
    <w:rsid w:val="00475CDB"/>
    <w:rsid w:val="004810DC"/>
    <w:rsid w:val="00484B13"/>
    <w:rsid w:val="00493C2D"/>
    <w:rsid w:val="004965FF"/>
    <w:rsid w:val="00496AB9"/>
    <w:rsid w:val="00497CD8"/>
    <w:rsid w:val="004A33AD"/>
    <w:rsid w:val="004A7FAB"/>
    <w:rsid w:val="004B0FD0"/>
    <w:rsid w:val="004B34E0"/>
    <w:rsid w:val="004B3F45"/>
    <w:rsid w:val="004B60CA"/>
    <w:rsid w:val="004C0FA0"/>
    <w:rsid w:val="004C2FB2"/>
    <w:rsid w:val="004C39C9"/>
    <w:rsid w:val="004C628C"/>
    <w:rsid w:val="004C6A34"/>
    <w:rsid w:val="004C6CE0"/>
    <w:rsid w:val="004D0361"/>
    <w:rsid w:val="004D167F"/>
    <w:rsid w:val="004D1692"/>
    <w:rsid w:val="004D2AC8"/>
    <w:rsid w:val="004D33CA"/>
    <w:rsid w:val="004D429D"/>
    <w:rsid w:val="004D4ED1"/>
    <w:rsid w:val="004D61E1"/>
    <w:rsid w:val="004D7C71"/>
    <w:rsid w:val="004E168B"/>
    <w:rsid w:val="004E3B1F"/>
    <w:rsid w:val="004E5B74"/>
    <w:rsid w:val="004E7A2A"/>
    <w:rsid w:val="004F14F6"/>
    <w:rsid w:val="004F303B"/>
    <w:rsid w:val="004F329F"/>
    <w:rsid w:val="004F7137"/>
    <w:rsid w:val="005003EE"/>
    <w:rsid w:val="005009F1"/>
    <w:rsid w:val="00501B8F"/>
    <w:rsid w:val="00504838"/>
    <w:rsid w:val="00504F78"/>
    <w:rsid w:val="005067A1"/>
    <w:rsid w:val="00506850"/>
    <w:rsid w:val="00506BED"/>
    <w:rsid w:val="00513715"/>
    <w:rsid w:val="00513FC9"/>
    <w:rsid w:val="005218A0"/>
    <w:rsid w:val="0052274B"/>
    <w:rsid w:val="00522DB2"/>
    <w:rsid w:val="0052493B"/>
    <w:rsid w:val="00536F9E"/>
    <w:rsid w:val="00537AC7"/>
    <w:rsid w:val="00537D4B"/>
    <w:rsid w:val="00540578"/>
    <w:rsid w:val="0054230C"/>
    <w:rsid w:val="00542754"/>
    <w:rsid w:val="005434CE"/>
    <w:rsid w:val="00544029"/>
    <w:rsid w:val="00545179"/>
    <w:rsid w:val="00547E1E"/>
    <w:rsid w:val="00550D5A"/>
    <w:rsid w:val="00551AB7"/>
    <w:rsid w:val="00557D89"/>
    <w:rsid w:val="00562C9E"/>
    <w:rsid w:val="005647D4"/>
    <w:rsid w:val="00564B62"/>
    <w:rsid w:val="005657F9"/>
    <w:rsid w:val="005668DE"/>
    <w:rsid w:val="00567EF0"/>
    <w:rsid w:val="00571F3D"/>
    <w:rsid w:val="00571FE0"/>
    <w:rsid w:val="00572A70"/>
    <w:rsid w:val="00572FC2"/>
    <w:rsid w:val="00573658"/>
    <w:rsid w:val="00575FE4"/>
    <w:rsid w:val="0057610F"/>
    <w:rsid w:val="00576CAB"/>
    <w:rsid w:val="00577899"/>
    <w:rsid w:val="00580083"/>
    <w:rsid w:val="005810B9"/>
    <w:rsid w:val="0058765D"/>
    <w:rsid w:val="00590377"/>
    <w:rsid w:val="00591581"/>
    <w:rsid w:val="00591D72"/>
    <w:rsid w:val="00594C8E"/>
    <w:rsid w:val="005A2F5C"/>
    <w:rsid w:val="005A3AF9"/>
    <w:rsid w:val="005A4E27"/>
    <w:rsid w:val="005A4FEB"/>
    <w:rsid w:val="005A517D"/>
    <w:rsid w:val="005A7E3E"/>
    <w:rsid w:val="005B04F3"/>
    <w:rsid w:val="005B0A39"/>
    <w:rsid w:val="005B0FDE"/>
    <w:rsid w:val="005B1756"/>
    <w:rsid w:val="005B285D"/>
    <w:rsid w:val="005B2F3D"/>
    <w:rsid w:val="005B303C"/>
    <w:rsid w:val="005B7AD5"/>
    <w:rsid w:val="005C0714"/>
    <w:rsid w:val="005C0B6E"/>
    <w:rsid w:val="005C467A"/>
    <w:rsid w:val="005C57A9"/>
    <w:rsid w:val="005D3077"/>
    <w:rsid w:val="005D3701"/>
    <w:rsid w:val="005D3C8D"/>
    <w:rsid w:val="005E5F9B"/>
    <w:rsid w:val="005E6D2E"/>
    <w:rsid w:val="005F0EE1"/>
    <w:rsid w:val="005F0F66"/>
    <w:rsid w:val="005F24E1"/>
    <w:rsid w:val="005F4AC3"/>
    <w:rsid w:val="005F750B"/>
    <w:rsid w:val="006027AA"/>
    <w:rsid w:val="0060308A"/>
    <w:rsid w:val="00603DCC"/>
    <w:rsid w:val="0060404D"/>
    <w:rsid w:val="006076E2"/>
    <w:rsid w:val="006121B2"/>
    <w:rsid w:val="00613C9F"/>
    <w:rsid w:val="00613FA9"/>
    <w:rsid w:val="00617824"/>
    <w:rsid w:val="00620C75"/>
    <w:rsid w:val="00621A23"/>
    <w:rsid w:val="00621CC3"/>
    <w:rsid w:val="0062210D"/>
    <w:rsid w:val="00625E35"/>
    <w:rsid w:val="00626F2E"/>
    <w:rsid w:val="00631D70"/>
    <w:rsid w:val="0063355E"/>
    <w:rsid w:val="0063403A"/>
    <w:rsid w:val="00637F8D"/>
    <w:rsid w:val="0064013C"/>
    <w:rsid w:val="0064524B"/>
    <w:rsid w:val="0064614B"/>
    <w:rsid w:val="00646330"/>
    <w:rsid w:val="0065355F"/>
    <w:rsid w:val="00666C91"/>
    <w:rsid w:val="006677BB"/>
    <w:rsid w:val="00670191"/>
    <w:rsid w:val="00670257"/>
    <w:rsid w:val="00670FBC"/>
    <w:rsid w:val="00673387"/>
    <w:rsid w:val="00673E9D"/>
    <w:rsid w:val="00674B0F"/>
    <w:rsid w:val="00674E2B"/>
    <w:rsid w:val="00675529"/>
    <w:rsid w:val="00681D6F"/>
    <w:rsid w:val="00685625"/>
    <w:rsid w:val="00690363"/>
    <w:rsid w:val="0069074C"/>
    <w:rsid w:val="00690AB9"/>
    <w:rsid w:val="00690B0F"/>
    <w:rsid w:val="00691D16"/>
    <w:rsid w:val="00693FBC"/>
    <w:rsid w:val="00694022"/>
    <w:rsid w:val="00695EF1"/>
    <w:rsid w:val="0069629C"/>
    <w:rsid w:val="006977D2"/>
    <w:rsid w:val="006A072F"/>
    <w:rsid w:val="006A0CBF"/>
    <w:rsid w:val="006A3DD6"/>
    <w:rsid w:val="006A6279"/>
    <w:rsid w:val="006B1A85"/>
    <w:rsid w:val="006B1F8E"/>
    <w:rsid w:val="006B69FF"/>
    <w:rsid w:val="006B71FC"/>
    <w:rsid w:val="006C1CB1"/>
    <w:rsid w:val="006C3487"/>
    <w:rsid w:val="006C3BD0"/>
    <w:rsid w:val="006C5A9D"/>
    <w:rsid w:val="006C5DDF"/>
    <w:rsid w:val="006C61F4"/>
    <w:rsid w:val="006C7180"/>
    <w:rsid w:val="006C7927"/>
    <w:rsid w:val="006C79FC"/>
    <w:rsid w:val="006D39EB"/>
    <w:rsid w:val="006D4971"/>
    <w:rsid w:val="006D686C"/>
    <w:rsid w:val="006E4D59"/>
    <w:rsid w:val="006E53DC"/>
    <w:rsid w:val="006F160C"/>
    <w:rsid w:val="006F2FCB"/>
    <w:rsid w:val="006F5A68"/>
    <w:rsid w:val="006F78B4"/>
    <w:rsid w:val="00700725"/>
    <w:rsid w:val="0070169E"/>
    <w:rsid w:val="007016E4"/>
    <w:rsid w:val="007024A2"/>
    <w:rsid w:val="0070257E"/>
    <w:rsid w:val="0070365E"/>
    <w:rsid w:val="00704313"/>
    <w:rsid w:val="00707185"/>
    <w:rsid w:val="00712655"/>
    <w:rsid w:val="0071306A"/>
    <w:rsid w:val="007138D1"/>
    <w:rsid w:val="0071524F"/>
    <w:rsid w:val="00716F29"/>
    <w:rsid w:val="007220D2"/>
    <w:rsid w:val="00723631"/>
    <w:rsid w:val="0072387C"/>
    <w:rsid w:val="0072668D"/>
    <w:rsid w:val="0073005C"/>
    <w:rsid w:val="00730D82"/>
    <w:rsid w:val="007312BD"/>
    <w:rsid w:val="0073469E"/>
    <w:rsid w:val="00734F50"/>
    <w:rsid w:val="007374A8"/>
    <w:rsid w:val="007378CC"/>
    <w:rsid w:val="007417CA"/>
    <w:rsid w:val="0074341E"/>
    <w:rsid w:val="00744682"/>
    <w:rsid w:val="0074550F"/>
    <w:rsid w:val="00747D12"/>
    <w:rsid w:val="00747D56"/>
    <w:rsid w:val="0075011A"/>
    <w:rsid w:val="007509A9"/>
    <w:rsid w:val="00761207"/>
    <w:rsid w:val="0076328B"/>
    <w:rsid w:val="00764275"/>
    <w:rsid w:val="00765E3F"/>
    <w:rsid w:val="00770C6B"/>
    <w:rsid w:val="007712CE"/>
    <w:rsid w:val="0077596C"/>
    <w:rsid w:val="00776FE7"/>
    <w:rsid w:val="00780777"/>
    <w:rsid w:val="007854D5"/>
    <w:rsid w:val="00790FE6"/>
    <w:rsid w:val="007913ED"/>
    <w:rsid w:val="0079420A"/>
    <w:rsid w:val="007958DB"/>
    <w:rsid w:val="00796128"/>
    <w:rsid w:val="00796155"/>
    <w:rsid w:val="007969EE"/>
    <w:rsid w:val="007A2F89"/>
    <w:rsid w:val="007A46CF"/>
    <w:rsid w:val="007A6B00"/>
    <w:rsid w:val="007A7F7F"/>
    <w:rsid w:val="007B0900"/>
    <w:rsid w:val="007B1A87"/>
    <w:rsid w:val="007B2637"/>
    <w:rsid w:val="007B2792"/>
    <w:rsid w:val="007B2833"/>
    <w:rsid w:val="007B3D71"/>
    <w:rsid w:val="007B4B14"/>
    <w:rsid w:val="007B7216"/>
    <w:rsid w:val="007B7FB4"/>
    <w:rsid w:val="007C7277"/>
    <w:rsid w:val="007D11CD"/>
    <w:rsid w:val="007D15DF"/>
    <w:rsid w:val="007D2389"/>
    <w:rsid w:val="007D549A"/>
    <w:rsid w:val="007D56B5"/>
    <w:rsid w:val="007D6585"/>
    <w:rsid w:val="007D72B8"/>
    <w:rsid w:val="007E0FAD"/>
    <w:rsid w:val="007E1BA0"/>
    <w:rsid w:val="007E70BC"/>
    <w:rsid w:val="007F0DFB"/>
    <w:rsid w:val="007F0FF4"/>
    <w:rsid w:val="007F102F"/>
    <w:rsid w:val="007F7717"/>
    <w:rsid w:val="00800245"/>
    <w:rsid w:val="0080650F"/>
    <w:rsid w:val="00806579"/>
    <w:rsid w:val="00812985"/>
    <w:rsid w:val="0082230E"/>
    <w:rsid w:val="008303BB"/>
    <w:rsid w:val="00830818"/>
    <w:rsid w:val="00831166"/>
    <w:rsid w:val="00832A01"/>
    <w:rsid w:val="00833421"/>
    <w:rsid w:val="00833D4B"/>
    <w:rsid w:val="00834052"/>
    <w:rsid w:val="008404A7"/>
    <w:rsid w:val="00842280"/>
    <w:rsid w:val="00844E5E"/>
    <w:rsid w:val="008454E4"/>
    <w:rsid w:val="008457C2"/>
    <w:rsid w:val="00846CFD"/>
    <w:rsid w:val="0085007C"/>
    <w:rsid w:val="008513AB"/>
    <w:rsid w:val="0085181A"/>
    <w:rsid w:val="008528EF"/>
    <w:rsid w:val="00857CDB"/>
    <w:rsid w:val="008613FC"/>
    <w:rsid w:val="00862692"/>
    <w:rsid w:val="0086299E"/>
    <w:rsid w:val="0086384A"/>
    <w:rsid w:val="00864082"/>
    <w:rsid w:val="0086462B"/>
    <w:rsid w:val="00865777"/>
    <w:rsid w:val="00865E2C"/>
    <w:rsid w:val="0086624A"/>
    <w:rsid w:val="00866A4F"/>
    <w:rsid w:val="00866AF5"/>
    <w:rsid w:val="0087360F"/>
    <w:rsid w:val="00873A8E"/>
    <w:rsid w:val="008741DC"/>
    <w:rsid w:val="0087607C"/>
    <w:rsid w:val="00881CAF"/>
    <w:rsid w:val="00882734"/>
    <w:rsid w:val="00883549"/>
    <w:rsid w:val="008837EB"/>
    <w:rsid w:val="0088771B"/>
    <w:rsid w:val="00887C45"/>
    <w:rsid w:val="00887D8B"/>
    <w:rsid w:val="00887F76"/>
    <w:rsid w:val="0089008C"/>
    <w:rsid w:val="008901F3"/>
    <w:rsid w:val="00890744"/>
    <w:rsid w:val="008910BA"/>
    <w:rsid w:val="008A0324"/>
    <w:rsid w:val="008A0E39"/>
    <w:rsid w:val="008A184C"/>
    <w:rsid w:val="008A295C"/>
    <w:rsid w:val="008A3D09"/>
    <w:rsid w:val="008B26B6"/>
    <w:rsid w:val="008B47A0"/>
    <w:rsid w:val="008B4BA9"/>
    <w:rsid w:val="008B562A"/>
    <w:rsid w:val="008B7416"/>
    <w:rsid w:val="008C19DF"/>
    <w:rsid w:val="008C20D0"/>
    <w:rsid w:val="008C46D5"/>
    <w:rsid w:val="008C4973"/>
    <w:rsid w:val="008D305B"/>
    <w:rsid w:val="008D54BE"/>
    <w:rsid w:val="008E3616"/>
    <w:rsid w:val="008E3A7B"/>
    <w:rsid w:val="008E4FB1"/>
    <w:rsid w:val="008E771C"/>
    <w:rsid w:val="008E787F"/>
    <w:rsid w:val="008E7D44"/>
    <w:rsid w:val="008F1041"/>
    <w:rsid w:val="008F39E9"/>
    <w:rsid w:val="008F57BF"/>
    <w:rsid w:val="008F5CBD"/>
    <w:rsid w:val="00900529"/>
    <w:rsid w:val="009011E0"/>
    <w:rsid w:val="0090198E"/>
    <w:rsid w:val="009041E9"/>
    <w:rsid w:val="00904B68"/>
    <w:rsid w:val="00905F74"/>
    <w:rsid w:val="0090625C"/>
    <w:rsid w:val="00910B64"/>
    <w:rsid w:val="00910E36"/>
    <w:rsid w:val="00912153"/>
    <w:rsid w:val="00917DF2"/>
    <w:rsid w:val="009206BA"/>
    <w:rsid w:val="009217F7"/>
    <w:rsid w:val="009220C6"/>
    <w:rsid w:val="00923718"/>
    <w:rsid w:val="0092435E"/>
    <w:rsid w:val="0092554A"/>
    <w:rsid w:val="0092623B"/>
    <w:rsid w:val="0092791C"/>
    <w:rsid w:val="009302BA"/>
    <w:rsid w:val="00930703"/>
    <w:rsid w:val="009322C7"/>
    <w:rsid w:val="00940211"/>
    <w:rsid w:val="00941165"/>
    <w:rsid w:val="009412E0"/>
    <w:rsid w:val="009424AA"/>
    <w:rsid w:val="009464E6"/>
    <w:rsid w:val="00947F4A"/>
    <w:rsid w:val="00951CA5"/>
    <w:rsid w:val="00952677"/>
    <w:rsid w:val="00956D39"/>
    <w:rsid w:val="009622C3"/>
    <w:rsid w:val="009637F2"/>
    <w:rsid w:val="00970413"/>
    <w:rsid w:val="00971082"/>
    <w:rsid w:val="009717EE"/>
    <w:rsid w:val="009725E5"/>
    <w:rsid w:val="00973392"/>
    <w:rsid w:val="00974A95"/>
    <w:rsid w:val="00974BCA"/>
    <w:rsid w:val="00974C40"/>
    <w:rsid w:val="00977D4A"/>
    <w:rsid w:val="009803E4"/>
    <w:rsid w:val="00981477"/>
    <w:rsid w:val="0098362E"/>
    <w:rsid w:val="009838FD"/>
    <w:rsid w:val="0098790D"/>
    <w:rsid w:val="00991B31"/>
    <w:rsid w:val="00992DE7"/>
    <w:rsid w:val="00994BB6"/>
    <w:rsid w:val="009A1ACC"/>
    <w:rsid w:val="009A2435"/>
    <w:rsid w:val="009A26CD"/>
    <w:rsid w:val="009A30AF"/>
    <w:rsid w:val="009A486A"/>
    <w:rsid w:val="009A5467"/>
    <w:rsid w:val="009A5626"/>
    <w:rsid w:val="009A57CB"/>
    <w:rsid w:val="009A65B3"/>
    <w:rsid w:val="009A6D12"/>
    <w:rsid w:val="009A7242"/>
    <w:rsid w:val="009A7FBC"/>
    <w:rsid w:val="009B2034"/>
    <w:rsid w:val="009C2435"/>
    <w:rsid w:val="009C266C"/>
    <w:rsid w:val="009C3FE3"/>
    <w:rsid w:val="009C474C"/>
    <w:rsid w:val="009C4F4C"/>
    <w:rsid w:val="009C5B7A"/>
    <w:rsid w:val="009C6332"/>
    <w:rsid w:val="009C7A05"/>
    <w:rsid w:val="009D0908"/>
    <w:rsid w:val="009D09A5"/>
    <w:rsid w:val="009D282B"/>
    <w:rsid w:val="009E10B3"/>
    <w:rsid w:val="009E2ACF"/>
    <w:rsid w:val="009E3CAB"/>
    <w:rsid w:val="009E3E63"/>
    <w:rsid w:val="009E409E"/>
    <w:rsid w:val="009E5D71"/>
    <w:rsid w:val="009E6F4E"/>
    <w:rsid w:val="009F1C57"/>
    <w:rsid w:val="009F3FEC"/>
    <w:rsid w:val="009F445F"/>
    <w:rsid w:val="009F4C3D"/>
    <w:rsid w:val="009F5C56"/>
    <w:rsid w:val="009F655E"/>
    <w:rsid w:val="009F6903"/>
    <w:rsid w:val="009F763E"/>
    <w:rsid w:val="00A00B0C"/>
    <w:rsid w:val="00A00EFF"/>
    <w:rsid w:val="00A017E1"/>
    <w:rsid w:val="00A019B2"/>
    <w:rsid w:val="00A022FF"/>
    <w:rsid w:val="00A046E4"/>
    <w:rsid w:val="00A05B63"/>
    <w:rsid w:val="00A10878"/>
    <w:rsid w:val="00A10BEA"/>
    <w:rsid w:val="00A14D96"/>
    <w:rsid w:val="00A20DBD"/>
    <w:rsid w:val="00A20E92"/>
    <w:rsid w:val="00A22045"/>
    <w:rsid w:val="00A225A5"/>
    <w:rsid w:val="00A23585"/>
    <w:rsid w:val="00A24889"/>
    <w:rsid w:val="00A256A8"/>
    <w:rsid w:val="00A26E4D"/>
    <w:rsid w:val="00A27F8E"/>
    <w:rsid w:val="00A3020C"/>
    <w:rsid w:val="00A30A5B"/>
    <w:rsid w:val="00A30BE4"/>
    <w:rsid w:val="00A348DB"/>
    <w:rsid w:val="00A34F30"/>
    <w:rsid w:val="00A35A05"/>
    <w:rsid w:val="00A35E69"/>
    <w:rsid w:val="00A41735"/>
    <w:rsid w:val="00A453A4"/>
    <w:rsid w:val="00A46103"/>
    <w:rsid w:val="00A477ED"/>
    <w:rsid w:val="00A47E5D"/>
    <w:rsid w:val="00A5489B"/>
    <w:rsid w:val="00A55566"/>
    <w:rsid w:val="00A57321"/>
    <w:rsid w:val="00A63C4E"/>
    <w:rsid w:val="00A65742"/>
    <w:rsid w:val="00A661E3"/>
    <w:rsid w:val="00A66CFA"/>
    <w:rsid w:val="00A67948"/>
    <w:rsid w:val="00A761DC"/>
    <w:rsid w:val="00A77F40"/>
    <w:rsid w:val="00A807B8"/>
    <w:rsid w:val="00A818E9"/>
    <w:rsid w:val="00A86D10"/>
    <w:rsid w:val="00A90E84"/>
    <w:rsid w:val="00A97B12"/>
    <w:rsid w:val="00AA20E4"/>
    <w:rsid w:val="00AA2D63"/>
    <w:rsid w:val="00AA39BC"/>
    <w:rsid w:val="00AA4187"/>
    <w:rsid w:val="00AA467F"/>
    <w:rsid w:val="00AA51F2"/>
    <w:rsid w:val="00AA6752"/>
    <w:rsid w:val="00AA71A7"/>
    <w:rsid w:val="00AA7920"/>
    <w:rsid w:val="00AB23EB"/>
    <w:rsid w:val="00AB5A7F"/>
    <w:rsid w:val="00AC12FD"/>
    <w:rsid w:val="00AC145E"/>
    <w:rsid w:val="00AC16A7"/>
    <w:rsid w:val="00AC23BA"/>
    <w:rsid w:val="00AC244A"/>
    <w:rsid w:val="00AC30BC"/>
    <w:rsid w:val="00AC313D"/>
    <w:rsid w:val="00AC3663"/>
    <w:rsid w:val="00AC6554"/>
    <w:rsid w:val="00AD09F2"/>
    <w:rsid w:val="00AD0D21"/>
    <w:rsid w:val="00AD11FD"/>
    <w:rsid w:val="00AD1EA7"/>
    <w:rsid w:val="00AD224F"/>
    <w:rsid w:val="00AD2371"/>
    <w:rsid w:val="00AD46EF"/>
    <w:rsid w:val="00AD4C91"/>
    <w:rsid w:val="00AD5702"/>
    <w:rsid w:val="00AD5F5A"/>
    <w:rsid w:val="00AD6EE4"/>
    <w:rsid w:val="00AD79F0"/>
    <w:rsid w:val="00AE14E9"/>
    <w:rsid w:val="00AE4D7D"/>
    <w:rsid w:val="00AE589C"/>
    <w:rsid w:val="00AE5C9D"/>
    <w:rsid w:val="00AF2578"/>
    <w:rsid w:val="00AF4AEE"/>
    <w:rsid w:val="00AF5187"/>
    <w:rsid w:val="00AF7969"/>
    <w:rsid w:val="00B01F96"/>
    <w:rsid w:val="00B03B98"/>
    <w:rsid w:val="00B048B0"/>
    <w:rsid w:val="00B072AA"/>
    <w:rsid w:val="00B123E7"/>
    <w:rsid w:val="00B131DA"/>
    <w:rsid w:val="00B209CC"/>
    <w:rsid w:val="00B20C48"/>
    <w:rsid w:val="00B21143"/>
    <w:rsid w:val="00B231C3"/>
    <w:rsid w:val="00B23AEE"/>
    <w:rsid w:val="00B26B90"/>
    <w:rsid w:val="00B35134"/>
    <w:rsid w:val="00B366CA"/>
    <w:rsid w:val="00B376D6"/>
    <w:rsid w:val="00B37A3A"/>
    <w:rsid w:val="00B37E1B"/>
    <w:rsid w:val="00B451CB"/>
    <w:rsid w:val="00B51748"/>
    <w:rsid w:val="00B51BE9"/>
    <w:rsid w:val="00B61276"/>
    <w:rsid w:val="00B61538"/>
    <w:rsid w:val="00B62B0E"/>
    <w:rsid w:val="00B7031B"/>
    <w:rsid w:val="00B7063D"/>
    <w:rsid w:val="00B72164"/>
    <w:rsid w:val="00B75F32"/>
    <w:rsid w:val="00B77CB3"/>
    <w:rsid w:val="00B8268F"/>
    <w:rsid w:val="00B826CD"/>
    <w:rsid w:val="00B83350"/>
    <w:rsid w:val="00B83EA8"/>
    <w:rsid w:val="00B852E7"/>
    <w:rsid w:val="00B855A1"/>
    <w:rsid w:val="00B859D3"/>
    <w:rsid w:val="00B85CA4"/>
    <w:rsid w:val="00B86CD7"/>
    <w:rsid w:val="00B86CFF"/>
    <w:rsid w:val="00B879AA"/>
    <w:rsid w:val="00B94034"/>
    <w:rsid w:val="00B959D4"/>
    <w:rsid w:val="00BA1C90"/>
    <w:rsid w:val="00BA2BCE"/>
    <w:rsid w:val="00BA51C5"/>
    <w:rsid w:val="00BA5E4E"/>
    <w:rsid w:val="00BA60F2"/>
    <w:rsid w:val="00BB0494"/>
    <w:rsid w:val="00BB09BB"/>
    <w:rsid w:val="00BB23B6"/>
    <w:rsid w:val="00BB2B29"/>
    <w:rsid w:val="00BB71AB"/>
    <w:rsid w:val="00BC1355"/>
    <w:rsid w:val="00BC1870"/>
    <w:rsid w:val="00BC28D1"/>
    <w:rsid w:val="00BC36F6"/>
    <w:rsid w:val="00BC5FB6"/>
    <w:rsid w:val="00BC612D"/>
    <w:rsid w:val="00BC63C4"/>
    <w:rsid w:val="00BD054A"/>
    <w:rsid w:val="00BD14FF"/>
    <w:rsid w:val="00BD1710"/>
    <w:rsid w:val="00BD1B59"/>
    <w:rsid w:val="00BD1D03"/>
    <w:rsid w:val="00BD1E9A"/>
    <w:rsid w:val="00BD6FDD"/>
    <w:rsid w:val="00BD7590"/>
    <w:rsid w:val="00BE0D3C"/>
    <w:rsid w:val="00BE411C"/>
    <w:rsid w:val="00BE550D"/>
    <w:rsid w:val="00BE5F47"/>
    <w:rsid w:val="00BE7180"/>
    <w:rsid w:val="00BF1CB8"/>
    <w:rsid w:val="00BF3919"/>
    <w:rsid w:val="00BF3B74"/>
    <w:rsid w:val="00BF4CC0"/>
    <w:rsid w:val="00BF55B0"/>
    <w:rsid w:val="00BF5D68"/>
    <w:rsid w:val="00C00B11"/>
    <w:rsid w:val="00C0308E"/>
    <w:rsid w:val="00C036EF"/>
    <w:rsid w:val="00C04312"/>
    <w:rsid w:val="00C049E2"/>
    <w:rsid w:val="00C0547B"/>
    <w:rsid w:val="00C0657C"/>
    <w:rsid w:val="00C068EE"/>
    <w:rsid w:val="00C06DDB"/>
    <w:rsid w:val="00C15E2A"/>
    <w:rsid w:val="00C1667E"/>
    <w:rsid w:val="00C17F5C"/>
    <w:rsid w:val="00C2090D"/>
    <w:rsid w:val="00C2337F"/>
    <w:rsid w:val="00C25014"/>
    <w:rsid w:val="00C256CB"/>
    <w:rsid w:val="00C31B5B"/>
    <w:rsid w:val="00C343AD"/>
    <w:rsid w:val="00C37752"/>
    <w:rsid w:val="00C41831"/>
    <w:rsid w:val="00C428BD"/>
    <w:rsid w:val="00C532CD"/>
    <w:rsid w:val="00C55AF2"/>
    <w:rsid w:val="00C56899"/>
    <w:rsid w:val="00C57153"/>
    <w:rsid w:val="00C6024D"/>
    <w:rsid w:val="00C60EEC"/>
    <w:rsid w:val="00C61886"/>
    <w:rsid w:val="00C62E96"/>
    <w:rsid w:val="00C630B1"/>
    <w:rsid w:val="00C6398E"/>
    <w:rsid w:val="00C66EDF"/>
    <w:rsid w:val="00C7030C"/>
    <w:rsid w:val="00C715C9"/>
    <w:rsid w:val="00C71C05"/>
    <w:rsid w:val="00C76D2C"/>
    <w:rsid w:val="00C76E51"/>
    <w:rsid w:val="00C8111A"/>
    <w:rsid w:val="00C8389D"/>
    <w:rsid w:val="00C861E0"/>
    <w:rsid w:val="00C90597"/>
    <w:rsid w:val="00C907D9"/>
    <w:rsid w:val="00C91B71"/>
    <w:rsid w:val="00C935B5"/>
    <w:rsid w:val="00CA27BD"/>
    <w:rsid w:val="00CA4162"/>
    <w:rsid w:val="00CA435C"/>
    <w:rsid w:val="00CA60C8"/>
    <w:rsid w:val="00CA615D"/>
    <w:rsid w:val="00CA692F"/>
    <w:rsid w:val="00CA76EF"/>
    <w:rsid w:val="00CB0125"/>
    <w:rsid w:val="00CB145B"/>
    <w:rsid w:val="00CB3DFC"/>
    <w:rsid w:val="00CB66BC"/>
    <w:rsid w:val="00CB6C88"/>
    <w:rsid w:val="00CC100A"/>
    <w:rsid w:val="00CC1A95"/>
    <w:rsid w:val="00CC297A"/>
    <w:rsid w:val="00CC32E0"/>
    <w:rsid w:val="00CC4A64"/>
    <w:rsid w:val="00CC4AB8"/>
    <w:rsid w:val="00CC4EEF"/>
    <w:rsid w:val="00CC775A"/>
    <w:rsid w:val="00CD0646"/>
    <w:rsid w:val="00CD2C84"/>
    <w:rsid w:val="00CD6083"/>
    <w:rsid w:val="00CD6AB4"/>
    <w:rsid w:val="00CD6D3B"/>
    <w:rsid w:val="00CE1B0F"/>
    <w:rsid w:val="00CE621B"/>
    <w:rsid w:val="00CF0C0D"/>
    <w:rsid w:val="00CF2725"/>
    <w:rsid w:val="00CF2757"/>
    <w:rsid w:val="00CF2C58"/>
    <w:rsid w:val="00CF5369"/>
    <w:rsid w:val="00CF5B80"/>
    <w:rsid w:val="00D00EA6"/>
    <w:rsid w:val="00D01393"/>
    <w:rsid w:val="00D019A7"/>
    <w:rsid w:val="00D029FE"/>
    <w:rsid w:val="00D02A39"/>
    <w:rsid w:val="00D050D5"/>
    <w:rsid w:val="00D06B1E"/>
    <w:rsid w:val="00D102E1"/>
    <w:rsid w:val="00D11D20"/>
    <w:rsid w:val="00D14D53"/>
    <w:rsid w:val="00D15550"/>
    <w:rsid w:val="00D15FE0"/>
    <w:rsid w:val="00D17D46"/>
    <w:rsid w:val="00D22CA8"/>
    <w:rsid w:val="00D236A1"/>
    <w:rsid w:val="00D2425A"/>
    <w:rsid w:val="00D25D69"/>
    <w:rsid w:val="00D33365"/>
    <w:rsid w:val="00D33760"/>
    <w:rsid w:val="00D3377C"/>
    <w:rsid w:val="00D35201"/>
    <w:rsid w:val="00D370DB"/>
    <w:rsid w:val="00D41C0C"/>
    <w:rsid w:val="00D427B5"/>
    <w:rsid w:val="00D44537"/>
    <w:rsid w:val="00D44905"/>
    <w:rsid w:val="00D45356"/>
    <w:rsid w:val="00D4650E"/>
    <w:rsid w:val="00D472F1"/>
    <w:rsid w:val="00D51F74"/>
    <w:rsid w:val="00D537F5"/>
    <w:rsid w:val="00D557BD"/>
    <w:rsid w:val="00D55BF2"/>
    <w:rsid w:val="00D57951"/>
    <w:rsid w:val="00D6140A"/>
    <w:rsid w:val="00D621A2"/>
    <w:rsid w:val="00D6292A"/>
    <w:rsid w:val="00D635E4"/>
    <w:rsid w:val="00D63A05"/>
    <w:rsid w:val="00D66A52"/>
    <w:rsid w:val="00D713A1"/>
    <w:rsid w:val="00D71821"/>
    <w:rsid w:val="00D71E9F"/>
    <w:rsid w:val="00D73EAC"/>
    <w:rsid w:val="00D74AF2"/>
    <w:rsid w:val="00D76585"/>
    <w:rsid w:val="00D771B2"/>
    <w:rsid w:val="00D773B7"/>
    <w:rsid w:val="00D84C59"/>
    <w:rsid w:val="00D85700"/>
    <w:rsid w:val="00D86045"/>
    <w:rsid w:val="00D8652D"/>
    <w:rsid w:val="00D86C7B"/>
    <w:rsid w:val="00D90E82"/>
    <w:rsid w:val="00D91CBB"/>
    <w:rsid w:val="00D92287"/>
    <w:rsid w:val="00D934AF"/>
    <w:rsid w:val="00D94459"/>
    <w:rsid w:val="00D94E8A"/>
    <w:rsid w:val="00D95FA5"/>
    <w:rsid w:val="00D962AD"/>
    <w:rsid w:val="00DA024B"/>
    <w:rsid w:val="00DA1D33"/>
    <w:rsid w:val="00DA26A8"/>
    <w:rsid w:val="00DA59AC"/>
    <w:rsid w:val="00DA60DC"/>
    <w:rsid w:val="00DA7425"/>
    <w:rsid w:val="00DB31E7"/>
    <w:rsid w:val="00DB364B"/>
    <w:rsid w:val="00DB3BFB"/>
    <w:rsid w:val="00DB5420"/>
    <w:rsid w:val="00DB6A50"/>
    <w:rsid w:val="00DB7034"/>
    <w:rsid w:val="00DB7780"/>
    <w:rsid w:val="00DB7ADD"/>
    <w:rsid w:val="00DC0FA7"/>
    <w:rsid w:val="00DC1C26"/>
    <w:rsid w:val="00DC1F45"/>
    <w:rsid w:val="00DC260E"/>
    <w:rsid w:val="00DC2631"/>
    <w:rsid w:val="00DC54B3"/>
    <w:rsid w:val="00DC5879"/>
    <w:rsid w:val="00DC5DF7"/>
    <w:rsid w:val="00DC66E2"/>
    <w:rsid w:val="00DC6D32"/>
    <w:rsid w:val="00DD0503"/>
    <w:rsid w:val="00DD1D0E"/>
    <w:rsid w:val="00DD3AC8"/>
    <w:rsid w:val="00DD4230"/>
    <w:rsid w:val="00DD7B2A"/>
    <w:rsid w:val="00DE4A25"/>
    <w:rsid w:val="00DE520B"/>
    <w:rsid w:val="00DE6ACD"/>
    <w:rsid w:val="00DE754C"/>
    <w:rsid w:val="00DF3F87"/>
    <w:rsid w:val="00DF591E"/>
    <w:rsid w:val="00DF7036"/>
    <w:rsid w:val="00DF7751"/>
    <w:rsid w:val="00DF78F4"/>
    <w:rsid w:val="00E00D6C"/>
    <w:rsid w:val="00E01A3B"/>
    <w:rsid w:val="00E02DD9"/>
    <w:rsid w:val="00E065F4"/>
    <w:rsid w:val="00E07844"/>
    <w:rsid w:val="00E07E15"/>
    <w:rsid w:val="00E10E62"/>
    <w:rsid w:val="00E12F53"/>
    <w:rsid w:val="00E20448"/>
    <w:rsid w:val="00E2127A"/>
    <w:rsid w:val="00E2339D"/>
    <w:rsid w:val="00E24B40"/>
    <w:rsid w:val="00E25F8A"/>
    <w:rsid w:val="00E275C7"/>
    <w:rsid w:val="00E328AE"/>
    <w:rsid w:val="00E32BEE"/>
    <w:rsid w:val="00E35B4E"/>
    <w:rsid w:val="00E36536"/>
    <w:rsid w:val="00E37E43"/>
    <w:rsid w:val="00E4005E"/>
    <w:rsid w:val="00E41F50"/>
    <w:rsid w:val="00E420F6"/>
    <w:rsid w:val="00E5113A"/>
    <w:rsid w:val="00E517D7"/>
    <w:rsid w:val="00E51885"/>
    <w:rsid w:val="00E52807"/>
    <w:rsid w:val="00E52C40"/>
    <w:rsid w:val="00E55627"/>
    <w:rsid w:val="00E57A3D"/>
    <w:rsid w:val="00E60431"/>
    <w:rsid w:val="00E620B3"/>
    <w:rsid w:val="00E6607D"/>
    <w:rsid w:val="00E66520"/>
    <w:rsid w:val="00E7022A"/>
    <w:rsid w:val="00E719A6"/>
    <w:rsid w:val="00E7250E"/>
    <w:rsid w:val="00E7279A"/>
    <w:rsid w:val="00E729CC"/>
    <w:rsid w:val="00E76C0B"/>
    <w:rsid w:val="00E80DA1"/>
    <w:rsid w:val="00E815B8"/>
    <w:rsid w:val="00E82218"/>
    <w:rsid w:val="00E826A5"/>
    <w:rsid w:val="00E915B9"/>
    <w:rsid w:val="00E9179E"/>
    <w:rsid w:val="00E96AC9"/>
    <w:rsid w:val="00E970F7"/>
    <w:rsid w:val="00EA1959"/>
    <w:rsid w:val="00EA5924"/>
    <w:rsid w:val="00EA621F"/>
    <w:rsid w:val="00EA7192"/>
    <w:rsid w:val="00EB2D9B"/>
    <w:rsid w:val="00EB3C32"/>
    <w:rsid w:val="00EB3E85"/>
    <w:rsid w:val="00EB5BD9"/>
    <w:rsid w:val="00EB6532"/>
    <w:rsid w:val="00EC0044"/>
    <w:rsid w:val="00EC0CD4"/>
    <w:rsid w:val="00EC1B40"/>
    <w:rsid w:val="00EC1DCC"/>
    <w:rsid w:val="00EC1E53"/>
    <w:rsid w:val="00EC309B"/>
    <w:rsid w:val="00EC3E55"/>
    <w:rsid w:val="00EC3E7A"/>
    <w:rsid w:val="00EC674A"/>
    <w:rsid w:val="00EC7A93"/>
    <w:rsid w:val="00ED211C"/>
    <w:rsid w:val="00ED29D0"/>
    <w:rsid w:val="00ED364C"/>
    <w:rsid w:val="00ED514F"/>
    <w:rsid w:val="00EE1B04"/>
    <w:rsid w:val="00EE1D9C"/>
    <w:rsid w:val="00EE24B0"/>
    <w:rsid w:val="00EE2605"/>
    <w:rsid w:val="00EE45B0"/>
    <w:rsid w:val="00EE4B23"/>
    <w:rsid w:val="00EE67C7"/>
    <w:rsid w:val="00EE6DFE"/>
    <w:rsid w:val="00EF0416"/>
    <w:rsid w:val="00EF1549"/>
    <w:rsid w:val="00EF570B"/>
    <w:rsid w:val="00EF6C06"/>
    <w:rsid w:val="00F01ED0"/>
    <w:rsid w:val="00F0218B"/>
    <w:rsid w:val="00F06536"/>
    <w:rsid w:val="00F06FE2"/>
    <w:rsid w:val="00F114BC"/>
    <w:rsid w:val="00F11C82"/>
    <w:rsid w:val="00F14113"/>
    <w:rsid w:val="00F163F8"/>
    <w:rsid w:val="00F16C1D"/>
    <w:rsid w:val="00F1715E"/>
    <w:rsid w:val="00F22199"/>
    <w:rsid w:val="00F22B06"/>
    <w:rsid w:val="00F23896"/>
    <w:rsid w:val="00F2410B"/>
    <w:rsid w:val="00F261C7"/>
    <w:rsid w:val="00F3178C"/>
    <w:rsid w:val="00F32C09"/>
    <w:rsid w:val="00F33512"/>
    <w:rsid w:val="00F35294"/>
    <w:rsid w:val="00F3556F"/>
    <w:rsid w:val="00F42529"/>
    <w:rsid w:val="00F43E91"/>
    <w:rsid w:val="00F4437F"/>
    <w:rsid w:val="00F445FC"/>
    <w:rsid w:val="00F4765C"/>
    <w:rsid w:val="00F5111C"/>
    <w:rsid w:val="00F52868"/>
    <w:rsid w:val="00F53EDA"/>
    <w:rsid w:val="00F54616"/>
    <w:rsid w:val="00F55834"/>
    <w:rsid w:val="00F56A82"/>
    <w:rsid w:val="00F56D3A"/>
    <w:rsid w:val="00F67E7E"/>
    <w:rsid w:val="00F721AD"/>
    <w:rsid w:val="00F740BE"/>
    <w:rsid w:val="00F75936"/>
    <w:rsid w:val="00F80006"/>
    <w:rsid w:val="00F8303A"/>
    <w:rsid w:val="00F83633"/>
    <w:rsid w:val="00F8481F"/>
    <w:rsid w:val="00F906B7"/>
    <w:rsid w:val="00F9172C"/>
    <w:rsid w:val="00F979F5"/>
    <w:rsid w:val="00F97F07"/>
    <w:rsid w:val="00FA1258"/>
    <w:rsid w:val="00FA363D"/>
    <w:rsid w:val="00FA5758"/>
    <w:rsid w:val="00FA5A6C"/>
    <w:rsid w:val="00FA7246"/>
    <w:rsid w:val="00FA72F9"/>
    <w:rsid w:val="00FB1202"/>
    <w:rsid w:val="00FB32B3"/>
    <w:rsid w:val="00FB559F"/>
    <w:rsid w:val="00FC0968"/>
    <w:rsid w:val="00FC3317"/>
    <w:rsid w:val="00FD3B30"/>
    <w:rsid w:val="00FD6831"/>
    <w:rsid w:val="00FD6EAF"/>
    <w:rsid w:val="00FD7CE3"/>
    <w:rsid w:val="00FE0973"/>
    <w:rsid w:val="00FE23B2"/>
    <w:rsid w:val="00FE48B0"/>
    <w:rsid w:val="00FE512C"/>
    <w:rsid w:val="00FE6B5B"/>
    <w:rsid w:val="00FE70E2"/>
    <w:rsid w:val="00FE76A2"/>
    <w:rsid w:val="00FF1D90"/>
    <w:rsid w:val="00FF43C9"/>
    <w:rsid w:val="00FF665E"/>
    <w:rsid w:val="00FF6DC4"/>
    <w:rsid w:val="012B22C7"/>
    <w:rsid w:val="022F7876"/>
    <w:rsid w:val="03B01605"/>
    <w:rsid w:val="046F7EC4"/>
    <w:rsid w:val="049616EF"/>
    <w:rsid w:val="04B72280"/>
    <w:rsid w:val="04BF5FBB"/>
    <w:rsid w:val="05513282"/>
    <w:rsid w:val="062C71DB"/>
    <w:rsid w:val="077A7849"/>
    <w:rsid w:val="07845387"/>
    <w:rsid w:val="082F70F7"/>
    <w:rsid w:val="083C6CE3"/>
    <w:rsid w:val="09047EC4"/>
    <w:rsid w:val="090E7711"/>
    <w:rsid w:val="09171F67"/>
    <w:rsid w:val="09D1433D"/>
    <w:rsid w:val="0A281045"/>
    <w:rsid w:val="0A812A12"/>
    <w:rsid w:val="0A9976CB"/>
    <w:rsid w:val="0ABD5A52"/>
    <w:rsid w:val="0C1D6B5D"/>
    <w:rsid w:val="0CA60F7D"/>
    <w:rsid w:val="0CBB664A"/>
    <w:rsid w:val="0DB85907"/>
    <w:rsid w:val="0DEB018B"/>
    <w:rsid w:val="0DF57A28"/>
    <w:rsid w:val="0E8330EE"/>
    <w:rsid w:val="0ECF5C5F"/>
    <w:rsid w:val="0FF13E5A"/>
    <w:rsid w:val="0FF853F6"/>
    <w:rsid w:val="105949CC"/>
    <w:rsid w:val="10A11849"/>
    <w:rsid w:val="10FD677E"/>
    <w:rsid w:val="11DD249A"/>
    <w:rsid w:val="11F10153"/>
    <w:rsid w:val="1248378D"/>
    <w:rsid w:val="127C245A"/>
    <w:rsid w:val="12C076F0"/>
    <w:rsid w:val="1466767F"/>
    <w:rsid w:val="150046BA"/>
    <w:rsid w:val="156B794E"/>
    <w:rsid w:val="15D15A08"/>
    <w:rsid w:val="15F62583"/>
    <w:rsid w:val="1668400B"/>
    <w:rsid w:val="188F4AAF"/>
    <w:rsid w:val="193E1D05"/>
    <w:rsid w:val="1949044D"/>
    <w:rsid w:val="1B852BAC"/>
    <w:rsid w:val="1C3D32AD"/>
    <w:rsid w:val="1CA03599"/>
    <w:rsid w:val="1D0E34EA"/>
    <w:rsid w:val="1D5F402D"/>
    <w:rsid w:val="1E1C7CA8"/>
    <w:rsid w:val="1F9A3223"/>
    <w:rsid w:val="20495D02"/>
    <w:rsid w:val="20931840"/>
    <w:rsid w:val="230F0297"/>
    <w:rsid w:val="23491A14"/>
    <w:rsid w:val="23860113"/>
    <w:rsid w:val="26CC475C"/>
    <w:rsid w:val="2773633E"/>
    <w:rsid w:val="28565494"/>
    <w:rsid w:val="29E01656"/>
    <w:rsid w:val="2A257103"/>
    <w:rsid w:val="2A7B1A8E"/>
    <w:rsid w:val="2AE019EF"/>
    <w:rsid w:val="2B0D0FB0"/>
    <w:rsid w:val="2BB157BA"/>
    <w:rsid w:val="2E1C2489"/>
    <w:rsid w:val="2EDE042F"/>
    <w:rsid w:val="30681906"/>
    <w:rsid w:val="30A40256"/>
    <w:rsid w:val="30B874AF"/>
    <w:rsid w:val="31005F5F"/>
    <w:rsid w:val="31107531"/>
    <w:rsid w:val="311F752F"/>
    <w:rsid w:val="31C700B8"/>
    <w:rsid w:val="325A7C05"/>
    <w:rsid w:val="32D25396"/>
    <w:rsid w:val="33037394"/>
    <w:rsid w:val="33D17E53"/>
    <w:rsid w:val="35006BAA"/>
    <w:rsid w:val="356F35DD"/>
    <w:rsid w:val="35E752B2"/>
    <w:rsid w:val="36525011"/>
    <w:rsid w:val="37345CC9"/>
    <w:rsid w:val="37CF381F"/>
    <w:rsid w:val="39103FAB"/>
    <w:rsid w:val="396C24EA"/>
    <w:rsid w:val="39B84209"/>
    <w:rsid w:val="3AF15A9B"/>
    <w:rsid w:val="3BC35BD2"/>
    <w:rsid w:val="3C7A2C8D"/>
    <w:rsid w:val="3C9C570D"/>
    <w:rsid w:val="3D766C65"/>
    <w:rsid w:val="3E1262AC"/>
    <w:rsid w:val="3E283D4C"/>
    <w:rsid w:val="3EC124E9"/>
    <w:rsid w:val="3EF6681D"/>
    <w:rsid w:val="40107356"/>
    <w:rsid w:val="403B11EF"/>
    <w:rsid w:val="409725C5"/>
    <w:rsid w:val="40E22B62"/>
    <w:rsid w:val="41C01B36"/>
    <w:rsid w:val="43754F8D"/>
    <w:rsid w:val="439B222E"/>
    <w:rsid w:val="446F4819"/>
    <w:rsid w:val="44DA18E0"/>
    <w:rsid w:val="44F9411E"/>
    <w:rsid w:val="451F5755"/>
    <w:rsid w:val="460E13F6"/>
    <w:rsid w:val="462D136B"/>
    <w:rsid w:val="464F4B94"/>
    <w:rsid w:val="46E9580D"/>
    <w:rsid w:val="46FF6129"/>
    <w:rsid w:val="47833BE3"/>
    <w:rsid w:val="484A619A"/>
    <w:rsid w:val="497257E4"/>
    <w:rsid w:val="4A4A36FF"/>
    <w:rsid w:val="4AB14EC2"/>
    <w:rsid w:val="4B4730CA"/>
    <w:rsid w:val="4B5B244A"/>
    <w:rsid w:val="4BED6154"/>
    <w:rsid w:val="4BF23B32"/>
    <w:rsid w:val="4C5C30B2"/>
    <w:rsid w:val="4C5D6150"/>
    <w:rsid w:val="4D9C7600"/>
    <w:rsid w:val="4DEF4750"/>
    <w:rsid w:val="4E4E529F"/>
    <w:rsid w:val="4F7165DE"/>
    <w:rsid w:val="4FC10977"/>
    <w:rsid w:val="501B297B"/>
    <w:rsid w:val="506E70BB"/>
    <w:rsid w:val="50850008"/>
    <w:rsid w:val="50E96F68"/>
    <w:rsid w:val="51762DF3"/>
    <w:rsid w:val="51850367"/>
    <w:rsid w:val="51EB73FC"/>
    <w:rsid w:val="5296511F"/>
    <w:rsid w:val="52A40475"/>
    <w:rsid w:val="537F2FFD"/>
    <w:rsid w:val="53AF7C6A"/>
    <w:rsid w:val="5558685E"/>
    <w:rsid w:val="564D77D9"/>
    <w:rsid w:val="576647D6"/>
    <w:rsid w:val="57C61396"/>
    <w:rsid w:val="58074BA8"/>
    <w:rsid w:val="5834315D"/>
    <w:rsid w:val="58BB5724"/>
    <w:rsid w:val="58CD60B3"/>
    <w:rsid w:val="591D71BE"/>
    <w:rsid w:val="5A58348B"/>
    <w:rsid w:val="5AC8084A"/>
    <w:rsid w:val="5B6166E0"/>
    <w:rsid w:val="5BE67B2D"/>
    <w:rsid w:val="5BFC65CB"/>
    <w:rsid w:val="5C126BED"/>
    <w:rsid w:val="5C5D6DDA"/>
    <w:rsid w:val="5CA04858"/>
    <w:rsid w:val="5CB96E12"/>
    <w:rsid w:val="5CF613D6"/>
    <w:rsid w:val="5D18420A"/>
    <w:rsid w:val="5D6A5103"/>
    <w:rsid w:val="5DA30CEE"/>
    <w:rsid w:val="5DB2296C"/>
    <w:rsid w:val="5DBE61AA"/>
    <w:rsid w:val="5DC12DE4"/>
    <w:rsid w:val="607041FE"/>
    <w:rsid w:val="60CE468A"/>
    <w:rsid w:val="60E7533C"/>
    <w:rsid w:val="60E94F09"/>
    <w:rsid w:val="6101042E"/>
    <w:rsid w:val="61375003"/>
    <w:rsid w:val="61DB500A"/>
    <w:rsid w:val="641E0781"/>
    <w:rsid w:val="64C74112"/>
    <w:rsid w:val="656A26B3"/>
    <w:rsid w:val="65B46B5C"/>
    <w:rsid w:val="67A90DAC"/>
    <w:rsid w:val="68011315"/>
    <w:rsid w:val="681408A9"/>
    <w:rsid w:val="683247E1"/>
    <w:rsid w:val="6C425C83"/>
    <w:rsid w:val="6D975EB2"/>
    <w:rsid w:val="6E4B0FCD"/>
    <w:rsid w:val="6F075C27"/>
    <w:rsid w:val="6F3F24F1"/>
    <w:rsid w:val="7051405A"/>
    <w:rsid w:val="71215623"/>
    <w:rsid w:val="712C7ED6"/>
    <w:rsid w:val="72043079"/>
    <w:rsid w:val="730953AD"/>
    <w:rsid w:val="737E7BE4"/>
    <w:rsid w:val="73D94EC7"/>
    <w:rsid w:val="768C7B4A"/>
    <w:rsid w:val="77670A51"/>
    <w:rsid w:val="77BF7DDE"/>
    <w:rsid w:val="785B5EDB"/>
    <w:rsid w:val="796E5B53"/>
    <w:rsid w:val="798E7938"/>
    <w:rsid w:val="79FF116E"/>
    <w:rsid w:val="7A0905CE"/>
    <w:rsid w:val="7BAD7795"/>
    <w:rsid w:val="7C0D2859"/>
    <w:rsid w:val="7C4B621B"/>
    <w:rsid w:val="7C5E1914"/>
    <w:rsid w:val="7CF25ED8"/>
    <w:rsid w:val="7F3D166F"/>
    <w:rsid w:val="7F441D98"/>
    <w:rsid w:val="7F4F6CA8"/>
    <w:rsid w:val="7FA8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rFonts w:ascii="Calibri" w:hAnsi="Calibri" w:eastAsia="Calibri" w:cs="Times New Roman"/>
      <w:b/>
      <w:bCs/>
      <w:kern w:val="44"/>
      <w:sz w:val="44"/>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78"/>
    <w:qFormat/>
    <w:uiPriority w:val="0"/>
    <w:pPr>
      <w:keepNext/>
      <w:keepLines/>
      <w:spacing w:before="260" w:after="260" w:line="416" w:lineRule="auto"/>
      <w:outlineLvl w:val="2"/>
    </w:pPr>
    <w:rPr>
      <w:rFonts w:ascii="Calibri" w:hAnsi="Calibri" w:eastAsia="Calibri" w:cs="Times New Roman"/>
      <w:b/>
      <w:bCs/>
      <w:sz w:val="32"/>
      <w:szCs w:val="32"/>
    </w:rPr>
  </w:style>
  <w:style w:type="paragraph" w:styleId="6">
    <w:name w:val="heading 4"/>
    <w:basedOn w:val="1"/>
    <w:next w:val="1"/>
    <w:link w:val="79"/>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eastAsia="Calibri" w:cs="Times New Roman"/>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80"/>
    <w:qFormat/>
    <w:uiPriority w:val="0"/>
    <w:pPr>
      <w:keepNext/>
      <w:keepLines/>
      <w:widowControl/>
      <w:tabs>
        <w:tab w:val="left" w:pos="2520"/>
      </w:tabs>
      <w:spacing w:before="240" w:after="64" w:line="320" w:lineRule="auto"/>
      <w:ind w:left="1296" w:hanging="1296"/>
      <w:jc w:val="left"/>
      <w:outlineLvl w:val="6"/>
    </w:pPr>
    <w:rPr>
      <w:rFonts w:ascii="Calibri" w:hAnsi="Calibri" w:eastAsia="Calibri" w:cs="Times New Roman"/>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81"/>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63">
    <w:name w:val="Default Paragraph Font"/>
    <w:qFormat/>
    <w:uiPriority w:val="0"/>
    <w:rPr>
      <w:rFonts w:ascii="Calibri" w:hAnsi="Calibri" w:eastAsia="Calibri" w:cs="Times New Roman"/>
    </w:rPr>
  </w:style>
  <w:style w:type="table" w:default="1" w:styleId="60">
    <w:name w:val="Normal Table"/>
    <w:qFormat/>
    <w:uiPriority w:val="0"/>
    <w:rPr>
      <w:rFonts w:ascii="Calibri" w:hAnsi="Calibri" w:eastAsia="Calibri" w:cs="Times New Roman"/>
    </w:rPr>
    <w:tblPr>
      <w:tblCellMar>
        <w:top w:w="0" w:type="dxa"/>
        <w:left w:w="108" w:type="dxa"/>
        <w:bottom w:w="0" w:type="dxa"/>
        <w:right w:w="108" w:type="dxa"/>
      </w:tblCellMar>
    </w:tblPr>
  </w:style>
  <w:style w:type="paragraph" w:customStyle="1" w:styleId="2">
    <w:name w:val="UserStyle_0"/>
    <w:basedOn w:val="1"/>
    <w:qFormat/>
    <w:uiPriority w:val="0"/>
    <w:pPr>
      <w:jc w:val="center"/>
      <w:textAlignment w:val="baseline"/>
    </w:pPr>
    <w:rPr>
      <w:rFonts w:ascii="Times New Roman" w:hAnsi="Times New Roman" w:eastAsia="宋体"/>
      <w:b/>
      <w:kern w:val="2"/>
      <w:sz w:val="21"/>
      <w:szCs w:val="22"/>
      <w:lang w:val="en-US" w:eastAsia="zh-CN" w:bidi="ar-SA"/>
    </w:rPr>
  </w:style>
  <w:style w:type="paragraph" w:styleId="12">
    <w:name w:val="toc 7"/>
    <w:basedOn w:val="1"/>
    <w:next w:val="1"/>
    <w:qFormat/>
    <w:uiPriority w:val="0"/>
    <w:pPr>
      <w:ind w:left="1260"/>
      <w:jc w:val="left"/>
    </w:pPr>
    <w:rPr>
      <w:rFonts w:ascii="Calibri" w:hAnsi="Calibri" w:eastAsia="Calibri" w:cs="Times New Roman"/>
      <w:sz w:val="18"/>
      <w:szCs w:val="18"/>
    </w:rPr>
  </w:style>
  <w:style w:type="paragraph" w:styleId="13">
    <w:name w:val="List Bullet 4"/>
    <w:basedOn w:val="1"/>
    <w:qFormat/>
    <w:uiPriority w:val="0"/>
    <w:pPr>
      <w:tabs>
        <w:tab w:val="left" w:pos="1200"/>
        <w:tab w:val="left" w:pos="1620"/>
      </w:tabs>
      <w:ind w:left="1620" w:leftChars="600" w:hanging="1200"/>
    </w:pPr>
    <w:rPr>
      <w:rFonts w:ascii="Calibri" w:hAnsi="Calibri" w:eastAsia="Calibri" w:cs="Times New Roman"/>
    </w:rPr>
  </w:style>
  <w:style w:type="paragraph" w:styleId="14">
    <w:name w:val="index 8"/>
    <w:basedOn w:val="1"/>
    <w:next w:val="1"/>
    <w:qFormat/>
    <w:uiPriority w:val="0"/>
    <w:pPr>
      <w:ind w:left="1680" w:hanging="210"/>
      <w:jc w:val="left"/>
    </w:pPr>
    <w:rPr>
      <w:rFonts w:ascii="Calibri" w:hAnsi="Calibri" w:eastAsia="Calibri" w:cs="Times New Roman"/>
      <w:sz w:val="18"/>
      <w:szCs w:val="18"/>
    </w:rPr>
  </w:style>
  <w:style w:type="paragraph" w:styleId="15">
    <w:name w:val="Normal Indent"/>
    <w:basedOn w:val="1"/>
    <w:qFormat/>
    <w:uiPriority w:val="0"/>
    <w:pPr>
      <w:ind w:firstLine="420" w:firstLineChars="200"/>
    </w:pPr>
    <w:rPr>
      <w:rFonts w:ascii="Calibri" w:hAnsi="Calibri" w:eastAsia="Calibri" w:cs="Times New Roman"/>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1050" w:hanging="210"/>
      <w:jc w:val="left"/>
    </w:pPr>
    <w:rPr>
      <w:rFonts w:ascii="Calibri" w:hAnsi="Calibri" w:eastAsia="Calibri" w:cs="Times New Roman"/>
      <w:sz w:val="18"/>
      <w:szCs w:val="18"/>
    </w:rPr>
  </w:style>
  <w:style w:type="paragraph" w:styleId="18">
    <w:name w:val="List Bullet"/>
    <w:basedOn w:val="1"/>
    <w:qFormat/>
    <w:uiPriority w:val="0"/>
    <w:pPr>
      <w:tabs>
        <w:tab w:val="left" w:pos="360"/>
        <w:tab w:val="left" w:pos="1290"/>
      </w:tabs>
      <w:ind w:left="360" w:hanging="405"/>
    </w:pPr>
    <w:rPr>
      <w:rFonts w:ascii="Calibri" w:hAnsi="Calibri" w:eastAsia="Calibri" w:cs="Times New Roman"/>
    </w:rPr>
  </w:style>
  <w:style w:type="paragraph" w:styleId="19">
    <w:name w:val="Document Map"/>
    <w:basedOn w:val="1"/>
    <w:link w:val="82"/>
    <w:qFormat/>
    <w:uiPriority w:val="0"/>
    <w:pPr>
      <w:shd w:val="clear" w:color="auto" w:fill="000080"/>
    </w:pPr>
    <w:rPr>
      <w:rFonts w:ascii="Calibri" w:hAnsi="Calibri" w:eastAsia="Calibri" w:cs="Times New Roman"/>
    </w:rPr>
  </w:style>
  <w:style w:type="paragraph" w:styleId="20">
    <w:name w:val="annotation text"/>
    <w:basedOn w:val="1"/>
    <w:qFormat/>
    <w:uiPriority w:val="0"/>
    <w:pPr>
      <w:jc w:val="left"/>
    </w:pPr>
    <w:rPr>
      <w:rFonts w:ascii="Calibri" w:hAnsi="Calibri" w:eastAsia="Calibri" w:cs="Times New Roman"/>
    </w:rPr>
  </w:style>
  <w:style w:type="paragraph" w:styleId="21">
    <w:name w:val="index 6"/>
    <w:basedOn w:val="1"/>
    <w:next w:val="1"/>
    <w:qFormat/>
    <w:uiPriority w:val="0"/>
    <w:pPr>
      <w:ind w:left="1260" w:hanging="210"/>
      <w:jc w:val="left"/>
    </w:pPr>
    <w:rPr>
      <w:rFonts w:ascii="Calibri" w:hAnsi="Calibri" w:eastAsia="Calibri" w:cs="Times New Roman"/>
      <w:sz w:val="18"/>
      <w:szCs w:val="18"/>
    </w:rPr>
  </w:style>
  <w:style w:type="paragraph" w:styleId="22">
    <w:name w:val="Body Text 3"/>
    <w:basedOn w:val="1"/>
    <w:link w:val="83"/>
    <w:qFormat/>
    <w:uiPriority w:val="0"/>
    <w:rPr>
      <w:rFonts w:ascii="宋体" w:hAnsi="Calibri" w:eastAsia="Calibri" w:cs="Times New Roman"/>
      <w:sz w:val="24"/>
      <w:szCs w:val="20"/>
    </w:rPr>
  </w:style>
  <w:style w:type="paragraph" w:styleId="23">
    <w:name w:val="List Bullet 3"/>
    <w:basedOn w:val="1"/>
    <w:qFormat/>
    <w:uiPriority w:val="0"/>
    <w:pPr>
      <w:tabs>
        <w:tab w:val="left" w:pos="1200"/>
        <w:tab w:val="left" w:pos="1348"/>
      </w:tabs>
      <w:ind w:left="1200" w:leftChars="400" w:hanging="1350"/>
    </w:pPr>
    <w:rPr>
      <w:rFonts w:ascii="Calibri" w:hAnsi="Calibri" w:eastAsia="Calibri" w:cs="Times New Roman"/>
    </w:rPr>
  </w:style>
  <w:style w:type="paragraph" w:styleId="24">
    <w:name w:val="Body Text"/>
    <w:basedOn w:val="1"/>
    <w:next w:val="25"/>
    <w:link w:val="84"/>
    <w:qFormat/>
    <w:uiPriority w:val="0"/>
    <w:pPr>
      <w:spacing w:after="120"/>
    </w:pPr>
    <w:rPr>
      <w:rFonts w:ascii="Calibri" w:hAnsi="Calibri" w:eastAsia="Calibri" w:cs="Times New Roman"/>
    </w:rPr>
  </w:style>
  <w:style w:type="paragraph" w:styleId="25">
    <w:name w:val="Body Text First Indent"/>
    <w:basedOn w:val="24"/>
    <w:qFormat/>
    <w:uiPriority w:val="0"/>
    <w:pPr>
      <w:ind w:firstLine="420" w:firstLineChars="100"/>
    </w:pPr>
    <w:rPr>
      <w:rFonts w:ascii="Calibri" w:hAnsi="Calibri" w:eastAsia="Calibri" w:cs="Times New Roman"/>
    </w:rPr>
  </w:style>
  <w:style w:type="paragraph" w:styleId="26">
    <w:name w:val="Body Text Indent"/>
    <w:basedOn w:val="1"/>
    <w:link w:val="85"/>
    <w:qFormat/>
    <w:uiPriority w:val="0"/>
    <w:pPr>
      <w:spacing w:after="120"/>
      <w:ind w:left="420" w:leftChars="200"/>
    </w:pPr>
    <w:rPr>
      <w:rFonts w:ascii="Calibri" w:hAnsi="Calibri" w:eastAsia="Calibri" w:cs="Times New Roman"/>
    </w:rPr>
  </w:style>
  <w:style w:type="paragraph" w:styleId="27">
    <w:name w:val="List Bullet 2"/>
    <w:basedOn w:val="1"/>
    <w:qFormat/>
    <w:uiPriority w:val="0"/>
    <w:pPr>
      <w:tabs>
        <w:tab w:val="left" w:pos="360"/>
        <w:tab w:val="left" w:pos="780"/>
      </w:tabs>
      <w:ind w:left="780" w:leftChars="200" w:hanging="360"/>
    </w:pPr>
    <w:rPr>
      <w:rFonts w:ascii="Calibri" w:hAnsi="Calibri" w:eastAsia="Calibri" w:cs="Times New Roman"/>
    </w:rPr>
  </w:style>
  <w:style w:type="paragraph" w:styleId="28">
    <w:name w:val="index 4"/>
    <w:basedOn w:val="1"/>
    <w:next w:val="1"/>
    <w:qFormat/>
    <w:uiPriority w:val="0"/>
    <w:pPr>
      <w:ind w:left="840" w:hanging="210"/>
      <w:jc w:val="left"/>
    </w:pPr>
    <w:rPr>
      <w:rFonts w:ascii="Calibri" w:hAnsi="Calibri" w:eastAsia="Calibri" w:cs="Times New Roman"/>
      <w:sz w:val="18"/>
      <w:szCs w:val="18"/>
    </w:rPr>
  </w:style>
  <w:style w:type="paragraph" w:styleId="29">
    <w:name w:val="toc 5"/>
    <w:basedOn w:val="1"/>
    <w:next w:val="1"/>
    <w:qFormat/>
    <w:uiPriority w:val="0"/>
    <w:pPr>
      <w:ind w:left="840"/>
      <w:jc w:val="left"/>
    </w:pPr>
    <w:rPr>
      <w:rFonts w:ascii="Calibri" w:hAnsi="Calibri" w:eastAsia="Calibri" w:cs="Times New Roman"/>
      <w:sz w:val="18"/>
      <w:szCs w:val="18"/>
    </w:rPr>
  </w:style>
  <w:style w:type="paragraph" w:styleId="30">
    <w:name w:val="toc 3"/>
    <w:basedOn w:val="1"/>
    <w:next w:val="1"/>
    <w:qFormat/>
    <w:uiPriority w:val="0"/>
    <w:pPr>
      <w:tabs>
        <w:tab w:val="right" w:leader="dot" w:pos="9054"/>
      </w:tabs>
      <w:spacing w:line="360" w:lineRule="auto"/>
      <w:ind w:left="420"/>
      <w:jc w:val="left"/>
    </w:pPr>
    <w:rPr>
      <w:rFonts w:ascii="宋体" w:hAnsi="Calibri" w:eastAsia="Calibri" w:cs="宋体"/>
      <w:iCs/>
      <w:kern w:val="0"/>
      <w:position w:val="-3"/>
      <w:szCs w:val="20"/>
    </w:rPr>
  </w:style>
  <w:style w:type="paragraph" w:styleId="31">
    <w:name w:val="Plain Text"/>
    <w:basedOn w:val="1"/>
    <w:link w:val="75"/>
    <w:qFormat/>
    <w:uiPriority w:val="0"/>
    <w:rPr>
      <w:rFonts w:ascii="宋体" w:hAnsi="Courier New" w:eastAsia="Calibri" w:cs="Times New Roman"/>
      <w:color w:val="000000"/>
      <w:szCs w:val="20"/>
    </w:rPr>
  </w:style>
  <w:style w:type="paragraph" w:styleId="32">
    <w:name w:val="List Bullet 5"/>
    <w:basedOn w:val="1"/>
    <w:qFormat/>
    <w:uiPriority w:val="0"/>
    <w:pPr>
      <w:tabs>
        <w:tab w:val="left" w:pos="2040"/>
      </w:tabs>
      <w:ind w:left="2040" w:leftChars="800" w:hanging="360" w:hangingChars="200"/>
    </w:pPr>
    <w:rPr>
      <w:rFonts w:ascii="Calibri" w:hAnsi="Calibri" w:eastAsia="Calibri" w:cs="Times New Roman"/>
    </w:rPr>
  </w:style>
  <w:style w:type="paragraph" w:styleId="33">
    <w:name w:val="toc 8"/>
    <w:basedOn w:val="1"/>
    <w:next w:val="1"/>
    <w:qFormat/>
    <w:uiPriority w:val="0"/>
    <w:pPr>
      <w:ind w:left="1470"/>
      <w:jc w:val="left"/>
    </w:pPr>
    <w:rPr>
      <w:rFonts w:ascii="Calibri" w:hAnsi="Calibri" w:eastAsia="Calibri" w:cs="Times New Roman"/>
      <w:sz w:val="18"/>
      <w:szCs w:val="18"/>
    </w:rPr>
  </w:style>
  <w:style w:type="paragraph" w:styleId="34">
    <w:name w:val="index 3"/>
    <w:basedOn w:val="1"/>
    <w:next w:val="1"/>
    <w:qFormat/>
    <w:uiPriority w:val="0"/>
    <w:pPr>
      <w:ind w:left="630" w:hanging="210"/>
      <w:jc w:val="left"/>
    </w:pPr>
    <w:rPr>
      <w:rFonts w:ascii="Calibri" w:hAnsi="Calibri" w:eastAsia="Calibri" w:cs="Times New Roman"/>
      <w:sz w:val="18"/>
      <w:szCs w:val="18"/>
    </w:rPr>
  </w:style>
  <w:style w:type="paragraph" w:styleId="35">
    <w:name w:val="Date"/>
    <w:basedOn w:val="1"/>
    <w:next w:val="1"/>
    <w:link w:val="86"/>
    <w:qFormat/>
    <w:uiPriority w:val="0"/>
    <w:pPr>
      <w:ind w:left="100" w:leftChars="2500"/>
    </w:pPr>
    <w:rPr>
      <w:rFonts w:ascii="Calibri" w:hAnsi="Calibri" w:eastAsia="Calibri" w:cs="Times New Roman"/>
    </w:rPr>
  </w:style>
  <w:style w:type="paragraph" w:styleId="36">
    <w:name w:val="Body Text Indent 2"/>
    <w:basedOn w:val="1"/>
    <w:link w:val="87"/>
    <w:qFormat/>
    <w:uiPriority w:val="0"/>
    <w:pPr>
      <w:ind w:firstLine="624"/>
    </w:pPr>
    <w:rPr>
      <w:rFonts w:ascii="仿宋_GB2312" w:hAnsi="Calibri" w:eastAsia="仿宋_GB2312" w:cs="Times New Roman"/>
      <w:sz w:val="28"/>
    </w:rPr>
  </w:style>
  <w:style w:type="paragraph" w:styleId="37">
    <w:name w:val="endnote text"/>
    <w:basedOn w:val="1"/>
    <w:qFormat/>
    <w:uiPriority w:val="0"/>
    <w:pPr>
      <w:snapToGrid w:val="0"/>
      <w:jc w:val="left"/>
    </w:pPr>
    <w:rPr>
      <w:rFonts w:ascii="Calibri" w:hAnsi="Calibri" w:eastAsia="Calibri" w:cs="Times New Roman"/>
    </w:rPr>
  </w:style>
  <w:style w:type="paragraph" w:styleId="38">
    <w:name w:val="Balloon Text"/>
    <w:basedOn w:val="1"/>
    <w:link w:val="88"/>
    <w:qFormat/>
    <w:uiPriority w:val="0"/>
    <w:rPr>
      <w:rFonts w:ascii="Calibri" w:hAnsi="Calibri" w:eastAsia="Calibri" w:cs="Times New Roman"/>
      <w:sz w:val="18"/>
      <w:szCs w:val="18"/>
    </w:rPr>
  </w:style>
  <w:style w:type="paragraph" w:styleId="39">
    <w:name w:val="footer"/>
    <w:basedOn w:val="1"/>
    <w:link w:val="89"/>
    <w:qFormat/>
    <w:uiPriority w:val="0"/>
    <w:pPr>
      <w:tabs>
        <w:tab w:val="center" w:pos="4153"/>
        <w:tab w:val="right" w:pos="8306"/>
      </w:tabs>
      <w:snapToGrid w:val="0"/>
      <w:jc w:val="left"/>
    </w:pPr>
    <w:rPr>
      <w:rFonts w:ascii="Calibri" w:hAnsi="Calibri" w:eastAsia="Calibri" w:cs="Times New Roman"/>
      <w:sz w:val="18"/>
      <w:szCs w:val="18"/>
    </w:rPr>
  </w:style>
  <w:style w:type="paragraph" w:styleId="40">
    <w:name w:val="header"/>
    <w:basedOn w:val="1"/>
    <w:link w:val="90"/>
    <w:qFormat/>
    <w:uiPriority w:val="0"/>
    <w:pPr>
      <w:pBdr>
        <w:bottom w:val="single" w:color="auto" w:sz="6" w:space="1"/>
      </w:pBdr>
      <w:tabs>
        <w:tab w:val="center" w:pos="4153"/>
        <w:tab w:val="right" w:pos="8306"/>
      </w:tabs>
      <w:snapToGrid w:val="0"/>
      <w:jc w:val="center"/>
    </w:pPr>
    <w:rPr>
      <w:rFonts w:ascii="Calibri" w:hAnsi="Calibri" w:eastAsia="Calibri" w:cs="Times New Roman"/>
      <w:sz w:val="18"/>
      <w:szCs w:val="18"/>
    </w:rPr>
  </w:style>
  <w:style w:type="paragraph" w:styleId="41">
    <w:name w:val="toc 1"/>
    <w:basedOn w:val="1"/>
    <w:next w:val="1"/>
    <w:qFormat/>
    <w:uiPriority w:val="0"/>
    <w:pPr>
      <w:tabs>
        <w:tab w:val="left" w:pos="300"/>
        <w:tab w:val="right" w:leader="dot" w:pos="9054"/>
      </w:tabs>
      <w:spacing w:before="120" w:after="120"/>
      <w:jc w:val="left"/>
    </w:pPr>
    <w:rPr>
      <w:rFonts w:ascii="Calibri" w:hAnsi="Calibri" w:eastAsia="Calibri" w:cs="Times New Roman"/>
      <w:b/>
      <w:bCs/>
      <w:caps/>
      <w:sz w:val="28"/>
      <w:szCs w:val="20"/>
    </w:rPr>
  </w:style>
  <w:style w:type="paragraph" w:styleId="42">
    <w:name w:val="toc 4"/>
    <w:basedOn w:val="1"/>
    <w:next w:val="1"/>
    <w:qFormat/>
    <w:uiPriority w:val="0"/>
    <w:pPr>
      <w:ind w:left="630"/>
      <w:jc w:val="left"/>
    </w:pPr>
    <w:rPr>
      <w:rFonts w:ascii="Calibri" w:hAnsi="Calibri" w:eastAsia="Calibri" w:cs="Times New Roman"/>
      <w:sz w:val="18"/>
      <w:szCs w:val="18"/>
    </w:rPr>
  </w:style>
  <w:style w:type="paragraph" w:styleId="43">
    <w:name w:val="index heading"/>
    <w:basedOn w:val="1"/>
    <w:next w:val="44"/>
    <w:qFormat/>
    <w:uiPriority w:val="0"/>
    <w:pPr>
      <w:spacing w:before="240" w:after="120"/>
      <w:ind w:left="140"/>
      <w:jc w:val="left"/>
    </w:pPr>
    <w:rPr>
      <w:rFonts w:ascii="Arial" w:hAnsi="Arial" w:eastAsia="Calibri" w:cs="Arial"/>
      <w:b/>
      <w:bCs/>
      <w:sz w:val="28"/>
      <w:szCs w:val="28"/>
    </w:rPr>
  </w:style>
  <w:style w:type="paragraph" w:styleId="44">
    <w:name w:val="index 1"/>
    <w:basedOn w:val="1"/>
    <w:next w:val="1"/>
    <w:qFormat/>
    <w:uiPriority w:val="0"/>
    <w:pPr>
      <w:spacing w:line="220" w:lineRule="exact"/>
      <w:jc w:val="center"/>
    </w:pPr>
    <w:rPr>
      <w:rFonts w:ascii="仿宋_GB2312" w:hAnsi="Calibri" w:eastAsia="仿宋_GB2312" w:cs="Times New Roman"/>
      <w:szCs w:val="21"/>
    </w:rPr>
  </w:style>
  <w:style w:type="paragraph" w:styleId="45">
    <w:name w:val="footnote text"/>
    <w:basedOn w:val="1"/>
    <w:link w:val="91"/>
    <w:qFormat/>
    <w:uiPriority w:val="0"/>
    <w:pPr>
      <w:snapToGrid w:val="0"/>
      <w:jc w:val="left"/>
    </w:pPr>
    <w:rPr>
      <w:rFonts w:ascii="Calibri" w:hAnsi="Calibri" w:eastAsia="Calibri" w:cs="Times New Roman"/>
      <w:sz w:val="18"/>
      <w:szCs w:val="18"/>
    </w:rPr>
  </w:style>
  <w:style w:type="paragraph" w:styleId="46">
    <w:name w:val="toc 6"/>
    <w:basedOn w:val="1"/>
    <w:next w:val="1"/>
    <w:qFormat/>
    <w:uiPriority w:val="0"/>
    <w:pPr>
      <w:ind w:left="1050"/>
      <w:jc w:val="left"/>
    </w:pPr>
    <w:rPr>
      <w:rFonts w:ascii="Calibri" w:hAnsi="Calibri" w:eastAsia="Calibri" w:cs="Times New Roman"/>
      <w:sz w:val="18"/>
      <w:szCs w:val="18"/>
    </w:rPr>
  </w:style>
  <w:style w:type="paragraph" w:styleId="47">
    <w:name w:val="Body Text Indent 3"/>
    <w:basedOn w:val="1"/>
    <w:link w:val="92"/>
    <w:qFormat/>
    <w:uiPriority w:val="0"/>
    <w:pPr>
      <w:spacing w:after="120"/>
      <w:ind w:left="420" w:leftChars="200"/>
    </w:pPr>
    <w:rPr>
      <w:rFonts w:ascii="Calibri" w:hAnsi="Calibri" w:eastAsia="Calibri" w:cs="Times New Roman"/>
      <w:sz w:val="16"/>
      <w:szCs w:val="16"/>
    </w:rPr>
  </w:style>
  <w:style w:type="paragraph" w:styleId="48">
    <w:name w:val="index 7"/>
    <w:basedOn w:val="1"/>
    <w:next w:val="1"/>
    <w:qFormat/>
    <w:uiPriority w:val="0"/>
    <w:pPr>
      <w:ind w:left="1470" w:hanging="210"/>
      <w:jc w:val="left"/>
    </w:pPr>
    <w:rPr>
      <w:rFonts w:ascii="Calibri" w:hAnsi="Calibri" w:eastAsia="Calibri" w:cs="Times New Roman"/>
      <w:sz w:val="18"/>
      <w:szCs w:val="18"/>
    </w:rPr>
  </w:style>
  <w:style w:type="paragraph" w:styleId="49">
    <w:name w:val="index 9"/>
    <w:basedOn w:val="1"/>
    <w:next w:val="1"/>
    <w:qFormat/>
    <w:uiPriority w:val="0"/>
    <w:pPr>
      <w:ind w:left="1890" w:hanging="210"/>
      <w:jc w:val="left"/>
    </w:pPr>
    <w:rPr>
      <w:rFonts w:ascii="Calibri" w:hAnsi="Calibri" w:eastAsia="Calibri" w:cs="Times New Roman"/>
      <w:sz w:val="18"/>
      <w:szCs w:val="18"/>
    </w:rPr>
  </w:style>
  <w:style w:type="paragraph" w:styleId="50">
    <w:name w:val="table of figures"/>
    <w:basedOn w:val="51"/>
    <w:next w:val="1"/>
    <w:qFormat/>
    <w:uiPriority w:val="0"/>
    <w:pPr>
      <w:adjustRightInd/>
      <w:spacing w:before="0" w:after="0" w:line="240" w:lineRule="auto"/>
      <w:ind w:left="420" w:hanging="420"/>
      <w:jc w:val="left"/>
      <w:textAlignment w:val="auto"/>
      <w:outlineLvl w:val="9"/>
    </w:pPr>
    <w:rPr>
      <w:rFonts w:ascii="Times New Roman" w:hAnsi="Times New Roman" w:eastAsia="Calibri" w:cs="Times New Roman"/>
      <w:b w:val="0"/>
      <w:smallCaps/>
      <w:kern w:val="2"/>
      <w:sz w:val="20"/>
    </w:rPr>
  </w:style>
  <w:style w:type="paragraph" w:styleId="51">
    <w:name w:val="Title"/>
    <w:basedOn w:val="1"/>
    <w:link w:val="93"/>
    <w:qFormat/>
    <w:uiPriority w:val="0"/>
    <w:pPr>
      <w:adjustRightInd w:val="0"/>
      <w:spacing w:before="240" w:after="60" w:line="420" w:lineRule="atLeast"/>
      <w:jc w:val="center"/>
      <w:textAlignment w:val="baseline"/>
      <w:outlineLvl w:val="0"/>
    </w:pPr>
    <w:rPr>
      <w:rFonts w:ascii="Arial" w:hAnsi="Arial" w:eastAsia="Calibri" w:cs="Times New Roman"/>
      <w:b/>
      <w:kern w:val="0"/>
      <w:sz w:val="32"/>
      <w:szCs w:val="20"/>
    </w:rPr>
  </w:style>
  <w:style w:type="paragraph" w:styleId="52">
    <w:name w:val="toc 2"/>
    <w:basedOn w:val="1"/>
    <w:next w:val="1"/>
    <w:qFormat/>
    <w:uiPriority w:val="0"/>
    <w:pPr>
      <w:ind w:left="210"/>
      <w:jc w:val="left"/>
    </w:pPr>
    <w:rPr>
      <w:rFonts w:ascii="Calibri" w:hAnsi="Calibri" w:eastAsia="Calibri" w:cs="Times New Roman"/>
      <w:b/>
      <w:smallCaps/>
      <w:sz w:val="24"/>
      <w:szCs w:val="20"/>
    </w:rPr>
  </w:style>
  <w:style w:type="paragraph" w:styleId="53">
    <w:name w:val="toc 9"/>
    <w:basedOn w:val="1"/>
    <w:next w:val="1"/>
    <w:qFormat/>
    <w:uiPriority w:val="0"/>
    <w:pPr>
      <w:ind w:left="1680"/>
      <w:jc w:val="left"/>
    </w:pPr>
    <w:rPr>
      <w:rFonts w:ascii="Calibri" w:hAnsi="Calibri" w:eastAsia="Calibri" w:cs="Times New Roman"/>
      <w:sz w:val="18"/>
      <w:szCs w:val="18"/>
    </w:rPr>
  </w:style>
  <w:style w:type="paragraph" w:styleId="54">
    <w:name w:val="Body Text 2"/>
    <w:basedOn w:val="1"/>
    <w:qFormat/>
    <w:uiPriority w:val="0"/>
    <w:rPr>
      <w:rFonts w:ascii="宋体" w:hAnsi="宋体" w:eastAsia="Calibri" w:cs="Times New Roman"/>
      <w:sz w:val="28"/>
    </w:rPr>
  </w:style>
  <w:style w:type="paragraph" w:styleId="55">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Calibri" w:cs="Times New Roman"/>
      <w:kern w:val="0"/>
      <w:szCs w:val="21"/>
    </w:rPr>
  </w:style>
  <w:style w:type="paragraph" w:styleId="56">
    <w:name w:val="Normal (Web)"/>
    <w:basedOn w:val="1"/>
    <w:qFormat/>
    <w:uiPriority w:val="0"/>
    <w:pPr>
      <w:widowControl/>
      <w:spacing w:before="100" w:beforeAutospacing="1" w:after="100" w:afterAutospacing="1"/>
      <w:jc w:val="left"/>
    </w:pPr>
    <w:rPr>
      <w:rFonts w:hint="eastAsia" w:ascii="宋体" w:hAnsi="宋体" w:eastAsia="Calibri" w:cs="Times New Roman"/>
      <w:kern w:val="0"/>
      <w:sz w:val="24"/>
    </w:rPr>
  </w:style>
  <w:style w:type="paragraph" w:styleId="57">
    <w:name w:val="index 2"/>
    <w:basedOn w:val="1"/>
    <w:next w:val="1"/>
    <w:qFormat/>
    <w:uiPriority w:val="0"/>
    <w:pPr>
      <w:ind w:left="420" w:hanging="210"/>
      <w:jc w:val="left"/>
    </w:pPr>
    <w:rPr>
      <w:rFonts w:ascii="Calibri" w:hAnsi="Calibri" w:eastAsia="Calibri" w:cs="Times New Roman"/>
      <w:sz w:val="18"/>
      <w:szCs w:val="18"/>
    </w:rPr>
  </w:style>
  <w:style w:type="paragraph" w:styleId="58">
    <w:name w:val="annotation subject"/>
    <w:basedOn w:val="20"/>
    <w:next w:val="20"/>
    <w:qFormat/>
    <w:uiPriority w:val="0"/>
    <w:rPr>
      <w:rFonts w:ascii="Calibri" w:hAnsi="Calibri" w:eastAsia="Calibri" w:cs="Times New Roman"/>
      <w:b/>
      <w:bCs/>
    </w:rPr>
  </w:style>
  <w:style w:type="paragraph" w:styleId="59">
    <w:name w:val="Body Text First Indent 2"/>
    <w:basedOn w:val="26"/>
    <w:qFormat/>
    <w:uiPriority w:val="0"/>
    <w:pPr>
      <w:tabs>
        <w:tab w:val="left" w:pos="1275"/>
      </w:tabs>
      <w:ind w:firstLine="420" w:firstLineChars="200"/>
    </w:pPr>
    <w:rPr>
      <w:rFonts w:ascii="Calibri" w:hAnsi="Calibri" w:eastAsia="Calibri" w:cs="Times New Roman"/>
    </w:rPr>
  </w:style>
  <w:style w:type="table" w:styleId="61">
    <w:name w:val="Table Grid"/>
    <w:basedOn w:val="60"/>
    <w:qFormat/>
    <w:uiPriority w:val="0"/>
    <w:pPr>
      <w:widowControl w:val="0"/>
      <w:jc w:val="both"/>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widowControl w:val="0"/>
      <w:jc w:val="both"/>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qFormat/>
    <w:uiPriority w:val="0"/>
    <w:rPr>
      <w:rFonts w:ascii="Calibri" w:hAnsi="Calibri" w:eastAsia="Calibri" w:cs="Times New Roman"/>
      <w:vertAlign w:val="superscript"/>
    </w:rPr>
  </w:style>
  <w:style w:type="character" w:styleId="66">
    <w:name w:val="page number"/>
    <w:basedOn w:val="63"/>
    <w:qFormat/>
    <w:uiPriority w:val="0"/>
    <w:rPr>
      <w:rFonts w:ascii="Calibri" w:hAnsi="Calibri" w:eastAsia="Calibri" w:cs="Times New Roman"/>
    </w:rPr>
  </w:style>
  <w:style w:type="character" w:styleId="67">
    <w:name w:val="FollowedHyperlink"/>
    <w:qFormat/>
    <w:uiPriority w:val="0"/>
    <w:rPr>
      <w:rFonts w:ascii="Calibri" w:hAnsi="Calibri" w:eastAsia="Calibri" w:cs="Times New Roman"/>
      <w:color w:val="000000"/>
      <w:u w:val="none"/>
    </w:rPr>
  </w:style>
  <w:style w:type="character" w:styleId="68">
    <w:name w:val="HTML Definition"/>
    <w:basedOn w:val="63"/>
    <w:qFormat/>
    <w:uiPriority w:val="0"/>
    <w:rPr>
      <w:rFonts w:ascii="sans-serif" w:hAnsi="sans-serif" w:eastAsia="sans-serif" w:cs="sans-serif"/>
      <w:i/>
      <w:iCs/>
      <w:color w:val="FFFFFF"/>
      <w:sz w:val="21"/>
      <w:szCs w:val="21"/>
      <w:vertAlign w:val="baseline"/>
    </w:rPr>
  </w:style>
  <w:style w:type="character" w:styleId="69">
    <w:name w:val="Hyperlink"/>
    <w:qFormat/>
    <w:uiPriority w:val="0"/>
    <w:rPr>
      <w:rFonts w:ascii="Calibri" w:hAnsi="Calibri" w:eastAsia="Calibri" w:cs="Times New Roman"/>
      <w:color w:val="000000"/>
      <w:u w:val="none"/>
    </w:rPr>
  </w:style>
  <w:style w:type="character" w:styleId="70">
    <w:name w:val="HTML Code"/>
    <w:basedOn w:val="63"/>
    <w:qFormat/>
    <w:uiPriority w:val="0"/>
    <w:rPr>
      <w:rFonts w:hint="default" w:ascii="Consolas" w:hAnsi="Consolas" w:eastAsia="Consolas" w:cs="Consolas"/>
      <w:color w:val="C7254E"/>
      <w:sz w:val="21"/>
      <w:szCs w:val="21"/>
      <w:bdr w:val="single" w:color="E1E1E1" w:sz="6" w:space="0"/>
      <w:shd w:val="clear" w:fill="F9F2F4"/>
    </w:rPr>
  </w:style>
  <w:style w:type="character" w:styleId="71">
    <w:name w:val="annotation reference"/>
    <w:qFormat/>
    <w:uiPriority w:val="0"/>
    <w:rPr>
      <w:rFonts w:ascii="Calibri" w:hAnsi="Calibri" w:eastAsia="Calibri" w:cs="Times New Roman"/>
      <w:sz w:val="21"/>
      <w:szCs w:val="21"/>
    </w:rPr>
  </w:style>
  <w:style w:type="character" w:styleId="72">
    <w:name w:val="footnote reference"/>
    <w:basedOn w:val="63"/>
    <w:qFormat/>
    <w:uiPriority w:val="0"/>
    <w:rPr>
      <w:rFonts w:ascii="Calibri" w:hAnsi="Calibri" w:eastAsia="Calibri" w:cs="Times New Roman"/>
      <w:vertAlign w:val="superscript"/>
    </w:rPr>
  </w:style>
  <w:style w:type="character" w:styleId="73">
    <w:name w:val="HTML Keyboard"/>
    <w:basedOn w:val="63"/>
    <w:qFormat/>
    <w:uiPriority w:val="0"/>
    <w:rPr>
      <w:rFonts w:ascii="Consolas" w:hAnsi="Consolas" w:eastAsia="Consolas" w:cs="Consolas"/>
      <w:color w:val="FFFFFF"/>
      <w:sz w:val="21"/>
      <w:szCs w:val="21"/>
      <w:shd w:val="clear" w:fill="333333"/>
    </w:rPr>
  </w:style>
  <w:style w:type="character" w:styleId="74">
    <w:name w:val="HTML Sample"/>
    <w:basedOn w:val="63"/>
    <w:qFormat/>
    <w:uiPriority w:val="0"/>
    <w:rPr>
      <w:rFonts w:hint="default" w:ascii="Consolas" w:hAnsi="Consolas" w:eastAsia="Consolas" w:cs="Consolas"/>
      <w:sz w:val="21"/>
      <w:szCs w:val="21"/>
    </w:rPr>
  </w:style>
  <w:style w:type="character" w:customStyle="1" w:styleId="75">
    <w:name w:val="纯文本 Char1"/>
    <w:link w:val="31"/>
    <w:qFormat/>
    <w:uiPriority w:val="0"/>
    <w:rPr>
      <w:rFonts w:ascii="宋体" w:hAnsi="Courier New" w:eastAsia="宋体" w:cs="Times New Roman"/>
      <w:color w:val="000000"/>
      <w:kern w:val="2"/>
      <w:sz w:val="21"/>
      <w:lang w:val="en-US" w:eastAsia="zh-CN" w:bidi="ar-SA"/>
    </w:rPr>
  </w:style>
  <w:style w:type="character" w:customStyle="1" w:styleId="76">
    <w:name w:val="标题 1 Char"/>
    <w:link w:val="3"/>
    <w:qFormat/>
    <w:uiPriority w:val="0"/>
    <w:rPr>
      <w:rFonts w:ascii="Calibri" w:hAnsi="Calibri" w:eastAsia="宋体" w:cs="Times New Roman"/>
      <w:b/>
      <w:bCs/>
      <w:kern w:val="44"/>
      <w:sz w:val="44"/>
      <w:szCs w:val="44"/>
      <w:lang w:val="en-US" w:eastAsia="zh-CN" w:bidi="ar-SA"/>
    </w:rPr>
  </w:style>
  <w:style w:type="character" w:customStyle="1" w:styleId="77">
    <w:name w:val="标题 2 Char1"/>
    <w:link w:val="4"/>
    <w:qFormat/>
    <w:uiPriority w:val="0"/>
    <w:rPr>
      <w:rFonts w:ascii="Arial" w:hAnsi="Arial" w:eastAsia="黑体" w:cs="Times New Roman"/>
      <w:b/>
      <w:bCs/>
      <w:kern w:val="2"/>
      <w:sz w:val="32"/>
      <w:szCs w:val="32"/>
      <w:lang w:val="en-US" w:eastAsia="zh-CN" w:bidi="ar-SA"/>
    </w:rPr>
  </w:style>
  <w:style w:type="character" w:customStyle="1" w:styleId="78">
    <w:name w:val="标题 3 Char1"/>
    <w:link w:val="5"/>
    <w:qFormat/>
    <w:uiPriority w:val="0"/>
    <w:rPr>
      <w:rFonts w:ascii="Calibri" w:hAnsi="Calibri" w:eastAsia="宋体" w:cs="Times New Roman"/>
      <w:b/>
      <w:bCs/>
      <w:kern w:val="2"/>
      <w:sz w:val="32"/>
      <w:szCs w:val="32"/>
      <w:lang w:val="en-US" w:eastAsia="zh-CN" w:bidi="ar-SA"/>
    </w:rPr>
  </w:style>
  <w:style w:type="character" w:customStyle="1" w:styleId="79">
    <w:name w:val="标题 4 Char1"/>
    <w:link w:val="6"/>
    <w:qFormat/>
    <w:uiPriority w:val="0"/>
    <w:rPr>
      <w:rFonts w:ascii="Arial" w:hAnsi="Arial" w:eastAsia="黑体" w:cs="Times New Roman"/>
      <w:b/>
      <w:bCs/>
      <w:kern w:val="2"/>
      <w:sz w:val="28"/>
      <w:szCs w:val="28"/>
      <w:lang w:val="en-US" w:eastAsia="zh-CN" w:bidi="ar-SA"/>
    </w:rPr>
  </w:style>
  <w:style w:type="character" w:customStyle="1" w:styleId="80">
    <w:name w:val="标题 7 Char1"/>
    <w:link w:val="9"/>
    <w:qFormat/>
    <w:uiPriority w:val="0"/>
    <w:rPr>
      <w:rFonts w:ascii="Calibri" w:hAnsi="Calibri" w:eastAsia="宋体" w:cs="Times New Roman"/>
      <w:b/>
      <w:bCs/>
      <w:sz w:val="24"/>
      <w:szCs w:val="24"/>
      <w:lang w:val="en-US" w:eastAsia="zh-CN" w:bidi="ar-SA"/>
    </w:rPr>
  </w:style>
  <w:style w:type="character" w:customStyle="1" w:styleId="81">
    <w:name w:val="标题 9 Char1"/>
    <w:link w:val="11"/>
    <w:qFormat/>
    <w:uiPriority w:val="0"/>
    <w:rPr>
      <w:rFonts w:ascii="Arial" w:hAnsi="Arial" w:eastAsia="黑体" w:cs="Times New Roman"/>
      <w:sz w:val="21"/>
      <w:szCs w:val="21"/>
      <w:lang w:val="en-US" w:eastAsia="zh-CN" w:bidi="ar-SA"/>
    </w:rPr>
  </w:style>
  <w:style w:type="character" w:customStyle="1" w:styleId="82">
    <w:name w:val="文档结构图 Char1"/>
    <w:link w:val="19"/>
    <w:qFormat/>
    <w:uiPriority w:val="0"/>
    <w:rPr>
      <w:rFonts w:ascii="Calibri" w:hAnsi="Calibri" w:eastAsia="宋体" w:cs="Times New Roman"/>
      <w:kern w:val="2"/>
      <w:sz w:val="21"/>
      <w:szCs w:val="24"/>
      <w:lang w:val="en-US" w:eastAsia="zh-CN" w:bidi="ar-SA"/>
    </w:rPr>
  </w:style>
  <w:style w:type="character" w:customStyle="1" w:styleId="83">
    <w:name w:val="正文文本 3 Char1"/>
    <w:link w:val="22"/>
    <w:qFormat/>
    <w:uiPriority w:val="0"/>
    <w:rPr>
      <w:rFonts w:ascii="宋体" w:hAnsi="Calibri" w:eastAsia="宋体" w:cs="Times New Roman"/>
      <w:kern w:val="2"/>
      <w:sz w:val="24"/>
      <w:lang w:val="en-US" w:eastAsia="zh-CN" w:bidi="ar-SA"/>
    </w:rPr>
  </w:style>
  <w:style w:type="character" w:customStyle="1" w:styleId="84">
    <w:name w:val="正文文本 Char1"/>
    <w:link w:val="24"/>
    <w:qFormat/>
    <w:uiPriority w:val="0"/>
    <w:rPr>
      <w:rFonts w:ascii="Calibri" w:hAnsi="Calibri" w:eastAsia="宋体" w:cs="Times New Roman"/>
      <w:kern w:val="2"/>
      <w:sz w:val="21"/>
      <w:szCs w:val="24"/>
      <w:lang w:val="en-US" w:eastAsia="zh-CN" w:bidi="ar-SA"/>
    </w:rPr>
  </w:style>
  <w:style w:type="character" w:customStyle="1" w:styleId="85">
    <w:name w:val="正文文本缩进 Char1"/>
    <w:link w:val="26"/>
    <w:qFormat/>
    <w:uiPriority w:val="0"/>
    <w:rPr>
      <w:rFonts w:ascii="Calibri" w:hAnsi="Calibri" w:eastAsia="宋体" w:cs="Times New Roman"/>
      <w:kern w:val="2"/>
      <w:sz w:val="21"/>
      <w:szCs w:val="24"/>
      <w:lang w:val="en-US" w:eastAsia="zh-CN" w:bidi="ar-SA"/>
    </w:rPr>
  </w:style>
  <w:style w:type="character" w:customStyle="1" w:styleId="86">
    <w:name w:val="日期 Char"/>
    <w:link w:val="35"/>
    <w:qFormat/>
    <w:uiPriority w:val="0"/>
    <w:rPr>
      <w:rFonts w:ascii="Calibri" w:hAnsi="Calibri" w:eastAsia="宋体" w:cs="Times New Roman"/>
      <w:kern w:val="2"/>
      <w:sz w:val="21"/>
      <w:szCs w:val="24"/>
      <w:lang w:val="en-US" w:eastAsia="zh-CN" w:bidi="ar-SA"/>
    </w:rPr>
  </w:style>
  <w:style w:type="character" w:customStyle="1" w:styleId="87">
    <w:name w:val="正文文本缩进 2 Char1"/>
    <w:link w:val="36"/>
    <w:qFormat/>
    <w:uiPriority w:val="0"/>
    <w:rPr>
      <w:rFonts w:ascii="仿宋_GB2312" w:hAnsi="Calibri" w:eastAsia="仿宋_GB2312" w:cs="Times New Roman"/>
      <w:kern w:val="2"/>
      <w:sz w:val="28"/>
      <w:szCs w:val="24"/>
      <w:lang w:val="en-US" w:eastAsia="zh-CN" w:bidi="ar-SA"/>
    </w:rPr>
  </w:style>
  <w:style w:type="character" w:customStyle="1" w:styleId="88">
    <w:name w:val="批注框文本 Char1"/>
    <w:link w:val="38"/>
    <w:qFormat/>
    <w:uiPriority w:val="0"/>
    <w:rPr>
      <w:rFonts w:ascii="Calibri" w:hAnsi="Calibri" w:eastAsia="宋体" w:cs="Times New Roman"/>
      <w:kern w:val="2"/>
      <w:sz w:val="18"/>
      <w:szCs w:val="18"/>
      <w:lang w:val="en-US" w:eastAsia="zh-CN" w:bidi="ar-SA"/>
    </w:rPr>
  </w:style>
  <w:style w:type="character" w:customStyle="1" w:styleId="89">
    <w:name w:val="页脚 Char"/>
    <w:link w:val="39"/>
    <w:qFormat/>
    <w:uiPriority w:val="0"/>
    <w:rPr>
      <w:rFonts w:ascii="Calibri" w:hAnsi="Calibri" w:eastAsia="Calibri" w:cs="Times New Roman"/>
      <w:kern w:val="2"/>
      <w:sz w:val="18"/>
      <w:szCs w:val="18"/>
    </w:rPr>
  </w:style>
  <w:style w:type="character" w:customStyle="1" w:styleId="90">
    <w:name w:val="页眉 Char"/>
    <w:link w:val="40"/>
    <w:qFormat/>
    <w:uiPriority w:val="0"/>
    <w:rPr>
      <w:rFonts w:ascii="Calibri" w:hAnsi="Calibri" w:eastAsia="Calibri" w:cs="Times New Roman"/>
      <w:kern w:val="2"/>
      <w:sz w:val="18"/>
      <w:szCs w:val="18"/>
    </w:rPr>
  </w:style>
  <w:style w:type="character" w:customStyle="1" w:styleId="91">
    <w:name w:val="脚注文本 Char1"/>
    <w:link w:val="45"/>
    <w:qFormat/>
    <w:uiPriority w:val="0"/>
    <w:rPr>
      <w:rFonts w:ascii="Calibri" w:hAnsi="Calibri" w:eastAsia="宋体" w:cs="Times New Roman"/>
      <w:kern w:val="2"/>
      <w:sz w:val="18"/>
      <w:szCs w:val="18"/>
      <w:lang w:val="en-US" w:eastAsia="zh-CN" w:bidi="ar-SA"/>
    </w:rPr>
  </w:style>
  <w:style w:type="character" w:customStyle="1" w:styleId="92">
    <w:name w:val="正文文本缩进 3 Char1"/>
    <w:link w:val="47"/>
    <w:qFormat/>
    <w:uiPriority w:val="0"/>
    <w:rPr>
      <w:rFonts w:ascii="Calibri" w:hAnsi="Calibri" w:eastAsia="宋体" w:cs="Times New Roman"/>
      <w:kern w:val="2"/>
      <w:sz w:val="16"/>
      <w:szCs w:val="16"/>
      <w:lang w:val="en-US" w:eastAsia="zh-CN" w:bidi="ar-SA"/>
    </w:rPr>
  </w:style>
  <w:style w:type="character" w:customStyle="1" w:styleId="93">
    <w:name w:val="标题 Char1"/>
    <w:link w:val="51"/>
    <w:qFormat/>
    <w:uiPriority w:val="0"/>
    <w:rPr>
      <w:rFonts w:ascii="Arial" w:hAnsi="Arial" w:eastAsia="宋体" w:cs="Times New Roman"/>
      <w:b/>
      <w:sz w:val="32"/>
      <w:lang w:val="en-US" w:eastAsia="zh-CN" w:bidi="ar-SA"/>
    </w:rPr>
  </w:style>
  <w:style w:type="character" w:customStyle="1" w:styleId="94">
    <w:name w:val="HTML 预设格式 Char"/>
    <w:link w:val="55"/>
    <w:qFormat/>
    <w:uiPriority w:val="0"/>
    <w:rPr>
      <w:rFonts w:ascii="Arial" w:hAnsi="Arial" w:eastAsia="Calibri" w:cs="Times New Roman"/>
      <w:sz w:val="21"/>
      <w:szCs w:val="21"/>
      <w:lang w:bidi="ar-SA"/>
    </w:rPr>
  </w:style>
  <w:style w:type="character" w:customStyle="1" w:styleId="95">
    <w:name w:val="标题 9 Char"/>
    <w:qFormat/>
    <w:uiPriority w:val="0"/>
    <w:rPr>
      <w:rFonts w:ascii="Arial" w:hAnsi="Arial" w:eastAsia="黑体" w:cs="Times New Roman"/>
      <w:sz w:val="21"/>
      <w:szCs w:val="21"/>
      <w:lang w:val="en-US" w:eastAsia="zh-CN" w:bidi="ar-SA"/>
    </w:rPr>
  </w:style>
  <w:style w:type="character" w:customStyle="1" w:styleId="96">
    <w:name w:val="表格（居中） Char Char"/>
    <w:link w:val="97"/>
    <w:qFormat/>
    <w:uiPriority w:val="0"/>
    <w:rPr>
      <w:rFonts w:ascii="宋体" w:hAnsi="宋体" w:eastAsia="Times New Roman" w:cs="Arial"/>
      <w:sz w:val="21"/>
      <w:szCs w:val="21"/>
      <w:lang w:val="en-US" w:eastAsia="zh-CN" w:bidi="ar-SA"/>
    </w:rPr>
  </w:style>
  <w:style w:type="paragraph" w:customStyle="1" w:styleId="97">
    <w:name w:val="表格（居中）"/>
    <w:link w:val="96"/>
    <w:qFormat/>
    <w:uiPriority w:val="0"/>
    <w:pPr>
      <w:jc w:val="center"/>
    </w:pPr>
    <w:rPr>
      <w:rFonts w:ascii="宋体" w:hAnsi="宋体" w:eastAsia="Times New Roman" w:cs="Arial"/>
      <w:sz w:val="21"/>
      <w:szCs w:val="21"/>
      <w:lang w:val="en-US" w:eastAsia="zh-CN" w:bidi="ar-SA"/>
    </w:rPr>
  </w:style>
  <w:style w:type="character" w:customStyle="1" w:styleId="98">
    <w:name w:val="标题 4 Char"/>
    <w:qFormat/>
    <w:uiPriority w:val="0"/>
    <w:rPr>
      <w:rFonts w:ascii="Arial" w:hAnsi="Arial" w:eastAsia="黑体" w:cs="Times New Roman"/>
      <w:b/>
      <w:bCs/>
      <w:kern w:val="2"/>
      <w:sz w:val="28"/>
      <w:szCs w:val="28"/>
      <w:lang w:val="en-US" w:eastAsia="zh-CN" w:bidi="ar-SA"/>
    </w:rPr>
  </w:style>
  <w:style w:type="character" w:customStyle="1" w:styleId="99">
    <w:name w:val="font21"/>
    <w:basedOn w:val="63"/>
    <w:qFormat/>
    <w:uiPriority w:val="0"/>
    <w:rPr>
      <w:rFonts w:hint="eastAsia" w:ascii="宋体" w:hAnsi="宋体" w:eastAsia="宋体" w:cs="宋体"/>
      <w:color w:val="000000"/>
      <w:sz w:val="18"/>
      <w:szCs w:val="18"/>
      <w:u w:val="none"/>
    </w:rPr>
  </w:style>
  <w:style w:type="character" w:customStyle="1" w:styleId="100">
    <w:name w:val="font31"/>
    <w:basedOn w:val="63"/>
    <w:qFormat/>
    <w:uiPriority w:val="0"/>
    <w:rPr>
      <w:rFonts w:hint="eastAsia" w:ascii="宋体" w:hAnsi="宋体" w:eastAsia="宋体" w:cs="宋体"/>
      <w:color w:val="000000"/>
      <w:sz w:val="24"/>
      <w:szCs w:val="24"/>
      <w:u w:val="none"/>
    </w:rPr>
  </w:style>
  <w:style w:type="character" w:customStyle="1" w:styleId="101">
    <w:name w:val=" Char Char17"/>
    <w:qFormat/>
    <w:uiPriority w:val="0"/>
    <w:rPr>
      <w:rFonts w:ascii="Arial" w:hAnsi="Arial" w:eastAsia="黑体" w:cs="Times New Roman"/>
      <w:b/>
      <w:bCs/>
      <w:kern w:val="2"/>
      <w:sz w:val="32"/>
      <w:szCs w:val="32"/>
    </w:rPr>
  </w:style>
  <w:style w:type="character" w:customStyle="1" w:styleId="102">
    <w:name w:val="正文文本 2 Char"/>
    <w:qFormat/>
    <w:uiPriority w:val="0"/>
    <w:rPr>
      <w:rFonts w:ascii="宋体" w:hAnsi="宋体" w:eastAsia="宋体" w:cs="Times New Roman"/>
      <w:kern w:val="2"/>
      <w:sz w:val="28"/>
      <w:szCs w:val="24"/>
      <w:lang w:val="en-US" w:eastAsia="zh-CN" w:bidi="ar-SA"/>
    </w:rPr>
  </w:style>
  <w:style w:type="character" w:customStyle="1" w:styleId="103">
    <w:name w:val="op-map-singlepoint-info-right"/>
    <w:basedOn w:val="63"/>
    <w:qFormat/>
    <w:uiPriority w:val="0"/>
    <w:rPr>
      <w:rFonts w:ascii="Calibri" w:hAnsi="Calibri" w:eastAsia="Calibri" w:cs="Times New Roman"/>
    </w:rPr>
  </w:style>
  <w:style w:type="character" w:customStyle="1" w:styleId="104">
    <w:name w:val="内容2 Char"/>
    <w:link w:val="105"/>
    <w:qFormat/>
    <w:uiPriority w:val="0"/>
    <w:rPr>
      <w:rFonts w:ascii="宋体" w:hAnsi="宋体" w:eastAsia="Calibri" w:cs="Times New Roman"/>
      <w:snapToGrid w:val="0"/>
      <w:sz w:val="24"/>
      <w:szCs w:val="24"/>
      <w:lang w:bidi="ar-SA"/>
    </w:rPr>
  </w:style>
  <w:style w:type="paragraph" w:customStyle="1" w:styleId="105">
    <w:name w:val="内容2"/>
    <w:basedOn w:val="1"/>
    <w:link w:val="104"/>
    <w:qFormat/>
    <w:uiPriority w:val="0"/>
    <w:pPr>
      <w:spacing w:line="400" w:lineRule="exact"/>
      <w:ind w:firstLine="480" w:firstLineChars="200"/>
      <w:jc w:val="left"/>
      <w:outlineLvl w:val="2"/>
    </w:pPr>
    <w:rPr>
      <w:rFonts w:ascii="宋体" w:hAnsi="宋体" w:eastAsia="Calibri" w:cs="Times New Roman"/>
      <w:snapToGrid w:val="0"/>
      <w:kern w:val="0"/>
      <w:sz w:val="24"/>
    </w:rPr>
  </w:style>
  <w:style w:type="character" w:customStyle="1" w:styleId="106">
    <w:name w:val="脚注文本 Char"/>
    <w:qFormat/>
    <w:uiPriority w:val="0"/>
    <w:rPr>
      <w:rFonts w:ascii="Calibri" w:hAnsi="Calibri" w:eastAsia="宋体" w:cs="Times New Roman"/>
      <w:kern w:val="2"/>
      <w:sz w:val="18"/>
      <w:szCs w:val="18"/>
      <w:lang w:val="en-US" w:eastAsia="zh-CN" w:bidi="ar-SA"/>
    </w:rPr>
  </w:style>
  <w:style w:type="character" w:customStyle="1" w:styleId="107">
    <w:name w:val="纯文本 Char"/>
    <w:qFormat/>
    <w:uiPriority w:val="0"/>
    <w:rPr>
      <w:rFonts w:ascii="宋体" w:hAnsi="Courier New" w:eastAsia="宋体" w:cs="Times New Roman"/>
      <w:color w:val="000000"/>
      <w:kern w:val="2"/>
      <w:sz w:val="21"/>
      <w:lang w:val="en-US" w:eastAsia="zh-CN" w:bidi="ar-SA"/>
    </w:rPr>
  </w:style>
  <w:style w:type="character" w:customStyle="1" w:styleId="108">
    <w:name w:val="fontstyle61"/>
    <w:qFormat/>
    <w:uiPriority w:val="0"/>
    <w:rPr>
      <w:rFonts w:ascii="Cambria Math" w:hAnsi="Cambria Math" w:eastAsia="Cambria Math" w:cs="Cambria Math"/>
      <w:color w:val="000000"/>
      <w:sz w:val="24"/>
      <w:szCs w:val="24"/>
    </w:rPr>
  </w:style>
  <w:style w:type="character" w:customStyle="1" w:styleId="109">
    <w:name w:val="fontstyle41"/>
    <w:qFormat/>
    <w:uiPriority w:val="0"/>
    <w:rPr>
      <w:rFonts w:hint="eastAsia" w:ascii="宋体" w:hAnsi="宋体" w:eastAsia="宋体" w:cs="宋体"/>
      <w:color w:val="000000"/>
      <w:sz w:val="24"/>
      <w:szCs w:val="24"/>
    </w:rPr>
  </w:style>
  <w:style w:type="character" w:customStyle="1" w:styleId="110">
    <w:name w:val="fontstyle11"/>
    <w:qFormat/>
    <w:uiPriority w:val="0"/>
    <w:rPr>
      <w:rFonts w:hint="default" w:ascii="Times New Roman" w:hAnsi="Times New Roman" w:eastAsia="Calibri" w:cs="Times New Roman"/>
      <w:b/>
      <w:color w:val="000000"/>
      <w:sz w:val="24"/>
      <w:szCs w:val="24"/>
    </w:rPr>
  </w:style>
  <w:style w:type="character" w:customStyle="1" w:styleId="111">
    <w:name w:val="times1"/>
    <w:qFormat/>
    <w:uiPriority w:val="0"/>
    <w:rPr>
      <w:rFonts w:ascii="Calibri" w:hAnsi="Calibri" w:eastAsia="Calibri" w:cs="Times New Roman"/>
      <w:color w:val="3399FF"/>
      <w:bdr w:val="single" w:color="D1EDF8" w:sz="6" w:space="0"/>
      <w:shd w:val="clear" w:color="auto" w:fill="EAF9FF"/>
    </w:rPr>
  </w:style>
  <w:style w:type="character" w:customStyle="1" w:styleId="112">
    <w:name w:val="批注文字 Char"/>
    <w:qFormat/>
    <w:uiPriority w:val="0"/>
    <w:rPr>
      <w:rFonts w:ascii="Calibri" w:hAnsi="Calibri" w:eastAsia="宋体" w:cs="Times New Roman"/>
      <w:kern w:val="2"/>
      <w:sz w:val="21"/>
      <w:szCs w:val="24"/>
      <w:lang w:val="en-US" w:eastAsia="zh-CN" w:bidi="ar-SA"/>
    </w:rPr>
  </w:style>
  <w:style w:type="character" w:customStyle="1" w:styleId="113">
    <w:name w:val="fontstyle31"/>
    <w:qFormat/>
    <w:uiPriority w:val="0"/>
    <w:rPr>
      <w:rFonts w:hint="default" w:ascii="Times New Roman" w:hAnsi="Times New Roman" w:eastAsia="Calibri" w:cs="Times New Roman"/>
      <w:b/>
      <w:color w:val="000000"/>
      <w:sz w:val="24"/>
      <w:szCs w:val="24"/>
    </w:rPr>
  </w:style>
  <w:style w:type="character" w:customStyle="1" w:styleId="114">
    <w:name w:val="图表标题 Char4"/>
    <w:link w:val="115"/>
    <w:qFormat/>
    <w:uiPriority w:val="0"/>
    <w:rPr>
      <w:rFonts w:ascii="宋体" w:hAnsi="宋体" w:eastAsia="Calibri" w:cs="Times New Roman"/>
      <w:b/>
      <w:bCs/>
      <w:kern w:val="24"/>
      <w:sz w:val="24"/>
      <w:szCs w:val="24"/>
      <w:lang w:bidi="ar-SA"/>
    </w:rPr>
  </w:style>
  <w:style w:type="paragraph" w:customStyle="1" w:styleId="115">
    <w:name w:val="图表标题"/>
    <w:basedOn w:val="1"/>
    <w:next w:val="1"/>
    <w:link w:val="114"/>
    <w:qFormat/>
    <w:uiPriority w:val="0"/>
    <w:pPr>
      <w:spacing w:line="460" w:lineRule="exact"/>
      <w:jc w:val="center"/>
    </w:pPr>
    <w:rPr>
      <w:rFonts w:ascii="宋体" w:hAnsi="宋体" w:eastAsia="Calibri" w:cs="Times New Roman"/>
      <w:b/>
      <w:bCs/>
      <w:kern w:val="24"/>
      <w:sz w:val="24"/>
    </w:rPr>
  </w:style>
  <w:style w:type="character" w:customStyle="1" w:styleId="116">
    <w:name w:val="标题 6 Char"/>
    <w:qFormat/>
    <w:uiPriority w:val="0"/>
    <w:rPr>
      <w:rFonts w:ascii="Arial" w:hAnsi="Arial" w:eastAsia="黑体" w:cs="Times New Roman"/>
      <w:b/>
      <w:bCs/>
      <w:sz w:val="24"/>
      <w:szCs w:val="24"/>
      <w:lang w:val="en-US" w:eastAsia="zh-CN" w:bidi="ar-SA"/>
    </w:rPr>
  </w:style>
  <w:style w:type="character" w:customStyle="1" w:styleId="117">
    <w:name w:val="三标题正文 Char"/>
    <w:link w:val="118"/>
    <w:qFormat/>
    <w:uiPriority w:val="0"/>
    <w:rPr>
      <w:rFonts w:ascii="Calibri" w:hAnsi="Calibri" w:eastAsia="宋体" w:cs="Times New Roman"/>
      <w:b/>
      <w:snapToGrid w:val="0"/>
      <w:color w:val="000000"/>
      <w:kern w:val="2"/>
      <w:sz w:val="21"/>
      <w:szCs w:val="21"/>
      <w:lang w:val="en-US" w:eastAsia="zh-CN" w:bidi="ar-SA"/>
    </w:rPr>
  </w:style>
  <w:style w:type="paragraph" w:customStyle="1" w:styleId="118">
    <w:name w:val="三标题正文"/>
    <w:basedOn w:val="119"/>
    <w:next w:val="119"/>
    <w:link w:val="117"/>
    <w:qFormat/>
    <w:uiPriority w:val="0"/>
    <w:pPr>
      <w:spacing w:line="360" w:lineRule="auto"/>
      <w:ind w:firstLine="422"/>
      <w:outlineLvl w:val="0"/>
    </w:pPr>
    <w:rPr>
      <w:rFonts w:ascii="Calibri" w:hAnsi="Calibri" w:eastAsia="Calibri" w:cs="Times New Roman"/>
      <w:b/>
      <w:snapToGrid w:val="0"/>
      <w:color w:val="000000"/>
      <w:sz w:val="21"/>
      <w:szCs w:val="21"/>
      <w:lang w:val="en-US" w:eastAsia="zh-CN"/>
    </w:rPr>
  </w:style>
  <w:style w:type="paragraph" w:customStyle="1" w:styleId="119">
    <w:name w:val="正文一"/>
    <w:basedOn w:val="15"/>
    <w:link w:val="120"/>
    <w:qFormat/>
    <w:uiPriority w:val="0"/>
    <w:pPr>
      <w:overflowPunct w:val="0"/>
      <w:spacing w:line="400" w:lineRule="exact"/>
      <w:ind w:firstLine="480"/>
    </w:pPr>
    <w:rPr>
      <w:rFonts w:ascii="Calibri" w:hAnsi="Calibri" w:eastAsia="Calibri" w:cs="Times New Roman"/>
      <w:sz w:val="24"/>
    </w:rPr>
  </w:style>
  <w:style w:type="character" w:customStyle="1" w:styleId="120">
    <w:name w:val="正文一 Char"/>
    <w:link w:val="119"/>
    <w:qFormat/>
    <w:uiPriority w:val="0"/>
    <w:rPr>
      <w:rFonts w:ascii="Calibri" w:hAnsi="Calibri" w:eastAsia="Calibri" w:cs="Times New Roman"/>
      <w:kern w:val="2"/>
      <w:sz w:val="24"/>
      <w:szCs w:val="24"/>
      <w:lang w:bidi="ar-SA"/>
    </w:rPr>
  </w:style>
  <w:style w:type="character" w:customStyle="1" w:styleId="121">
    <w:name w:val="fontstyle51"/>
    <w:qFormat/>
    <w:uiPriority w:val="0"/>
    <w:rPr>
      <w:rFonts w:hint="default" w:ascii="Times New Roman" w:hAnsi="Times New Roman" w:eastAsia="Calibri" w:cs="Times New Roman"/>
      <w:i/>
      <w:color w:val="000000"/>
      <w:sz w:val="44"/>
      <w:szCs w:val="44"/>
    </w:rPr>
  </w:style>
  <w:style w:type="character" w:customStyle="1" w:styleId="122">
    <w:name w:val="标题 7 Char"/>
    <w:qFormat/>
    <w:uiPriority w:val="0"/>
    <w:rPr>
      <w:rFonts w:ascii="Calibri" w:hAnsi="Calibri" w:eastAsia="宋体" w:cs="Times New Roman"/>
      <w:b/>
      <w:bCs/>
      <w:sz w:val="24"/>
      <w:szCs w:val="24"/>
      <w:lang w:val="en-US" w:eastAsia="zh-CN" w:bidi="ar-SA"/>
    </w:rPr>
  </w:style>
  <w:style w:type="character" w:customStyle="1" w:styleId="123">
    <w:name w:val="正文文字4 Char Char"/>
    <w:qFormat/>
    <w:uiPriority w:val="0"/>
    <w:rPr>
      <w:rFonts w:ascii="Calibri" w:hAnsi="Calibri" w:eastAsia="Calibri" w:cs="Times New Roman"/>
      <w:kern w:val="2"/>
      <w:sz w:val="21"/>
      <w:szCs w:val="24"/>
    </w:rPr>
  </w:style>
  <w:style w:type="character" w:customStyle="1" w:styleId="124">
    <w:name w:val="标题 Char"/>
    <w:qFormat/>
    <w:uiPriority w:val="0"/>
    <w:rPr>
      <w:rFonts w:ascii="Arial" w:hAnsi="Arial" w:eastAsia="宋体" w:cs="Times New Roman"/>
      <w:b/>
      <w:sz w:val="32"/>
      <w:lang w:val="en-US" w:eastAsia="zh-CN" w:bidi="ar-SA"/>
    </w:rPr>
  </w:style>
  <w:style w:type="character" w:customStyle="1" w:styleId="125">
    <w:name w:val="正文文本 (2) + 10 pt37"/>
    <w:qFormat/>
    <w:uiPriority w:val="0"/>
    <w:rPr>
      <w:rFonts w:ascii="MingLiU" w:hAnsi="Calibri" w:eastAsia="MingLiU" w:cs="MingLiU"/>
      <w:spacing w:val="0"/>
      <w:sz w:val="20"/>
      <w:szCs w:val="20"/>
      <w:u w:val="none"/>
    </w:rPr>
  </w:style>
  <w:style w:type="character" w:customStyle="1" w:styleId="126">
    <w:name w:val="fontstyle71"/>
    <w:qFormat/>
    <w:uiPriority w:val="0"/>
    <w:rPr>
      <w:rFonts w:hint="default" w:ascii="Times New Roman" w:hAnsi="Times New Roman" w:eastAsia="Calibri" w:cs="Times New Roman"/>
      <w:b/>
      <w:color w:val="000000"/>
      <w:sz w:val="24"/>
      <w:szCs w:val="24"/>
    </w:rPr>
  </w:style>
  <w:style w:type="character" w:customStyle="1" w:styleId="127">
    <w:name w:val="font01"/>
    <w:basedOn w:val="63"/>
    <w:qFormat/>
    <w:uiPriority w:val="0"/>
    <w:rPr>
      <w:rFonts w:hint="eastAsia" w:ascii="宋体" w:hAnsi="宋体" w:eastAsia="宋体" w:cs="宋体"/>
      <w:color w:val="000000"/>
      <w:sz w:val="12"/>
      <w:szCs w:val="12"/>
      <w:u w:val="none"/>
    </w:rPr>
  </w:style>
  <w:style w:type="character" w:customStyle="1" w:styleId="128">
    <w:name w:val="H1 Char"/>
    <w:qFormat/>
    <w:uiPriority w:val="0"/>
    <w:rPr>
      <w:rFonts w:ascii="Calibri" w:hAnsi="Calibri" w:eastAsia="Calibri" w:cs="Times New Roman"/>
      <w:b/>
      <w:bCs/>
      <w:kern w:val="44"/>
      <w:sz w:val="44"/>
      <w:szCs w:val="44"/>
    </w:rPr>
  </w:style>
  <w:style w:type="character" w:customStyle="1" w:styleId="129">
    <w:name w:val="正文文本 Char"/>
    <w:qFormat/>
    <w:uiPriority w:val="0"/>
    <w:rPr>
      <w:rFonts w:ascii="Calibri" w:hAnsi="Calibri" w:eastAsia="宋体" w:cs="Times New Roman"/>
      <w:kern w:val="2"/>
      <w:sz w:val="21"/>
      <w:szCs w:val="24"/>
      <w:lang w:val="en-US" w:eastAsia="zh-CN" w:bidi="ar-SA"/>
    </w:rPr>
  </w:style>
  <w:style w:type="character" w:customStyle="1" w:styleId="130">
    <w:name w:val="正文文本缩进 3 Char"/>
    <w:qFormat/>
    <w:uiPriority w:val="0"/>
    <w:rPr>
      <w:rFonts w:ascii="Calibri" w:hAnsi="Calibri" w:eastAsia="宋体" w:cs="Times New Roman"/>
      <w:kern w:val="2"/>
      <w:sz w:val="16"/>
      <w:szCs w:val="16"/>
      <w:lang w:val="en-US" w:eastAsia="zh-CN" w:bidi="ar-SA"/>
    </w:rPr>
  </w:style>
  <w:style w:type="character" w:customStyle="1" w:styleId="131">
    <w:name w:val="批注框文本 Char"/>
    <w:qFormat/>
    <w:uiPriority w:val="0"/>
    <w:rPr>
      <w:rFonts w:ascii="Calibri" w:hAnsi="Calibri" w:eastAsia="宋体" w:cs="Times New Roman"/>
      <w:kern w:val="2"/>
      <w:sz w:val="18"/>
      <w:szCs w:val="18"/>
      <w:lang w:val="en-US" w:eastAsia="zh-CN" w:bidi="ar-SA"/>
    </w:rPr>
  </w:style>
  <w:style w:type="character" w:customStyle="1" w:styleId="132">
    <w:name w:val="正文文本 (5)_"/>
    <w:link w:val="133"/>
    <w:qFormat/>
    <w:uiPriority w:val="0"/>
    <w:rPr>
      <w:rFonts w:ascii="MingLiU" w:hAnsi="Calibri" w:eastAsia="MingLiU" w:cs="MingLiU"/>
      <w:kern w:val="0"/>
      <w:sz w:val="20"/>
      <w:szCs w:val="20"/>
    </w:rPr>
  </w:style>
  <w:style w:type="paragraph" w:customStyle="1" w:styleId="133">
    <w:name w:val="正文文本 (5)1"/>
    <w:basedOn w:val="1"/>
    <w:link w:val="132"/>
    <w:qFormat/>
    <w:uiPriority w:val="0"/>
    <w:pPr>
      <w:shd w:val="clear" w:color="auto" w:fill="FFFFFF"/>
      <w:spacing w:before="5100" w:line="240" w:lineRule="atLeast"/>
      <w:jc w:val="left"/>
    </w:pPr>
    <w:rPr>
      <w:rFonts w:ascii="MingLiU" w:hAnsi="Calibri" w:eastAsia="MingLiU" w:cs="MingLiU"/>
      <w:kern w:val="0"/>
      <w:sz w:val="20"/>
      <w:szCs w:val="20"/>
    </w:rPr>
  </w:style>
  <w:style w:type="character" w:customStyle="1" w:styleId="134">
    <w:name w:val="无间隔 Char"/>
    <w:link w:val="135"/>
    <w:qFormat/>
    <w:uiPriority w:val="0"/>
    <w:rPr>
      <w:rFonts w:ascii="Calibri" w:hAnsi="Calibri" w:eastAsia="Times New Roman" w:cs="Times New Roman"/>
      <w:sz w:val="22"/>
      <w:szCs w:val="22"/>
      <w:lang w:val="en-US" w:eastAsia="zh-CN" w:bidi="ar-SA"/>
    </w:rPr>
  </w:style>
  <w:style w:type="paragraph" w:styleId="135">
    <w:name w:val="No Spacing"/>
    <w:link w:val="134"/>
    <w:qFormat/>
    <w:uiPriority w:val="0"/>
    <w:rPr>
      <w:rFonts w:ascii="Calibri" w:hAnsi="Calibri" w:eastAsia="Times New Roman" w:cs="Times New Roman"/>
      <w:sz w:val="22"/>
      <w:szCs w:val="22"/>
      <w:lang w:val="en-US" w:eastAsia="zh-CN" w:bidi="ar-SA"/>
    </w:rPr>
  </w:style>
  <w:style w:type="character" w:customStyle="1" w:styleId="136">
    <w:name w:val="尾注文本 Char"/>
    <w:qFormat/>
    <w:uiPriority w:val="0"/>
    <w:rPr>
      <w:rFonts w:ascii="Calibri" w:hAnsi="Calibri" w:eastAsia="宋体" w:cs="Times New Roman"/>
      <w:kern w:val="2"/>
      <w:sz w:val="21"/>
      <w:szCs w:val="24"/>
      <w:lang w:val="en-US" w:eastAsia="zh-CN" w:bidi="ar-SA"/>
    </w:rPr>
  </w:style>
  <w:style w:type="character" w:customStyle="1" w:styleId="137">
    <w:name w:val="hover37"/>
    <w:basedOn w:val="63"/>
    <w:qFormat/>
    <w:uiPriority w:val="0"/>
    <w:rPr>
      <w:rFonts w:ascii="Calibri" w:hAnsi="Calibri" w:eastAsia="Calibri" w:cs="Times New Roman"/>
    </w:rPr>
  </w:style>
  <w:style w:type="character" w:customStyle="1" w:styleId="138">
    <w:name w:val="fontstyle81"/>
    <w:qFormat/>
    <w:uiPriority w:val="0"/>
    <w:rPr>
      <w:rFonts w:ascii="隶书" w:hAnsi="隶书" w:eastAsia="隶书" w:cs="隶书"/>
      <w:color w:val="000000"/>
      <w:sz w:val="24"/>
      <w:szCs w:val="24"/>
    </w:rPr>
  </w:style>
  <w:style w:type="character" w:customStyle="1" w:styleId="139">
    <w:name w:val=" Char Char6"/>
    <w:qFormat/>
    <w:uiPriority w:val="0"/>
    <w:rPr>
      <w:rFonts w:ascii="Calibri" w:hAnsi="Calibri" w:eastAsia="Calibri" w:cs="Times New Roman"/>
      <w:kern w:val="2"/>
      <w:sz w:val="16"/>
      <w:szCs w:val="16"/>
    </w:rPr>
  </w:style>
  <w:style w:type="character" w:customStyle="1" w:styleId="140">
    <w:name w:val="font51"/>
    <w:basedOn w:val="63"/>
    <w:qFormat/>
    <w:uiPriority w:val="0"/>
    <w:rPr>
      <w:rFonts w:hint="eastAsia" w:ascii="宋体" w:hAnsi="宋体" w:eastAsia="宋体" w:cs="宋体"/>
      <w:color w:val="000000"/>
      <w:sz w:val="18"/>
      <w:szCs w:val="18"/>
      <w:u w:val="none"/>
    </w:rPr>
  </w:style>
  <w:style w:type="character" w:customStyle="1" w:styleId="141">
    <w:name w:val="正文文本 (2) + 10 pt34"/>
    <w:qFormat/>
    <w:uiPriority w:val="0"/>
    <w:rPr>
      <w:rFonts w:ascii="MingLiU" w:hAnsi="Calibri" w:eastAsia="MingLiU" w:cs="MingLiU"/>
      <w:spacing w:val="-20"/>
      <w:sz w:val="20"/>
      <w:szCs w:val="20"/>
      <w:u w:val="none"/>
      <w:lang w:val="en-US" w:eastAsia="en-US"/>
    </w:rPr>
  </w:style>
  <w:style w:type="character" w:customStyle="1" w:styleId="142">
    <w:name w:val="times"/>
    <w:qFormat/>
    <w:uiPriority w:val="0"/>
    <w:rPr>
      <w:rFonts w:ascii="Calibri" w:hAnsi="Calibri" w:eastAsia="Calibri" w:cs="Times New Roman"/>
      <w:color w:val="CDCDCD"/>
      <w:bdr w:val="single" w:color="CDCDCD" w:sz="6" w:space="0"/>
      <w:shd w:val="clear" w:color="auto" w:fill="EFEFEF"/>
    </w:rPr>
  </w:style>
  <w:style w:type="character" w:customStyle="1" w:styleId="143">
    <w:name w:val="font161"/>
    <w:qFormat/>
    <w:uiPriority w:val="0"/>
    <w:rPr>
      <w:rFonts w:ascii="Calibri" w:hAnsi="Calibri" w:eastAsia="Calibri" w:cs="Times New Roman"/>
      <w:b/>
      <w:bCs/>
      <w:sz w:val="32"/>
      <w:szCs w:val="32"/>
    </w:rPr>
  </w:style>
  <w:style w:type="character" w:customStyle="1" w:styleId="144">
    <w:name w:val="fontstyle21"/>
    <w:qFormat/>
    <w:uiPriority w:val="0"/>
    <w:rPr>
      <w:rFonts w:hint="default" w:ascii="Times New Roman" w:hAnsi="Times New Roman" w:eastAsia="Calibri" w:cs="Times New Roman"/>
      <w:color w:val="000000"/>
      <w:sz w:val="24"/>
      <w:szCs w:val="24"/>
    </w:rPr>
  </w:style>
  <w:style w:type="character" w:customStyle="1" w:styleId="145">
    <w:name w:val="fontstyle01"/>
    <w:qFormat/>
    <w:uiPriority w:val="0"/>
    <w:rPr>
      <w:rFonts w:hint="eastAsia" w:ascii="宋体" w:hAnsi="宋体" w:eastAsia="宋体" w:cs="宋体"/>
      <w:color w:val="000000"/>
      <w:sz w:val="24"/>
      <w:szCs w:val="24"/>
    </w:rPr>
  </w:style>
  <w:style w:type="character" w:customStyle="1" w:styleId="146">
    <w:name w:val="标题 8 Char"/>
    <w:qFormat/>
    <w:uiPriority w:val="0"/>
    <w:rPr>
      <w:rFonts w:ascii="Arial" w:hAnsi="Arial" w:eastAsia="黑体" w:cs="Times New Roman"/>
      <w:sz w:val="24"/>
      <w:szCs w:val="24"/>
      <w:lang w:val="en-US" w:eastAsia="zh-CN" w:bidi="ar-SA"/>
    </w:rPr>
  </w:style>
  <w:style w:type="character" w:customStyle="1" w:styleId="147">
    <w:name w:val="样式 标题 3 + (中文) 黑体 小四 非加粗 段前: 7.8 磅 段后: 0 磅 行距: 固定值 20 磅 Char"/>
    <w:link w:val="148"/>
    <w:qFormat/>
    <w:uiPriority w:val="0"/>
    <w:rPr>
      <w:rFonts w:ascii="Calibri" w:hAnsi="Calibri" w:eastAsia="黑体" w:cs="宋体"/>
      <w:kern w:val="2"/>
      <w:sz w:val="24"/>
      <w:lang w:val="en-US" w:eastAsia="zh-CN" w:bidi="ar-SA"/>
    </w:rPr>
  </w:style>
  <w:style w:type="paragraph" w:customStyle="1" w:styleId="148">
    <w:name w:val="样式 标题 3 + (中文) 黑体 小四 非加粗 段前: 7.8 磅 段后: 0 磅 行距: 固定值 20 磅"/>
    <w:basedOn w:val="5"/>
    <w:link w:val="147"/>
    <w:qFormat/>
    <w:uiPriority w:val="0"/>
    <w:pPr>
      <w:spacing w:before="0" w:after="0" w:line="400" w:lineRule="exact"/>
    </w:pPr>
    <w:rPr>
      <w:rFonts w:ascii="Calibri" w:hAnsi="Calibri" w:eastAsia="黑体" w:cs="宋体"/>
      <w:b w:val="0"/>
      <w:bCs w:val="0"/>
      <w:sz w:val="24"/>
      <w:szCs w:val="20"/>
    </w:rPr>
  </w:style>
  <w:style w:type="character" w:customStyle="1" w:styleId="149">
    <w:name w:val="正文文本 (2) + 间距 0 pt3"/>
    <w:qFormat/>
    <w:uiPriority w:val="0"/>
    <w:rPr>
      <w:rFonts w:ascii="MingLiU" w:hAnsi="Calibri" w:eastAsia="MingLiU" w:cs="MingLiU"/>
      <w:spacing w:val="0"/>
      <w:sz w:val="22"/>
      <w:szCs w:val="22"/>
      <w:u w:val="none"/>
    </w:rPr>
  </w:style>
  <w:style w:type="character" w:customStyle="1" w:styleId="150">
    <w:name w:val="图表 Char4"/>
    <w:link w:val="151"/>
    <w:qFormat/>
    <w:uiPriority w:val="0"/>
    <w:rPr>
      <w:rFonts w:ascii="宋体" w:hAnsi="Calibri" w:eastAsia="Calibri" w:cs="Times New Roman"/>
      <w:kern w:val="21"/>
      <w:sz w:val="21"/>
      <w:szCs w:val="21"/>
      <w:lang w:bidi="ar-SA"/>
    </w:rPr>
  </w:style>
  <w:style w:type="paragraph" w:customStyle="1" w:styleId="151">
    <w:name w:val="图表"/>
    <w:basedOn w:val="115"/>
    <w:link w:val="150"/>
    <w:qFormat/>
    <w:uiPriority w:val="0"/>
    <w:pPr>
      <w:spacing w:line="260" w:lineRule="exact"/>
    </w:pPr>
    <w:rPr>
      <w:rFonts w:ascii="Calibri" w:hAnsi="Times New Roman" w:eastAsia="Calibri" w:cs="Times New Roman"/>
      <w:b w:val="0"/>
      <w:bCs w:val="0"/>
      <w:kern w:val="21"/>
      <w:sz w:val="21"/>
      <w:szCs w:val="21"/>
    </w:rPr>
  </w:style>
  <w:style w:type="character" w:customStyle="1" w:styleId="152">
    <w:name w:val="正文标题 Char"/>
    <w:link w:val="153"/>
    <w:qFormat/>
    <w:uiPriority w:val="0"/>
    <w:rPr>
      <w:rFonts w:ascii="黑体" w:hAnsi="Calibri" w:eastAsia="黑体" w:cs="Times New Roman"/>
      <w:b/>
      <w:kern w:val="2"/>
      <w:sz w:val="30"/>
      <w:szCs w:val="30"/>
      <w:lang w:val="en-US" w:eastAsia="zh-CN" w:bidi="ar-SA"/>
    </w:rPr>
  </w:style>
  <w:style w:type="paragraph" w:customStyle="1" w:styleId="153">
    <w:name w:val="正文标题"/>
    <w:basedOn w:val="119"/>
    <w:link w:val="152"/>
    <w:qFormat/>
    <w:uiPriority w:val="0"/>
    <w:pPr>
      <w:spacing w:before="120" w:beforeLines="50" w:after="120" w:afterLines="50"/>
      <w:ind w:firstLine="0" w:firstLineChars="0"/>
      <w:jc w:val="center"/>
    </w:pPr>
    <w:rPr>
      <w:rFonts w:ascii="黑体" w:hAnsi="Calibri" w:eastAsia="黑体" w:cs="Times New Roman"/>
      <w:b/>
      <w:sz w:val="30"/>
      <w:szCs w:val="30"/>
      <w:lang w:val="en-US" w:eastAsia="zh-CN"/>
    </w:rPr>
  </w:style>
  <w:style w:type="character" w:customStyle="1" w:styleId="154">
    <w:name w:val="正文文本缩进 Char"/>
    <w:qFormat/>
    <w:uiPriority w:val="0"/>
    <w:rPr>
      <w:rFonts w:ascii="Calibri" w:hAnsi="Calibri" w:eastAsia="宋体" w:cs="Times New Roman"/>
      <w:kern w:val="2"/>
      <w:sz w:val="21"/>
      <w:szCs w:val="24"/>
      <w:lang w:val="en-US" w:eastAsia="zh-CN" w:bidi="ar-SA"/>
    </w:rPr>
  </w:style>
  <w:style w:type="character" w:customStyle="1" w:styleId="155">
    <w:name w:val="正文文本缩进 2 Char"/>
    <w:qFormat/>
    <w:uiPriority w:val="0"/>
    <w:rPr>
      <w:rFonts w:ascii="仿宋_GB2312" w:hAnsi="Calibri" w:eastAsia="仿宋_GB2312" w:cs="Times New Roman"/>
      <w:kern w:val="2"/>
      <w:sz w:val="28"/>
      <w:szCs w:val="24"/>
      <w:lang w:val="en-US" w:eastAsia="zh-CN" w:bidi="ar-SA"/>
    </w:rPr>
  </w:style>
  <w:style w:type="character" w:customStyle="1" w:styleId="156">
    <w:name w:val="文档结构图 Char"/>
    <w:qFormat/>
    <w:uiPriority w:val="0"/>
    <w:rPr>
      <w:rFonts w:ascii="Calibri" w:hAnsi="Calibri" w:eastAsia="宋体" w:cs="Times New Roman"/>
      <w:kern w:val="2"/>
      <w:sz w:val="21"/>
      <w:szCs w:val="24"/>
      <w:lang w:val="en-US" w:eastAsia="zh-CN" w:bidi="ar-SA"/>
    </w:rPr>
  </w:style>
  <w:style w:type="character" w:customStyle="1" w:styleId="157">
    <w:name w:val="正文文本 3 Char"/>
    <w:qFormat/>
    <w:uiPriority w:val="0"/>
    <w:rPr>
      <w:rFonts w:ascii="宋体" w:hAnsi="Calibri" w:eastAsia="宋体" w:cs="Times New Roman"/>
      <w:kern w:val="2"/>
      <w:sz w:val="24"/>
      <w:lang w:val="en-US" w:eastAsia="zh-CN" w:bidi="ar-SA"/>
    </w:rPr>
  </w:style>
  <w:style w:type="character" w:customStyle="1" w:styleId="158">
    <w:name w:val="标题 3 Char"/>
    <w:qFormat/>
    <w:uiPriority w:val="0"/>
    <w:rPr>
      <w:rFonts w:ascii="Calibri" w:hAnsi="Calibri" w:eastAsia="宋体" w:cs="Times New Roman"/>
      <w:b/>
      <w:bCs/>
      <w:kern w:val="2"/>
      <w:sz w:val="32"/>
      <w:szCs w:val="32"/>
      <w:lang w:val="en-US" w:eastAsia="zh-CN" w:bidi="ar-SA"/>
    </w:rPr>
  </w:style>
  <w:style w:type="character" w:customStyle="1" w:styleId="159">
    <w:name w:val=" Char Char22"/>
    <w:qFormat/>
    <w:uiPriority w:val="0"/>
    <w:rPr>
      <w:rFonts w:ascii="Calibri" w:hAnsi="Calibri" w:eastAsia="宋体" w:cs="Times New Roman"/>
      <w:b/>
      <w:bCs/>
      <w:kern w:val="2"/>
      <w:sz w:val="32"/>
      <w:szCs w:val="32"/>
      <w:lang w:val="en-US" w:eastAsia="zh-CN" w:bidi="ar-SA"/>
    </w:rPr>
  </w:style>
  <w:style w:type="character" w:customStyle="1" w:styleId="160">
    <w:name w:val="控制要点 Char"/>
    <w:link w:val="161"/>
    <w:qFormat/>
    <w:uiPriority w:val="0"/>
    <w:rPr>
      <w:rFonts w:ascii="Calibri" w:hAnsi="Calibri" w:eastAsia="宋体" w:cs="Times New Roman"/>
      <w:kern w:val="2"/>
      <w:sz w:val="24"/>
      <w:szCs w:val="24"/>
      <w:lang w:val="en-US" w:eastAsia="zh-CN" w:bidi="ar-SA"/>
    </w:rPr>
  </w:style>
  <w:style w:type="paragraph" w:customStyle="1" w:styleId="161">
    <w:name w:val="控制要点"/>
    <w:basedOn w:val="1"/>
    <w:next w:val="1"/>
    <w:link w:val="160"/>
    <w:qFormat/>
    <w:uiPriority w:val="0"/>
    <w:pPr>
      <w:tabs>
        <w:tab w:val="left" w:pos="840"/>
      </w:tabs>
      <w:spacing w:line="360" w:lineRule="auto"/>
      <w:ind w:left="840" w:hanging="360"/>
    </w:pPr>
    <w:rPr>
      <w:rFonts w:ascii="Calibri" w:hAnsi="Calibri" w:eastAsia="Calibri" w:cs="Times New Roman"/>
      <w:sz w:val="24"/>
    </w:rPr>
  </w:style>
  <w:style w:type="character" w:customStyle="1" w:styleId="162">
    <w:name w:val=" Char Char23"/>
    <w:qFormat/>
    <w:uiPriority w:val="0"/>
    <w:rPr>
      <w:rFonts w:ascii="Arial" w:hAnsi="Arial" w:eastAsia="黑体" w:cs="Times New Roman"/>
      <w:b/>
      <w:bCs/>
      <w:kern w:val="2"/>
      <w:sz w:val="32"/>
      <w:szCs w:val="32"/>
      <w:lang w:val="en-US" w:eastAsia="zh-CN" w:bidi="ar-SA"/>
    </w:rPr>
  </w:style>
  <w:style w:type="character" w:customStyle="1" w:styleId="163">
    <w:name w:val="标题 2 Char"/>
    <w:qFormat/>
    <w:uiPriority w:val="0"/>
    <w:rPr>
      <w:rFonts w:ascii="Arial" w:hAnsi="Arial" w:eastAsia="黑体" w:cs="Times New Roman"/>
      <w:b/>
      <w:bCs/>
      <w:kern w:val="2"/>
      <w:sz w:val="32"/>
      <w:szCs w:val="32"/>
      <w:lang w:val="en-US" w:eastAsia="zh-CN" w:bidi="ar-SA"/>
    </w:rPr>
  </w:style>
  <w:style w:type="character" w:customStyle="1" w:styleId="164">
    <w:name w:val=" Char Char20"/>
    <w:qFormat/>
    <w:uiPriority w:val="0"/>
    <w:rPr>
      <w:rFonts w:ascii="宋体" w:hAnsi="Courier New" w:eastAsia="宋体" w:cs="Times New Roman"/>
      <w:kern w:val="2"/>
      <w:sz w:val="21"/>
      <w:szCs w:val="21"/>
      <w:lang w:val="en-US" w:eastAsia="zh-CN" w:bidi="ar-SA"/>
    </w:rPr>
  </w:style>
  <w:style w:type="paragraph" w:customStyle="1" w:styleId="165">
    <w:name w:val="xl3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Times New Roman"/>
      <w:kern w:val="0"/>
      <w:sz w:val="24"/>
    </w:rPr>
  </w:style>
  <w:style w:type="paragraph" w:customStyle="1" w:styleId="166">
    <w:name w:val="1"/>
    <w:basedOn w:val="1"/>
    <w:next w:val="1"/>
    <w:qFormat/>
    <w:uiPriority w:val="0"/>
    <w:rPr>
      <w:rFonts w:ascii="Calibri" w:hAnsi="Calibri" w:eastAsia="Calibri" w:cs="Times New Roman"/>
    </w:rPr>
  </w:style>
  <w:style w:type="paragraph" w:customStyle="1" w:styleId="167">
    <w:name w:val="样式 小五 + 加粗"/>
    <w:basedOn w:val="1"/>
    <w:qFormat/>
    <w:uiPriority w:val="0"/>
    <w:pPr>
      <w:widowControl/>
      <w:jc w:val="center"/>
    </w:pPr>
    <w:rPr>
      <w:rFonts w:ascii="仿宋_GB2312" w:hAnsi="仿宋_GB2312" w:eastAsia="Calibri" w:cs="Times New Roman"/>
      <w:b/>
      <w:bCs/>
      <w:sz w:val="18"/>
    </w:rPr>
  </w:style>
  <w:style w:type="paragraph" w:customStyle="1" w:styleId="168">
    <w:name w:val="样式 标题 2 + Times New Roman 四号 非加粗 段前: 5 磅 段后: 0 磅 行距: 固定值 20..."/>
    <w:basedOn w:val="4"/>
    <w:qFormat/>
    <w:uiPriority w:val="0"/>
    <w:pPr>
      <w:spacing w:before="100" w:after="0" w:line="400" w:lineRule="exact"/>
    </w:pPr>
    <w:rPr>
      <w:rFonts w:ascii="Times New Roman" w:hAnsi="Times New Roman" w:eastAsia="Calibri" w:cs="宋体"/>
      <w:b w:val="0"/>
      <w:bCs w:val="0"/>
      <w:sz w:val="28"/>
      <w:szCs w:val="20"/>
    </w:rPr>
  </w:style>
  <w:style w:type="paragraph" w:customStyle="1" w:styleId="169">
    <w:name w:val="表"/>
    <w:basedOn w:val="1"/>
    <w:qFormat/>
    <w:uiPriority w:val="0"/>
    <w:pPr>
      <w:adjustRightInd w:val="0"/>
      <w:spacing w:line="360" w:lineRule="atLeast"/>
      <w:ind w:hanging="18"/>
      <w:textAlignment w:val="baseline"/>
    </w:pPr>
    <w:rPr>
      <w:rFonts w:ascii="宋体" w:hAnsi="宋体" w:eastAsia="Calibri" w:cs="Times New Roman"/>
      <w:snapToGrid w:val="0"/>
      <w:spacing w:val="-2"/>
      <w:kern w:val="0"/>
      <w:szCs w:val="21"/>
      <w:lang w:bidi="he-IL"/>
    </w:rPr>
  </w:style>
  <w:style w:type="paragraph" w:customStyle="1" w:styleId="170">
    <w:name w:val="xl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Calibri" w:cs="Times New Roman"/>
      <w:kern w:val="0"/>
      <w:szCs w:val="21"/>
    </w:rPr>
  </w:style>
  <w:style w:type="paragraph" w:customStyle="1" w:styleId="171">
    <w:name w:val="_Style 10"/>
    <w:basedOn w:val="1"/>
    <w:qFormat/>
    <w:uiPriority w:val="0"/>
    <w:pPr>
      <w:spacing w:line="360" w:lineRule="auto"/>
      <w:ind w:firstLine="200" w:firstLineChars="200"/>
    </w:pPr>
    <w:rPr>
      <w:rFonts w:ascii="Calibri" w:hAnsi="Calibri" w:eastAsia="Calibri" w:cs="Times New Roman"/>
    </w:rPr>
  </w:style>
  <w:style w:type="paragraph" w:styleId="172">
    <w:name w:val="List Paragraph"/>
    <w:basedOn w:val="1"/>
    <w:qFormat/>
    <w:uiPriority w:val="0"/>
    <w:pPr>
      <w:ind w:firstLine="420" w:firstLineChars="200"/>
    </w:pPr>
    <w:rPr>
      <w:rFonts w:ascii="Calibri" w:hAnsi="Calibri" w:eastAsia="Calibri" w:cs="Times New Roman"/>
      <w:szCs w:val="22"/>
    </w:rPr>
  </w:style>
  <w:style w:type="paragraph" w:customStyle="1" w:styleId="173">
    <w:name w:val="Table Paragraph"/>
    <w:basedOn w:val="1"/>
    <w:qFormat/>
    <w:uiPriority w:val="0"/>
    <w:rPr>
      <w:rFonts w:ascii="宋体" w:hAnsi="宋体" w:eastAsia="宋体" w:cs="宋体"/>
      <w:lang w:val="zh-CN" w:eastAsia="zh-CN" w:bidi="zh-CN"/>
    </w:rPr>
  </w:style>
  <w:style w:type="paragraph" w:customStyle="1" w:styleId="17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Calibri" w:cs="Times New Roman"/>
      <w:kern w:val="0"/>
      <w:szCs w:val="21"/>
    </w:rPr>
  </w:style>
  <w:style w:type="paragraph" w:customStyle="1" w:styleId="175">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eastAsia="Calibri" w:cs="Times New Roman"/>
      <w:kern w:val="0"/>
      <w:sz w:val="18"/>
      <w:szCs w:val="20"/>
    </w:rPr>
  </w:style>
  <w:style w:type="paragraph" w:customStyle="1" w:styleId="176">
    <w:name w:val="Char Char Char Char Char Char"/>
    <w:basedOn w:val="1"/>
    <w:qFormat/>
    <w:uiPriority w:val="0"/>
    <w:rPr>
      <w:rFonts w:ascii="Calibri" w:hAnsi="Calibri" w:eastAsia="Calibri" w:cs="Times New Roman"/>
    </w:rPr>
  </w:style>
  <w:style w:type="paragraph" w:customStyle="1" w:styleId="177">
    <w:name w:val="图表脚注"/>
    <w:next w:val="1"/>
    <w:qFormat/>
    <w:uiPriority w:val="0"/>
    <w:pPr>
      <w:ind w:left="300" w:leftChars="200" w:hanging="100" w:hangingChars="100"/>
      <w:jc w:val="both"/>
    </w:pPr>
    <w:rPr>
      <w:rFonts w:ascii="宋体" w:hAnsi="Calibri" w:eastAsia="Calibri" w:cs="Times New Roman"/>
      <w:sz w:val="18"/>
      <w:lang w:val="en-US" w:eastAsia="zh-CN" w:bidi="ar-SA"/>
    </w:rPr>
  </w:style>
  <w:style w:type="paragraph" w:customStyle="1" w:styleId="178">
    <w:name w:val="段"/>
    <w:qFormat/>
    <w:uiPriority w:val="0"/>
    <w:pPr>
      <w:autoSpaceDE w:val="0"/>
      <w:autoSpaceDN w:val="0"/>
      <w:ind w:firstLine="200" w:firstLineChars="200"/>
      <w:jc w:val="both"/>
    </w:pPr>
    <w:rPr>
      <w:rFonts w:ascii="宋体" w:hAnsi="Calibri" w:eastAsia="Calibri" w:cs="Times New Roman"/>
      <w:sz w:val="21"/>
      <w:lang w:val="en-US" w:eastAsia="zh-CN" w:bidi="ar-SA"/>
    </w:rPr>
  </w:style>
  <w:style w:type="paragraph" w:customStyle="1" w:styleId="179">
    <w:name w:val="三级条标题"/>
    <w:basedOn w:val="180"/>
    <w:next w:val="1"/>
    <w:qFormat/>
    <w:uiPriority w:val="0"/>
    <w:pPr>
      <w:outlineLvl w:val="4"/>
    </w:pPr>
    <w:rPr>
      <w:rFonts w:ascii="Calibri" w:hAnsi="Calibri" w:eastAsia="Calibri" w:cs="Times New Roman"/>
    </w:rPr>
  </w:style>
  <w:style w:type="paragraph" w:customStyle="1" w:styleId="180">
    <w:name w:val="二级条标题"/>
    <w:basedOn w:val="181"/>
    <w:next w:val="1"/>
    <w:qFormat/>
    <w:uiPriority w:val="0"/>
    <w:pPr>
      <w:outlineLvl w:val="3"/>
    </w:pPr>
    <w:rPr>
      <w:rFonts w:ascii="Calibri" w:hAnsi="Calibri" w:eastAsia="Calibri" w:cs="Times New Roman"/>
    </w:rPr>
  </w:style>
  <w:style w:type="paragraph" w:customStyle="1" w:styleId="181">
    <w:name w:val="一级条标题"/>
    <w:next w:val="1"/>
    <w:qFormat/>
    <w:uiPriority w:val="0"/>
    <w:pPr>
      <w:outlineLvl w:val="2"/>
    </w:pPr>
    <w:rPr>
      <w:rFonts w:ascii="Calibri" w:hAnsi="Calibri" w:eastAsia="黑体" w:cs="Times New Roman"/>
      <w:sz w:val="21"/>
      <w:lang w:val="en-US" w:eastAsia="zh-CN" w:bidi="ar-SA"/>
    </w:rPr>
  </w:style>
  <w:style w:type="paragraph" w:customStyle="1" w:styleId="182">
    <w:name w:val="样式 首行缩进:  2 字符"/>
    <w:basedOn w:val="1"/>
    <w:qFormat/>
    <w:uiPriority w:val="0"/>
    <w:pPr>
      <w:ind w:firstLine="560" w:firstLineChars="200"/>
    </w:pPr>
    <w:rPr>
      <w:rFonts w:ascii="Calibri" w:hAnsi="Calibri" w:eastAsia="仿宋_GB2312" w:cs="宋体"/>
      <w:sz w:val="24"/>
      <w:szCs w:val="20"/>
    </w:rPr>
  </w:style>
  <w:style w:type="paragraph" w:customStyle="1" w:styleId="183">
    <w:name w:val="样式 标题 3 + 段前: 0.3 行 段后: 0.3 行"/>
    <w:basedOn w:val="5"/>
    <w:qFormat/>
    <w:uiPriority w:val="0"/>
    <w:pPr>
      <w:snapToGrid w:val="0"/>
      <w:spacing w:before="30" w:beforeLines="30" w:after="50" w:afterLines="50" w:line="240" w:lineRule="auto"/>
    </w:pPr>
    <w:rPr>
      <w:rFonts w:ascii="Arial Narrow" w:hAnsi="Arial Narrow" w:eastAsia="华文细黑" w:cs="宋体"/>
      <w:bCs w:val="0"/>
      <w:sz w:val="24"/>
      <w:szCs w:val="24"/>
    </w:rPr>
  </w:style>
  <w:style w:type="paragraph" w:customStyle="1" w:styleId="184">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eastAsia="Calibri" w:cs="Times New Roman"/>
      <w:kern w:val="0"/>
      <w:szCs w:val="21"/>
    </w:rPr>
  </w:style>
  <w:style w:type="paragraph" w:customStyle="1" w:styleId="185">
    <w:name w:val="Body Text Indent"/>
    <w:basedOn w:val="1"/>
    <w:qFormat/>
    <w:uiPriority w:val="0"/>
    <w:pPr>
      <w:spacing w:line="360" w:lineRule="auto"/>
      <w:ind w:left="900" w:firstLine="540"/>
    </w:pPr>
    <w:rPr>
      <w:rFonts w:ascii="Calibri" w:hAnsi="Calibri" w:eastAsia="楷体_GB2312" w:cs="Times New Roman"/>
      <w:sz w:val="24"/>
    </w:rPr>
  </w:style>
  <w:style w:type="paragraph" w:customStyle="1" w:styleId="186">
    <w:name w:val="表格"/>
    <w:basedOn w:val="1"/>
    <w:qFormat/>
    <w:uiPriority w:val="0"/>
    <w:pPr>
      <w:jc w:val="center"/>
      <w:textAlignment w:val="center"/>
    </w:pPr>
    <w:rPr>
      <w:rFonts w:ascii="华文细黑" w:hAnsi="华文细黑" w:eastAsia="Calibri" w:cs="Times New Roman"/>
      <w:kern w:val="0"/>
      <w:szCs w:val="20"/>
    </w:rPr>
  </w:style>
  <w:style w:type="paragraph" w:customStyle="1" w:styleId="187">
    <w:name w:val="Char Char Char Char"/>
    <w:basedOn w:val="1"/>
    <w:qFormat/>
    <w:uiPriority w:val="0"/>
    <w:rPr>
      <w:rFonts w:ascii="Calibri" w:hAnsi="Calibri" w:eastAsia="Calibri" w:cs="Times New Roman"/>
      <w:sz w:val="30"/>
    </w:rPr>
  </w:style>
  <w:style w:type="paragraph" w:customStyle="1" w:styleId="188">
    <w:name w:val="6'"/>
    <w:basedOn w:val="1"/>
    <w:qFormat/>
    <w:uiPriority w:val="0"/>
    <w:pPr>
      <w:autoSpaceDE w:val="0"/>
      <w:autoSpaceDN w:val="0"/>
      <w:adjustRightInd w:val="0"/>
      <w:snapToGrid w:val="0"/>
      <w:spacing w:line="320" w:lineRule="exact"/>
      <w:jc w:val="center"/>
      <w:textAlignment w:val="baseline"/>
    </w:pPr>
    <w:rPr>
      <w:rFonts w:ascii="Calibri" w:hAnsi="Calibri" w:eastAsia="Calibri" w:cs="Times New Roman"/>
      <w:spacing w:val="20"/>
      <w:kern w:val="28"/>
      <w:szCs w:val="20"/>
    </w:rPr>
  </w:style>
  <w:style w:type="paragraph" w:customStyle="1" w:styleId="189">
    <w:name w:val="Char"/>
    <w:basedOn w:val="1"/>
    <w:qFormat/>
    <w:uiPriority w:val="0"/>
    <w:rPr>
      <w:rFonts w:ascii="Calibri" w:hAnsi="Calibri" w:eastAsia="Calibri" w:cs="Times New Roman"/>
      <w:sz w:val="30"/>
    </w:rPr>
  </w:style>
  <w:style w:type="paragraph" w:customStyle="1" w:styleId="190">
    <w:name w:val=" Char Char Char Char Char Char Char Char Char"/>
    <w:basedOn w:val="1"/>
    <w:qFormat/>
    <w:uiPriority w:val="0"/>
    <w:pPr>
      <w:spacing w:line="360" w:lineRule="auto"/>
      <w:ind w:firstLine="200" w:firstLineChars="200"/>
    </w:pPr>
    <w:rPr>
      <w:rFonts w:ascii="宋体" w:hAnsi="宋体" w:eastAsia="Calibri" w:cs="宋体"/>
      <w:sz w:val="24"/>
    </w:rPr>
  </w:style>
  <w:style w:type="paragraph" w:customStyle="1" w:styleId="191">
    <w:name w:val="表格文字"/>
    <w:basedOn w:val="1"/>
    <w:qFormat/>
    <w:uiPriority w:val="0"/>
    <w:pPr>
      <w:adjustRightInd w:val="0"/>
      <w:spacing w:line="420" w:lineRule="atLeast"/>
      <w:jc w:val="left"/>
      <w:textAlignment w:val="baseline"/>
    </w:pPr>
    <w:rPr>
      <w:rFonts w:ascii="Calibri" w:hAnsi="Calibri" w:eastAsia="Calibri" w:cs="Times New Roman"/>
      <w:kern w:val="0"/>
      <w:szCs w:val="20"/>
    </w:rPr>
  </w:style>
  <w:style w:type="paragraph" w:customStyle="1" w:styleId="192">
    <w:name w:val=" Char Char Char Char Char Char2 Char"/>
    <w:basedOn w:val="1"/>
    <w:qFormat/>
    <w:uiPriority w:val="0"/>
    <w:pPr>
      <w:spacing w:line="360" w:lineRule="auto"/>
      <w:ind w:firstLine="200" w:firstLineChars="200"/>
    </w:pPr>
    <w:rPr>
      <w:rFonts w:ascii="宋体" w:hAnsi="宋体" w:eastAsia="Calibri" w:cs="宋体"/>
      <w:sz w:val="24"/>
    </w:rPr>
  </w:style>
  <w:style w:type="paragraph" w:customStyle="1" w:styleId="193">
    <w:name w:val="商务2"/>
    <w:basedOn w:val="4"/>
    <w:qFormat/>
    <w:uiPriority w:val="0"/>
    <w:pPr>
      <w:spacing w:before="360" w:after="240" w:line="240" w:lineRule="auto"/>
    </w:pPr>
    <w:rPr>
      <w:rFonts w:ascii="宋体" w:hAnsi="Calibri" w:eastAsia="宋体" w:cs="Times New Roman"/>
      <w:bCs w:val="0"/>
      <w:sz w:val="24"/>
      <w:szCs w:val="20"/>
    </w:rPr>
  </w:style>
  <w:style w:type="paragraph" w:customStyle="1" w:styleId="194">
    <w:name w:val=" Char Char Char Char"/>
    <w:basedOn w:val="1"/>
    <w:qFormat/>
    <w:uiPriority w:val="0"/>
    <w:pPr>
      <w:spacing w:line="360" w:lineRule="auto"/>
      <w:jc w:val="left"/>
    </w:pPr>
    <w:rPr>
      <w:rFonts w:ascii="宋体" w:hAnsi="Comic Sans MS" w:eastAsia="Calibri" w:cs="Times New Roman"/>
      <w:color w:val="000000"/>
      <w:szCs w:val="21"/>
      <w:lang w:val="zh-CN"/>
    </w:rPr>
  </w:style>
  <w:style w:type="paragraph" w:customStyle="1" w:styleId="195">
    <w:name w:val="样式 宋体 小四 行距: 1.5 倍行距"/>
    <w:basedOn w:val="1"/>
    <w:qFormat/>
    <w:uiPriority w:val="0"/>
    <w:pPr>
      <w:spacing w:line="360" w:lineRule="auto"/>
      <w:ind w:firstLine="480" w:firstLineChars="200"/>
    </w:pPr>
    <w:rPr>
      <w:rFonts w:ascii="宋体" w:hAnsi="宋体" w:eastAsia="Calibri" w:cs="宋体"/>
      <w:sz w:val="24"/>
      <w:szCs w:val="20"/>
    </w:rPr>
  </w:style>
  <w:style w:type="paragraph" w:customStyle="1" w:styleId="196">
    <w:name w:val="项目符号"/>
    <w:basedOn w:val="1"/>
    <w:qFormat/>
    <w:uiPriority w:val="0"/>
    <w:pPr>
      <w:tabs>
        <w:tab w:val="left" w:pos="1460"/>
      </w:tabs>
      <w:adjustRightInd w:val="0"/>
      <w:spacing w:line="360" w:lineRule="atLeast"/>
      <w:ind w:left="1460" w:hanging="900"/>
      <w:jc w:val="left"/>
      <w:textAlignment w:val="baseline"/>
    </w:pPr>
    <w:rPr>
      <w:rFonts w:ascii="Calibri" w:hAnsi="Calibri" w:eastAsia="Calibri" w:cs="Times New Roman"/>
      <w:kern w:val="0"/>
      <w:sz w:val="24"/>
      <w:szCs w:val="20"/>
    </w:rPr>
  </w:style>
  <w:style w:type="paragraph" w:customStyle="1" w:styleId="197">
    <w:name w:val="样式2"/>
    <w:basedOn w:val="40"/>
    <w:qFormat/>
    <w:uiPriority w:val="0"/>
    <w:pPr>
      <w:pBdr>
        <w:bottom w:val="none" w:color="auto" w:sz="0" w:space="0"/>
      </w:pBdr>
    </w:pPr>
    <w:rPr>
      <w:rFonts w:ascii="Calibri" w:hAnsi="Calibri" w:eastAsia="Calibri" w:cs="Times New Roman"/>
      <w:szCs w:val="21"/>
    </w:rPr>
  </w:style>
  <w:style w:type="paragraph" w:customStyle="1" w:styleId="198">
    <w:name w:val="默认段落字体 Para Char Char Char Char Char Char Char Char Char Char Char Char Char"/>
    <w:basedOn w:val="1"/>
    <w:qFormat/>
    <w:uiPriority w:val="0"/>
    <w:pPr>
      <w:ind w:firstLine="523"/>
      <w:jc w:val="center"/>
    </w:pPr>
    <w:rPr>
      <w:rFonts w:ascii="Calibri" w:hAnsi="Calibri" w:eastAsia="Calibri" w:cs="Times New Roman"/>
      <w:szCs w:val="30"/>
    </w:rPr>
  </w:style>
  <w:style w:type="paragraph" w:customStyle="1" w:styleId="199">
    <w:name w:val="图表1"/>
    <w:basedOn w:val="1"/>
    <w:qFormat/>
    <w:uiPriority w:val="0"/>
    <w:pPr>
      <w:snapToGrid w:val="0"/>
      <w:spacing w:line="240" w:lineRule="atLeast"/>
      <w:jc w:val="center"/>
    </w:pPr>
    <w:rPr>
      <w:rFonts w:ascii="宋体" w:hAnsi="宋体" w:eastAsia="Calibri" w:cs="Times New Roman"/>
      <w:sz w:val="24"/>
      <w:szCs w:val="28"/>
    </w:rPr>
  </w:style>
  <w:style w:type="paragraph" w:customStyle="1" w:styleId="200">
    <w:name w:val="正文3"/>
    <w:qFormat/>
    <w:uiPriority w:val="0"/>
    <w:pPr>
      <w:jc w:val="both"/>
    </w:pPr>
    <w:rPr>
      <w:rFonts w:ascii="宋体" w:hAnsi="宋体" w:eastAsia="宋体" w:cs="宋体"/>
      <w:kern w:val="2"/>
      <w:sz w:val="21"/>
      <w:szCs w:val="21"/>
      <w:lang w:val="en-US" w:eastAsia="zh-CN" w:bidi="ar-SA"/>
    </w:rPr>
  </w:style>
  <w:style w:type="paragraph" w:customStyle="1" w:styleId="201">
    <w:name w:val="Body Text 2"/>
    <w:basedOn w:val="1"/>
    <w:qFormat/>
    <w:uiPriority w:val="0"/>
    <w:pPr>
      <w:autoSpaceDE w:val="0"/>
      <w:autoSpaceDN w:val="0"/>
      <w:adjustRightInd w:val="0"/>
      <w:spacing w:line="380" w:lineRule="atLeast"/>
      <w:textAlignment w:val="baseline"/>
    </w:pPr>
    <w:rPr>
      <w:rFonts w:ascii="Calibri" w:hAnsi="Calibri" w:eastAsia="Calibri" w:cs="Times New Roman"/>
      <w:spacing w:val="10"/>
      <w:kern w:val="0"/>
      <w:sz w:val="24"/>
      <w:szCs w:val="20"/>
    </w:rPr>
  </w:style>
  <w:style w:type="paragraph" w:customStyle="1" w:styleId="202">
    <w:name w:val="标准书眉_奇数页"/>
    <w:next w:val="1"/>
    <w:qFormat/>
    <w:uiPriority w:val="0"/>
    <w:pPr>
      <w:tabs>
        <w:tab w:val="center" w:pos="4154"/>
        <w:tab w:val="right" w:pos="8306"/>
      </w:tabs>
      <w:spacing w:after="120"/>
      <w:jc w:val="right"/>
    </w:pPr>
    <w:rPr>
      <w:rFonts w:ascii="Calibri" w:hAnsi="Calibri" w:eastAsia="Calibri" w:cs="Times New Roman"/>
      <w:sz w:val="21"/>
      <w:lang w:val="en-US" w:eastAsia="zh-CN" w:bidi="ar-SA"/>
    </w:rPr>
  </w:style>
  <w:style w:type="paragraph" w:customStyle="1" w:styleId="203">
    <w:name w:val="章标题"/>
    <w:next w:val="1"/>
    <w:qFormat/>
    <w:uiPriority w:val="0"/>
    <w:pPr>
      <w:spacing w:before="50" w:beforeLines="50" w:after="50" w:afterLines="50"/>
      <w:jc w:val="both"/>
      <w:outlineLvl w:val="1"/>
    </w:pPr>
    <w:rPr>
      <w:rFonts w:ascii="黑体" w:hAnsi="Calibri" w:eastAsia="黑体" w:cs="Times New Roman"/>
      <w:sz w:val="21"/>
      <w:lang w:val="en-US" w:eastAsia="zh-CN" w:bidi="ar-SA"/>
    </w:rPr>
  </w:style>
  <w:style w:type="paragraph" w:customStyle="1" w:styleId="204">
    <w:name w:val="表头"/>
    <w:basedOn w:val="1"/>
    <w:qFormat/>
    <w:uiPriority w:val="0"/>
    <w:pPr>
      <w:adjustRightInd w:val="0"/>
      <w:spacing w:before="120" w:after="60" w:line="420" w:lineRule="atLeast"/>
      <w:textAlignment w:val="baseline"/>
    </w:pPr>
    <w:rPr>
      <w:rFonts w:ascii="黑体" w:hAnsi="Calibri" w:eastAsia="黑体" w:cs="Times New Roman"/>
      <w:b/>
      <w:kern w:val="0"/>
      <w:szCs w:val="20"/>
    </w:rPr>
  </w:style>
  <w:style w:type="paragraph" w:customStyle="1" w:styleId="205">
    <w:name w:val="样式3"/>
    <w:basedOn w:val="39"/>
    <w:qFormat/>
    <w:uiPriority w:val="0"/>
    <w:pPr>
      <w:pBdr>
        <w:top w:val="single" w:color="auto" w:sz="6" w:space="1"/>
      </w:pBdr>
    </w:pPr>
    <w:rPr>
      <w:rFonts w:ascii="Calibri" w:hAnsi="Calibri" w:eastAsia="Calibri" w:cs="Times New Roman"/>
      <w:lang w:val="en-US" w:eastAsia="zh-CN"/>
    </w:rPr>
  </w:style>
  <w:style w:type="paragraph" w:customStyle="1" w:styleId="20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07">
    <w:name w:val=" Char Char Char Char Char Char2 Char Char Char Char Char Char1 Char Char Char Char"/>
    <w:basedOn w:val="1"/>
    <w:qFormat/>
    <w:uiPriority w:val="0"/>
    <w:pPr>
      <w:spacing w:line="360" w:lineRule="auto"/>
      <w:ind w:firstLine="200" w:firstLineChars="200"/>
    </w:pPr>
    <w:rPr>
      <w:rFonts w:ascii="Calibri" w:hAnsi="Calibri" w:eastAsia="Calibri" w:cs="Times New Roman"/>
    </w:rPr>
  </w:style>
  <w:style w:type="paragraph" w:customStyle="1" w:styleId="208">
    <w:name w:val="样式 标题 2 + 首行缩进:  2 字符 段前: 1 行 段后: 0.5 行"/>
    <w:basedOn w:val="4"/>
    <w:qFormat/>
    <w:uiPriority w:val="0"/>
    <w:pPr>
      <w:snapToGrid w:val="0"/>
      <w:spacing w:before="100" w:beforeLines="100" w:after="50" w:afterLines="50" w:line="336" w:lineRule="auto"/>
    </w:pPr>
    <w:rPr>
      <w:rFonts w:ascii="Calibri" w:hAnsi="Calibri" w:eastAsia="Calibri" w:cs="宋体"/>
      <w:sz w:val="28"/>
      <w:szCs w:val="20"/>
    </w:rPr>
  </w:style>
  <w:style w:type="paragraph" w:customStyle="1" w:styleId="209">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Calibri" w:cs="Times New Roman"/>
      <w:kern w:val="0"/>
      <w:sz w:val="20"/>
      <w:szCs w:val="20"/>
    </w:rPr>
  </w:style>
  <w:style w:type="paragraph" w:customStyle="1" w:styleId="210">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eastAsia="Calibri" w:cs="Times New Roman"/>
      <w:kern w:val="0"/>
      <w:sz w:val="24"/>
    </w:rPr>
  </w:style>
  <w:style w:type="paragraph" w:customStyle="1" w:styleId="211">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212">
    <w:name w:val="样式1"/>
    <w:basedOn w:val="40"/>
    <w:qFormat/>
    <w:uiPriority w:val="0"/>
    <w:pPr>
      <w:pBdr>
        <w:bottom w:val="none" w:color="auto" w:sz="0" w:space="0"/>
      </w:pBdr>
    </w:pPr>
    <w:rPr>
      <w:rFonts w:ascii="Calibri" w:hAnsi="Calibri" w:eastAsia="Calibri" w:cs="Times New Roman"/>
      <w:szCs w:val="21"/>
    </w:rPr>
  </w:style>
  <w:style w:type="paragraph" w:customStyle="1" w:styleId="213">
    <w:name w:val="正文文本 (2)1"/>
    <w:basedOn w:val="1"/>
    <w:qFormat/>
    <w:uiPriority w:val="0"/>
    <w:pPr>
      <w:shd w:val="clear" w:color="auto" w:fill="FFFFFF"/>
      <w:spacing w:before="300" w:line="439" w:lineRule="exact"/>
      <w:jc w:val="distribute"/>
    </w:pPr>
    <w:rPr>
      <w:rFonts w:ascii="MingLiU" w:hAnsi="Calibri" w:eastAsia="MingLiU" w:cs="MingLiU"/>
      <w:spacing w:val="20"/>
      <w:kern w:val="0"/>
      <w:sz w:val="22"/>
    </w:rPr>
  </w:style>
  <w:style w:type="paragraph" w:customStyle="1" w:styleId="214">
    <w:name w:val="表格（左对齐）"/>
    <w:basedOn w:val="1"/>
    <w:qFormat/>
    <w:uiPriority w:val="0"/>
    <w:pPr>
      <w:widowControl/>
      <w:jc w:val="left"/>
    </w:pPr>
    <w:rPr>
      <w:rFonts w:ascii="宋体" w:hAnsi="宋体" w:eastAsia="Calibri" w:cs="Arial"/>
      <w:kern w:val="0"/>
      <w:szCs w:val="21"/>
    </w:rPr>
  </w:style>
  <w:style w:type="paragraph" w:customStyle="1" w:styleId="215">
    <w:name w:val="正文表标题"/>
    <w:next w:val="1"/>
    <w:qFormat/>
    <w:uiPriority w:val="0"/>
    <w:pPr>
      <w:jc w:val="center"/>
    </w:pPr>
    <w:rPr>
      <w:rFonts w:ascii="黑体" w:hAnsi="Calibri" w:eastAsia="黑体" w:cs="Times New Roman"/>
      <w:sz w:val="21"/>
      <w:lang w:val="en-US" w:eastAsia="zh-CN" w:bidi="ar-SA"/>
    </w:rPr>
  </w:style>
  <w:style w:type="paragraph" w:customStyle="1" w:styleId="216">
    <w:name w:val="_Style 209"/>
    <w:basedOn w:val="3"/>
    <w:next w:val="1"/>
    <w:qFormat/>
    <w:uiPriority w:val="0"/>
    <w:pPr>
      <w:widowControl/>
      <w:spacing w:before="480" w:after="0" w:line="276" w:lineRule="auto"/>
      <w:jc w:val="left"/>
      <w:outlineLvl w:val="9"/>
    </w:pPr>
    <w:rPr>
      <w:rFonts w:ascii="Cambria" w:hAnsi="Cambria" w:eastAsia="Calibri" w:cs="Times New Roman"/>
      <w:color w:val="365F91"/>
      <w:kern w:val="0"/>
      <w:sz w:val="28"/>
      <w:szCs w:val="28"/>
    </w:rPr>
  </w:style>
  <w:style w:type="paragraph" w:customStyle="1" w:styleId="217">
    <w:name w:val="样式4"/>
    <w:basedOn w:val="39"/>
    <w:qFormat/>
    <w:uiPriority w:val="0"/>
    <w:pPr>
      <w:pBdr>
        <w:top w:val="single" w:color="auto" w:sz="6" w:space="1"/>
      </w:pBdr>
    </w:pPr>
    <w:rPr>
      <w:rFonts w:ascii="方正舒体" w:hAnsi="Calibri" w:eastAsia="隶书" w:cs="Times New Roman"/>
      <w:sz w:val="21"/>
      <w:lang w:val="en-US" w:eastAsia="zh-CN"/>
    </w:rPr>
  </w:style>
  <w:style w:type="paragraph" w:customStyle="1" w:styleId="2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19">
    <w:name w:val="样式 宋体 行距: 1.5 倍行距"/>
    <w:basedOn w:val="1"/>
    <w:qFormat/>
    <w:uiPriority w:val="0"/>
    <w:pPr>
      <w:jc w:val="center"/>
    </w:pPr>
    <w:rPr>
      <w:b/>
    </w:rPr>
  </w:style>
  <w:style w:type="character" w:customStyle="1" w:styleId="220">
    <w:name w:val="title2"/>
    <w:basedOn w:val="63"/>
    <w:qFormat/>
    <w:uiPriority w:val="0"/>
  </w:style>
  <w:style w:type="character" w:customStyle="1" w:styleId="221">
    <w:name w:val="username"/>
    <w:basedOn w:val="63"/>
    <w:qFormat/>
    <w:uiPriority w:val="0"/>
  </w:style>
  <w:style w:type="character" w:customStyle="1" w:styleId="222">
    <w:name w:val="title26"/>
    <w:basedOn w:val="63"/>
    <w:qFormat/>
    <w:uiPriority w:val="0"/>
  </w:style>
  <w:style w:type="table" w:customStyle="1" w:styleId="2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hl</Company>
  <Pages>136</Pages>
  <Words>82011</Words>
  <Characters>87257</Characters>
  <Lines>1228</Lines>
  <Paragraphs>345</Paragraphs>
  <TotalTime>14</TotalTime>
  <ScaleCrop>false</ScaleCrop>
  <LinksUpToDate>false</LinksUpToDate>
  <CharactersWithSpaces>89645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2018-05-24T05:56:00Z</dcterms:created>
  <dc:creator>hl</dc:creator>
  <cp:lastModifiedBy>迪迪</cp:lastModifiedBy>
  <cp:lastPrinted>2023-07-27T06:57:00Z</cp:lastPrinted>
  <dcterms:modified xsi:type="dcterms:W3CDTF">2023-07-28T02:56:36Z</dcterms:modified>
  <dc:title>广 东 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0_btnclosed</vt:lpwstr>
  </property>
  <property fmtid="{D5CDD505-2E9C-101B-9397-08002B2CF9AE}" pid="4" name="ICV">
    <vt:lpwstr>8CB2CD3B6C86499CABD527FD08D484C5</vt:lpwstr>
  </property>
</Properties>
</file>