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Style w:val="27"/>
          <w:b/>
          <w:bCs/>
          <w:color w:val="auto"/>
          <w:sz w:val="44"/>
          <w:szCs w:val="44"/>
          <w:highlight w:val="none"/>
        </w:rPr>
      </w:pPr>
    </w:p>
    <w:p>
      <w:pPr>
        <w:rPr>
          <w:color w:val="auto"/>
          <w:highlight w:val="none"/>
        </w:rPr>
      </w:pPr>
    </w:p>
    <w:p>
      <w:pPr>
        <w:spacing w:line="360" w:lineRule="auto"/>
        <w:jc w:val="center"/>
        <w:rPr>
          <w:rFonts w:hint="eastAsia"/>
          <w:b/>
          <w:bCs/>
          <w:color w:val="auto"/>
          <w:sz w:val="48"/>
          <w:szCs w:val="48"/>
          <w:highlight w:val="none"/>
          <w:u w:val="single"/>
          <w:lang w:eastAsia="zh-CN"/>
        </w:rPr>
      </w:pPr>
      <w:r>
        <w:rPr>
          <w:rFonts w:hint="eastAsia"/>
          <w:b/>
          <w:bCs/>
          <w:color w:val="auto"/>
          <w:sz w:val="48"/>
          <w:szCs w:val="48"/>
          <w:highlight w:val="none"/>
          <w:u w:val="single"/>
          <w:lang w:eastAsia="zh-CN"/>
        </w:rPr>
        <w:t>长岭居商住项目二期永久用电工程</w:t>
      </w: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hint="eastAsia" w:eastAsia="楷体_GB2312"/>
          <w:b/>
          <w:bCs/>
          <w:color w:val="auto"/>
          <w:spacing w:val="26"/>
          <w:sz w:val="110"/>
          <w:szCs w:val="110"/>
          <w:highlight w:val="none"/>
          <w:lang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szCs w:val="52"/>
          <w:highlight w:val="none"/>
        </w:rPr>
      </w:pPr>
    </w:p>
    <w:p>
      <w:pPr>
        <w:spacing w:line="360" w:lineRule="auto"/>
        <w:rPr>
          <w:color w:val="auto"/>
          <w:sz w:val="52"/>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广州凯龙置业有限公司</w:t>
      </w:r>
    </w:p>
    <w:p>
      <w:pPr>
        <w:spacing w:line="360" w:lineRule="auto"/>
        <w:ind w:firstLine="945"/>
        <w:rPr>
          <w:rFonts w:hint="default" w:eastAsia="宋体"/>
          <w:color w:val="auto"/>
          <w:sz w:val="30"/>
          <w:szCs w:val="30"/>
          <w:highlight w:val="none"/>
          <w:u w:val="single"/>
          <w:lang w:val="en-US" w:eastAsia="zh-CN"/>
        </w:rPr>
      </w:pPr>
      <w:r>
        <w:rPr>
          <w:rFonts w:hint="eastAsia"/>
          <w:color w:val="auto"/>
          <w:sz w:val="30"/>
          <w:szCs w:val="30"/>
          <w:highlight w:val="none"/>
        </w:rPr>
        <w:t>招标代理单位：</w:t>
      </w:r>
      <w:r>
        <w:rPr>
          <w:rFonts w:hint="eastAsia" w:cs="Times New Roman"/>
          <w:color w:val="auto"/>
          <w:sz w:val="30"/>
          <w:szCs w:val="30"/>
          <w:highlight w:val="none"/>
          <w:u w:val="single"/>
          <w:lang w:val="en-US" w:eastAsia="zh-CN"/>
        </w:rPr>
        <w:t>广州永安工程管理有限公司</w:t>
      </w:r>
    </w:p>
    <w:p>
      <w:pPr>
        <w:spacing w:line="360" w:lineRule="auto"/>
        <w:ind w:firstLine="945"/>
        <w:rPr>
          <w:color w:val="auto"/>
          <w:sz w:val="32"/>
          <w:highlight w:val="none"/>
          <w:u w:val="singl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u w:val="single"/>
        </w:rPr>
        <w:t>年</w:t>
      </w:r>
      <w:r>
        <w:rPr>
          <w:rFonts w:hint="eastAsia"/>
          <w:color w:val="auto"/>
          <w:sz w:val="32"/>
          <w:highlight w:val="none"/>
          <w:u w:val="single"/>
          <w:lang w:val="en-US" w:eastAsia="zh-CN"/>
        </w:rPr>
        <w:t>7月</w:t>
      </w:r>
    </w:p>
    <w:p>
      <w:pPr>
        <w:jc w:val="center"/>
        <w:rPr>
          <w:rStyle w:val="27"/>
          <w:rFonts w:hint="eastAsia"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304" w:right="1361" w:bottom="1304" w:left="1361" w:header="851" w:footer="907" w:gutter="0"/>
          <w:cols w:space="720" w:num="1"/>
          <w:titlePg/>
          <w:docGrid w:type="lines" w:linePitch="312" w:charSpace="0"/>
        </w:sectPr>
      </w:pPr>
    </w:p>
    <w:p>
      <w:pPr>
        <w:jc w:val="center"/>
        <w:rPr>
          <w:rFonts w:cs="宋体"/>
          <w:b/>
          <w:caps/>
          <w:color w:val="auto"/>
          <w:kern w:val="0"/>
          <w:highlight w:val="none"/>
        </w:rPr>
      </w:pPr>
      <w:r>
        <w:rPr>
          <w:rStyle w:val="27"/>
          <w:rFonts w:hint="eastAsia" w:cs="宋体"/>
          <w:b/>
          <w:bCs/>
          <w:color w:val="auto"/>
          <w:sz w:val="28"/>
          <w:szCs w:val="28"/>
          <w:highlight w:val="none"/>
        </w:rPr>
        <w:t>目录</w:t>
      </w:r>
    </w:p>
    <w:p>
      <w:pPr>
        <w:pStyle w:val="18"/>
        <w:tabs>
          <w:tab w:val="right" w:leader="dot" w:pos="7360"/>
          <w:tab w:val="clear" w:pos="9060"/>
        </w:tabs>
        <w:ind w:right="325" w:rightChars="155"/>
        <w:rPr>
          <w:rFonts w:cs="宋体"/>
          <w:caps w:val="0"/>
          <w:color w:val="auto"/>
          <w:kern w:val="2"/>
          <w:sz w:val="21"/>
          <w:szCs w:val="24"/>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"_Toc18664057" </w:instrText>
      </w:r>
      <w:r>
        <w:rPr>
          <w:color w:val="auto"/>
          <w:highlight w:val="none"/>
        </w:rPr>
        <w:fldChar w:fldCharType="separate"/>
      </w:r>
      <w:r>
        <w:rPr>
          <w:rStyle w:val="27"/>
          <w:rFonts w:hint="eastAsia" w:cs="宋体"/>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_Toc18664057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pPr>
        <w:pStyle w:val="19"/>
        <w:tabs>
          <w:tab w:val="right" w:leader="dot" w:pos="7360"/>
          <w:tab w:val="clear" w:pos="9060"/>
        </w:tabs>
        <w:ind w:right="325" w:rightChars="155"/>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"_Toc18664058" </w:instrText>
      </w:r>
      <w:r>
        <w:rPr>
          <w:color w:val="auto"/>
          <w:highlight w:val="none"/>
        </w:rPr>
        <w:fldChar w:fldCharType="separate"/>
      </w:r>
      <w:r>
        <w:rPr>
          <w:rStyle w:val="27"/>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_Toc18664058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7360"/>
          <w:tab w:val="clear" w:pos="9060"/>
        </w:tabs>
        <w:ind w:right="325" w:rightChars="155"/>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"_Toc18664059" </w:instrText>
      </w:r>
      <w:r>
        <w:rPr>
          <w:color w:val="auto"/>
          <w:highlight w:val="none"/>
        </w:rPr>
        <w:fldChar w:fldCharType="separate"/>
      </w:r>
      <w:r>
        <w:rPr>
          <w:rStyle w:val="27"/>
          <w:rFonts w:hint="eastAsia" w:ascii="宋体" w:hAnsi="宋体" w:cs="宋体"/>
          <w:color w:val="auto"/>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_Toc18664059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7360"/>
          <w:tab w:val="clear" w:pos="9060"/>
        </w:tabs>
        <w:ind w:right="325" w:rightChars="155"/>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"_Toc18664060" </w:instrText>
      </w:r>
      <w:r>
        <w:rPr>
          <w:color w:val="auto"/>
          <w:highlight w:val="none"/>
        </w:rPr>
        <w:fldChar w:fldCharType="separate"/>
      </w:r>
      <w:r>
        <w:rPr>
          <w:rStyle w:val="27"/>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_Toc18664060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"_Toc18664066" </w:instrText>
      </w:r>
      <w:r>
        <w:rPr>
          <w:color w:val="auto"/>
          <w:highlight w:val="none"/>
        </w:rPr>
        <w:fldChar w:fldCharType="separate"/>
      </w:r>
      <w:r>
        <w:rPr>
          <w:rStyle w:val="27"/>
          <w:rFonts w:hint="eastAsia" w:cs="宋体"/>
          <w:color w:val="auto"/>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_Toc18664066 \h </w:instrText>
      </w:r>
      <w:r>
        <w:rPr>
          <w:rFonts w:hint="eastAsia" w:cs="宋体"/>
          <w:color w:val="auto"/>
          <w:highlight w:val="none"/>
        </w:rPr>
        <w:fldChar w:fldCharType="separate"/>
      </w:r>
      <w:r>
        <w:rPr>
          <w:rFonts w:hint="eastAsia" w:cs="宋体"/>
          <w:color w:val="auto"/>
          <w:highlight w:val="none"/>
        </w:rPr>
        <w:t>35</w:t>
      </w:r>
      <w:r>
        <w:rPr>
          <w:rFonts w:hint="eastAsia" w:cs="宋体"/>
          <w:color w:val="auto"/>
          <w:highlight w:val="none"/>
        </w:rPr>
        <w:fldChar w:fldCharType="end"/>
      </w:r>
      <w:r>
        <w:rPr>
          <w:rFonts w:hint="eastAsia" w:cs="宋体"/>
          <w:color w:val="auto"/>
          <w:highlight w:val="none"/>
        </w:rPr>
        <w:fldChar w:fldCharType="end"/>
      </w:r>
    </w:p>
    <w:p>
      <w:pPr>
        <w:pStyle w:val="19"/>
        <w:tabs>
          <w:tab w:val="right" w:leader="dot" w:pos="7360"/>
          <w:tab w:val="clear" w:pos="9060"/>
        </w:tabs>
        <w:ind w:right="325" w:rightChars="155"/>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"_Toc18664067" </w:instrText>
      </w:r>
      <w:r>
        <w:rPr>
          <w:color w:val="auto"/>
          <w:highlight w:val="none"/>
        </w:rPr>
        <w:fldChar w:fldCharType="separate"/>
      </w:r>
      <w:r>
        <w:rPr>
          <w:rStyle w:val="27"/>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_Toc18664067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7360"/>
          <w:tab w:val="clear" w:pos="9060"/>
        </w:tabs>
        <w:ind w:right="325" w:rightChars="155"/>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"_Toc18664068" </w:instrText>
      </w:r>
      <w:r>
        <w:rPr>
          <w:color w:val="auto"/>
          <w:highlight w:val="none"/>
        </w:rPr>
        <w:fldChar w:fldCharType="separate"/>
      </w:r>
      <w:r>
        <w:rPr>
          <w:rStyle w:val="27"/>
          <w:rFonts w:hint="eastAsia" w:ascii="宋体" w:hAnsi="宋体" w:cs="宋体"/>
          <w:color w:val="auto"/>
          <w:highlight w:val="none"/>
        </w:rPr>
        <w:t>二、开标、评标及定标办法通用条款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_Toc18664068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3"/>
        <w:tabs>
          <w:tab w:val="right" w:leader="dot" w:pos="7360"/>
        </w:tabs>
        <w:ind w:left="840" w:right="325" w:rightChars="155"/>
        <w:rPr>
          <w:rFonts w:ascii="宋体" w:hAnsi="宋体" w:cs="宋体"/>
          <w:color w:val="auto"/>
          <w:sz w:val="21"/>
          <w:szCs w:val="24"/>
          <w:highlight w:val="none"/>
        </w:rPr>
      </w:pPr>
      <w:r>
        <w:rPr>
          <w:color w:val="auto"/>
          <w:highlight w:val="none"/>
        </w:rPr>
        <w:fldChar w:fldCharType="begin"/>
      </w:r>
      <w:r>
        <w:rPr>
          <w:color w:val="auto"/>
          <w:highlight w:val="none"/>
        </w:rPr>
        <w:instrText xml:space="preserve"> HYPERLINK \l "_Toc18664069" </w:instrText>
      </w:r>
      <w:r>
        <w:rPr>
          <w:color w:val="auto"/>
          <w:highlight w:val="none"/>
        </w:rPr>
        <w:fldChar w:fldCharType="separate"/>
      </w:r>
      <w:r>
        <w:rPr>
          <w:rStyle w:val="27"/>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_Toc18664069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3"/>
        <w:tabs>
          <w:tab w:val="right" w:leader="dot" w:pos="7360"/>
        </w:tabs>
        <w:ind w:left="840" w:right="325" w:rightChars="155"/>
        <w:rPr>
          <w:rFonts w:ascii="宋体" w:hAnsi="宋体" w:cs="宋体"/>
          <w:color w:val="auto"/>
          <w:sz w:val="21"/>
          <w:szCs w:val="24"/>
          <w:highlight w:val="none"/>
        </w:rPr>
      </w:pPr>
      <w:r>
        <w:rPr>
          <w:color w:val="auto"/>
          <w:highlight w:val="none"/>
        </w:rPr>
        <w:fldChar w:fldCharType="begin"/>
      </w:r>
      <w:r>
        <w:rPr>
          <w:color w:val="auto"/>
          <w:highlight w:val="none"/>
        </w:rPr>
        <w:instrText xml:space="preserve"> HYPERLINK \l "_Toc18664070" </w:instrText>
      </w:r>
      <w:r>
        <w:rPr>
          <w:color w:val="auto"/>
          <w:highlight w:val="none"/>
        </w:rPr>
        <w:fldChar w:fldCharType="separate"/>
      </w:r>
      <w:r>
        <w:rPr>
          <w:rStyle w:val="27"/>
          <w:rFonts w:hint="eastAsia" w:ascii="宋体" w:hAnsi="宋体" w:cs="宋体"/>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_Toc18664070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"_Toc18664072" </w:instrText>
      </w:r>
      <w:r>
        <w:rPr>
          <w:color w:val="auto"/>
          <w:highlight w:val="none"/>
        </w:rPr>
        <w:fldChar w:fldCharType="separate"/>
      </w:r>
      <w:r>
        <w:rPr>
          <w:rStyle w:val="27"/>
          <w:rFonts w:hint="eastAsia" w:cs="宋体"/>
          <w:color w:val="auto"/>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_Toc18664072 \h </w:instrText>
      </w:r>
      <w:r>
        <w:rPr>
          <w:rFonts w:hint="eastAsia" w:cs="宋体"/>
          <w:color w:val="auto"/>
          <w:highlight w:val="none"/>
        </w:rPr>
        <w:fldChar w:fldCharType="separate"/>
      </w:r>
      <w:r>
        <w:rPr>
          <w:rFonts w:hint="eastAsia" w:cs="宋体"/>
          <w:color w:val="auto"/>
          <w:highlight w:val="none"/>
        </w:rPr>
        <w:t>62</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"_Toc18664073" </w:instrText>
      </w:r>
      <w:r>
        <w:rPr>
          <w:color w:val="auto"/>
          <w:highlight w:val="none"/>
        </w:rPr>
        <w:fldChar w:fldCharType="separate"/>
      </w:r>
      <w:r>
        <w:rPr>
          <w:rStyle w:val="27"/>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_Toc18664073 \h </w:instrText>
      </w:r>
      <w:r>
        <w:rPr>
          <w:rFonts w:hint="eastAsia" w:cs="宋体"/>
          <w:color w:val="auto"/>
          <w:highlight w:val="none"/>
        </w:rPr>
        <w:fldChar w:fldCharType="separate"/>
      </w:r>
      <w:r>
        <w:rPr>
          <w:rFonts w:hint="eastAsia" w:cs="宋体"/>
          <w:color w:val="auto"/>
          <w:highlight w:val="none"/>
        </w:rPr>
        <w:t>63</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"_Toc18664074" </w:instrText>
      </w:r>
      <w:r>
        <w:rPr>
          <w:color w:val="auto"/>
          <w:highlight w:val="none"/>
        </w:rPr>
        <w:fldChar w:fldCharType="separate"/>
      </w:r>
      <w:r>
        <w:rPr>
          <w:rStyle w:val="27"/>
          <w:rFonts w:hint="eastAsia" w:cs="宋体"/>
          <w:color w:val="auto"/>
          <w:kern w:val="44"/>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_Toc18664074 \h </w:instrText>
      </w:r>
      <w:r>
        <w:rPr>
          <w:rFonts w:hint="eastAsia" w:cs="宋体"/>
          <w:color w:val="auto"/>
          <w:highlight w:val="none"/>
        </w:rPr>
        <w:fldChar w:fldCharType="separate"/>
      </w:r>
      <w:r>
        <w:rPr>
          <w:rFonts w:hint="eastAsia" w:cs="宋体"/>
          <w:color w:val="auto"/>
          <w:highlight w:val="none"/>
        </w:rPr>
        <w:t>63</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"_Toc18664075" </w:instrText>
      </w:r>
      <w:r>
        <w:rPr>
          <w:color w:val="auto"/>
          <w:highlight w:val="none"/>
        </w:rPr>
        <w:fldChar w:fldCharType="separate"/>
      </w:r>
      <w:r>
        <w:rPr>
          <w:rStyle w:val="27"/>
          <w:rFonts w:hint="eastAsia" w:cs="宋体"/>
          <w:color w:val="auto"/>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_Toc18664075 \h </w:instrText>
      </w:r>
      <w:r>
        <w:rPr>
          <w:rFonts w:hint="eastAsia" w:cs="宋体"/>
          <w:color w:val="auto"/>
          <w:highlight w:val="none"/>
        </w:rPr>
        <w:fldChar w:fldCharType="separate"/>
      </w:r>
      <w:r>
        <w:rPr>
          <w:rFonts w:hint="eastAsia" w:cs="宋体"/>
          <w:color w:val="auto"/>
          <w:highlight w:val="none"/>
        </w:rPr>
        <w:t>83</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"_Toc18664076" </w:instrText>
      </w:r>
      <w:r>
        <w:rPr>
          <w:color w:val="auto"/>
          <w:highlight w:val="none"/>
        </w:rPr>
        <w:fldChar w:fldCharType="separate"/>
      </w:r>
      <w:r>
        <w:rPr>
          <w:rStyle w:val="27"/>
          <w:rFonts w:hint="eastAsia" w:cs="宋体"/>
          <w:color w:val="auto"/>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_Toc18664076 \h </w:instrText>
      </w:r>
      <w:r>
        <w:rPr>
          <w:rFonts w:hint="eastAsia" w:cs="宋体"/>
          <w:color w:val="auto"/>
          <w:highlight w:val="none"/>
        </w:rPr>
        <w:fldChar w:fldCharType="separate"/>
      </w:r>
      <w:r>
        <w:rPr>
          <w:rFonts w:hint="eastAsia" w:cs="宋体"/>
          <w:color w:val="auto"/>
          <w:highlight w:val="none"/>
        </w:rPr>
        <w:t>84</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"_Toc18664077" </w:instrText>
      </w:r>
      <w:r>
        <w:rPr>
          <w:color w:val="auto"/>
          <w:highlight w:val="none"/>
        </w:rPr>
        <w:fldChar w:fldCharType="separate"/>
      </w:r>
      <w:r>
        <w:rPr>
          <w:rStyle w:val="27"/>
          <w:rFonts w:hint="eastAsia" w:cs="宋体"/>
          <w:color w:val="auto"/>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_Toc18664077 \h </w:instrText>
      </w:r>
      <w:r>
        <w:rPr>
          <w:rFonts w:hint="eastAsia" w:cs="宋体"/>
          <w:color w:val="auto"/>
          <w:highlight w:val="none"/>
        </w:rPr>
        <w:fldChar w:fldCharType="separate"/>
      </w:r>
      <w:r>
        <w:rPr>
          <w:rFonts w:hint="eastAsia" w:cs="宋体"/>
          <w:color w:val="auto"/>
          <w:highlight w:val="none"/>
        </w:rPr>
        <w:t>85</w:t>
      </w:r>
      <w:r>
        <w:rPr>
          <w:rFonts w:hint="eastAsia" w:cs="宋体"/>
          <w:color w:val="auto"/>
          <w:highlight w:val="none"/>
        </w:rPr>
        <w:fldChar w:fldCharType="end"/>
      </w:r>
      <w:r>
        <w:rPr>
          <w:rFonts w:hint="eastAsia" w:cs="宋体"/>
          <w:color w:val="auto"/>
          <w:highlight w:val="none"/>
        </w:rPr>
        <w:fldChar w:fldCharType="end"/>
      </w:r>
    </w:p>
    <w:p>
      <w:pPr>
        <w:pStyle w:val="3"/>
        <w:ind w:right="325" w:rightChars="155"/>
        <w:jc w:val="center"/>
        <w:rPr>
          <w:rFonts w:hint="default"/>
          <w:color w:val="auto"/>
          <w:highlight w:val="none"/>
        </w:rPr>
      </w:pPr>
      <w:r>
        <w:rPr>
          <w:rFonts w:cs="宋体"/>
          <w:color w:val="auto"/>
          <w:highlight w:val="none"/>
        </w:rPr>
        <w:fldChar w:fldCharType="end"/>
      </w:r>
    </w:p>
    <w:p>
      <w:pPr>
        <w:pStyle w:val="3"/>
        <w:jc w:val="center"/>
        <w:rPr>
          <w:rFonts w:hint="default"/>
          <w:color w:val="auto"/>
          <w:highlight w:val="none"/>
        </w:rPr>
      </w:pPr>
      <w:r>
        <w:rPr>
          <w:color w:val="auto"/>
          <w:highlight w:val="none"/>
        </w:rPr>
        <w:br w:type="page"/>
      </w:r>
      <w:bookmarkStart w:id="0" w:name="_Toc18664057"/>
      <w:r>
        <w:rPr>
          <w:color w:val="auto"/>
          <w:highlight w:val="none"/>
        </w:rPr>
        <w:t>第一章  投标须知</w:t>
      </w:r>
      <w:bookmarkEnd w:id="0"/>
    </w:p>
    <w:p>
      <w:pPr>
        <w:pStyle w:val="7"/>
        <w:rPr>
          <w:color w:val="auto"/>
          <w:highlight w:val="none"/>
        </w:rPr>
      </w:pPr>
      <w:bookmarkStart w:id="1" w:name="_Toc18664058"/>
      <w:r>
        <w:rPr>
          <w:rFonts w:hint="eastAsia"/>
          <w:color w:val="auto"/>
          <w:highlight w:val="none"/>
        </w:rPr>
        <w:t>一、投标须知前附表</w:t>
      </w:r>
      <w:bookmarkEnd w:id="1"/>
    </w:p>
    <w:p>
      <w:pPr>
        <w:pStyle w:val="9"/>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93"/>
        <w:gridCol w:w="1648"/>
        <w:gridCol w:w="59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trPr>
        <w:tc>
          <w:tcPr>
            <w:tcW w:w="639" w:type="dxa"/>
            <w:tcBorders>
              <w:top w:val="doub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项目</w:t>
            </w:r>
          </w:p>
        </w:tc>
        <w:tc>
          <w:tcPr>
            <w:tcW w:w="893" w:type="dxa"/>
            <w:tcBorders>
              <w:top w:val="doub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条款号</w:t>
            </w:r>
          </w:p>
        </w:tc>
        <w:tc>
          <w:tcPr>
            <w:tcW w:w="1648" w:type="dxa"/>
            <w:tcBorders>
              <w:top w:val="doub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r>
              <w:rPr>
                <w:rFonts w:hint="eastAsia"/>
                <w:color w:val="auto"/>
                <w:szCs w:val="21"/>
                <w:highlight w:val="none"/>
              </w:rPr>
              <w:t>内容</w:t>
            </w:r>
          </w:p>
        </w:tc>
        <w:tc>
          <w:tcPr>
            <w:tcW w:w="5987" w:type="dxa"/>
            <w:tcBorders>
              <w:top w:val="double" w:color="auto" w:sz="4" w:space="0"/>
              <w:left w:val="single" w:color="auto" w:sz="4" w:space="0"/>
              <w:bottom w:val="single" w:color="auto" w:sz="4" w:space="0"/>
              <w:right w:val="double" w:color="auto" w:sz="4" w:space="0"/>
            </w:tcBorders>
            <w:vAlign w:val="center"/>
          </w:tcPr>
          <w:p>
            <w:pPr>
              <w:pStyle w:val="14"/>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定义</w:t>
            </w:r>
          </w:p>
        </w:tc>
        <w:tc>
          <w:tcPr>
            <w:tcW w:w="5987" w:type="dxa"/>
            <w:tcBorders>
              <w:top w:val="single" w:color="auto" w:sz="4" w:space="0"/>
              <w:left w:val="single" w:color="auto" w:sz="4" w:space="0"/>
              <w:bottom w:val="single" w:color="auto" w:sz="4" w:space="0"/>
              <w:right w:val="double" w:color="auto" w:sz="4" w:space="0"/>
            </w:tcBorders>
            <w:vAlign w:val="center"/>
          </w:tcPr>
          <w:p>
            <w:pPr>
              <w:rPr>
                <w:rFonts w:hint="eastAsia" w:eastAsia="宋体"/>
                <w:color w:val="auto"/>
                <w:szCs w:val="21"/>
                <w:highlight w:val="none"/>
                <w:u w:val="single"/>
                <w:lang w:eastAsia="zh-CN"/>
              </w:rPr>
            </w:pPr>
            <w:r>
              <w:rPr>
                <w:rFonts w:hint="eastAsia"/>
                <w:color w:val="auto"/>
                <w:szCs w:val="21"/>
                <w:highlight w:val="none"/>
              </w:rPr>
              <w:t>招标人（即发包人）：</w:t>
            </w:r>
            <w:r>
              <w:rPr>
                <w:rFonts w:hint="eastAsia"/>
                <w:color w:val="auto"/>
                <w:szCs w:val="21"/>
                <w:highlight w:val="none"/>
                <w:u w:val="single"/>
                <w:lang w:eastAsia="zh-CN"/>
              </w:rPr>
              <w:t>广州凯龙置业有限公司</w:t>
            </w:r>
          </w:p>
          <w:p>
            <w:pPr>
              <w:rPr>
                <w:color w:val="auto"/>
                <w:szCs w:val="21"/>
                <w:highlight w:val="none"/>
              </w:rPr>
            </w:pPr>
            <w:r>
              <w:rPr>
                <w:rFonts w:hint="eastAsia"/>
                <w:color w:val="auto"/>
                <w:szCs w:val="21"/>
                <w:highlight w:val="none"/>
              </w:rPr>
              <w:t>招标代理：</w:t>
            </w:r>
            <w:r>
              <w:rPr>
                <w:rFonts w:hint="eastAsia"/>
                <w:color w:val="auto"/>
                <w:szCs w:val="21"/>
                <w:highlight w:val="none"/>
                <w:u w:val="single"/>
                <w:lang w:eastAsia="zh-CN"/>
              </w:rPr>
              <w:t>广州永安工程管理有限公司</w:t>
            </w:r>
          </w:p>
          <w:p>
            <w:pPr>
              <w:rPr>
                <w:rFonts w:hint="default"/>
                <w:color w:val="auto"/>
                <w:szCs w:val="21"/>
                <w:highlight w:val="none"/>
                <w:u w:val="single"/>
                <w:lang w:val="en-US" w:eastAsia="zh-CN"/>
              </w:rPr>
            </w:pPr>
            <w:r>
              <w:rPr>
                <w:rFonts w:hint="eastAsia"/>
                <w:color w:val="auto"/>
                <w:szCs w:val="21"/>
                <w:highlight w:val="none"/>
              </w:rPr>
              <w:t>设计单位：</w:t>
            </w:r>
            <w:r>
              <w:rPr>
                <w:rFonts w:hint="eastAsia"/>
                <w:color w:val="auto"/>
                <w:szCs w:val="21"/>
                <w:highlight w:val="none"/>
                <w:u w:val="single"/>
              </w:rPr>
              <w:t>广州汉森建筑设计有限公司</w:t>
            </w:r>
          </w:p>
          <w:p>
            <w:pPr>
              <w:rPr>
                <w:color w:val="auto"/>
                <w:szCs w:val="21"/>
                <w:highlight w:val="none"/>
              </w:rPr>
            </w:pPr>
            <w:r>
              <w:rPr>
                <w:rFonts w:hint="eastAsia"/>
                <w:color w:val="auto"/>
                <w:szCs w:val="21"/>
                <w:highlight w:val="none"/>
              </w:rPr>
              <w:t>监理单位：</w:t>
            </w:r>
            <w:r>
              <w:rPr>
                <w:rFonts w:hint="eastAsia"/>
                <w:color w:val="auto"/>
                <w:szCs w:val="21"/>
                <w:highlight w:val="none"/>
                <w:u w:val="single"/>
              </w:rPr>
              <w:t xml:space="preserve"> </w:t>
            </w:r>
            <w:r>
              <w:rPr>
                <w:rFonts w:hint="eastAsia"/>
                <w:color w:val="auto"/>
                <w:szCs w:val="21"/>
                <w:highlight w:val="none"/>
                <w:u w:val="single"/>
                <w:lang w:val="en-US" w:eastAsia="zh-CN"/>
              </w:rPr>
              <w:t>/</w:t>
            </w:r>
          </w:p>
          <w:p>
            <w:pPr>
              <w:rPr>
                <w:rFonts w:hint="eastAsia" w:eastAsia="宋体"/>
                <w:color w:val="auto"/>
                <w:szCs w:val="21"/>
                <w:highlight w:val="none"/>
                <w:lang w:eastAsia="zh-CN"/>
              </w:rPr>
            </w:pPr>
            <w:r>
              <w:rPr>
                <w:rFonts w:hint="eastAsia"/>
                <w:color w:val="auto"/>
                <w:szCs w:val="21"/>
                <w:highlight w:val="none"/>
              </w:rPr>
              <w:t>检测机构：</w:t>
            </w:r>
            <w:r>
              <w:rPr>
                <w:rFonts w:hint="eastAsia"/>
                <w:color w:val="auto"/>
                <w:szCs w:val="21"/>
                <w:highlight w:val="none"/>
                <w:u w:val="single"/>
              </w:rPr>
              <w:t xml:space="preserve"> </w:t>
            </w:r>
            <w:r>
              <w:rPr>
                <w:rFonts w:hint="eastAsia"/>
                <w:color w:val="auto"/>
                <w:szCs w:val="21"/>
                <w:highlight w:val="none"/>
                <w:u w:val="singl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工程名称</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lang w:eastAsia="zh-CN"/>
              </w:rPr>
              <w:t>长岭居商住项目二期永久用电工程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建设地点</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建设规模</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5</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承包方式</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s="宋体"/>
                <w:color w:val="auto"/>
                <w:szCs w:val="21"/>
                <w:highlight w:val="none"/>
                <w:u w:val="single"/>
              </w:rPr>
              <w:t>承包人根据招标文件、合同文件、有关资料及说明等对本工程实施施工完成：包工、包料、包质量、包安全生产、包文明施工、包工期、包承包范围内工程验收通过、包移交、包结算和资料整理归档、包承包人应当购买的保险、包竣工图编制（须满足规划等各专项验收要求）、包本工程承包范围内的承包管理和现场整体组织、包专业协调及配合、协助报批报建等。合司价款根据招标文件和本合同约定的计价方式进行计价和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6</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质量标准</w:t>
            </w:r>
          </w:p>
        </w:tc>
        <w:tc>
          <w:tcPr>
            <w:tcW w:w="5987" w:type="dxa"/>
            <w:tcBorders>
              <w:top w:val="single" w:color="auto" w:sz="4" w:space="0"/>
              <w:left w:val="single" w:color="auto" w:sz="4" w:space="0"/>
              <w:bottom w:val="single" w:color="auto" w:sz="4" w:space="0"/>
              <w:right w:val="double" w:color="auto" w:sz="4" w:space="0"/>
            </w:tcBorders>
            <w:vAlign w:val="center"/>
          </w:tcPr>
          <w:p>
            <w:pPr>
              <w:rPr>
                <w:rFonts w:hint="eastAsia" w:cs="宋体"/>
                <w:color w:val="auto"/>
                <w:highlight w:val="none"/>
                <w:u w:val="single"/>
              </w:rPr>
            </w:pPr>
            <w:r>
              <w:rPr>
                <w:rFonts w:hint="eastAsia" w:cs="宋体"/>
                <w:color w:val="auto"/>
                <w:highlight w:val="none"/>
                <w:u w:val="single"/>
              </w:rPr>
              <w:t>（1）分部工程验收合格率100%，项目所涉及的政府专项验收全部通过，本工程一次竣工验收合格；</w:t>
            </w:r>
          </w:p>
          <w:p>
            <w:pPr>
              <w:rPr>
                <w:rFonts w:hint="eastAsia" w:cs="宋体"/>
                <w:color w:val="auto"/>
                <w:highlight w:val="none"/>
                <w:u w:val="single"/>
              </w:rPr>
            </w:pPr>
            <w:r>
              <w:rPr>
                <w:rFonts w:hint="eastAsia" w:cs="宋体"/>
                <w:color w:val="auto"/>
                <w:highlight w:val="none"/>
                <w:u w:val="single"/>
              </w:rPr>
              <w:t>（2）专业工程质量标准必须合格并全力配合总承包单位的竣工验收工作；承包人需无条件配合项目总承包施工管理单位的评优工作，相关费用户在合同价款中包含，不再另外计算。</w:t>
            </w:r>
          </w:p>
          <w:p>
            <w:pPr>
              <w:rPr>
                <w:color w:val="auto"/>
                <w:szCs w:val="21"/>
                <w:highlight w:val="none"/>
              </w:rPr>
            </w:pPr>
            <w:r>
              <w:rPr>
                <w:rFonts w:hint="eastAsia" w:cs="宋体"/>
                <w:color w:val="auto"/>
                <w:highlight w:val="none"/>
                <w:u w:val="single"/>
              </w:rPr>
              <w:t>注：本工程正式签署合同时，质量标准按中标投标文件承诺质量标准。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7</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招标范围</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8</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工期要求</w:t>
            </w:r>
          </w:p>
        </w:tc>
        <w:tc>
          <w:tcPr>
            <w:tcW w:w="5987" w:type="dxa"/>
            <w:tcBorders>
              <w:top w:val="single" w:color="auto" w:sz="4" w:space="0"/>
              <w:left w:val="single" w:color="auto" w:sz="4" w:space="0"/>
              <w:bottom w:val="single" w:color="auto" w:sz="4" w:space="0"/>
              <w:right w:val="double" w:color="auto" w:sz="4" w:space="0"/>
            </w:tcBorders>
            <w:vAlign w:val="center"/>
          </w:tcPr>
          <w:p>
            <w:pPr>
              <w:rPr>
                <w:rFonts w:hint="eastAsia" w:cs="宋体"/>
                <w:color w:val="auto"/>
                <w:szCs w:val="21"/>
                <w:highlight w:val="none"/>
                <w:u w:val="single"/>
              </w:rPr>
            </w:pPr>
            <w:r>
              <w:rPr>
                <w:rFonts w:hint="eastAsia" w:cs="宋体"/>
                <w:color w:val="auto"/>
                <w:szCs w:val="21"/>
                <w:highlight w:val="none"/>
                <w:u w:val="single"/>
              </w:rPr>
              <w:t>总工期</w:t>
            </w:r>
            <w:r>
              <w:rPr>
                <w:rFonts w:hint="eastAsia" w:cs="宋体"/>
                <w:color w:val="auto"/>
                <w:szCs w:val="21"/>
                <w:highlight w:val="none"/>
                <w:u w:val="single"/>
                <w:lang w:val="en-US" w:eastAsia="zh-CN"/>
              </w:rPr>
              <w:t>180</w:t>
            </w:r>
            <w:r>
              <w:rPr>
                <w:rFonts w:hint="eastAsia" w:cs="宋体"/>
                <w:color w:val="auto"/>
                <w:szCs w:val="21"/>
                <w:highlight w:val="none"/>
                <w:u w:val="single"/>
              </w:rPr>
              <w:t>天。</w:t>
            </w:r>
          </w:p>
          <w:p>
            <w:pPr>
              <w:ind w:hanging="10" w:firstLineChars="0"/>
              <w:rPr>
                <w:color w:val="auto"/>
                <w:szCs w:val="21"/>
                <w:highlight w:val="none"/>
              </w:rPr>
            </w:pPr>
            <w:r>
              <w:rPr>
                <w:rFonts w:hint="eastAsia" w:cs="宋体"/>
                <w:color w:val="auto"/>
                <w:szCs w:val="21"/>
                <w:highlight w:val="none"/>
                <w:u w:val="single"/>
              </w:rPr>
              <w:t>注：本工程正式签署合同时，工期按中标投标文件承诺工期</w:t>
            </w:r>
            <w:r>
              <w:rPr>
                <w:rFonts w:hint="eastAsia"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9</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3.1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资金来源</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10</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4.1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投标人资质等级及项目负责人等级要求</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11</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资格审查方式</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12</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13.1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报价以及单价和总价计算方式</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15.1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投标有效期</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 xml:space="preserve"> 90 </w:t>
            </w:r>
            <w:r>
              <w:rPr>
                <w:rFonts w:hint="eastAsia"/>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16.1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投标保证金</w:t>
            </w:r>
          </w:p>
        </w:tc>
        <w:tc>
          <w:tcPr>
            <w:tcW w:w="5987" w:type="dxa"/>
            <w:tcBorders>
              <w:top w:val="single" w:color="auto" w:sz="4" w:space="0"/>
              <w:left w:val="single" w:color="auto" w:sz="4" w:space="0"/>
              <w:bottom w:val="single" w:color="auto" w:sz="4" w:space="0"/>
              <w:right w:val="double" w:color="auto" w:sz="4" w:space="0"/>
            </w:tcBorders>
            <w:vAlign w:val="center"/>
          </w:tcPr>
          <w:p>
            <w:pPr>
              <w:spacing w:line="276" w:lineRule="auto"/>
              <w:rPr>
                <w:color w:val="auto"/>
                <w:highlight w:val="none"/>
              </w:rPr>
            </w:pPr>
            <w:r>
              <w:rPr>
                <w:rFonts w:hint="eastAsia"/>
                <w:color w:val="auto"/>
                <w:highlight w:val="none"/>
                <w:u w:val="single"/>
                <w:lang w:val="en-US" w:eastAsia="zh-CN"/>
              </w:rPr>
              <w:t>5</w:t>
            </w:r>
            <w:r>
              <w:rPr>
                <w:rFonts w:hint="eastAsia"/>
                <w:color w:val="auto"/>
                <w:highlight w:val="none"/>
                <w:u w:val="single"/>
              </w:rPr>
              <w:t>万元人民币</w:t>
            </w:r>
            <w:r>
              <w:rPr>
                <w:rFonts w:hint="eastAsia"/>
                <w:color w:val="auto"/>
                <w:highlight w:val="none"/>
              </w:rPr>
              <w:t>，缴纳时间在递交投标文件截止时间前。</w:t>
            </w:r>
          </w:p>
          <w:p>
            <w:pPr>
              <w:spacing w:line="276" w:lineRule="auto"/>
              <w:rPr>
                <w:color w:val="auto"/>
                <w:highlight w:val="none"/>
              </w:rPr>
            </w:pPr>
            <w:r>
              <w:rPr>
                <w:rFonts w:hint="eastAsia"/>
                <w:color w:val="auto"/>
                <w:highlight w:val="none"/>
              </w:rPr>
              <w:t>投标担保的相关事宜详见招标文件16款。</w:t>
            </w:r>
          </w:p>
          <w:p>
            <w:pPr>
              <w:widowControl/>
              <w:jc w:val="left"/>
              <w:rPr>
                <w:color w:val="auto"/>
                <w:highlight w:val="none"/>
              </w:rPr>
            </w:pPr>
            <w:r>
              <w:rPr>
                <w:rFonts w:hint="eastAsia" w:cs="宋体"/>
                <w:b/>
                <w:bCs/>
                <w:color w:val="auto"/>
                <w:kern w:val="0"/>
                <w:sz w:val="20"/>
                <w:szCs w:val="20"/>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15</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5</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踏勘现场</w:t>
            </w:r>
          </w:p>
        </w:tc>
        <w:tc>
          <w:tcPr>
            <w:tcW w:w="5987" w:type="dxa"/>
            <w:tcBorders>
              <w:top w:val="single" w:color="auto" w:sz="4" w:space="0"/>
              <w:left w:val="single" w:color="auto" w:sz="4" w:space="0"/>
              <w:bottom w:val="single" w:color="auto" w:sz="4" w:space="0"/>
              <w:right w:val="double" w:color="auto" w:sz="4" w:space="0"/>
            </w:tcBorders>
            <w:vAlign w:val="center"/>
          </w:tcPr>
          <w:p>
            <w:pPr>
              <w:pStyle w:val="14"/>
              <w:rPr>
                <w:rFonts w:ascii="宋体" w:hAnsi="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16</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8</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投标答疑</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1.疑问提交时间：</w:t>
            </w:r>
            <w:r>
              <w:rPr>
                <w:rFonts w:hint="eastAsia" w:cs="宋体"/>
                <w:color w:val="auto"/>
                <w:szCs w:val="21"/>
                <w:highlight w:val="none"/>
                <w:u w:val="single"/>
              </w:rPr>
              <w:t>(在递交投标文件截止日期前18日)</w:t>
            </w:r>
            <w:r>
              <w:rPr>
                <w:rFonts w:hint="eastAsia"/>
                <w:color w:val="auto"/>
                <w:szCs w:val="21"/>
                <w:highlight w:val="none"/>
                <w:u w:val="single"/>
              </w:rPr>
              <w:t>见本项目日程安排</w:t>
            </w:r>
            <w:r>
              <w:rPr>
                <w:rFonts w:hint="eastAsia"/>
                <w:color w:val="auto"/>
                <w:szCs w:val="21"/>
                <w:highlight w:val="none"/>
              </w:rPr>
              <w:t>；</w:t>
            </w:r>
          </w:p>
          <w:p>
            <w:pPr>
              <w:rPr>
                <w:color w:val="auto"/>
                <w:szCs w:val="21"/>
                <w:highlight w:val="none"/>
              </w:rPr>
            </w:pPr>
            <w:r>
              <w:rPr>
                <w:rFonts w:hint="eastAsia"/>
                <w:color w:val="auto"/>
                <w:szCs w:val="21"/>
                <w:highlight w:val="none"/>
              </w:rPr>
              <w:t>2.形式：投标人的疑问通过</w:t>
            </w:r>
            <w:r>
              <w:rPr>
                <w:rFonts w:hint="eastAsia"/>
                <w:color w:val="auto"/>
                <w:szCs w:val="21"/>
                <w:highlight w:val="none"/>
                <w:u w:val="single"/>
              </w:rPr>
              <w:t>广州公共资源交易中心</w:t>
            </w:r>
            <w:r>
              <w:rPr>
                <w:rFonts w:hint="eastAsia"/>
                <w:color w:val="auto"/>
                <w:szCs w:val="21"/>
                <w:highlight w:val="none"/>
              </w:rPr>
              <w:t>交易平台提交。</w:t>
            </w:r>
          </w:p>
          <w:p>
            <w:pPr>
              <w:rPr>
                <w:color w:val="auto"/>
                <w:szCs w:val="21"/>
                <w:highlight w:val="none"/>
                <w:u w:val="single"/>
              </w:rPr>
            </w:pPr>
            <w:r>
              <w:rPr>
                <w:rFonts w:hint="eastAsia"/>
                <w:color w:val="auto"/>
                <w:szCs w:val="21"/>
                <w:highlight w:val="none"/>
                <w:u w:val="single"/>
              </w:rPr>
              <w:t>3.招标人澄清、修补或答疑期限：在递交投标文件截止日期前15 日</w:t>
            </w:r>
          </w:p>
          <w:p>
            <w:pPr>
              <w:rPr>
                <w:color w:val="auto"/>
                <w:szCs w:val="21"/>
                <w:highlight w:val="none"/>
                <w:u w:val="single"/>
              </w:rPr>
            </w:pPr>
            <w:r>
              <w:rPr>
                <w:rFonts w:hint="eastAsia"/>
                <w:color w:val="auto"/>
                <w:szCs w:val="21"/>
                <w:highlight w:val="none"/>
                <w:u w:val="single"/>
              </w:rPr>
              <w:t>4.网上答疑的相关事项详见招标文件8.1、8.2款。</w:t>
            </w:r>
          </w:p>
          <w:p>
            <w:pPr>
              <w:rPr>
                <w:color w:val="auto"/>
                <w:szCs w:val="21"/>
                <w:highlight w:val="none"/>
              </w:rPr>
            </w:pPr>
            <w:r>
              <w:rPr>
                <w:rFonts w:hint="eastAsia"/>
                <w:color w:val="auto"/>
                <w:szCs w:val="21"/>
                <w:highlight w:val="none"/>
              </w:rPr>
              <w:t>具体要求：按照交易平台关于全流程电子化项目的相关指南进行操作，详见：</w:t>
            </w:r>
            <w:r>
              <w:rPr>
                <w:rFonts w:hint="eastAsia"/>
                <w:color w:val="auto"/>
                <w:szCs w:val="21"/>
                <w:highlight w:val="none"/>
                <w:u w:val="single"/>
              </w:rPr>
              <w:t>广州公共资源交易中心网站(http:/ www.gzggzy.cn)服务指南栏目</w:t>
            </w:r>
            <w:r>
              <w:rPr>
                <w:rFonts w:hint="eastAsia"/>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r>
              <w:rPr>
                <w:rFonts w:hint="eastAsia"/>
                <w:color w:val="auto"/>
                <w:szCs w:val="21"/>
                <w:highlight w:val="none"/>
              </w:rPr>
              <w:t>7</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20</w:t>
            </w:r>
            <w:r>
              <w:rPr>
                <w:color w:val="auto"/>
                <w:szCs w:val="21"/>
                <w:highlight w:val="none"/>
              </w:rPr>
              <w:t>.1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投标截止时间</w:t>
            </w:r>
          </w:p>
        </w:tc>
        <w:tc>
          <w:tcPr>
            <w:tcW w:w="5987" w:type="dxa"/>
            <w:tcBorders>
              <w:top w:val="single" w:color="auto" w:sz="4" w:space="0"/>
              <w:left w:val="single" w:color="auto" w:sz="4" w:space="0"/>
              <w:bottom w:val="single" w:color="auto" w:sz="4" w:space="0"/>
              <w:right w:val="double" w:color="auto" w:sz="4" w:space="0"/>
            </w:tcBorders>
            <w:vAlign w:val="center"/>
          </w:tcPr>
          <w:p>
            <w:pPr>
              <w:rPr>
                <w:strike/>
                <w:color w:val="auto"/>
                <w:szCs w:val="21"/>
                <w:highlight w:val="none"/>
              </w:rPr>
            </w:pPr>
            <w:r>
              <w:rPr>
                <w:rFonts w:hint="eastAsia"/>
                <w:color w:val="auto"/>
                <w:szCs w:val="21"/>
                <w:highlight w:val="none"/>
                <w:u w:val="single"/>
              </w:rPr>
              <w:t>202</w:t>
            </w:r>
            <w:r>
              <w:rPr>
                <w:rFonts w:hint="eastAsia"/>
                <w:color w:val="auto"/>
                <w:szCs w:val="21"/>
                <w:highlight w:val="none"/>
                <w:u w:val="single"/>
                <w:lang w:val="en-US" w:eastAsia="zh-CN"/>
              </w:rPr>
              <w:t>3</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u w:val="single"/>
              </w:rPr>
              <w:t xml:space="preserve">   </w:t>
            </w:r>
            <w:r>
              <w:rPr>
                <w:rFonts w:hint="eastAsia"/>
                <w:color w:val="auto"/>
                <w:szCs w:val="21"/>
                <w:highlight w:val="none"/>
              </w:rPr>
              <w:t>时</w:t>
            </w:r>
            <w:r>
              <w:rPr>
                <w:color w:val="auto"/>
                <w:szCs w:val="21"/>
                <w:highlight w:val="none"/>
                <w:u w:val="single"/>
              </w:rPr>
              <w:t xml:space="preserve">   </w:t>
            </w:r>
            <w:r>
              <w:rPr>
                <w:rFonts w:hint="eastAsia"/>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18</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20.1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开标开始时间和地点</w:t>
            </w:r>
          </w:p>
        </w:tc>
        <w:tc>
          <w:tcPr>
            <w:tcW w:w="5987" w:type="dxa"/>
            <w:tcBorders>
              <w:top w:val="single" w:color="auto" w:sz="4" w:space="0"/>
              <w:left w:val="single" w:color="auto" w:sz="4" w:space="0"/>
              <w:bottom w:val="single" w:color="auto" w:sz="4" w:space="0"/>
              <w:right w:val="double" w:color="auto" w:sz="4" w:space="0"/>
            </w:tcBorders>
            <w:vAlign w:val="center"/>
          </w:tcPr>
          <w:p>
            <w:pPr>
              <w:widowControl/>
              <w:jc w:val="left"/>
              <w:rPr>
                <w:color w:val="auto"/>
                <w:szCs w:val="21"/>
                <w:highlight w:val="none"/>
                <w:u w:val="single"/>
              </w:rPr>
            </w:pPr>
            <w:r>
              <w:rPr>
                <w:rFonts w:hint="eastAsia"/>
                <w:color w:val="auto"/>
                <w:szCs w:val="21"/>
                <w:highlight w:val="none"/>
              </w:rPr>
              <w:t>1、开标开始时间：</w:t>
            </w:r>
            <w:r>
              <w:rPr>
                <w:rFonts w:hint="eastAsia"/>
                <w:color w:val="auto"/>
                <w:szCs w:val="21"/>
                <w:highlight w:val="none"/>
                <w:u w:val="single"/>
              </w:rPr>
              <w:t>202</w:t>
            </w:r>
            <w:r>
              <w:rPr>
                <w:rFonts w:hint="eastAsia"/>
                <w:color w:val="auto"/>
                <w:szCs w:val="21"/>
                <w:highlight w:val="none"/>
                <w:u w:val="single"/>
                <w:lang w:val="en-US" w:eastAsia="zh-CN"/>
              </w:rPr>
              <w:t>3</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u w:val="single"/>
              </w:rPr>
              <w:t xml:space="preserve">   </w:t>
            </w:r>
            <w:r>
              <w:rPr>
                <w:rFonts w:hint="eastAsia"/>
                <w:color w:val="auto"/>
                <w:szCs w:val="21"/>
                <w:highlight w:val="none"/>
              </w:rPr>
              <w:t>时</w:t>
            </w:r>
            <w:r>
              <w:rPr>
                <w:color w:val="auto"/>
                <w:szCs w:val="21"/>
                <w:highlight w:val="none"/>
                <w:u w:val="single"/>
              </w:rPr>
              <w:t xml:space="preserve">   </w:t>
            </w:r>
            <w:r>
              <w:rPr>
                <w:rFonts w:hint="eastAsia"/>
                <w:color w:val="auto"/>
                <w:szCs w:val="21"/>
                <w:highlight w:val="none"/>
              </w:rPr>
              <w:t>分（与</w:t>
            </w:r>
            <w:r>
              <w:rPr>
                <w:color w:val="auto"/>
                <w:szCs w:val="21"/>
                <w:highlight w:val="none"/>
              </w:rPr>
              <w:t>投标截止时间</w:t>
            </w:r>
            <w:r>
              <w:rPr>
                <w:rFonts w:hint="eastAsia"/>
                <w:color w:val="auto"/>
                <w:szCs w:val="21"/>
                <w:highlight w:val="none"/>
              </w:rPr>
              <w:t>为</w:t>
            </w:r>
            <w:r>
              <w:rPr>
                <w:color w:val="auto"/>
                <w:szCs w:val="21"/>
                <w:highlight w:val="none"/>
              </w:rPr>
              <w:t>同一时间</w:t>
            </w:r>
            <w:r>
              <w:rPr>
                <w:rFonts w:hint="eastAsia"/>
                <w:color w:val="auto"/>
                <w:szCs w:val="21"/>
                <w:highlight w:val="none"/>
              </w:rPr>
              <w:t>），地点：</w:t>
            </w:r>
            <w:r>
              <w:rPr>
                <w:rFonts w:hint="eastAsia" w:cs="宋体"/>
                <w:color w:val="auto"/>
                <w:szCs w:val="21"/>
                <w:highlight w:val="none"/>
                <w:u w:val="single"/>
              </w:rPr>
              <w:t>广州公共资源交易中心黄埔交易部   开标室</w:t>
            </w:r>
            <w:r>
              <w:rPr>
                <w:rFonts w:hint="eastAsia" w:cs="宋体"/>
                <w:color w:val="auto"/>
                <w:szCs w:val="21"/>
                <w:highlight w:val="none"/>
              </w:rPr>
              <w:t>。</w:t>
            </w:r>
            <w:r>
              <w:rPr>
                <w:rFonts w:hint="eastAsia" w:ascii="宋体" w:hAnsi="宋体" w:eastAsia="宋体" w:cs="宋体"/>
                <w:b/>
                <w:bCs/>
                <w:color w:val="auto"/>
                <w:kern w:val="0"/>
                <w:sz w:val="21"/>
                <w:szCs w:val="21"/>
                <w:highlight w:val="none"/>
              </w:rPr>
              <w:t>投标人也可选择参加在线开标，具体按照交易平台相关指南进行操作。详见：</w:t>
            </w:r>
            <w:r>
              <w:rPr>
                <w:rFonts w:hint="eastAsia" w:ascii="宋体" w:hAnsi="宋体" w:eastAsia="宋体" w:cs="宋体"/>
                <w:b/>
                <w:bCs/>
                <w:color w:val="auto"/>
                <w:kern w:val="0"/>
                <w:sz w:val="21"/>
                <w:szCs w:val="21"/>
                <w:highlight w:val="none"/>
                <w:u w:val="single"/>
                <w:lang w:val="en-US" w:eastAsia="zh-CN"/>
              </w:rPr>
              <w:t>广州公共资源交易中心-服务指南-操作手册</w:t>
            </w:r>
            <w:r>
              <w:rPr>
                <w:rFonts w:hint="eastAsia" w:ascii="宋体" w:hAnsi="宋体" w:eastAsia="宋体" w:cs="宋体"/>
                <w:b/>
                <w:bCs/>
                <w:color w:val="auto"/>
                <w:kern w:val="0"/>
                <w:sz w:val="21"/>
                <w:szCs w:val="21"/>
                <w:highlight w:val="none"/>
              </w:rPr>
              <w:t>。</w:t>
            </w:r>
          </w:p>
          <w:p>
            <w:pPr>
              <w:rPr>
                <w:color w:val="auto"/>
                <w:highlight w:val="none"/>
              </w:rPr>
            </w:pPr>
            <w:r>
              <w:rPr>
                <w:rFonts w:hint="eastAsia"/>
                <w:color w:val="auto"/>
                <w:szCs w:val="21"/>
                <w:highlight w:val="none"/>
              </w:rPr>
              <w:t>2、递交投标文件备用光盘时间：</w:t>
            </w:r>
            <w:r>
              <w:rPr>
                <w:rFonts w:hint="eastAsia"/>
                <w:color w:val="auto"/>
                <w:szCs w:val="21"/>
                <w:highlight w:val="none"/>
                <w:u w:val="single"/>
              </w:rPr>
              <w:t>202</w:t>
            </w:r>
            <w:r>
              <w:rPr>
                <w:rFonts w:hint="eastAsia"/>
                <w:color w:val="auto"/>
                <w:szCs w:val="21"/>
                <w:highlight w:val="none"/>
                <w:u w:val="single"/>
                <w:lang w:val="en-US" w:eastAsia="zh-CN"/>
              </w:rPr>
              <w:t>3</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u w:val="single"/>
              </w:rPr>
              <w:t xml:space="preserve">   </w:t>
            </w:r>
            <w:r>
              <w:rPr>
                <w:rFonts w:hint="eastAsia"/>
                <w:color w:val="auto"/>
                <w:szCs w:val="21"/>
                <w:highlight w:val="none"/>
              </w:rPr>
              <w:t>时</w:t>
            </w:r>
            <w:r>
              <w:rPr>
                <w:color w:val="auto"/>
                <w:szCs w:val="21"/>
                <w:highlight w:val="none"/>
                <w:u w:val="single"/>
              </w:rPr>
              <w:t xml:space="preserve">   </w:t>
            </w:r>
            <w:r>
              <w:rPr>
                <w:rFonts w:hint="eastAsia"/>
                <w:color w:val="auto"/>
                <w:szCs w:val="21"/>
                <w:highlight w:val="none"/>
              </w:rPr>
              <w:t>分至</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u w:val="single"/>
              </w:rPr>
              <w:t xml:space="preserve">   </w:t>
            </w:r>
            <w:r>
              <w:rPr>
                <w:rFonts w:hint="eastAsia"/>
                <w:color w:val="auto"/>
                <w:szCs w:val="21"/>
                <w:highlight w:val="none"/>
              </w:rPr>
              <w:t>时</w:t>
            </w:r>
            <w:r>
              <w:rPr>
                <w:color w:val="auto"/>
                <w:szCs w:val="21"/>
                <w:highlight w:val="none"/>
                <w:u w:val="single"/>
              </w:rPr>
              <w:t xml:space="preserve">   </w:t>
            </w:r>
            <w:r>
              <w:rPr>
                <w:rFonts w:hint="eastAsia"/>
                <w:color w:val="auto"/>
                <w:szCs w:val="21"/>
                <w:highlight w:val="none"/>
              </w:rPr>
              <w:t>分；递交地点：</w:t>
            </w:r>
            <w:r>
              <w:rPr>
                <w:rFonts w:hint="eastAsia" w:cs="宋体"/>
                <w:color w:val="auto"/>
                <w:szCs w:val="21"/>
                <w:highlight w:val="none"/>
                <w:u w:val="single"/>
              </w:rPr>
              <w:t>广州公共资源交易中心黄埔交易部   开标室</w:t>
            </w:r>
            <w:r>
              <w:rPr>
                <w:rFonts w:hint="eastAsia"/>
                <w:color w:val="auto"/>
                <w:highlight w:val="none"/>
              </w:rPr>
              <w:t>。(安排在投标文件截止时间前15分钟至投标文件截止时间）。</w:t>
            </w:r>
          </w:p>
          <w:p>
            <w:pPr>
              <w:rPr>
                <w:color w:val="auto"/>
                <w:szCs w:val="21"/>
                <w:highlight w:val="none"/>
              </w:rPr>
            </w:pPr>
            <w:r>
              <w:rPr>
                <w:rFonts w:hint="eastAsia" w:cs="仿宋_GB2312"/>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19</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26</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开标评标办法</w:t>
            </w:r>
          </w:p>
        </w:tc>
        <w:tc>
          <w:tcPr>
            <w:tcW w:w="598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auto"/>
                <w:kern w:val="2"/>
                <w:sz w:val="21"/>
                <w:highlight w:val="none"/>
              </w:rPr>
            </w:pPr>
            <w:r>
              <w:rPr>
                <w:rFonts w:hint="eastAsia" w:ascii="宋体" w:hAnsi="宋体"/>
                <w:color w:val="auto"/>
                <w:kern w:val="2"/>
                <w:sz w:val="21"/>
                <w:szCs w:val="21"/>
                <w:highlight w:val="none"/>
              </w:rPr>
              <w:t>方式一：选取方法</w:t>
            </w:r>
            <w:r>
              <w:rPr>
                <w:rFonts w:hint="eastAsia" w:ascii="宋体" w:hAnsi="宋体"/>
                <w:color w:val="auto"/>
                <w:kern w:val="2"/>
                <w:sz w:val="21"/>
                <w:szCs w:val="21"/>
                <w:highlight w:val="none"/>
                <w:u w:val="single"/>
              </w:rPr>
              <w:t xml:space="preserve"> 办法六（适合综合评分法三，技术标与经济标同时开启）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pPr>
              <w:rPr>
                <w:rFonts w:hint="default" w:eastAsia="宋体"/>
                <w:color w:val="auto"/>
                <w:szCs w:val="21"/>
                <w:highlight w:val="none"/>
                <w:lang w:val="en-US" w:eastAsia="zh-CN"/>
              </w:rPr>
            </w:pPr>
            <w:r>
              <w:rPr>
                <w:rFonts w:hint="eastAsia"/>
                <w:color w:val="auto"/>
                <w:szCs w:val="21"/>
                <w:highlight w:val="none"/>
                <w:lang w:val="en-US" w:eastAsia="zh-CN"/>
              </w:rPr>
              <w:t>20</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29.1</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履约担保</w:t>
            </w:r>
          </w:p>
        </w:tc>
        <w:tc>
          <w:tcPr>
            <w:tcW w:w="5987"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firstLineChars="0"/>
              <w:rPr>
                <w:rFonts w:ascii="宋体" w:hAnsi="宋体"/>
                <w:color w:val="auto"/>
                <w:kern w:val="2"/>
                <w:sz w:val="21"/>
                <w:highlight w:val="none"/>
              </w:rPr>
            </w:pPr>
            <w:r>
              <w:rPr>
                <w:rFonts w:hint="eastAsia" w:ascii="宋体" w:hAnsi="宋体"/>
                <w:color w:val="auto"/>
                <w:kern w:val="2"/>
                <w:sz w:val="21"/>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r>
              <w:rPr>
                <w:rFonts w:hint="eastAsia"/>
                <w:color w:val="auto"/>
                <w:szCs w:val="21"/>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最高投标限价</w:t>
            </w:r>
          </w:p>
        </w:tc>
        <w:tc>
          <w:tcPr>
            <w:tcW w:w="5987" w:type="dxa"/>
            <w:tcBorders>
              <w:top w:val="single" w:color="auto" w:sz="4" w:space="0"/>
              <w:left w:val="single" w:color="auto" w:sz="4" w:space="0"/>
              <w:bottom w:val="single" w:color="auto" w:sz="4" w:space="0"/>
              <w:right w:val="double" w:color="auto" w:sz="4" w:space="0"/>
            </w:tcBorders>
            <w:vAlign w:val="center"/>
          </w:tcPr>
          <w:p>
            <w:pPr>
              <w:rPr>
                <w:rFonts w:cs="宋体"/>
                <w:color w:val="auto"/>
                <w:szCs w:val="21"/>
                <w:highlight w:val="none"/>
              </w:rPr>
            </w:pPr>
            <w:r>
              <w:rPr>
                <w:rFonts w:hint="eastAsia" w:cs="宋体"/>
                <w:color w:val="auto"/>
                <w:szCs w:val="21"/>
                <w:highlight w:val="none"/>
              </w:rPr>
              <w:t>本项目最高投标限价为人民币</w:t>
            </w:r>
            <w:r>
              <w:rPr>
                <w:rFonts w:hint="eastAsia" w:cs="宋体"/>
                <w:color w:val="auto"/>
                <w:szCs w:val="21"/>
                <w:highlight w:val="none"/>
                <w:u w:val="single"/>
                <w:lang w:val="en-US" w:eastAsia="zh-CN"/>
              </w:rPr>
              <w:t xml:space="preserve"> 14888510.43 </w:t>
            </w:r>
            <w:r>
              <w:rPr>
                <w:rFonts w:hint="eastAsia"/>
                <w:color w:val="auto"/>
                <w:sz w:val="24"/>
                <w:szCs w:val="24"/>
                <w:highlight w:val="none"/>
                <w:u w:val="single"/>
              </w:rPr>
              <w:t>元</w:t>
            </w:r>
            <w:r>
              <w:rPr>
                <w:rFonts w:hint="eastAsia" w:cs="宋体"/>
                <w:color w:val="auto"/>
                <w:szCs w:val="21"/>
                <w:highlight w:val="none"/>
              </w:rPr>
              <w:t>，投标总价超过最高投标限价的投标文件将被拒绝。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r>
              <w:rPr>
                <w:rFonts w:hint="eastAsia"/>
                <w:color w:val="auto"/>
                <w:szCs w:val="21"/>
                <w:highlight w:val="none"/>
              </w:rPr>
              <w:t>2</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非竞争费用</w:t>
            </w:r>
          </w:p>
        </w:tc>
        <w:tc>
          <w:tcPr>
            <w:tcW w:w="5987" w:type="dxa"/>
            <w:tcBorders>
              <w:top w:val="single" w:color="auto" w:sz="4" w:space="0"/>
              <w:left w:val="single" w:color="auto" w:sz="4" w:space="0"/>
              <w:bottom w:val="single" w:color="auto" w:sz="4" w:space="0"/>
              <w:right w:val="double" w:color="auto" w:sz="4" w:space="0"/>
            </w:tcBorders>
            <w:vAlign w:val="center"/>
          </w:tcPr>
          <w:p>
            <w:pPr>
              <w:rPr>
                <w:rFonts w:cs="宋体"/>
                <w:color w:val="auto"/>
                <w:szCs w:val="21"/>
                <w:highlight w:val="none"/>
              </w:rPr>
            </w:pPr>
            <w:r>
              <w:rPr>
                <w:rFonts w:hint="eastAsia" w:cs="宋体"/>
                <w:color w:val="auto"/>
                <w:szCs w:val="21"/>
                <w:highlight w:val="none"/>
              </w:rPr>
              <w:t>本项目绿色施工安全防护措施费为</w:t>
            </w:r>
            <w:r>
              <w:rPr>
                <w:rFonts w:hint="eastAsia" w:cs="宋体"/>
                <w:color w:val="auto"/>
                <w:szCs w:val="21"/>
                <w:highlight w:val="none"/>
                <w:u w:val="single"/>
                <w:lang w:val="en-US" w:eastAsia="zh-CN"/>
              </w:rPr>
              <w:t xml:space="preserve"> 365810.54 </w:t>
            </w:r>
            <w:r>
              <w:rPr>
                <w:rFonts w:hint="eastAsia" w:cs="宋体"/>
                <w:color w:val="auto"/>
                <w:szCs w:val="21"/>
                <w:highlight w:val="none"/>
              </w:rPr>
              <w:t>元，暂列金额为</w:t>
            </w:r>
            <w:r>
              <w:rPr>
                <w:rFonts w:hint="eastAsia" w:cs="宋体"/>
                <w:color w:val="auto"/>
                <w:szCs w:val="21"/>
                <w:highlight w:val="none"/>
                <w:u w:val="single"/>
                <w:lang w:val="en-US" w:eastAsia="zh-CN"/>
              </w:rPr>
              <w:t xml:space="preserve">             1191757.84 </w:t>
            </w:r>
            <w:r>
              <w:rPr>
                <w:rFonts w:hint="eastAsia" w:cs="宋体"/>
                <w:color w:val="auto"/>
                <w:szCs w:val="21"/>
                <w:highlight w:val="none"/>
              </w:rPr>
              <w:t>元，暂估价为</w:t>
            </w:r>
            <w:r>
              <w:rPr>
                <w:rFonts w:hint="eastAsia" w:cs="宋体"/>
                <w:color w:val="auto"/>
                <w:szCs w:val="21"/>
                <w:highlight w:val="none"/>
                <w:u w:val="single"/>
                <w:lang w:val="en-US" w:eastAsia="zh-CN"/>
              </w:rPr>
              <w:t xml:space="preserve"> / </w:t>
            </w:r>
            <w:r>
              <w:rPr>
                <w:rFonts w:hint="eastAsia"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kern w:val="2"/>
                <w:sz w:val="21"/>
                <w:szCs w:val="21"/>
                <w:highlight w:val="none"/>
              </w:rPr>
            </w:pPr>
            <w:r>
              <w:rPr>
                <w:rFonts w:hint="eastAsia" w:ascii="宋体" w:hAnsi="宋体"/>
                <w:color w:val="auto"/>
                <w:kern w:val="2"/>
                <w:sz w:val="21"/>
                <w:szCs w:val="21"/>
                <w:highlight w:val="none"/>
              </w:rPr>
              <w:t>保修期</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r>
              <w:rPr>
                <w:rFonts w:hint="eastAsia"/>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计算评标参考价的等分点值</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25</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进入第二阶段评审的家数</w:t>
            </w:r>
          </w:p>
        </w:tc>
        <w:tc>
          <w:tcPr>
            <w:tcW w:w="5987" w:type="dxa"/>
            <w:tcBorders>
              <w:top w:val="single" w:color="auto" w:sz="4" w:space="0"/>
              <w:left w:val="single" w:color="auto" w:sz="4" w:space="0"/>
              <w:bottom w:val="single" w:color="auto" w:sz="4" w:space="0"/>
              <w:right w:val="double" w:color="auto" w:sz="4" w:space="0"/>
            </w:tcBorders>
            <w:vAlign w:val="center"/>
          </w:tcPr>
          <w:p>
            <w:pPr>
              <w:spacing w:line="276" w:lineRule="auto"/>
              <w:rPr>
                <w:rFonts w:cs="宋体"/>
                <w:color w:val="auto"/>
                <w:szCs w:val="21"/>
                <w:highlight w:val="none"/>
              </w:rPr>
            </w:pPr>
            <w:r>
              <w:rPr>
                <w:rFonts w:hint="eastAsia" w:cs="宋体"/>
                <w:color w:val="auto"/>
                <w:szCs w:val="21"/>
                <w:highlight w:val="none"/>
              </w:rPr>
              <w:fldChar w:fldCharType="begin"/>
            </w:r>
            <w:r>
              <w:rPr>
                <w:rFonts w:hint="eastAsia" w:cs="宋体"/>
                <w:color w:val="auto"/>
                <w:szCs w:val="21"/>
                <w:highlight w:val="none"/>
              </w:rPr>
              <w:instrText xml:space="preserve"> = 1 \* GB3 </w:instrText>
            </w:r>
            <w:r>
              <w:rPr>
                <w:rFonts w:hint="eastAsia" w:cs="宋体"/>
                <w:color w:val="auto"/>
                <w:szCs w:val="21"/>
                <w:highlight w:val="none"/>
              </w:rPr>
              <w:fldChar w:fldCharType="separate"/>
            </w:r>
            <w:r>
              <w:rPr>
                <w:rFonts w:hint="eastAsia" w:cs="宋体"/>
                <w:color w:val="auto"/>
                <w:szCs w:val="21"/>
                <w:highlight w:val="none"/>
              </w:rPr>
              <w:t>①</w:t>
            </w:r>
            <w:r>
              <w:rPr>
                <w:rFonts w:hint="eastAsia" w:cs="宋体"/>
                <w:color w:val="auto"/>
                <w:szCs w:val="21"/>
                <w:highlight w:val="none"/>
              </w:rPr>
              <w:fldChar w:fldCharType="end"/>
            </w:r>
            <w:r>
              <w:rPr>
                <w:rFonts w:hint="eastAsia" w:cs="宋体"/>
                <w:color w:val="auto"/>
                <w:szCs w:val="21"/>
                <w:highlight w:val="none"/>
              </w:rPr>
              <w:t>通过技术有效性审查的投标人均进入第二阶段（适用于通过技术有效性审查家数在[3,</w:t>
            </w:r>
            <w:r>
              <w:rPr>
                <w:rFonts w:cs="宋体"/>
                <w:color w:val="auto"/>
                <w:szCs w:val="21"/>
                <w:highlight w:val="none"/>
                <w:u w:val="single"/>
              </w:rPr>
              <w:t>7</w:t>
            </w:r>
            <w:r>
              <w:rPr>
                <w:rFonts w:hint="eastAsia" w:cs="宋体"/>
                <w:color w:val="auto"/>
                <w:szCs w:val="21"/>
                <w:highlight w:val="none"/>
              </w:rPr>
              <w:t>]中的）。</w:t>
            </w:r>
          </w:p>
          <w:p>
            <w:pPr>
              <w:spacing w:line="276" w:lineRule="auto"/>
              <w:rPr>
                <w:rFonts w:cs="宋体"/>
                <w:color w:val="auto"/>
                <w:szCs w:val="21"/>
                <w:highlight w:val="none"/>
              </w:rPr>
            </w:pPr>
            <w:r>
              <w:rPr>
                <w:rFonts w:hint="eastAsia" w:cs="宋体"/>
                <w:color w:val="auto"/>
                <w:szCs w:val="21"/>
                <w:highlight w:val="none"/>
              </w:rPr>
              <w:fldChar w:fldCharType="begin"/>
            </w:r>
            <w:r>
              <w:rPr>
                <w:rFonts w:hint="eastAsia" w:cs="宋体"/>
                <w:color w:val="auto"/>
                <w:szCs w:val="21"/>
                <w:highlight w:val="none"/>
              </w:rPr>
              <w:instrText xml:space="preserve"> = 2 \* GB3 </w:instrText>
            </w:r>
            <w:r>
              <w:rPr>
                <w:rFonts w:hint="eastAsia" w:cs="宋体"/>
                <w:color w:val="auto"/>
                <w:szCs w:val="21"/>
                <w:highlight w:val="none"/>
              </w:rPr>
              <w:fldChar w:fldCharType="separate"/>
            </w:r>
            <w:r>
              <w:rPr>
                <w:rFonts w:hint="eastAsia" w:cs="宋体"/>
                <w:color w:val="auto"/>
                <w:szCs w:val="21"/>
                <w:highlight w:val="none"/>
              </w:rPr>
              <w:t>②</w:t>
            </w:r>
            <w:r>
              <w:rPr>
                <w:rFonts w:hint="eastAsia" w:cs="宋体"/>
                <w:color w:val="auto"/>
                <w:szCs w:val="21"/>
                <w:highlight w:val="none"/>
              </w:rPr>
              <w:fldChar w:fldCharType="end"/>
            </w:r>
            <w:r>
              <w:rPr>
                <w:rFonts w:hint="eastAsia" w:cs="宋体"/>
                <w:color w:val="auto"/>
                <w:szCs w:val="21"/>
                <w:highlight w:val="none"/>
              </w:rPr>
              <w:t>将第一阶段得分由高至低排序，前</w:t>
            </w:r>
            <w:r>
              <w:rPr>
                <w:rFonts w:cs="宋体"/>
                <w:color w:val="auto"/>
                <w:szCs w:val="21"/>
                <w:highlight w:val="none"/>
                <w:u w:val="single"/>
              </w:rPr>
              <w:t xml:space="preserve">7 </w:t>
            </w:r>
            <w:r>
              <w:rPr>
                <w:rFonts w:hint="eastAsia" w:cs="宋体"/>
                <w:color w:val="auto"/>
                <w:szCs w:val="21"/>
                <w:highlight w:val="none"/>
              </w:rPr>
              <w:t>名投标人进入第二阶段评审（适用于通过技术有效性审查家数大于</w:t>
            </w:r>
            <w:r>
              <w:rPr>
                <w:rFonts w:cs="宋体"/>
                <w:color w:val="auto"/>
                <w:szCs w:val="21"/>
                <w:highlight w:val="none"/>
                <w:u w:val="single"/>
              </w:rPr>
              <w:t>7</w:t>
            </w:r>
            <w:r>
              <w:rPr>
                <w:rFonts w:hint="eastAsia" w:cs="宋体"/>
                <w:color w:val="auto"/>
                <w:szCs w:val="21"/>
                <w:highlight w:val="none"/>
              </w:rPr>
              <w:t>家的，招标人可根据工程具体情况，确定不少于</w:t>
            </w:r>
            <w:r>
              <w:rPr>
                <w:rFonts w:cs="宋体"/>
                <w:color w:val="auto"/>
                <w:szCs w:val="21"/>
                <w:highlight w:val="none"/>
                <w:u w:val="single"/>
              </w:rPr>
              <w:t xml:space="preserve"> 7 </w:t>
            </w:r>
            <w:r>
              <w:rPr>
                <w:rFonts w:hint="eastAsia" w:cs="宋体"/>
                <w:color w:val="auto"/>
                <w:szCs w:val="21"/>
                <w:highlight w:val="none"/>
              </w:rPr>
              <w:t>家进入第二阶段）。</w:t>
            </w:r>
          </w:p>
          <w:p>
            <w:pPr>
              <w:rPr>
                <w:color w:val="auto"/>
                <w:szCs w:val="21"/>
                <w:highlight w:val="none"/>
              </w:rPr>
            </w:pPr>
            <w:r>
              <w:rPr>
                <w:rFonts w:hint="eastAsia" w:cs="宋体"/>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26</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工程成本警戒价</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工程成本警戒价为</w:t>
            </w:r>
            <w:r>
              <w:rPr>
                <w:rFonts w:hint="eastAsia" w:cs="宋体"/>
                <w:color w:val="auto"/>
                <w:szCs w:val="21"/>
                <w:highlight w:val="none"/>
                <w:u w:val="single"/>
                <w:lang w:val="en-US" w:eastAsia="zh-CN"/>
              </w:rPr>
              <w:t xml:space="preserve"> 13399659.39 </w:t>
            </w:r>
            <w:r>
              <w:rPr>
                <w:rFonts w:hint="eastAsia" w:cs="宋体"/>
                <w:color w:val="auto"/>
                <w:szCs w:val="21"/>
                <w:highlight w:val="none"/>
              </w:rPr>
              <w:t>元</w:t>
            </w:r>
            <w:r>
              <w:rPr>
                <w:rFonts w:hint="eastAsia"/>
                <w:color w:val="auto"/>
                <w:szCs w:val="21"/>
                <w:highlight w:val="none"/>
              </w:rPr>
              <w:t>(按最高投标限价的</w:t>
            </w:r>
            <w:r>
              <w:rPr>
                <w:rFonts w:hint="eastAsia"/>
                <w:color w:val="auto"/>
                <w:szCs w:val="21"/>
                <w:highlight w:val="none"/>
                <w:u w:val="single"/>
              </w:rPr>
              <w:t>90</w:t>
            </w:r>
            <w:r>
              <w:rPr>
                <w:rFonts w:hint="eastAsia"/>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color w:val="auto"/>
                <w:szCs w:val="21"/>
                <w:highlight w:val="none"/>
                <w:u w:val="single"/>
              </w:rPr>
            </w:pPr>
            <w:r>
              <w:rPr>
                <w:rFonts w:hint="eastAsia"/>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27</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第一阶段各分值的权重</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技术分权重为</w:t>
            </w:r>
            <w:r>
              <w:rPr>
                <w:rFonts w:hint="eastAsia"/>
                <w:color w:val="auto"/>
                <w:szCs w:val="21"/>
                <w:highlight w:val="none"/>
                <w:u w:val="single"/>
              </w:rPr>
              <w:t xml:space="preserve">  100  </w:t>
            </w:r>
            <w:r>
              <w:rPr>
                <w:rFonts w:hint="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28</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评标委员会人数</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29</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企业综合诚信评价分数</w:t>
            </w:r>
          </w:p>
        </w:tc>
        <w:tc>
          <w:tcPr>
            <w:tcW w:w="5987" w:type="dxa"/>
            <w:tcBorders>
              <w:top w:val="single" w:color="auto" w:sz="4" w:space="0"/>
              <w:left w:val="single" w:color="auto" w:sz="4" w:space="0"/>
              <w:bottom w:val="single" w:color="auto" w:sz="4" w:space="0"/>
              <w:right w:val="double" w:color="auto" w:sz="4" w:space="0"/>
            </w:tcBorders>
            <w:vAlign w:val="center"/>
          </w:tcPr>
          <w:p>
            <w:pPr>
              <w:pStyle w:val="9"/>
              <w:ind w:firstLine="0" w:firstLineChars="0"/>
              <w:rPr>
                <w:color w:val="auto"/>
                <w:highlight w:val="none"/>
              </w:rPr>
            </w:pPr>
            <w:r>
              <w:rPr>
                <w:rFonts w:hint="eastAsia"/>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30</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第二阶段投标人名次的排序方法（适用于办法一、办法二）</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31</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经济分相同情况下的排序方法（适用于办法三、办法四）</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32</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第二阶段投标人名次的排序方法（适用于办法五、办法六）</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 xml:space="preserve">选取方法 二 </w:t>
            </w:r>
          </w:p>
          <w:p>
            <w:pPr>
              <w:rPr>
                <w:color w:val="auto"/>
                <w:highlight w:val="none"/>
              </w:rPr>
            </w:pPr>
            <w:r>
              <w:rPr>
                <w:rFonts w:hint="eastAsia"/>
                <w:color w:val="auto"/>
                <w:highlight w:val="none"/>
              </w:rPr>
              <w:t>方法二：按照“总分=技术分×技术分权重（</w:t>
            </w:r>
            <w:r>
              <w:rPr>
                <w:rFonts w:hint="eastAsia"/>
                <w:color w:val="auto"/>
                <w:highlight w:val="none"/>
                <w:lang w:val="en-US" w:eastAsia="zh-CN"/>
              </w:rPr>
              <w:t>20</w:t>
            </w:r>
            <w:r>
              <w:rPr>
                <w:rFonts w:hint="eastAsia"/>
                <w:color w:val="auto"/>
                <w:highlight w:val="none"/>
              </w:rPr>
              <w:t>%）+经济分×经济分权重（</w:t>
            </w:r>
            <w:r>
              <w:rPr>
                <w:rFonts w:hint="eastAsia"/>
                <w:color w:val="auto"/>
                <w:highlight w:val="none"/>
                <w:lang w:val="en-US" w:eastAsia="zh-CN"/>
              </w:rPr>
              <w:t>80</w:t>
            </w:r>
            <w:r>
              <w:rPr>
                <w:rFonts w:hint="eastAsia"/>
                <w:color w:val="auto"/>
                <w:highlight w:val="none"/>
              </w:rPr>
              <w:t>%）</w:t>
            </w:r>
            <w:r>
              <w:rPr>
                <w:color w:val="auto"/>
                <w:highlight w:val="none"/>
              </w:rPr>
              <w:t>”</w:t>
            </w:r>
            <w:r>
              <w:rPr>
                <w:rFonts w:hint="eastAsia"/>
                <w:color w:val="auto"/>
                <w:highlight w:val="none"/>
              </w:rPr>
              <w:t>的公式，计算各有效投标文件的总分，并按照总分从高到低排列先后次序。若投标人得分相同的，则以投标总报价较低的排前；投标总报价仍相同的，则以技术分较高的排前；如仍存在相同情况，则对具有相同情况的投标人，按中标候选人数量规定，由评标委员会采用记名投票方式，确定中标候选人的排序。</w:t>
            </w:r>
          </w:p>
          <w:p>
            <w:pPr>
              <w:rPr>
                <w:color w:val="auto"/>
                <w:highlight w:val="none"/>
              </w:rPr>
            </w:pPr>
            <w:r>
              <w:rPr>
                <w:rFonts w:hint="eastAsia"/>
                <w:color w:val="auto"/>
                <w:highlight w:val="none"/>
              </w:rPr>
              <w:t>注：记名投票方式确定排序的具体操作步骤为：由评标委员会对出现该情况的投标人采取记名投票的方式确定，按得票数从高到低排列先后次序，以得票数高的排前，根据得票数高低确定中标候选人排序。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13.4</w:t>
            </w:r>
            <w:r>
              <w:rPr>
                <w:rFonts w:hint="eastAsia"/>
                <w:color w:val="auto"/>
                <w:szCs w:val="21"/>
                <w:highlight w:val="none"/>
              </w:rPr>
              <w:t>、</w:t>
            </w:r>
            <w:r>
              <w:rPr>
                <w:color w:val="auto"/>
                <w:szCs w:val="21"/>
                <w:highlight w:val="none"/>
              </w:rPr>
              <w:t>13.5.2</w:t>
            </w: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合同价款的调整办法</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3</w:t>
            </w:r>
            <w:r>
              <w:rPr>
                <w:rFonts w:hint="eastAsia"/>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建设工程质量检测单位</w:t>
            </w:r>
          </w:p>
        </w:tc>
        <w:tc>
          <w:tcPr>
            <w:tcW w:w="5987" w:type="dxa"/>
            <w:tcBorders>
              <w:top w:val="single" w:color="auto" w:sz="4" w:space="0"/>
              <w:left w:val="single" w:color="auto" w:sz="4" w:space="0"/>
              <w:bottom w:val="single" w:color="auto" w:sz="4" w:space="0"/>
              <w:right w:val="double" w:color="auto" w:sz="4" w:space="0"/>
            </w:tcBorders>
            <w:vAlign w:val="center"/>
          </w:tcPr>
          <w:p>
            <w:pPr>
              <w:rPr>
                <w:color w:val="auto"/>
                <w:kern w:val="0"/>
                <w:sz w:val="21"/>
                <w:szCs w:val="21"/>
                <w:highlight w:val="none"/>
                <w:lang w:val="zh-CN"/>
              </w:rPr>
            </w:pPr>
            <w:r>
              <w:rPr>
                <w:rFonts w:hint="eastAsia" w:ascii="宋体" w:hAnsi="宋体"/>
                <w:color w:val="auto"/>
                <w:kern w:val="0"/>
                <w:sz w:val="21"/>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35</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rPr>
                <w:color w:val="auto"/>
                <w:kern w:val="0"/>
                <w:szCs w:val="21"/>
                <w:highlight w:val="none"/>
                <w:lang w:val="zh-CN"/>
              </w:rPr>
            </w:pPr>
            <w:r>
              <w:rPr>
                <w:rFonts w:hint="eastAsia"/>
                <w:color w:val="auto"/>
                <w:kern w:val="0"/>
                <w:szCs w:val="21"/>
                <w:highlight w:val="none"/>
                <w:lang w:val="zh-CN"/>
              </w:rPr>
              <w:t>分包</w:t>
            </w:r>
          </w:p>
        </w:tc>
        <w:tc>
          <w:tcPr>
            <w:tcW w:w="598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sym w:font="Wingdings 2" w:char="0052"/>
            </w:r>
            <w:r>
              <w:rPr>
                <w:rFonts w:hint="eastAsia" w:ascii="宋体" w:hAnsi="宋体"/>
                <w:color w:val="auto"/>
                <w:kern w:val="0"/>
                <w:sz w:val="21"/>
                <w:szCs w:val="21"/>
                <w:highlight w:val="none"/>
                <w:lang w:val="zh-CN"/>
              </w:rPr>
              <w:t>不允许分包（劳务作业除外）；</w:t>
            </w:r>
          </w:p>
          <w:p>
            <w:pPr>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□允许：分包内容要要求：</w:t>
            </w:r>
            <w:r>
              <w:rPr>
                <w:rFonts w:hint="eastAsia" w:ascii="宋体" w:hAnsi="宋体"/>
                <w:color w:val="auto"/>
                <w:kern w:val="0"/>
                <w:sz w:val="21"/>
                <w:szCs w:val="21"/>
                <w:highlight w:val="none"/>
                <w:u w:val="single"/>
              </w:rPr>
              <w:t>/</w:t>
            </w:r>
            <w:r>
              <w:rPr>
                <w:rFonts w:hint="eastAsia" w:ascii="宋体" w:hAnsi="宋体"/>
                <w:color w:val="auto"/>
                <w:kern w:val="0"/>
                <w:sz w:val="21"/>
                <w:szCs w:val="21"/>
                <w:highlight w:val="none"/>
                <w:u w:val="single"/>
                <w:lang w:val="zh-CN"/>
              </w:rPr>
              <w:t>。</w:t>
            </w:r>
          </w:p>
          <w:p>
            <w:pPr>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 xml:space="preserve">     分包金额要求：</w:t>
            </w:r>
            <w:r>
              <w:rPr>
                <w:rFonts w:hint="eastAsia" w:ascii="宋体" w:hAnsi="宋体"/>
                <w:color w:val="auto"/>
                <w:kern w:val="0"/>
                <w:sz w:val="21"/>
                <w:szCs w:val="21"/>
                <w:highlight w:val="none"/>
                <w:u w:val="single"/>
              </w:rPr>
              <w:t>/</w:t>
            </w:r>
            <w:r>
              <w:rPr>
                <w:rFonts w:hint="eastAsia" w:ascii="宋体" w:hAnsi="宋体"/>
                <w:color w:val="auto"/>
                <w:kern w:val="0"/>
                <w:sz w:val="21"/>
                <w:szCs w:val="21"/>
                <w:highlight w:val="none"/>
                <w:u w:val="single"/>
                <w:lang w:val="zh-CN"/>
              </w:rPr>
              <w:t>。</w:t>
            </w:r>
          </w:p>
          <w:p>
            <w:pPr>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 xml:space="preserve">     对分包人的资质要求：</w:t>
            </w:r>
            <w:r>
              <w:rPr>
                <w:rFonts w:hint="eastAsia" w:ascii="宋体" w:hAnsi="宋体"/>
                <w:color w:val="auto"/>
                <w:kern w:val="0"/>
                <w:sz w:val="21"/>
                <w:szCs w:val="21"/>
                <w:highlight w:val="none"/>
                <w:u w:val="single"/>
              </w:rPr>
              <w:t>/</w:t>
            </w:r>
            <w:r>
              <w:rPr>
                <w:rFonts w:hint="eastAsia" w:ascii="宋体" w:hAnsi="宋体"/>
                <w:color w:val="auto"/>
                <w:kern w:val="0"/>
                <w:sz w:val="21"/>
                <w:szCs w:val="21"/>
                <w:highlight w:val="none"/>
                <w:u w:val="single"/>
                <w:lang w:val="zh-CN"/>
              </w:rPr>
              <w:t>。</w:t>
            </w:r>
          </w:p>
          <w:p>
            <w:pPr>
              <w:rPr>
                <w:color w:val="auto"/>
                <w:kern w:val="0"/>
                <w:sz w:val="21"/>
                <w:szCs w:val="21"/>
                <w:highlight w:val="none"/>
                <w:lang w:val="zh-CN"/>
              </w:rPr>
            </w:pPr>
            <w:r>
              <w:rPr>
                <w:rFonts w:hint="eastAsia" w:ascii="宋体" w:hAnsi="宋体"/>
                <w:color w:val="auto"/>
                <w:kern w:val="0"/>
                <w:sz w:val="21"/>
                <w:szCs w:val="21"/>
                <w:highlight w:val="none"/>
                <w:lang w:val="zh-CN"/>
              </w:rPr>
              <w:t xml:space="preserve">     对分包人的其他要求：</w:t>
            </w:r>
            <w:r>
              <w:rPr>
                <w:rFonts w:hint="eastAsia" w:ascii="宋体" w:hAnsi="宋体"/>
                <w:color w:val="auto"/>
                <w:kern w:val="0"/>
                <w:sz w:val="21"/>
                <w:szCs w:val="21"/>
                <w:highlight w:val="none"/>
                <w:u w:val="single"/>
              </w:rPr>
              <w:t>/</w:t>
            </w:r>
            <w:r>
              <w:rPr>
                <w:rFonts w:hint="eastAsia" w:ascii="宋体" w:hAnsi="宋体"/>
                <w:color w:val="auto"/>
                <w:kern w:val="0"/>
                <w:sz w:val="21"/>
                <w:szCs w:val="21"/>
                <w:highlight w:val="none"/>
                <w:u w:val="singl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36</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电子招标投标解密失败及突发情况的补救</w:t>
            </w:r>
          </w:p>
        </w:tc>
        <w:tc>
          <w:tcPr>
            <w:tcW w:w="5987" w:type="dxa"/>
            <w:tcBorders>
              <w:top w:val="single" w:color="auto" w:sz="4" w:space="0"/>
              <w:left w:val="single" w:color="auto" w:sz="4" w:space="0"/>
              <w:bottom w:val="single" w:color="auto" w:sz="4" w:space="0"/>
              <w:right w:val="double" w:color="auto" w:sz="4" w:space="0"/>
            </w:tcBorders>
            <w:vAlign w:val="center"/>
          </w:tcPr>
          <w:p>
            <w:pPr>
              <w:rPr>
                <w:rFonts w:cs="Courier New"/>
                <w:color w:val="auto"/>
                <w:szCs w:val="21"/>
                <w:highlight w:val="none"/>
              </w:rPr>
            </w:pPr>
            <w:r>
              <w:rPr>
                <w:rFonts w:hint="eastAsia" w:cs="Courier New"/>
                <w:color w:val="auto"/>
                <w:szCs w:val="21"/>
                <w:highlight w:val="none"/>
              </w:rPr>
              <w:t>1、按照交易平台关于全流程电子化项目的相关指南进行操作。详见：</w:t>
            </w:r>
            <w:r>
              <w:rPr>
                <w:rFonts w:hint="eastAsia" w:cs="Courier New"/>
                <w:color w:val="auto"/>
                <w:szCs w:val="21"/>
                <w:highlight w:val="none"/>
                <w:u w:val="single"/>
              </w:rPr>
              <w:t>广州公共资源交易中心网站。</w:t>
            </w:r>
          </w:p>
          <w:p>
            <w:pPr>
              <w:rPr>
                <w:rFonts w:cs="Courier New"/>
                <w:color w:val="auto"/>
                <w:szCs w:val="21"/>
                <w:highlight w:val="none"/>
              </w:rPr>
            </w:pPr>
            <w:r>
              <w:rPr>
                <w:rFonts w:hint="eastAsia" w:cs="Courier New"/>
                <w:color w:val="auto"/>
                <w:szCs w:val="21"/>
                <w:highlight w:val="none"/>
              </w:rPr>
              <w:t>2、提交投标文件光盘备用</w:t>
            </w:r>
          </w:p>
          <w:p>
            <w:pPr>
              <w:rPr>
                <w:rFonts w:cs="Courier New"/>
                <w:color w:val="auto"/>
                <w:szCs w:val="21"/>
                <w:highlight w:val="none"/>
              </w:rPr>
            </w:pPr>
            <w:r>
              <w:rPr>
                <w:rFonts w:hint="eastAsia"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cs="Courier New"/>
                <w:color w:val="auto"/>
                <w:szCs w:val="21"/>
                <w:highlight w:val="none"/>
              </w:rPr>
            </w:pPr>
            <w:r>
              <w:rPr>
                <w:rFonts w:hint="eastAsia" w:cs="Courier New"/>
                <w:color w:val="auto"/>
                <w:szCs w:val="21"/>
                <w:highlight w:val="none"/>
              </w:rPr>
              <w:t xml:space="preserve"> 3、补救方案</w:t>
            </w:r>
          </w:p>
          <w:p>
            <w:pPr>
              <w:rPr>
                <w:rFonts w:cs="Courier New"/>
                <w:color w:val="auto"/>
                <w:szCs w:val="21"/>
                <w:highlight w:val="none"/>
              </w:rPr>
            </w:pPr>
            <w:r>
              <w:rPr>
                <w:rFonts w:hint="eastAsia" w:cs="Courier New"/>
                <w:color w:val="auto"/>
                <w:szCs w:val="21"/>
                <w:highlight w:val="none"/>
              </w:rPr>
              <w:t>（1）投标文件解密失败的补救方案：</w:t>
            </w:r>
          </w:p>
          <w:p>
            <w:pPr>
              <w:rPr>
                <w:rFonts w:cs="Courier New"/>
                <w:color w:val="auto"/>
                <w:szCs w:val="21"/>
                <w:highlight w:val="none"/>
              </w:rPr>
            </w:pPr>
            <w:r>
              <w:rPr>
                <w:rFonts w:hint="eastAsia"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cs="Courier New"/>
                <w:color w:val="auto"/>
                <w:szCs w:val="21"/>
                <w:highlight w:val="none"/>
              </w:rPr>
            </w:pPr>
            <w:r>
              <w:rPr>
                <w:rFonts w:hint="eastAsia" w:cs="Courier New"/>
                <w:color w:val="auto"/>
                <w:szCs w:val="21"/>
                <w:highlight w:val="none"/>
              </w:rPr>
              <w:t>（2）评标时突发情况的补救方案</w:t>
            </w:r>
          </w:p>
          <w:p>
            <w:pPr>
              <w:rPr>
                <w:rFonts w:cs="Courier New"/>
                <w:color w:val="auto"/>
                <w:szCs w:val="21"/>
                <w:highlight w:val="none"/>
              </w:rPr>
            </w:pPr>
            <w:r>
              <w:rPr>
                <w:rFonts w:hint="eastAsia"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cs="Courier New"/>
                <w:color w:val="auto"/>
                <w:szCs w:val="21"/>
                <w:highlight w:val="none"/>
              </w:rPr>
            </w:pPr>
            <w:r>
              <w:rPr>
                <w:rFonts w:hint="eastAsia"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37</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276" w:lineRule="auto"/>
              <w:rPr>
                <w:color w:val="auto"/>
                <w:highlight w:val="none"/>
              </w:rPr>
            </w:pPr>
            <w:r>
              <w:rPr>
                <w:rFonts w:hint="eastAsia" w:cs="宋体"/>
                <w:color w:val="auto"/>
                <w:szCs w:val="21"/>
                <w:highlight w:val="none"/>
                <w:u w:val="single"/>
              </w:rPr>
              <w:t>招标人拒绝接收投标文件备用光盘的情况</w:t>
            </w:r>
          </w:p>
        </w:tc>
        <w:tc>
          <w:tcPr>
            <w:tcW w:w="5987" w:type="dxa"/>
            <w:tcBorders>
              <w:top w:val="single" w:color="auto" w:sz="4" w:space="0"/>
              <w:left w:val="single" w:color="auto" w:sz="4" w:space="0"/>
              <w:bottom w:val="single" w:color="auto" w:sz="4" w:space="0"/>
              <w:right w:val="double" w:color="auto" w:sz="4" w:space="0"/>
            </w:tcBorders>
            <w:vAlign w:val="center"/>
          </w:tcPr>
          <w:p>
            <w:pPr>
              <w:spacing w:line="276" w:lineRule="auto"/>
              <w:rPr>
                <w:rFonts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pPr>
              <w:spacing w:line="276" w:lineRule="auto"/>
              <w:rPr>
                <w:rFonts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pPr>
              <w:spacing w:line="276" w:lineRule="auto"/>
              <w:rPr>
                <w:color w:val="auto"/>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9" w:type="dxa"/>
            <w:tcBorders>
              <w:top w:val="single" w:color="auto" w:sz="4" w:space="0"/>
              <w:left w:val="double" w:color="auto" w:sz="4" w:space="0"/>
              <w:bottom w:val="single" w:color="auto" w:sz="4" w:space="0"/>
              <w:right w:val="single" w:color="auto" w:sz="4" w:space="0"/>
            </w:tcBorders>
            <w:vAlign w:val="center"/>
          </w:tcPr>
          <w:p>
            <w:pPr>
              <w:spacing w:line="276" w:lineRule="auto"/>
              <w:rPr>
                <w:rFonts w:cs="宋体"/>
                <w:color w:val="auto"/>
                <w:szCs w:val="21"/>
                <w:highlight w:val="none"/>
                <w:u w:val="single"/>
              </w:rPr>
            </w:pPr>
            <w:r>
              <w:rPr>
                <w:rFonts w:hint="eastAsia" w:cs="宋体"/>
                <w:color w:val="auto"/>
                <w:szCs w:val="21"/>
                <w:highlight w:val="none"/>
                <w:u w:val="single"/>
              </w:rPr>
              <w:t>38</w:t>
            </w:r>
          </w:p>
        </w:tc>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276" w:lineRule="auto"/>
              <w:rPr>
                <w:rFonts w:cs="宋体"/>
                <w:color w:val="auto"/>
                <w:szCs w:val="21"/>
                <w:highlight w:val="none"/>
                <w:u w:val="single"/>
              </w:rPr>
            </w:pPr>
            <w:r>
              <w:rPr>
                <w:rFonts w:hint="eastAsia" w:cs="宋体"/>
                <w:color w:val="auto"/>
                <w:szCs w:val="21"/>
                <w:highlight w:val="none"/>
                <w:u w:val="single"/>
              </w:rPr>
              <w:t>中标公示后中标单位提交投标文件要求</w:t>
            </w:r>
          </w:p>
        </w:tc>
        <w:tc>
          <w:tcPr>
            <w:tcW w:w="5987" w:type="dxa"/>
            <w:tcBorders>
              <w:top w:val="single" w:color="auto" w:sz="4" w:space="0"/>
              <w:left w:val="single" w:color="auto" w:sz="4" w:space="0"/>
              <w:bottom w:val="single" w:color="auto" w:sz="4" w:space="0"/>
              <w:right w:val="double" w:color="auto" w:sz="4" w:space="0"/>
            </w:tcBorders>
            <w:vAlign w:val="center"/>
          </w:tcPr>
          <w:p>
            <w:pPr>
              <w:spacing w:line="276" w:lineRule="auto"/>
              <w:rPr>
                <w:rFonts w:cs="宋体"/>
                <w:color w:val="auto"/>
                <w:szCs w:val="21"/>
                <w:highlight w:val="none"/>
                <w:u w:val="single"/>
              </w:rPr>
            </w:pPr>
            <w:r>
              <w:rPr>
                <w:rFonts w:hint="eastAsia" w:cs="宋体"/>
                <w:color w:val="auto"/>
                <w:szCs w:val="21"/>
                <w:highlight w:val="none"/>
                <w:u w:val="single"/>
              </w:rPr>
              <w:t>中标单位在中标公示结束后三个工作日内分别提交4套与电子投标文件内容完全一致的纸质版投标文件（含经济标单价分析）及经济标报价套价软件版和Microsoft Excel版电子文件光盘。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9" w:type="dxa"/>
            <w:tcBorders>
              <w:top w:val="single" w:color="auto" w:sz="4" w:space="0"/>
              <w:left w:val="double" w:color="auto" w:sz="4" w:space="0"/>
              <w:bottom w:val="single" w:color="auto" w:sz="4" w:space="0"/>
              <w:right w:val="single" w:color="auto" w:sz="4" w:space="0"/>
            </w:tcBorders>
            <w:vAlign w:val="center"/>
          </w:tcPr>
          <w:p>
            <w:pPr>
              <w:spacing w:line="276" w:lineRule="auto"/>
              <w:rPr>
                <w:rFonts w:cs="宋体"/>
                <w:color w:val="auto"/>
                <w:szCs w:val="21"/>
                <w:highlight w:val="none"/>
                <w:u w:val="single"/>
              </w:rPr>
            </w:pPr>
            <w:r>
              <w:rPr>
                <w:rFonts w:hint="eastAsia" w:cs="宋体"/>
                <w:color w:val="auto"/>
                <w:szCs w:val="21"/>
                <w:highlight w:val="none"/>
                <w:u w:val="single"/>
              </w:rPr>
              <w:t>39</w:t>
            </w:r>
          </w:p>
        </w:tc>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color w:val="auto"/>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pPr>
              <w:ind w:left="-65" w:leftChars="-31" w:right="-59" w:rightChars="-28"/>
              <w:rPr>
                <w:rFonts w:cs="宋体"/>
                <w:color w:val="auto"/>
                <w:kern w:val="0"/>
                <w:szCs w:val="21"/>
                <w:highlight w:val="none"/>
                <w:lang w:val="zh-CN"/>
              </w:rPr>
            </w:pPr>
            <w:r>
              <w:rPr>
                <w:rFonts w:hint="eastAsia" w:cs="宋体"/>
                <w:color w:val="auto"/>
                <w:szCs w:val="21"/>
                <w:highlight w:val="none"/>
              </w:rPr>
              <w:t>安全生产责任保险</w:t>
            </w:r>
          </w:p>
        </w:tc>
        <w:tc>
          <w:tcPr>
            <w:tcW w:w="5987"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cs="宋体"/>
                <w:color w:val="auto"/>
                <w:szCs w:val="21"/>
                <w:highlight w:val="none"/>
              </w:rPr>
            </w:pPr>
            <w:r>
              <w:rPr>
                <w:rFonts w:hint="eastAsia" w:cs="宋体"/>
                <w:color w:val="auto"/>
                <w:szCs w:val="21"/>
                <w:highlight w:val="non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pPr>
        <w:pStyle w:val="7"/>
        <w:rPr>
          <w:color w:val="auto"/>
          <w:highlight w:val="none"/>
        </w:rPr>
      </w:pPr>
      <w:r>
        <w:rPr>
          <w:color w:val="auto"/>
          <w:highlight w:val="none"/>
        </w:rPr>
        <w:br w:type="page"/>
      </w:r>
      <w:bookmarkStart w:id="2" w:name="_Toc18664059"/>
      <w:r>
        <w:rPr>
          <w:rFonts w:hint="eastAsia"/>
          <w:color w:val="auto"/>
          <w:highlight w:val="none"/>
        </w:rPr>
        <w:t>二、投标须知修改表</w:t>
      </w:r>
      <w:bookmarkEnd w:id="2"/>
    </w:p>
    <w:p>
      <w:pPr>
        <w:pStyle w:val="5"/>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cs="宋体"/>
          <w:b/>
          <w:color w:val="auto"/>
          <w:szCs w:val="21"/>
          <w:highlight w:val="none"/>
          <w:u w:val="single"/>
        </w:rPr>
        <w:t>网址：http://zfcj.gz.gov.cn/</w:t>
      </w:r>
      <w:r>
        <w:rPr>
          <w:rFonts w:hint="eastAsia" w:ascii="宋体" w:hAnsi="宋体" w:cs="宋体"/>
          <w:b/>
          <w:color w:val="auto"/>
          <w:szCs w:val="21"/>
          <w:highlight w:val="none"/>
        </w:rPr>
        <w:t>）下载查阅。</w:t>
      </w:r>
    </w:p>
    <w:p>
      <w:pPr>
        <w:pStyle w:val="5"/>
        <w:pBdr>
          <w:bottom w:val="single" w:color="auto" w:sz="6" w:space="1"/>
        </w:pBdr>
        <w:spacing w:line="360" w:lineRule="auto"/>
        <w:rPr>
          <w:rFonts w:hint="eastAsia" w:ascii="宋体" w:hAnsi="宋体" w:eastAsia="宋体" w:cs="宋体"/>
          <w:b/>
          <w:color w:val="auto"/>
          <w:kern w:val="2"/>
          <w:sz w:val="21"/>
          <w:szCs w:val="21"/>
          <w:highlight w:val="none"/>
          <w:lang w:val="en-US" w:eastAsia="zh-CN" w:bidi="ar-SA"/>
        </w:rPr>
      </w:pPr>
      <w:bookmarkStart w:id="3" w:name="_Toc18664060"/>
      <w:r>
        <w:rPr>
          <w:rFonts w:hint="eastAsia" w:ascii="宋体" w:hAnsi="宋体" w:eastAsia="宋体" w:cs="宋体"/>
          <w:b/>
          <w:color w:val="auto"/>
          <w:kern w:val="2"/>
          <w:sz w:val="21"/>
          <w:szCs w:val="21"/>
          <w:highlight w:val="none"/>
          <w:lang w:val="en-US" w:eastAsia="zh-CN" w:bidi="ar-SA"/>
        </w:rPr>
        <w:t>条款号：5.1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条款号：8.1                          修改类型：修改</w:t>
      </w:r>
    </w:p>
    <w:p>
      <w:pPr>
        <w:pStyle w:val="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pPr>
        <w:pStyle w:val="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条款号：8.2                         修改类型：修改</w:t>
      </w:r>
    </w:p>
    <w:p>
      <w:pPr>
        <w:pStyle w:val="5"/>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5"/>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广州公共资源交易中心</w:t>
      </w:r>
      <w:r>
        <w:rPr>
          <w:rFonts w:hint="eastAsia" w:ascii="宋体" w:hAnsi="宋体" w:cs="宋体"/>
          <w:color w:val="auto"/>
          <w:sz w:val="21"/>
          <w:szCs w:val="21"/>
          <w:highlight w:val="none"/>
        </w:rPr>
        <w:t>交易平台发布，视作已发放给所有投标人。</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条款号：9.2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cs="宋体"/>
          <w:color w:val="auto"/>
          <w:szCs w:val="21"/>
          <w:highlight w:val="none"/>
          <w:u w:val="single"/>
        </w:rPr>
        <w:t>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cs="宋体"/>
          <w:color w:val="auto"/>
          <w:szCs w:val="21"/>
          <w:highlight w:val="none"/>
          <w:u w:val="single"/>
        </w:rPr>
        <w:t>广州公共资源交易中心</w:t>
      </w:r>
      <w:r>
        <w:rPr>
          <w:rFonts w:hint="eastAsia" w:cs="宋体"/>
          <w:color w:val="auto"/>
          <w:szCs w:val="21"/>
          <w:highlight w:val="none"/>
        </w:rPr>
        <w:t>交易平台发布，视作已发放给所有投标人，以</w:t>
      </w:r>
      <w:r>
        <w:rPr>
          <w:rFonts w:hint="eastAsia" w:cs="宋体"/>
          <w:color w:val="auto"/>
          <w:szCs w:val="21"/>
          <w:highlight w:val="none"/>
          <w:u w:val="single"/>
        </w:rPr>
        <w:t>广州公共资源交易中心</w:t>
      </w:r>
      <w:r>
        <w:rPr>
          <w:rFonts w:hint="eastAsia" w:cs="宋体"/>
          <w:color w:val="auto"/>
          <w:szCs w:val="21"/>
          <w:highlight w:val="none"/>
        </w:rPr>
        <w:t>交易平台上网发布时间作为送达时间。</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条款号：9.4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条款号：11.2                       修改类型：修改</w:t>
      </w:r>
    </w:p>
    <w:p>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w:t>
      </w:r>
      <w:r>
        <w:rPr>
          <w:rFonts w:hint="eastAsia" w:cs="宋体"/>
          <w:color w:val="auto"/>
          <w:szCs w:val="21"/>
          <w:highlight w:val="none"/>
        </w:rPr>
        <w:t>(按招标文件的要求填写)</w:t>
      </w:r>
      <w:r>
        <w:rPr>
          <w:rFonts w:hint="eastAsia" w:cs="宋体"/>
          <w:bCs/>
          <w:color w:val="auto"/>
          <w:szCs w:val="21"/>
          <w:highlight w:val="none"/>
        </w:rPr>
        <w:t>；</w:t>
      </w:r>
    </w:p>
    <w:p>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（1）投标人声明；</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（2）法定代表人证明书、法定代表人签字或盖章的本投标文件授权委托证明书；</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（3）企业营业执照（取自平台内上传件）；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（4）企业资质证书（取自平台内上传件）；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（5）建筑施工企业安全生产许可证（取自平台内上传件）；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（6）项目负责人（按网上投标登记时选择拟投标的项目负责人）</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（7）专职安全员（按网上投标登记时选择拟投标的专职安全员）</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（8）拟委托技术负责人的相关证书、资料（具体要求由招标人明确）</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（9）拟委派项目负责人的建造师注册证书（取自平台内上传件）；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（10）项目负责人安全培训考核合格证明或在有效期内的安全考核合格证书（B 类）或建筑施工企业项目负责人安全生产考核合格证书（取自平台内上传件）；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（11）专职安全员须具有在有效期内的安全考核合格证书（C 类）或建筑施工企业专职安全生产管理人员安全生产考核合格证书（取自平台内上传件）；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（13）资格审查前，投标人须在广州市住房和城乡建设局建立企业信用档案，拟担任本工程项目负责人、专职安全员须是本企业信用档案中的在册人员。</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 50%或以上的大、中修市政公用工程需</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提供该项内容的证明文件）。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11.2.3 项目管理机构配备。</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 投标人在广州市可使用适合本工程的机械设备（附：机械设备为自有或租赁的说明；及承诺机械设备如属于租赁的，其租赁是不属于重复租赁）。</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11.2.5 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11.2.6 按照招标文件要求填写的《参与编制技术标投标文件人员名单》。</w:t>
      </w:r>
    </w:p>
    <w:p>
      <w:pPr>
        <w:spacing w:line="360" w:lineRule="auto"/>
        <w:ind w:firstLine="411" w:firstLineChars="195"/>
        <w:rPr>
          <w:rFonts w:cs="宋体"/>
          <w:b/>
          <w:color w:val="auto"/>
          <w:szCs w:val="21"/>
          <w:highlight w:val="none"/>
        </w:rPr>
      </w:pPr>
      <w:r>
        <w:rPr>
          <w:rFonts w:hint="eastAsia" w:cs="宋体"/>
          <w:b/>
          <w:color w:val="auto"/>
          <w:szCs w:val="21"/>
          <w:highlight w:val="none"/>
        </w:rPr>
        <w:t>现文：</w:t>
      </w:r>
    </w:p>
    <w:p>
      <w:pPr>
        <w:spacing w:line="360" w:lineRule="auto"/>
        <w:ind w:firstLine="409" w:firstLineChars="195"/>
        <w:rPr>
          <w:rFonts w:cs="宋体"/>
          <w:bCs/>
          <w:color w:val="auto"/>
          <w:szCs w:val="21"/>
          <w:highlight w:val="none"/>
        </w:rPr>
      </w:pP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技术投标文件(按招标文件的要求填写)；</w:t>
      </w:r>
    </w:p>
    <w:p>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（1）投标人声明（须按招标公告附件内容及格式要求编制）；</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（2）法定代表人证明书、法定代表人签字或盖章的本投标文件授权委托证明书；</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（3）企业营业执照（取自平台内上传件）；</w:t>
      </w:r>
    </w:p>
    <w:p>
      <w:pPr>
        <w:spacing w:line="360" w:lineRule="auto"/>
        <w:ind w:firstLine="409" w:firstLineChars="195"/>
        <w:rPr>
          <w:rFonts w:hint="eastAsia" w:eastAsia="宋体" w:cs="宋体"/>
          <w:bCs/>
          <w:color w:val="auto"/>
          <w:szCs w:val="21"/>
          <w:highlight w:val="none"/>
          <w:u w:val="single"/>
          <w:lang w:eastAsia="zh-CN"/>
        </w:rPr>
      </w:pPr>
      <w:r>
        <w:rPr>
          <w:rFonts w:hint="eastAsia" w:cs="宋体"/>
          <w:bCs/>
          <w:color w:val="auto"/>
          <w:szCs w:val="21"/>
          <w:highlight w:val="none"/>
          <w:u w:val="single"/>
        </w:rPr>
        <w:t>（4）企业资质证书（取自平台内上传件）</w:t>
      </w:r>
      <w:r>
        <w:rPr>
          <w:rFonts w:hint="eastAsia" w:cs="宋体"/>
          <w:bCs/>
          <w:color w:val="auto"/>
          <w:szCs w:val="21"/>
          <w:highlight w:val="none"/>
          <w:u w:val="single"/>
          <w:lang w:eastAsia="zh-CN"/>
        </w:rPr>
        <w:t>；</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（5）建筑施工企业安全生产许可证（取自平台内上传件）；</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（6）项目负责人（按网上投标登记时选择拟投标的项目负责人）</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（7）专职安全员（按网上投标登记时选择拟投标的专职安全员）</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（8）拟委派技术负责人的职称证书（提供职称证书清晰扫描件或取自广州市住建行业信用管理平台内上传件）；</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（9）拟委派项目负责人的建造师注册证书（取自平台内上传件））；</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（10）项目负责人安全生产考核合格证明或在有效期内的安全生产考核合格证（B类）（取自平台内上传件），或建筑施工企业项目负责人安全生产考核合格证书；</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（11）专职安全员须具有在有效期内的安全生产考核合格证（C类）或建筑施工企业专职安全生产管理人员安全生产考核合格证（C3）（取自平台内上传件）；</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（12）资格审查前，投标人须在广州市住房和城乡建设局建立企业信用档案，拟担任本工程项目负责人、专职安全员须是本企业信用档案中的在册人员。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hint="eastAsia" w:cs="宋体"/>
          <w:bCs/>
          <w:strike/>
          <w:dstrike w:val="0"/>
          <w:color w:val="auto"/>
          <w:szCs w:val="21"/>
          <w:highlight w:val="none"/>
          <w:u w:val="single"/>
        </w:rPr>
      </w:pPr>
      <w:r>
        <w:rPr>
          <w:rFonts w:hint="eastAsia" w:cs="宋体"/>
          <w:bCs/>
          <w:strike/>
          <w:dstrike w:val="0"/>
          <w:color w:val="auto"/>
          <w:szCs w:val="21"/>
          <w:highlight w:val="none"/>
          <w:u w:val="single"/>
        </w:rPr>
        <w:t xml:space="preserve">（13）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w:t>
      </w:r>
      <w:r>
        <w:rPr>
          <w:rFonts w:hint="eastAsia" w:cs="宋体"/>
          <w:bCs/>
          <w:strike/>
          <w:dstrike w:val="0"/>
          <w:color w:val="auto"/>
          <w:szCs w:val="21"/>
          <w:highlight w:val="none"/>
          <w:u w:val="single"/>
        </w:rPr>
        <w:fldChar w:fldCharType="begin"/>
      </w:r>
      <w:r>
        <w:rPr>
          <w:rFonts w:hint="eastAsia" w:cs="宋体"/>
          <w:bCs/>
          <w:strike/>
          <w:dstrike w:val="0"/>
          <w:color w:val="auto"/>
          <w:szCs w:val="21"/>
          <w:highlight w:val="none"/>
          <w:u w:val="single"/>
        </w:rPr>
        <w:instrText xml:space="preserve"> HYPERLINK "http://www.hp.gov.cn/gzjg/qzfgwhgzbm/qzfhcxjsj10/jzhdblxwjl/）公布名单为准。若资格审查时网址有变化，以最新网址为准。" </w:instrText>
      </w:r>
      <w:r>
        <w:rPr>
          <w:rFonts w:hint="eastAsia" w:cs="宋体"/>
          <w:bCs/>
          <w:strike/>
          <w:dstrike w:val="0"/>
          <w:color w:val="auto"/>
          <w:szCs w:val="21"/>
          <w:highlight w:val="none"/>
          <w:u w:val="single"/>
        </w:rPr>
        <w:fldChar w:fldCharType="separate"/>
      </w:r>
      <w:r>
        <w:rPr>
          <w:rStyle w:val="27"/>
          <w:rFonts w:hint="eastAsia" w:cs="宋体"/>
          <w:bCs/>
          <w:strike/>
          <w:dstrike w:val="0"/>
          <w:color w:val="auto"/>
          <w:szCs w:val="21"/>
          <w:highlight w:val="none"/>
        </w:rPr>
        <w:t>http://www.hp.gov.cn/gzjg/qzfgwhgzbm/qzfhcxjsj10/jzhdblxwjl/）公布名单为准。若资格审查时网址有变化，以最新网址为准。</w:t>
      </w:r>
      <w:r>
        <w:rPr>
          <w:rFonts w:hint="eastAsia" w:cs="宋体"/>
          <w:bCs/>
          <w:strike/>
          <w:dstrike w:val="0"/>
          <w:color w:val="auto"/>
          <w:szCs w:val="21"/>
          <w:highlight w:val="none"/>
          <w:u w:val="single"/>
        </w:rPr>
        <w:fldChar w:fldCharType="end"/>
      </w:r>
    </w:p>
    <w:p>
      <w:pPr>
        <w:spacing w:line="360" w:lineRule="auto"/>
        <w:ind w:firstLine="409" w:firstLineChars="195"/>
        <w:rPr>
          <w:rFonts w:hint="eastAsia" w:cs="宋体"/>
          <w:bCs/>
          <w:color w:val="auto"/>
          <w:szCs w:val="21"/>
          <w:highlight w:val="none"/>
          <w:u w:val="single"/>
          <w:lang w:val="en-US" w:eastAsia="zh-CN"/>
        </w:rPr>
      </w:pPr>
      <w:r>
        <w:rPr>
          <w:rFonts w:hint="eastAsia" w:cs="宋体"/>
          <w:bCs/>
          <w:color w:val="auto"/>
          <w:szCs w:val="21"/>
          <w:highlight w:val="none"/>
          <w:u w:val="single"/>
        </w:rPr>
        <w:t>（1</w:t>
      </w:r>
      <w:r>
        <w:rPr>
          <w:rFonts w:hint="eastAsia" w:cs="宋体"/>
          <w:bCs/>
          <w:color w:val="auto"/>
          <w:szCs w:val="21"/>
          <w:highlight w:val="none"/>
          <w:u w:val="single"/>
          <w:lang w:val="en-US" w:eastAsia="zh-CN"/>
        </w:rPr>
        <w:t>4</w:t>
      </w:r>
      <w:r>
        <w:rPr>
          <w:rFonts w:hint="eastAsia" w:cs="宋体"/>
          <w:bCs/>
          <w:color w:val="auto"/>
          <w:szCs w:val="21"/>
          <w:highlight w:val="none"/>
          <w:u w:val="single"/>
        </w:rPr>
        <w:t>）</w:t>
      </w:r>
      <w:r>
        <w:rPr>
          <w:rFonts w:hint="eastAsia" w:cs="宋体"/>
          <w:bCs/>
          <w:color w:val="auto"/>
          <w:szCs w:val="21"/>
          <w:highlight w:val="none"/>
          <w:u w:val="single"/>
          <w:lang w:val="en-US" w:eastAsia="zh-CN"/>
        </w:rPr>
        <w:t>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line="360" w:lineRule="auto"/>
        <w:ind w:firstLine="409" w:firstLineChars="195"/>
        <w:rPr>
          <w:rFonts w:hint="eastAsia" w:cs="宋体"/>
          <w:bCs/>
          <w:color w:val="auto"/>
          <w:szCs w:val="21"/>
          <w:highlight w:val="none"/>
          <w:u w:val="single"/>
        </w:rPr>
      </w:pPr>
      <w:r>
        <w:rPr>
          <w:rFonts w:hint="eastAsia" w:cs="宋体"/>
          <w:bCs/>
          <w:color w:val="auto"/>
          <w:szCs w:val="21"/>
          <w:highlight w:val="none"/>
          <w:u w:val="single"/>
        </w:rPr>
        <w:t>（1</w:t>
      </w:r>
      <w:r>
        <w:rPr>
          <w:rFonts w:hint="eastAsia" w:cs="宋体"/>
          <w:bCs/>
          <w:color w:val="auto"/>
          <w:szCs w:val="21"/>
          <w:highlight w:val="none"/>
          <w:u w:val="single"/>
          <w:lang w:val="en-US" w:eastAsia="zh-CN"/>
        </w:rPr>
        <w:t>5</w:t>
      </w:r>
      <w:r>
        <w:rPr>
          <w:rFonts w:hint="eastAsia" w:cs="宋体"/>
          <w:bCs/>
          <w:color w:val="auto"/>
          <w:szCs w:val="21"/>
          <w:highlight w:val="none"/>
          <w:u w:val="single"/>
        </w:rPr>
        <w:t>）</w:t>
      </w:r>
      <w:r>
        <w:rPr>
          <w:rFonts w:hint="eastAsia" w:cs="宋体"/>
          <w:bCs/>
          <w:color w:val="auto"/>
          <w:szCs w:val="21"/>
          <w:highlight w:val="none"/>
          <w:u w:val="single"/>
          <w:lang w:val="en-US" w:eastAsia="zh-CN"/>
        </w:rPr>
        <w:t>未被列入拖欠农民工工资失信联合惩戒对象名单（具体名单以递交投标文件截止时间“信用中国”https://www.creditchina.gov.cn/xinyongfuwu/?navPage=4公布的“拖欠农民工工资失信联合惩戒对象名单”为准。不包含限制参加财政投资工程或政府投资工程的投标）</w:t>
      </w:r>
    </w:p>
    <w:p>
      <w:pPr>
        <w:spacing w:line="360" w:lineRule="auto"/>
        <w:ind w:firstLine="409" w:firstLineChars="195"/>
        <w:rPr>
          <w:rFonts w:cs="宋体"/>
          <w:bCs/>
          <w:strike/>
          <w:dstrike w:val="0"/>
          <w:color w:val="auto"/>
          <w:szCs w:val="21"/>
          <w:highlight w:val="none"/>
          <w:u w:val="single"/>
        </w:rPr>
      </w:pPr>
      <w:r>
        <w:rPr>
          <w:rFonts w:hint="eastAsia" w:cs="宋体"/>
          <w:bCs/>
          <w:color w:val="auto"/>
          <w:szCs w:val="21"/>
          <w:highlight w:val="none"/>
          <w:u w:val="single"/>
        </w:rPr>
        <w:t>（1</w:t>
      </w:r>
      <w:r>
        <w:rPr>
          <w:rFonts w:hint="eastAsia" w:cs="宋体"/>
          <w:bCs/>
          <w:color w:val="auto"/>
          <w:szCs w:val="21"/>
          <w:highlight w:val="none"/>
          <w:u w:val="single"/>
          <w:lang w:val="en-US" w:eastAsia="zh-CN"/>
        </w:rPr>
        <w:t>6</w:t>
      </w:r>
      <w:r>
        <w:rPr>
          <w:rFonts w:hint="eastAsia" w:cs="宋体"/>
          <w:bCs/>
          <w:color w:val="auto"/>
          <w:szCs w:val="21"/>
          <w:highlight w:val="none"/>
          <w:u w:val="single"/>
        </w:rPr>
        <w:t>）投标人认为应提供的其他资料。</w:t>
      </w:r>
    </w:p>
    <w:p>
      <w:pPr>
        <w:spacing w:line="360" w:lineRule="auto"/>
        <w:ind w:firstLine="409" w:firstLineChars="195"/>
        <w:rPr>
          <w:bCs/>
          <w:color w:val="auto"/>
          <w:szCs w:val="21"/>
          <w:highlight w:val="none"/>
          <w:u w:val="single"/>
        </w:rPr>
      </w:pPr>
      <w:r>
        <w:rPr>
          <w:rFonts w:hint="eastAsia" w:cs="宋体"/>
          <w:color w:val="auto"/>
          <w:szCs w:val="21"/>
          <w:highlight w:val="none"/>
          <w:u w:val="single"/>
        </w:rPr>
        <w:t>11.2.3《投标函》、《标函承诺书》、《项目负责人驻场承诺书》（格式见第四章）。</w:t>
      </w:r>
    </w:p>
    <w:p>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11.2.4《施工项目管理团队人员信息表》（投标人需按相应表格备注要求提供相关资料）（格式见第四章）。</w:t>
      </w:r>
    </w:p>
    <w:p>
      <w:pPr>
        <w:spacing w:line="360" w:lineRule="auto"/>
        <w:ind w:firstLine="409" w:firstLineChars="195"/>
        <w:rPr>
          <w:color w:val="auto"/>
          <w:szCs w:val="21"/>
          <w:highlight w:val="none"/>
        </w:rPr>
      </w:pPr>
      <w:r>
        <w:rPr>
          <w:rFonts w:hint="eastAsia" w:cs="宋体"/>
          <w:color w:val="auto"/>
          <w:szCs w:val="21"/>
          <w:highlight w:val="none"/>
          <w:u w:val="single"/>
        </w:rPr>
        <w:t>11.2.5企业资信的证明材料（按附表四要求提交，招标文件有规定格式的，需按招标文件格式提供，无格式要求的，格式自拟）。</w:t>
      </w:r>
    </w:p>
    <w:p>
      <w:pPr>
        <w:spacing w:line="360" w:lineRule="auto"/>
        <w:ind w:firstLine="409" w:firstLineChars="195"/>
        <w:rPr>
          <w:rFonts w:cs="宋体"/>
          <w:strike/>
          <w:dstrike w:val="0"/>
          <w:color w:val="auto"/>
          <w:szCs w:val="21"/>
          <w:highlight w:val="none"/>
          <w:u w:val="single"/>
        </w:rPr>
      </w:pPr>
      <w:r>
        <w:rPr>
          <w:rFonts w:hint="eastAsia" w:cs="宋体"/>
          <w:strike/>
          <w:dstrike w:val="0"/>
          <w:color w:val="auto"/>
          <w:szCs w:val="21"/>
          <w:highlight w:val="none"/>
          <w:u w:val="single"/>
        </w:rPr>
        <w:t>11.2.6施工组织设计。</w:t>
      </w:r>
    </w:p>
    <w:p>
      <w:pPr>
        <w:pBdr>
          <w:bottom w:val="single" w:color="auto" w:sz="6" w:space="15"/>
        </w:pBdr>
        <w:spacing w:line="360" w:lineRule="auto"/>
        <w:ind w:firstLine="409" w:firstLineChars="195"/>
        <w:rPr>
          <w:color w:val="auto"/>
          <w:szCs w:val="21"/>
          <w:highlight w:val="none"/>
          <w:u w:val="single"/>
        </w:rPr>
      </w:pPr>
      <w:r>
        <w:rPr>
          <w:rFonts w:hint="eastAsia" w:cs="宋体"/>
          <w:color w:val="auto"/>
          <w:szCs w:val="21"/>
          <w:highlight w:val="none"/>
          <w:u w:val="single"/>
        </w:rPr>
        <w:t>11.2.7《危险性较大的分部分项工程安全管理措施》（格式见第四章）。</w:t>
      </w:r>
    </w:p>
    <w:p>
      <w:pPr>
        <w:pBdr>
          <w:bottom w:val="single" w:color="auto" w:sz="6" w:space="15"/>
        </w:pBdr>
        <w:spacing w:line="360" w:lineRule="auto"/>
        <w:ind w:firstLine="409" w:firstLineChars="195"/>
        <w:rPr>
          <w:color w:val="auto"/>
          <w:szCs w:val="21"/>
          <w:highlight w:val="none"/>
          <w:u w:val="single"/>
        </w:rPr>
      </w:pPr>
      <w:r>
        <w:rPr>
          <w:rFonts w:hint="eastAsia" w:cs="宋体"/>
          <w:color w:val="auto"/>
          <w:szCs w:val="21"/>
          <w:highlight w:val="none"/>
          <w:u w:val="single"/>
        </w:rPr>
        <w:t>11.2.8《参与编制技术标投标文件人员名单》（格式见第四章）。</w:t>
      </w:r>
    </w:p>
    <w:p>
      <w:pPr>
        <w:pBdr>
          <w:bottom w:val="single" w:color="auto" w:sz="6" w:space="15"/>
        </w:pBdr>
        <w:spacing w:line="360" w:lineRule="auto"/>
        <w:ind w:firstLine="409" w:firstLineChars="195"/>
        <w:rPr>
          <w:color w:val="auto"/>
          <w:highlight w:val="none"/>
          <w:u w:val="single"/>
        </w:rPr>
      </w:pPr>
      <w:r>
        <w:rPr>
          <w:rFonts w:hint="eastAsia" w:cs="宋体"/>
          <w:color w:val="auto"/>
          <w:szCs w:val="21"/>
          <w:highlight w:val="none"/>
          <w:u w:val="single"/>
        </w:rPr>
        <w:t>11.2.9投标保证金缴纳证明资料（如采用投标保函或投标保证保险形式，且未在开标前提交纸质原件，也未以交易系统支持的电子保函或电子投标保证保险递交的，须提供该项资料扫描件）。</w:t>
      </w:r>
    </w:p>
    <w:p>
      <w:pPr>
        <w:pBdr>
          <w:bottom w:val="single" w:color="auto" w:sz="6" w:space="15"/>
        </w:pBd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11.2.10</w:t>
      </w:r>
      <w:r>
        <w:rPr>
          <w:rFonts w:hint="eastAsia" w:cs="宋体"/>
          <w:bCs/>
          <w:color w:val="auto"/>
          <w:szCs w:val="21"/>
          <w:highlight w:val="none"/>
          <w:u w:val="single"/>
        </w:rPr>
        <w:t>投标人认为应提供的其他资料。</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                      修改类型：修改</w:t>
      </w:r>
    </w:p>
    <w:p>
      <w:pPr>
        <w:spacing w:line="360" w:lineRule="auto"/>
        <w:ind w:firstLine="411" w:firstLineChars="195"/>
        <w:rPr>
          <w:rFonts w:hint="eastAsia" w:cs="宋体"/>
          <w:b/>
          <w:bCs/>
          <w:color w:val="auto"/>
          <w:szCs w:val="21"/>
          <w:highlight w:val="none"/>
        </w:rPr>
      </w:pPr>
    </w:p>
    <w:p>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p>
    <w:p>
      <w:pPr>
        <w:spacing w:line="360" w:lineRule="auto"/>
        <w:ind w:firstLine="409" w:firstLineChars="195"/>
        <w:rPr>
          <w:rFonts w:cs="宋体"/>
          <w:bCs/>
          <w:color w:val="auto"/>
          <w:szCs w:val="21"/>
          <w:highlight w:val="none"/>
        </w:rPr>
      </w:pPr>
      <w:r>
        <w:rPr>
          <w:rFonts w:hint="eastAsia" w:cs="宋体"/>
          <w:bCs/>
          <w:color w:val="auto"/>
          <w:szCs w:val="21"/>
          <w:highlight w:val="none"/>
        </w:rPr>
        <w:t>11.3投标文件主要包括下列内容：</w:t>
      </w:r>
    </w:p>
    <w:p>
      <w:pPr>
        <w:spacing w:line="360" w:lineRule="auto"/>
        <w:ind w:firstLine="409" w:firstLineChars="195"/>
        <w:rPr>
          <w:rFonts w:cs="宋体"/>
          <w:color w:val="auto"/>
          <w:szCs w:val="21"/>
          <w:highlight w:val="none"/>
        </w:rPr>
      </w:pPr>
      <w:r>
        <w:rPr>
          <w:rFonts w:hint="eastAsia" w:cs="宋体"/>
          <w:color w:val="auto"/>
          <w:szCs w:val="21"/>
          <w:highlight w:val="none"/>
        </w:rPr>
        <w:t>11.3.1 经济投标文件(按招标文件的要求填写)。</w:t>
      </w:r>
    </w:p>
    <w:p>
      <w:pPr>
        <w:spacing w:line="360" w:lineRule="auto"/>
        <w:ind w:firstLine="409" w:firstLineChars="195"/>
        <w:rPr>
          <w:rFonts w:cs="宋体"/>
          <w:color w:val="auto"/>
          <w:szCs w:val="21"/>
          <w:highlight w:val="none"/>
        </w:rPr>
      </w:pPr>
      <w:r>
        <w:rPr>
          <w:rFonts w:hint="eastAsia"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pPr>
        <w:spacing w:line="360" w:lineRule="auto"/>
        <w:ind w:firstLine="409" w:firstLineChars="195"/>
        <w:rPr>
          <w:rFonts w:cs="宋体"/>
          <w:color w:val="auto"/>
          <w:szCs w:val="21"/>
          <w:highlight w:val="none"/>
        </w:rPr>
      </w:pPr>
      <w:r>
        <w:rPr>
          <w:rFonts w:hint="eastAsia" w:cs="宋体"/>
          <w:color w:val="auto"/>
          <w:szCs w:val="21"/>
          <w:highlight w:val="none"/>
        </w:rPr>
        <w:t>（2）总说明</w:t>
      </w:r>
    </w:p>
    <w:p>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p>
    <w:p>
      <w:pPr>
        <w:pBdr>
          <w:bottom w:val="single" w:color="auto" w:sz="6" w:space="1"/>
        </w:pBdr>
        <w:adjustRightInd w:val="0"/>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11.3 经济标投标文件主要包括下列内容：</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cs="宋体"/>
          <w:b/>
          <w:color w:val="auto"/>
          <w:szCs w:val="21"/>
          <w:highlight w:val="none"/>
        </w:rPr>
      </w:pPr>
      <w:r>
        <w:rPr>
          <w:rFonts w:hint="eastAsia"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u w:val="single"/>
        </w:rPr>
        <w:t>（4）其它辅助说明资料（包括但不限于招标文件要求填写的《对投标文件编制的承诺》（格式见第四章））</w:t>
      </w:r>
      <w:r>
        <w:rPr>
          <w:rFonts w:hint="eastAsia" w:cs="宋体"/>
          <w:color w:val="auto"/>
          <w:szCs w:val="21"/>
          <w:highlight w:val="none"/>
        </w:rPr>
        <w:t>。</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11.3.3按照招标文件要求填写的《参与编制经济标投标文件人员名单》</w:t>
      </w:r>
      <w:r>
        <w:rPr>
          <w:rFonts w:hint="eastAsia" w:cs="宋体"/>
          <w:color w:val="auto"/>
          <w:szCs w:val="21"/>
          <w:highlight w:val="none"/>
          <w:u w:val="single"/>
        </w:rPr>
        <w:t>（格式见第四章）</w:t>
      </w:r>
      <w:r>
        <w:rPr>
          <w:rFonts w:hint="eastAsia" w:cs="宋体"/>
          <w:color w:val="auto"/>
          <w:szCs w:val="21"/>
          <w:highlight w:val="none"/>
        </w:rPr>
        <w:t>。</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11.3.5投标人认为应提供的其他资料。</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w:t>
      </w:r>
      <w:r>
        <w:rPr>
          <w:rFonts w:hint="eastAsia" w:cs="宋体"/>
          <w:color w:val="auto"/>
          <w:szCs w:val="21"/>
          <w:highlight w:val="none"/>
          <w:u w:val="singl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cs="宋体"/>
          <w:color w:val="auto"/>
          <w:szCs w:val="21"/>
          <w:highlight w:val="none"/>
        </w:rPr>
        <w:t>。详见：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                        修改类型：修改</w:t>
      </w:r>
    </w:p>
    <w:p>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广州公共资源交易中心</w:t>
      </w:r>
      <w:r>
        <w:rPr>
          <w:rFonts w:hint="eastAsia" w:cs="宋体"/>
          <w:color w:val="auto"/>
          <w:szCs w:val="21"/>
          <w:highlight w:val="none"/>
        </w:rPr>
        <w:t>交易平台关于全流程电子化项目的相关指南进行编制，详见：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条款号：13.1                        修改类型：修改</w:t>
      </w:r>
    </w:p>
    <w:p>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条款号：13.3                        修改类型：修改</w:t>
      </w:r>
    </w:p>
    <w:p>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条款号：13.4                         修改类型：修改</w:t>
      </w:r>
    </w:p>
    <w:p>
      <w:pPr>
        <w:pStyle w:val="5"/>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和措施项目费在工程结算时，按招标文件第三章合同条款相关约定调整。</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条款号：13.5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cs="宋体"/>
          <w:color w:val="auto"/>
          <w:szCs w:val="21"/>
          <w:highlight w:val="none"/>
          <w:u w:val="single"/>
        </w:rPr>
      </w:pPr>
      <w:r>
        <w:rPr>
          <w:rFonts w:hint="eastAsia"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13.5</w:t>
      </w:r>
      <w:r>
        <w:rPr>
          <w:rFonts w:hint="eastAsia" w:cs="宋体"/>
          <w:color w:val="auto"/>
          <w:szCs w:val="21"/>
          <w:highlight w:val="none"/>
          <w:u w:val="single"/>
        </w:rPr>
        <w:t>工程项目实施期间和结算时，根据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条款号：13.6.2                      修改类型：修改</w:t>
      </w:r>
    </w:p>
    <w:p>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13.6.2在工程实施中，暂列金额、暂估价所包含的工作范围和图纸、标准深化固定后，按照工程专业、设备、材料类别等分类汇总的金额，达到法定招标范围标准的，可</w:t>
      </w:r>
      <w:r>
        <w:rPr>
          <w:rFonts w:hint="eastAsia" w:cs="宋体"/>
          <w:color w:val="auto"/>
          <w:szCs w:val="21"/>
          <w:highlight w:val="none"/>
          <w:u w:val="single"/>
        </w:rPr>
        <w:t>由招标人招标或由招标人与中标人进行联合招标，确定承包人和承包价格。</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条款号：13.6.4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cs="宋体"/>
          <w:color w:val="auto"/>
          <w:szCs w:val="21"/>
          <w:highlight w:val="none"/>
          <w:u w:val="single"/>
        </w:rPr>
        <w:t>经发包人同意，</w:t>
      </w:r>
      <w:r>
        <w:rPr>
          <w:rFonts w:hint="eastAsia" w:cs="宋体"/>
          <w:color w:val="auto"/>
          <w:szCs w:val="21"/>
          <w:highlight w:val="none"/>
        </w:rPr>
        <w:t>承包人有法定的承包资格的，由承包人承包，承包人无法定的承包资格，可</w:t>
      </w:r>
      <w:r>
        <w:rPr>
          <w:rFonts w:hint="eastAsia" w:cs="宋体"/>
          <w:color w:val="auto"/>
          <w:szCs w:val="21"/>
          <w:highlight w:val="none"/>
          <w:u w:val="single"/>
        </w:rPr>
        <w:t>由招标人招标或由招标人与中标人进行联合招标，</w:t>
      </w:r>
      <w:r>
        <w:rPr>
          <w:rFonts w:hint="eastAsia" w:cs="宋体"/>
          <w:color w:val="auto"/>
          <w:szCs w:val="21"/>
          <w:highlight w:val="none"/>
        </w:rPr>
        <w:t>招标人同承包人结算的价格按本投标须知13.5款规定确定。</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条款号：13.8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pBdr>
          <w:bottom w:val="single" w:color="auto" w:sz="6" w:space="1"/>
        </w:pBdr>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1"/>
          <w:szCs w:val="21"/>
          <w:highlight w:val="none"/>
          <w:u w:val="single"/>
        </w:rPr>
        <w:t>13.8本工程采用的主要材料推荐选用《</w:t>
      </w:r>
      <w:r>
        <w:rPr>
          <w:rFonts w:hint="eastAsia" w:ascii="宋体" w:hAnsi="宋体" w:cs="宋体"/>
          <w:color w:val="auto"/>
          <w:sz w:val="21"/>
          <w:szCs w:val="21"/>
          <w:highlight w:val="none"/>
          <w:u w:val="single"/>
          <w:lang w:eastAsia="zh-CN"/>
        </w:rPr>
        <w:t>长岭居商住项目二期永久用电工程</w:t>
      </w:r>
      <w:r>
        <w:rPr>
          <w:rFonts w:hint="eastAsia" w:ascii="宋体" w:hAnsi="宋体" w:cs="宋体"/>
          <w:color w:val="auto"/>
          <w:sz w:val="21"/>
          <w:szCs w:val="21"/>
          <w:highlight w:val="none"/>
          <w:u w:val="single"/>
        </w:rPr>
        <w:t>品牌推荐表》</w:t>
      </w:r>
      <w:r>
        <w:rPr>
          <w:rFonts w:hint="eastAsia" w:ascii="宋体" w:hAnsi="宋体" w:cs="宋体"/>
          <w:color w:val="auto"/>
          <w:sz w:val="21"/>
          <w:szCs w:val="21"/>
          <w:highlight w:val="none"/>
          <w:u w:val="single"/>
        </w:rPr>
        <w:t>(详见合同)品牌或选用相当于该档次（或以上）的产品。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条款号：16.1-16.5                        修改类型：修改</w:t>
      </w:r>
    </w:p>
    <w:p>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cs="宋体"/>
          <w:color w:val="auto"/>
          <w:szCs w:val="21"/>
          <w:highlight w:val="none"/>
        </w:rPr>
      </w:pPr>
      <w:r>
        <w:rPr>
          <w:rFonts w:hint="eastAsia" w:cs="宋体"/>
          <w:color w:val="auto"/>
          <w:szCs w:val="21"/>
          <w:highlight w:val="none"/>
        </w:rPr>
        <w:t>16.1.1 采用现金或者支票形式提交的，投标保证金须从投标人的银行基本账户转出。</w:t>
      </w:r>
    </w:p>
    <w:p>
      <w:pPr>
        <w:spacing w:line="360" w:lineRule="auto"/>
        <w:ind w:firstLine="420" w:firstLineChars="200"/>
        <w:rPr>
          <w:rFonts w:cs="宋体"/>
          <w:color w:val="auto"/>
          <w:szCs w:val="21"/>
          <w:highlight w:val="none"/>
        </w:rPr>
      </w:pPr>
      <w:r>
        <w:rPr>
          <w:rFonts w:hint="eastAsia"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cs="宋体"/>
          <w:color w:val="auto"/>
          <w:szCs w:val="21"/>
          <w:highlight w:val="none"/>
        </w:rPr>
      </w:pPr>
      <w:r>
        <w:rPr>
          <w:rFonts w:hint="eastAsia"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pPr>
        <w:spacing w:line="360" w:lineRule="auto"/>
        <w:ind w:firstLine="420" w:firstLineChars="200"/>
        <w:rPr>
          <w:rFonts w:cs="宋体"/>
          <w:color w:val="auto"/>
          <w:szCs w:val="21"/>
          <w:highlight w:val="none"/>
        </w:rPr>
      </w:pPr>
      <w:r>
        <w:rPr>
          <w:rFonts w:hint="eastAsia" w:cs="宋体"/>
          <w:color w:val="auto"/>
          <w:szCs w:val="21"/>
          <w:highlight w:val="none"/>
        </w:rPr>
        <w:t>注：16.5.3款由招标人二选一，需在招标文件中明确。</w:t>
      </w:r>
    </w:p>
    <w:p>
      <w:pPr>
        <w:pStyle w:val="39"/>
        <w:spacing w:line="500" w:lineRule="exact"/>
        <w:ind w:firstLine="482"/>
        <w:rPr>
          <w:rFonts w:ascii="宋体" w:hAnsi="宋体"/>
          <w:b/>
          <w:bCs/>
          <w:color w:val="auto"/>
          <w:sz w:val="21"/>
          <w:szCs w:val="21"/>
          <w:highlight w:val="none"/>
        </w:rPr>
      </w:pPr>
      <w:r>
        <w:rPr>
          <w:rFonts w:hint="eastAsia" w:cs="宋体"/>
          <w:b/>
          <w:color w:val="auto"/>
          <w:sz w:val="21"/>
          <w:szCs w:val="21"/>
          <w:highlight w:val="none"/>
        </w:rPr>
        <w:t>现文：</w:t>
      </w:r>
      <w:r>
        <w:rPr>
          <w:rFonts w:hint="eastAsia" w:ascii="宋体" w:hAnsi="宋体"/>
          <w:color w:val="auto"/>
          <w:sz w:val="21"/>
          <w:szCs w:val="21"/>
          <w:highlight w:val="none"/>
        </w:rPr>
        <w:t>16.1投标人应按投标须知前附表第14项所述金额和时间递交投标保证金。</w:t>
      </w:r>
      <w:r>
        <w:rPr>
          <w:rFonts w:hint="eastAsia" w:ascii="宋体" w:hAnsi="宋体"/>
          <w:b/>
          <w:bCs/>
          <w:color w:val="auto"/>
          <w:sz w:val="21"/>
          <w:szCs w:val="21"/>
          <w:highlight w:val="none"/>
        </w:rPr>
        <w:t>允许投标人自主选择现金、银行保函、保证保险、专业工程担保公司担保等方式缴纳投标保证金。</w:t>
      </w:r>
    </w:p>
    <w:p>
      <w:pPr>
        <w:pStyle w:val="39"/>
        <w:spacing w:line="500" w:lineRule="exact"/>
        <w:ind w:firstLine="480"/>
        <w:rPr>
          <w:rFonts w:ascii="宋体" w:hAnsi="宋体"/>
          <w:bCs/>
          <w:color w:val="auto"/>
          <w:sz w:val="21"/>
          <w:szCs w:val="21"/>
          <w:highlight w:val="none"/>
          <w:u w:val="single"/>
        </w:rPr>
      </w:pPr>
      <w:r>
        <w:rPr>
          <w:rFonts w:hint="eastAsia" w:ascii="宋体" w:hAnsi="宋体"/>
          <w:bCs/>
          <w:color w:val="auto"/>
          <w:sz w:val="21"/>
          <w:szCs w:val="21"/>
          <w:highlight w:val="none"/>
        </w:rPr>
        <w:t>16.1.1 采用现金</w:t>
      </w:r>
      <w:r>
        <w:rPr>
          <w:rFonts w:hint="eastAsia" w:ascii="宋体" w:hAnsi="宋体"/>
          <w:b/>
          <w:bCs/>
          <w:color w:val="auto"/>
          <w:sz w:val="21"/>
          <w:szCs w:val="21"/>
          <w:highlight w:val="none"/>
        </w:rPr>
        <w:t>或者支票</w:t>
      </w:r>
      <w:r>
        <w:rPr>
          <w:rFonts w:hint="eastAsia" w:ascii="宋体" w:hAnsi="宋体"/>
          <w:bCs/>
          <w:color w:val="auto"/>
          <w:sz w:val="21"/>
          <w:szCs w:val="21"/>
          <w:highlight w:val="none"/>
        </w:rPr>
        <w:t>形式提交的，投标保证金须从投标人的银行基本账户转出。</w:t>
      </w:r>
      <w:r>
        <w:rPr>
          <w:rFonts w:hint="eastAsia" w:ascii="宋体" w:hAnsi="宋体"/>
          <w:bCs/>
          <w:color w:val="auto"/>
          <w:sz w:val="21"/>
          <w:szCs w:val="21"/>
          <w:highlight w:val="none"/>
          <w:u w:val="single"/>
        </w:rPr>
        <w:t>由广州公共资源交易中心代收。缴纳情况以开标时广州公共资源交易中心网站查询为准。具体操作流程详见广州公共资源交易中心最新的投标保证金缴纳操作指引或自行咨询交易中心。</w:t>
      </w:r>
    </w:p>
    <w:p>
      <w:pPr>
        <w:pStyle w:val="39"/>
        <w:spacing w:line="500" w:lineRule="exact"/>
        <w:ind w:firstLine="480"/>
        <w:rPr>
          <w:rFonts w:hint="eastAsia" w:ascii="宋体" w:hAnsi="宋体"/>
          <w:b/>
          <w:color w:val="auto"/>
          <w:sz w:val="21"/>
          <w:szCs w:val="21"/>
          <w:highlight w:val="none"/>
        </w:rPr>
      </w:pPr>
      <w:r>
        <w:rPr>
          <w:rFonts w:hint="eastAsia" w:ascii="宋体" w:hAnsi="宋体"/>
          <w:bCs/>
          <w:color w:val="auto"/>
          <w:sz w:val="21"/>
          <w:szCs w:val="21"/>
          <w:highlight w:val="none"/>
        </w:rPr>
        <w:t>16.1.2 依法必须招标的房屋建筑工程如采用非电子形式的</w:t>
      </w:r>
      <w:r>
        <w:rPr>
          <w:rFonts w:hint="eastAsia" w:ascii="宋体" w:hAnsi="宋体"/>
          <w:b/>
          <w:bCs/>
          <w:color w:val="auto"/>
          <w:sz w:val="21"/>
          <w:szCs w:val="21"/>
          <w:highlight w:val="none"/>
        </w:rPr>
        <w:t>银行保函、专业工程担保公司担保或保证保险</w:t>
      </w:r>
      <w:r>
        <w:rPr>
          <w:rFonts w:hint="eastAsia" w:ascii="宋体" w:hAnsi="宋体"/>
          <w:bCs/>
          <w:color w:val="auto"/>
          <w:sz w:val="21"/>
          <w:szCs w:val="21"/>
          <w:highlight w:val="none"/>
        </w:rPr>
        <w:t>提交投标保证金的，在开标前不强制要求投标人提交纸质原件，由中标候选人在中标候选人公示前提交并在网上公示，投标人应在投标文件中提交</w:t>
      </w:r>
      <w:r>
        <w:rPr>
          <w:rFonts w:hint="eastAsia" w:ascii="宋体" w:hAnsi="宋体"/>
          <w:b/>
          <w:bCs/>
          <w:color w:val="auto"/>
          <w:sz w:val="21"/>
          <w:szCs w:val="21"/>
          <w:highlight w:val="none"/>
        </w:rPr>
        <w:t>保函、担保或保证保险</w:t>
      </w:r>
      <w:r>
        <w:rPr>
          <w:rFonts w:hint="eastAsia" w:ascii="宋体" w:hAnsi="宋体"/>
          <w:bCs/>
          <w:color w:val="auto"/>
          <w:sz w:val="21"/>
          <w:szCs w:val="21"/>
          <w:highlight w:val="none"/>
        </w:rPr>
        <w:t>扫描件并加盖投标人电子印章。</w:t>
      </w:r>
      <w:r>
        <w:rPr>
          <w:rFonts w:hint="eastAsia" w:ascii="宋体" w:hAnsi="宋体"/>
          <w:b/>
          <w:color w:val="auto"/>
          <w:sz w:val="21"/>
          <w:szCs w:val="21"/>
          <w:highlight w:val="none"/>
        </w:rPr>
        <w:t>如投标人存在16.4条款所列情形的，应将</w:t>
      </w:r>
      <w:r>
        <w:rPr>
          <w:rFonts w:hint="eastAsia" w:ascii="宋体" w:hAnsi="宋体"/>
          <w:b/>
          <w:bCs/>
          <w:color w:val="auto"/>
          <w:sz w:val="21"/>
          <w:szCs w:val="21"/>
          <w:highlight w:val="none"/>
        </w:rPr>
        <w:t>纸质</w:t>
      </w:r>
      <w:r>
        <w:rPr>
          <w:rFonts w:hint="eastAsia" w:ascii="宋体" w:hAnsi="宋体"/>
          <w:b/>
          <w:color w:val="auto"/>
          <w:sz w:val="21"/>
          <w:szCs w:val="21"/>
          <w:highlight w:val="none"/>
        </w:rPr>
        <w:t>原件提交给招标人。</w:t>
      </w:r>
    </w:p>
    <w:p>
      <w:pPr>
        <w:pStyle w:val="39"/>
        <w:spacing w:line="500" w:lineRule="exact"/>
        <w:ind w:firstLine="480"/>
        <w:rPr>
          <w:rFonts w:hint="eastAsia" w:ascii="宋体" w:hAnsi="宋体"/>
          <w:bCs/>
          <w:color w:val="auto"/>
          <w:sz w:val="21"/>
          <w:szCs w:val="21"/>
          <w:highlight w:val="none"/>
        </w:rPr>
      </w:pPr>
      <w:r>
        <w:rPr>
          <w:rFonts w:hint="eastAsia" w:ascii="宋体" w:hAnsi="宋体"/>
          <w:bCs/>
          <w:color w:val="auto"/>
          <w:sz w:val="21"/>
          <w:szCs w:val="21"/>
          <w:highlight w:val="none"/>
        </w:rPr>
        <w:t>16.1.3 采用</w:t>
      </w:r>
      <w:r>
        <w:rPr>
          <w:rFonts w:hint="eastAsia" w:ascii="宋体" w:hAnsi="宋体"/>
          <w:b/>
          <w:color w:val="auto"/>
          <w:sz w:val="21"/>
          <w:szCs w:val="21"/>
          <w:highlight w:val="none"/>
        </w:rPr>
        <w:t>电子形式的保函、担保或保证保险</w:t>
      </w:r>
      <w:r>
        <w:rPr>
          <w:rFonts w:hint="eastAsia" w:ascii="宋体" w:hAnsi="宋体"/>
          <w:bCs/>
          <w:color w:val="auto"/>
          <w:sz w:val="21"/>
          <w:szCs w:val="21"/>
          <w:highlight w:val="none"/>
        </w:rPr>
        <w:t>提交投标保证金的，</w:t>
      </w:r>
      <w:r>
        <w:rPr>
          <w:rFonts w:hint="eastAsia"/>
          <w:color w:val="auto"/>
          <w:szCs w:val="21"/>
          <w:highlight w:val="none"/>
          <w:u w:val="single"/>
        </w:rPr>
        <w:t>具体操作要求详见广州公共资源交易中心有关指引，递交事宜请自行咨询广州公共资源交易中心</w:t>
      </w:r>
      <w:r>
        <w:rPr>
          <w:rFonts w:hint="eastAsia" w:ascii="宋体" w:hAnsi="宋体"/>
          <w:b/>
          <w:color w:val="auto"/>
          <w:sz w:val="21"/>
          <w:szCs w:val="21"/>
          <w:highlight w:val="none"/>
          <w:u w:val="single"/>
        </w:rPr>
        <w:t>。到账情况以开标时广州公共资源交易中心数据库查询信息为准</w:t>
      </w:r>
      <w:r>
        <w:rPr>
          <w:rFonts w:hint="eastAsia" w:ascii="宋体" w:hAnsi="宋体"/>
          <w:bCs/>
          <w:color w:val="auto"/>
          <w:sz w:val="21"/>
          <w:szCs w:val="21"/>
          <w:highlight w:val="none"/>
        </w:rPr>
        <w:t>。</w:t>
      </w:r>
    </w:p>
    <w:p>
      <w:pPr>
        <w:pStyle w:val="39"/>
        <w:spacing w:line="500" w:lineRule="exact"/>
        <w:ind w:firstLine="480"/>
        <w:rPr>
          <w:rFonts w:hint="eastAsia" w:ascii="宋体" w:hAnsi="宋体"/>
          <w:b/>
          <w:bCs/>
          <w:color w:val="auto"/>
          <w:sz w:val="21"/>
          <w:szCs w:val="21"/>
          <w:highlight w:val="none"/>
        </w:rPr>
      </w:pPr>
      <w:r>
        <w:rPr>
          <w:rFonts w:hint="eastAsia" w:ascii="宋体" w:hAnsi="宋体"/>
          <w:color w:val="auto"/>
          <w:sz w:val="21"/>
          <w:szCs w:val="21"/>
          <w:highlight w:val="none"/>
        </w:rPr>
        <w:t>16.2开标时投标人没有按要求提供投标保证金的，其投标文件将被否决；</w:t>
      </w:r>
      <w:r>
        <w:rPr>
          <w:rFonts w:hint="eastAsia" w:ascii="宋体" w:hAnsi="宋体"/>
          <w:b/>
          <w:bCs/>
          <w:color w:val="auto"/>
          <w:sz w:val="21"/>
          <w:szCs w:val="21"/>
          <w:highlight w:val="none"/>
        </w:rPr>
        <w:t>未按招标文件要求提交符合免予提供投标保证金相关证明材料，且未提交投标保证金的投标人，视为未按要求提供投标保证金。</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16.4如有下列情况之一的，招标人不予退还投标保证金：</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16.4.1</w:t>
      </w:r>
      <w:r>
        <w:rPr>
          <w:rFonts w:hint="eastAsia" w:cs="宋体"/>
          <w:color w:val="auto"/>
          <w:szCs w:val="21"/>
          <w:highlight w:val="none"/>
          <w:u w:val="single"/>
        </w:rPr>
        <w:t>投标人在投标有效期内撤销投标文件或放弃中标资格的</w:t>
      </w:r>
      <w:r>
        <w:rPr>
          <w:rFonts w:hint="eastAsia" w:cs="宋体"/>
          <w:color w:val="auto"/>
          <w:szCs w:val="21"/>
          <w:highlight w:val="none"/>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16.4.2</w:t>
      </w:r>
      <w:r>
        <w:rPr>
          <w:rFonts w:hint="eastAsia" w:cs="宋体"/>
          <w:color w:val="auto"/>
          <w:szCs w:val="21"/>
          <w:highlight w:val="none"/>
          <w:u w:val="single"/>
        </w:rPr>
        <w:t>中标人未能在规定期限内签署合同协议</w:t>
      </w:r>
      <w:r>
        <w:rPr>
          <w:rFonts w:hint="eastAsia" w:cs="宋体"/>
          <w:color w:val="auto"/>
          <w:szCs w:val="21"/>
          <w:highlight w:val="none"/>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16.4.3</w:t>
      </w:r>
      <w:r>
        <w:rPr>
          <w:rFonts w:hint="eastAsia" w:cs="宋体"/>
          <w:color w:val="auto"/>
          <w:szCs w:val="21"/>
          <w:highlight w:val="none"/>
          <w:u w:val="single"/>
        </w:rPr>
        <w:t>投标人弄虚作假骗取中标的</w:t>
      </w:r>
      <w:r>
        <w:rPr>
          <w:rFonts w:hint="eastAsia" w:cs="宋体"/>
          <w:color w:val="auto"/>
          <w:szCs w:val="21"/>
          <w:highlight w:val="none"/>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16.5投标人如存在下列情况之一的，将被拒绝在1年内参与招标人后续工程投标：</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条款号：17.1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条款号：18.1                        修改类型：修改</w:t>
      </w:r>
    </w:p>
    <w:p>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 。</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                       修改类型：修改</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广州公共资源交易中心</w:t>
      </w:r>
      <w:r>
        <w:rPr>
          <w:rFonts w:hint="eastAsia" w:cs="宋体"/>
          <w:color w:val="auto"/>
          <w:szCs w:val="21"/>
          <w:highlight w:val="none"/>
        </w:rPr>
        <w:t>交易平台</w:t>
      </w:r>
      <w:r>
        <w:rPr>
          <w:rFonts w:hint="eastAsia" w:cs="宋体"/>
          <w:bCs/>
          <w:color w:val="auto"/>
          <w:szCs w:val="21"/>
          <w:highlight w:val="none"/>
        </w:rPr>
        <w:t>将予以拒收。</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条款号：19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原文：19.投标文件的递交和接收</w:t>
      </w:r>
    </w:p>
    <w:p>
      <w:pPr>
        <w:pBdr>
          <w:bottom w:val="single" w:color="auto" w:sz="6" w:space="1"/>
        </w:pBdr>
        <w:spacing w:line="360" w:lineRule="auto"/>
        <w:ind w:firstLine="411" w:firstLineChars="195"/>
        <w:rPr>
          <w:rFonts w:cs="宋体"/>
          <w:bCs/>
          <w:color w:val="auto"/>
          <w:szCs w:val="21"/>
          <w:highlight w:val="none"/>
        </w:rPr>
      </w:pPr>
      <w:r>
        <w:rPr>
          <w:rFonts w:hint="eastAsia" w:cs="宋体"/>
          <w:b/>
          <w:color w:val="auto"/>
          <w:szCs w:val="21"/>
          <w:highlight w:val="none"/>
        </w:rPr>
        <w:t>现文：19.</w:t>
      </w:r>
      <w:r>
        <w:rPr>
          <w:rFonts w:hint="eastAsia" w:cs="宋体"/>
          <w:b/>
          <w:color w:val="auto"/>
          <w:szCs w:val="21"/>
          <w:highlight w:val="none"/>
          <w:u w:val="single"/>
        </w:rPr>
        <w:t>投标登记和</w:t>
      </w:r>
      <w:r>
        <w:rPr>
          <w:rFonts w:hint="eastAsia" w:cs="宋体"/>
          <w:b/>
          <w:color w:val="auto"/>
          <w:szCs w:val="21"/>
          <w:highlight w:val="none"/>
        </w:rPr>
        <w:t>投标文件的递交和接收</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条款号：19.1                        修改类型：修改</w:t>
      </w:r>
    </w:p>
    <w:p>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广州公共资源交易中心</w:t>
      </w:r>
      <w:r>
        <w:rPr>
          <w:rFonts w:hint="eastAsia" w:cs="宋体"/>
          <w:color w:val="auto"/>
          <w:szCs w:val="21"/>
          <w:highlight w:val="none"/>
        </w:rPr>
        <w:t>交易平台递交电子投标文件。</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广州公共资源交易中心</w:t>
      </w:r>
      <w:r>
        <w:rPr>
          <w:rFonts w:hint="eastAsia" w:cs="宋体"/>
          <w:color w:val="auto"/>
          <w:szCs w:val="21"/>
          <w:highlight w:val="none"/>
        </w:rPr>
        <w:t>交易平台即时向投标人发出递交回执通知。递交时间以递交回执通知载明的传输完成时间为准。</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广州公共资源交易中心</w:t>
      </w:r>
      <w:r>
        <w:rPr>
          <w:rFonts w:hint="eastAsia" w:cs="宋体"/>
          <w:color w:val="auto"/>
          <w:szCs w:val="21"/>
          <w:highlight w:val="none"/>
        </w:rPr>
        <w:t>交易平台将予以拒收。</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                       修改类型：修改</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广州公共资源交易中心交易平台将按招标文件规定的时间同时开启技术标（含资格审查文件）和经济标。</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                       修改类型：删除</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条款号：20.3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广州公共资源交易中心</w:t>
      </w:r>
      <w:r>
        <w:rPr>
          <w:rFonts w:hint="eastAsia" w:cs="宋体"/>
          <w:color w:val="auto"/>
          <w:szCs w:val="21"/>
          <w:highlight w:val="none"/>
        </w:rPr>
        <w:t>交易平台将予以拒收。</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条款号：27.1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广州公共资源交易中心</w:t>
      </w:r>
      <w:r>
        <w:rPr>
          <w:rFonts w:hint="eastAsia"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条款号：27.4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single"/>
        </w:rPr>
        <w:t>包括人员、业绩、奖项等资料</w:t>
      </w:r>
      <w:r>
        <w:rPr>
          <w:rFonts w:hint="eastAsia" w:cs="宋体"/>
          <w:color w:val="auto"/>
          <w:szCs w:val="21"/>
          <w:highlight w:val="none"/>
        </w:rPr>
        <w:t>）在</w:t>
      </w:r>
      <w:r>
        <w:rPr>
          <w:rFonts w:hint="eastAsia" w:cs="宋体"/>
          <w:color w:val="auto"/>
          <w:szCs w:val="21"/>
          <w:highlight w:val="none"/>
          <w:u w:val="single"/>
        </w:rPr>
        <w:t>广州公共资源交易中心</w:t>
      </w:r>
      <w:r>
        <w:rPr>
          <w:rFonts w:hint="eastAsia" w:cs="宋体"/>
          <w:color w:val="auto"/>
          <w:szCs w:val="21"/>
          <w:highlight w:val="none"/>
        </w:rPr>
        <w:t>交易平台和广东省招标投标监管网公开。</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条款号：28.3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28.3非经招标人同意，中标人在投标过程中使用的银行名称及帐号至完成竣工结算不得变更，否则招标人有权停止工程款项的</w:t>
      </w:r>
      <w:r>
        <w:rPr>
          <w:rFonts w:hint="eastAsia" w:cs="宋体"/>
          <w:color w:val="auto"/>
          <w:szCs w:val="21"/>
          <w:highlight w:val="none"/>
          <w:u w:val="single"/>
        </w:rPr>
        <w:t>拨付</w:t>
      </w:r>
      <w:r>
        <w:rPr>
          <w:rFonts w:hint="eastAsia" w:cs="宋体"/>
          <w:color w:val="auto"/>
          <w:szCs w:val="21"/>
          <w:highlight w:val="none"/>
        </w:rPr>
        <w:t>及至解除合同，由此造成的一切责任由中标人承担。</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条款号：29.2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                          修改类型：修改</w:t>
      </w:r>
    </w:p>
    <w:p>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pPr>
        <w:pBdr>
          <w:bottom w:val="single" w:color="auto" w:sz="6" w:space="1"/>
        </w:pBd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中标人代缴广州公共资源交易中心的交易服务费，其费用包含在中标人投标报价中，交易中心向中标人开具增值税发票。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cs="宋体"/>
          <w:b/>
          <w:color w:val="auto"/>
          <w:szCs w:val="21"/>
          <w:highlight w:val="none"/>
          <w:lang w:val="en-US" w:eastAsia="zh-CN"/>
        </w:rPr>
        <w:t>32.3</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569" w:firstLineChars="270"/>
        <w:rPr>
          <w:rFonts w:ascii="宋体" w:hAnsi="宋体" w:cs="宋体"/>
          <w:color w:val="auto"/>
          <w:highlight w:val="none"/>
        </w:rPr>
      </w:pPr>
      <w:r>
        <w:rPr>
          <w:rFonts w:hint="eastAsia" w:ascii="宋体" w:hAnsi="宋体" w:cs="宋体"/>
          <w:b/>
          <w:color w:val="auto"/>
          <w:highlight w:val="none"/>
        </w:rPr>
        <w:t>现文：</w:t>
      </w:r>
      <w:r>
        <w:rPr>
          <w:rFonts w:hint="eastAsia" w:ascii="宋体" w:hAnsi="宋体" w:cs="宋体"/>
          <w:b w:val="0"/>
          <w:bCs/>
          <w:color w:val="auto"/>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360" w:lineRule="auto"/>
        <w:ind w:firstLine="472" w:firstLineChars="224"/>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 xml:space="preserve">条款号：33                 </w:t>
      </w:r>
      <w:r>
        <w:rPr>
          <w:rFonts w:hint="eastAsia"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cs="宋体"/>
          <w:b/>
          <w:color w:val="auto"/>
          <w:szCs w:val="21"/>
          <w:highlight w:val="none"/>
          <w:lang w:val="en-US" w:eastAsia="zh-CN"/>
        </w:rPr>
        <w:t xml:space="preserve">删除 </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33. 投标人信誉的要求</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567" w:firstLineChars="270"/>
        <w:rPr>
          <w:rFonts w:ascii="宋体" w:hAnsi="宋体" w:cs="宋体"/>
          <w:color w:val="auto"/>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470" w:firstLineChars="224"/>
        <w:rPr>
          <w:color w:val="auto"/>
          <w:highlight w:val="none"/>
        </w:rPr>
      </w:pPr>
    </w:p>
    <w:p>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pPr>
        <w:spacing w:line="360" w:lineRule="auto"/>
        <w:rPr>
          <w:rFonts w:cs="宋体"/>
          <w:color w:val="auto"/>
          <w:highlight w:val="none"/>
        </w:rPr>
      </w:pPr>
      <w:r>
        <w:rPr>
          <w:rFonts w:hint="eastAsia" w:cs="宋体"/>
          <w:b/>
          <w:color w:val="auto"/>
          <w:szCs w:val="21"/>
          <w:highlight w:val="none"/>
        </w:rPr>
        <w:t>（以下无正文）</w:t>
      </w:r>
    </w:p>
    <w:p>
      <w:pPr>
        <w:rPr>
          <w:rFonts w:hint="eastAsia"/>
          <w:color w:val="auto"/>
          <w:highlight w:val="none"/>
        </w:rPr>
      </w:pPr>
      <w:r>
        <w:rPr>
          <w:rFonts w:hint="eastAsia"/>
          <w:color w:val="auto"/>
          <w:highlight w:val="none"/>
        </w:rPr>
        <w:br w:type="page"/>
      </w:r>
    </w:p>
    <w:p>
      <w:pPr>
        <w:pStyle w:val="7"/>
        <w:rPr>
          <w:color w:val="auto"/>
          <w:highlight w:val="none"/>
        </w:rPr>
      </w:pPr>
      <w:r>
        <w:rPr>
          <w:rFonts w:hint="eastAsia"/>
          <w:color w:val="auto"/>
          <w:highlight w:val="none"/>
        </w:rPr>
        <w:t>三、投标须知通用条款</w:t>
      </w:r>
      <w:bookmarkEnd w:id="3"/>
    </w:p>
    <w:p>
      <w:pPr>
        <w:pStyle w:val="8"/>
        <w:spacing w:before="156" w:after="156"/>
        <w:jc w:val="center"/>
        <w:rPr>
          <w:color w:val="auto"/>
          <w:highlight w:val="none"/>
        </w:rPr>
      </w:pPr>
      <w:bookmarkStart w:id="4" w:name="_Toc30203"/>
      <w:bookmarkStart w:id="5" w:name="_Toc18664061"/>
      <w:r>
        <w:rPr>
          <w:rFonts w:hint="eastAsia"/>
          <w:color w:val="auto"/>
          <w:highlight w:val="none"/>
        </w:rPr>
        <w:t>（一）总则</w:t>
      </w:r>
      <w:bookmarkEnd w:id="4"/>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、招标说明</w:t>
      </w:r>
    </w:p>
    <w:p>
      <w:pPr>
        <w:spacing w:line="360" w:lineRule="auto"/>
        <w:ind w:firstLine="480" w:firstLineChars="200"/>
        <w:rPr>
          <w:bCs/>
          <w:color w:val="auto"/>
          <w:sz w:val="24"/>
          <w:highlight w:val="none"/>
        </w:rPr>
      </w:pPr>
      <w:r>
        <w:rPr>
          <w:bCs/>
          <w:color w:val="auto"/>
          <w:sz w:val="24"/>
          <w:highlight w:val="none"/>
        </w:rPr>
        <w:t>2.1</w:t>
      </w:r>
      <w:r>
        <w:rPr>
          <w:rFonts w:hint="eastAsia"/>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bCs/>
          <w:color w:val="auto"/>
          <w:sz w:val="24"/>
          <w:highlight w:val="none"/>
        </w:rPr>
      </w:pPr>
      <w:r>
        <w:rPr>
          <w:bCs/>
          <w:color w:val="auto"/>
          <w:sz w:val="24"/>
          <w:highlight w:val="none"/>
        </w:rPr>
        <w:t>2.2</w:t>
      </w:r>
      <w:r>
        <w:rPr>
          <w:rFonts w:hint="eastAsia"/>
          <w:bCs/>
          <w:color w:val="auto"/>
          <w:sz w:val="24"/>
          <w:highlight w:val="none"/>
        </w:rPr>
        <w:t>工程名称、建设地点、建设规模、承包方式、质量标准、招标范围、工期要求等均在投标须知前附表中列明。</w:t>
      </w:r>
    </w:p>
    <w:p>
      <w:pPr>
        <w:spacing w:line="360" w:lineRule="auto"/>
        <w:ind w:firstLine="480" w:firstLineChars="200"/>
        <w:rPr>
          <w:bCs/>
          <w:color w:val="auto"/>
          <w:sz w:val="24"/>
          <w:highlight w:val="none"/>
        </w:rPr>
      </w:pPr>
      <w:r>
        <w:rPr>
          <w:bCs/>
          <w:color w:val="auto"/>
          <w:sz w:val="24"/>
          <w:highlight w:val="none"/>
        </w:rPr>
        <w:t>2.3</w:t>
      </w:r>
      <w:r>
        <w:rPr>
          <w:rFonts w:hint="eastAsia"/>
          <w:bCs/>
          <w:color w:val="auto"/>
          <w:sz w:val="24"/>
          <w:highlight w:val="none"/>
        </w:rPr>
        <w:t>设计说明：详见招标图纸。</w:t>
      </w:r>
    </w:p>
    <w:p>
      <w:pPr>
        <w:spacing w:line="360" w:lineRule="auto"/>
        <w:ind w:firstLine="480" w:firstLineChars="200"/>
        <w:rPr>
          <w:bCs/>
          <w:color w:val="auto"/>
          <w:sz w:val="24"/>
          <w:highlight w:val="none"/>
        </w:rPr>
      </w:pPr>
      <w:r>
        <w:rPr>
          <w:bCs/>
          <w:color w:val="auto"/>
          <w:sz w:val="24"/>
          <w:highlight w:val="none"/>
        </w:rPr>
        <w:t>2.4</w:t>
      </w:r>
      <w:r>
        <w:rPr>
          <w:rFonts w:hint="eastAsia"/>
          <w:bCs/>
          <w:color w:val="auto"/>
          <w:sz w:val="24"/>
          <w:highlight w:val="none"/>
        </w:rPr>
        <w:t>工程施工特点：详见招标图纸。</w:t>
      </w:r>
    </w:p>
    <w:p>
      <w:pPr>
        <w:tabs>
          <w:tab w:val="left" w:pos="105"/>
        </w:tabs>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．资金来源</w:t>
      </w:r>
    </w:p>
    <w:p>
      <w:pPr>
        <w:spacing w:line="360" w:lineRule="auto"/>
        <w:ind w:firstLine="480" w:firstLineChars="200"/>
        <w:rPr>
          <w:bCs/>
          <w:color w:val="auto"/>
          <w:sz w:val="24"/>
          <w:highlight w:val="none"/>
        </w:rPr>
      </w:pPr>
      <w:r>
        <w:rPr>
          <w:bCs/>
          <w:color w:val="auto"/>
          <w:sz w:val="24"/>
          <w:highlight w:val="none"/>
        </w:rPr>
        <w:t>3.1</w:t>
      </w:r>
      <w:r>
        <w:rPr>
          <w:rFonts w:hint="eastAsia"/>
          <w:bCs/>
          <w:color w:val="auto"/>
          <w:sz w:val="24"/>
          <w:highlight w:val="none"/>
        </w:rPr>
        <w:t>本招标工程项目资金来源见投标须知前附表第</w:t>
      </w:r>
      <w:r>
        <w:rPr>
          <w:bCs/>
          <w:color w:val="auto"/>
          <w:sz w:val="24"/>
          <w:highlight w:val="none"/>
        </w:rPr>
        <w:t>9</w:t>
      </w:r>
      <w:r>
        <w:rPr>
          <w:rFonts w:hint="eastAsia"/>
          <w:bCs/>
          <w:color w:val="auto"/>
          <w:sz w:val="24"/>
          <w:highlight w:val="none"/>
        </w:rPr>
        <w:t>项</w:t>
      </w:r>
    </w:p>
    <w:p>
      <w:pPr>
        <w:tabs>
          <w:tab w:val="left" w:pos="105"/>
        </w:tabs>
        <w:spacing w:line="360" w:lineRule="auto"/>
        <w:ind w:firstLine="482" w:firstLineChars="200"/>
        <w:rPr>
          <w:b/>
          <w:color w:val="auto"/>
          <w:sz w:val="24"/>
          <w:highlight w:val="none"/>
        </w:rPr>
      </w:pPr>
      <w:r>
        <w:rPr>
          <w:b/>
          <w:color w:val="auto"/>
          <w:sz w:val="24"/>
          <w:highlight w:val="none"/>
        </w:rPr>
        <w:t>4</w:t>
      </w:r>
      <w:r>
        <w:rPr>
          <w:rFonts w:hint="eastAsia"/>
          <w:b/>
          <w:color w:val="auto"/>
          <w:sz w:val="24"/>
          <w:highlight w:val="none"/>
        </w:rPr>
        <w:t>．合格投标人的条件</w:t>
      </w:r>
    </w:p>
    <w:p>
      <w:pPr>
        <w:spacing w:line="360" w:lineRule="auto"/>
        <w:ind w:firstLine="480" w:firstLineChars="200"/>
        <w:rPr>
          <w:bCs/>
          <w:color w:val="auto"/>
          <w:sz w:val="24"/>
          <w:highlight w:val="none"/>
        </w:rPr>
      </w:pPr>
      <w:r>
        <w:rPr>
          <w:bCs/>
          <w:color w:val="auto"/>
          <w:sz w:val="24"/>
          <w:highlight w:val="none"/>
        </w:rPr>
        <w:t>4.1</w:t>
      </w:r>
      <w:r>
        <w:rPr>
          <w:rFonts w:hint="eastAsia"/>
          <w:bCs/>
          <w:color w:val="auto"/>
          <w:sz w:val="24"/>
          <w:highlight w:val="none"/>
        </w:rPr>
        <w:t>详见本项目招标公告</w:t>
      </w:r>
    </w:p>
    <w:p>
      <w:pPr>
        <w:tabs>
          <w:tab w:val="left" w:pos="105"/>
        </w:tabs>
        <w:spacing w:line="360" w:lineRule="auto"/>
        <w:ind w:firstLine="482" w:firstLineChars="200"/>
        <w:rPr>
          <w:b/>
          <w:color w:val="auto"/>
          <w:sz w:val="24"/>
          <w:highlight w:val="none"/>
        </w:rPr>
      </w:pPr>
      <w:r>
        <w:rPr>
          <w:b/>
          <w:color w:val="auto"/>
          <w:sz w:val="24"/>
          <w:highlight w:val="none"/>
        </w:rPr>
        <w:t>5</w:t>
      </w:r>
      <w:r>
        <w:rPr>
          <w:rFonts w:hint="eastAsia"/>
          <w:b/>
          <w:color w:val="auto"/>
          <w:sz w:val="24"/>
          <w:highlight w:val="none"/>
        </w:rPr>
        <w:t>．踏勘现场</w:t>
      </w:r>
    </w:p>
    <w:p>
      <w:pPr>
        <w:spacing w:line="360" w:lineRule="auto"/>
        <w:ind w:firstLine="480" w:firstLineChars="200"/>
        <w:rPr>
          <w:bCs/>
          <w:color w:val="auto"/>
          <w:sz w:val="24"/>
          <w:highlight w:val="none"/>
          <w:u w:val="single"/>
        </w:rPr>
      </w:pPr>
      <w:r>
        <w:rPr>
          <w:bCs/>
          <w:color w:val="auto"/>
          <w:sz w:val="24"/>
          <w:highlight w:val="none"/>
        </w:rPr>
        <w:t xml:space="preserve">5.1 </w:t>
      </w:r>
      <w:r>
        <w:rPr>
          <w:rFonts w:hint="eastAsia"/>
          <w:bCs/>
          <w:color w:val="auto"/>
          <w:sz w:val="24"/>
          <w:highlight w:val="none"/>
        </w:rPr>
        <w:t>投标人应按本投标须知前附表第</w:t>
      </w:r>
      <w:r>
        <w:rPr>
          <w:bCs/>
          <w:color w:val="auto"/>
          <w:sz w:val="24"/>
          <w:highlight w:val="none"/>
        </w:rPr>
        <w:t>15</w:t>
      </w:r>
      <w:r>
        <w:rPr>
          <w:rFonts w:hint="eastAsia"/>
          <w:bCs/>
          <w:color w:val="auto"/>
          <w:sz w:val="24"/>
          <w:highlight w:val="none"/>
        </w:rPr>
        <w:t>项所述时间和要求对工程现场及周围环境进行踏勘，</w:t>
      </w:r>
      <w:r>
        <w:rPr>
          <w:rFonts w:hint="eastAsia"/>
          <w:color w:val="auto"/>
          <w:sz w:val="24"/>
          <w:highlight w:val="none"/>
        </w:rPr>
        <w:t>投标人应充分重视和仔细地进行这种考察，</w:t>
      </w:r>
      <w:r>
        <w:rPr>
          <w:rFonts w:hint="eastAsia"/>
          <w:bCs/>
          <w:color w:val="auto"/>
          <w:sz w:val="24"/>
          <w:highlight w:val="none"/>
        </w:rPr>
        <w:t>以便投标人获取</w:t>
      </w:r>
      <w:r>
        <w:rPr>
          <w:rFonts w:hint="eastAsia"/>
          <w:color w:val="auto"/>
          <w:sz w:val="24"/>
          <w:highlight w:val="none"/>
        </w:rPr>
        <w:t>那些须投标人自己负责的</w:t>
      </w:r>
      <w:r>
        <w:rPr>
          <w:rFonts w:hint="eastAsia"/>
          <w:bCs/>
          <w:color w:val="auto"/>
          <w:sz w:val="24"/>
          <w:highlight w:val="none"/>
        </w:rPr>
        <w:t>有关编制投标文件和签署合同所涉及现场所有的资料。</w:t>
      </w:r>
      <w:r>
        <w:rPr>
          <w:rFonts w:hint="eastAsia"/>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bCs/>
          <w:color w:val="auto"/>
          <w:sz w:val="24"/>
          <w:highlight w:val="none"/>
        </w:rPr>
      </w:pPr>
      <w:r>
        <w:rPr>
          <w:bCs/>
          <w:color w:val="auto"/>
          <w:sz w:val="24"/>
          <w:highlight w:val="none"/>
        </w:rPr>
        <w:t xml:space="preserve">5.2 </w:t>
      </w:r>
      <w:r>
        <w:rPr>
          <w:rFonts w:hint="eastAsia"/>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bCs/>
          <w:color w:val="auto"/>
          <w:sz w:val="24"/>
          <w:highlight w:val="none"/>
        </w:rPr>
      </w:pPr>
      <w:r>
        <w:rPr>
          <w:bCs/>
          <w:color w:val="auto"/>
          <w:sz w:val="24"/>
          <w:highlight w:val="none"/>
        </w:rPr>
        <w:t xml:space="preserve">5.3 </w:t>
      </w:r>
      <w:r>
        <w:rPr>
          <w:rFonts w:hint="eastAsia"/>
          <w:bCs/>
          <w:color w:val="auto"/>
          <w:sz w:val="24"/>
          <w:highlight w:val="none"/>
        </w:rPr>
        <w:t>经招标人允许，投标人可为踏勘目的进入招标人的项目现场。</w:t>
      </w:r>
      <w:r>
        <w:rPr>
          <w:rFonts w:hint="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4"/>
          <w:highlight w:val="none"/>
        </w:rPr>
        <w:t>投标人不得因此使招标人承担有关的责任和蒙受损失。</w:t>
      </w:r>
    </w:p>
    <w:p>
      <w:pPr>
        <w:tabs>
          <w:tab w:val="left" w:pos="105"/>
        </w:tabs>
        <w:spacing w:line="360" w:lineRule="auto"/>
        <w:ind w:firstLine="482" w:firstLineChars="200"/>
        <w:rPr>
          <w:b/>
          <w:color w:val="auto"/>
          <w:sz w:val="24"/>
          <w:highlight w:val="none"/>
        </w:rPr>
      </w:pPr>
      <w:r>
        <w:rPr>
          <w:b/>
          <w:color w:val="auto"/>
          <w:sz w:val="24"/>
          <w:highlight w:val="none"/>
        </w:rPr>
        <w:t>6</w:t>
      </w:r>
      <w:r>
        <w:rPr>
          <w:rFonts w:hint="eastAsia"/>
          <w:b/>
          <w:color w:val="auto"/>
          <w:sz w:val="24"/>
          <w:highlight w:val="none"/>
        </w:rPr>
        <w:t>．投标费用</w:t>
      </w:r>
    </w:p>
    <w:p>
      <w:pPr>
        <w:tabs>
          <w:tab w:val="left" w:pos="105"/>
        </w:tabs>
        <w:spacing w:line="360" w:lineRule="auto"/>
        <w:ind w:firstLine="480" w:firstLineChars="200"/>
        <w:rPr>
          <w:bCs/>
          <w:color w:val="auto"/>
          <w:sz w:val="24"/>
          <w:highlight w:val="none"/>
        </w:rPr>
      </w:pPr>
      <w:r>
        <w:rPr>
          <w:bCs/>
          <w:color w:val="auto"/>
          <w:sz w:val="24"/>
          <w:highlight w:val="none"/>
        </w:rPr>
        <w:t>6.1</w:t>
      </w:r>
      <w:r>
        <w:rPr>
          <w:rFonts w:hint="eastAsia"/>
          <w:color w:val="auto"/>
          <w:sz w:val="24"/>
          <w:highlight w:val="none"/>
        </w:rPr>
        <w:t>不论投标结果如何，投标人应承担</w:t>
      </w:r>
      <w:r>
        <w:rPr>
          <w:rFonts w:hint="eastAsia"/>
          <w:bCs/>
          <w:color w:val="auto"/>
          <w:sz w:val="24"/>
          <w:highlight w:val="none"/>
        </w:rPr>
        <w:t>自身</w:t>
      </w:r>
      <w:r>
        <w:rPr>
          <w:rFonts w:hint="eastAsia"/>
          <w:color w:val="auto"/>
          <w:sz w:val="24"/>
          <w:highlight w:val="none"/>
        </w:rPr>
        <w:t>因投标文件编制、递交及其他</w:t>
      </w:r>
      <w:r>
        <w:rPr>
          <w:rFonts w:hint="eastAsia"/>
          <w:bCs/>
          <w:color w:val="auto"/>
          <w:sz w:val="24"/>
          <w:highlight w:val="none"/>
        </w:rPr>
        <w:t>参加本招标活动</w:t>
      </w:r>
      <w:r>
        <w:rPr>
          <w:rFonts w:hint="eastAsia"/>
          <w:color w:val="auto"/>
          <w:sz w:val="24"/>
          <w:highlight w:val="none"/>
        </w:rPr>
        <w:t>所涉及的一切费用，招标人对上述费用不负任何责任。</w:t>
      </w:r>
    </w:p>
    <w:p>
      <w:pPr>
        <w:pStyle w:val="8"/>
        <w:spacing w:before="156" w:after="156"/>
        <w:rPr>
          <w:color w:val="auto"/>
          <w:highlight w:val="none"/>
        </w:rPr>
      </w:pPr>
      <w:bookmarkStart w:id="6" w:name="_Toc22955"/>
      <w:r>
        <w:rPr>
          <w:rFonts w:hint="eastAsia"/>
          <w:color w:val="auto"/>
          <w:highlight w:val="none"/>
        </w:rPr>
        <w:t>（二）招标文件</w:t>
      </w:r>
      <w:bookmarkEnd w:id="6"/>
    </w:p>
    <w:p>
      <w:pPr>
        <w:tabs>
          <w:tab w:val="left" w:pos="105"/>
        </w:tabs>
        <w:spacing w:line="360" w:lineRule="auto"/>
        <w:ind w:firstLine="482" w:firstLineChars="200"/>
        <w:rPr>
          <w:b/>
          <w:color w:val="auto"/>
          <w:sz w:val="24"/>
          <w:highlight w:val="none"/>
        </w:rPr>
      </w:pPr>
      <w:r>
        <w:rPr>
          <w:b/>
          <w:color w:val="auto"/>
          <w:sz w:val="24"/>
          <w:highlight w:val="none"/>
        </w:rPr>
        <w:t>7.</w:t>
      </w:r>
      <w:r>
        <w:rPr>
          <w:rFonts w:hint="eastAsia"/>
          <w:b/>
          <w:color w:val="auto"/>
          <w:sz w:val="24"/>
          <w:highlight w:val="none"/>
        </w:rPr>
        <w:t>招标文件的组成</w:t>
      </w:r>
    </w:p>
    <w:p>
      <w:pPr>
        <w:spacing w:line="360" w:lineRule="auto"/>
        <w:ind w:firstLine="480" w:firstLineChars="200"/>
        <w:rPr>
          <w:color w:val="auto"/>
          <w:sz w:val="24"/>
          <w:highlight w:val="none"/>
        </w:rPr>
      </w:pPr>
      <w:r>
        <w:rPr>
          <w:bCs/>
          <w:color w:val="auto"/>
          <w:sz w:val="24"/>
          <w:highlight w:val="none"/>
        </w:rPr>
        <w:t>7.1</w:t>
      </w:r>
      <w:r>
        <w:rPr>
          <w:rFonts w:hint="eastAsia"/>
          <w:bCs/>
          <w:color w:val="auto"/>
          <w:sz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第一章  投标须知</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第二章  开标、评标及定标办法</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第三章  合同条款</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第四章  投标文件格式</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第五章  技术条件（工程建设标准）（另册）</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第六章  图纸及勘察资料（另册）</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第七章  招标工程量清单（另册）</w:t>
      </w:r>
    </w:p>
    <w:p>
      <w:pPr>
        <w:pStyle w:val="5"/>
        <w:spacing w:after="0" w:line="360" w:lineRule="auto"/>
        <w:ind w:left="-2" w:firstLine="480" w:firstLineChars="200"/>
        <w:rPr>
          <w:rFonts w:ascii="宋体"/>
          <w:color w:val="auto"/>
          <w:sz w:val="24"/>
          <w:highlight w:val="none"/>
        </w:rPr>
      </w:pPr>
      <w:r>
        <w:rPr>
          <w:rFonts w:hint="eastAsia" w:ascii="宋体"/>
          <w:color w:val="auto"/>
          <w:sz w:val="24"/>
          <w:highlight w:val="none"/>
        </w:rPr>
        <w:t>第八章  最高投标限价</w:t>
      </w:r>
    </w:p>
    <w:p>
      <w:pPr>
        <w:spacing w:line="360" w:lineRule="auto"/>
        <w:ind w:firstLine="480" w:firstLineChars="200"/>
        <w:rPr>
          <w:bCs/>
          <w:color w:val="auto"/>
          <w:sz w:val="24"/>
          <w:highlight w:val="none"/>
        </w:rPr>
      </w:pPr>
      <w:r>
        <w:rPr>
          <w:rFonts w:hint="eastAsia"/>
          <w:bCs/>
          <w:color w:val="auto"/>
          <w:sz w:val="24"/>
          <w:highlight w:val="none"/>
        </w:rPr>
        <w:t>注</w:t>
      </w:r>
      <w:r>
        <w:rPr>
          <w:bCs/>
          <w:color w:val="auto"/>
          <w:sz w:val="24"/>
          <w:highlight w:val="none"/>
        </w:rPr>
        <w:t>：招标人应在</w:t>
      </w:r>
      <w:r>
        <w:rPr>
          <w:rFonts w:hint="eastAsia"/>
          <w:bCs/>
          <w:color w:val="auto"/>
          <w:sz w:val="24"/>
          <w:highlight w:val="none"/>
        </w:rPr>
        <w:t>技术条件（工程建设标准）中</w:t>
      </w:r>
      <w:r>
        <w:rPr>
          <w:bCs/>
          <w:color w:val="auto"/>
          <w:sz w:val="24"/>
          <w:highlight w:val="none"/>
        </w:rPr>
        <w:t>明确</w:t>
      </w:r>
      <w:r>
        <w:rPr>
          <w:rFonts w:hint="eastAsia"/>
          <w:bCs/>
          <w:color w:val="auto"/>
          <w:sz w:val="24"/>
          <w:highlight w:val="none"/>
        </w:rPr>
        <w:t>施工现场建筑垃圾源头减量的具体要求和建筑垃圾综合利用产品的使用要求。</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7" w:name="_Toc8804"/>
      <w:r>
        <w:rPr>
          <w:rFonts w:hint="eastAsia"/>
          <w:color w:val="auto"/>
          <w:highlight w:val="none"/>
        </w:rPr>
        <w:t>（三）投标文件的编制</w:t>
      </w:r>
      <w:bookmarkEnd w:id="7"/>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pPr>
        <w:spacing w:line="360" w:lineRule="auto"/>
        <w:ind w:firstLine="480" w:firstLineChars="200"/>
        <w:rPr>
          <w:bCs/>
          <w:color w:val="auto"/>
          <w:sz w:val="24"/>
          <w:highlight w:val="none"/>
        </w:rPr>
      </w:pPr>
      <w:r>
        <w:rPr>
          <w:bCs/>
          <w:color w:val="auto"/>
          <w:sz w:val="24"/>
          <w:highlight w:val="none"/>
        </w:rPr>
        <w:t>11.2</w:t>
      </w:r>
      <w:r>
        <w:rPr>
          <w:rFonts w:hint="eastAsia"/>
          <w:bCs/>
          <w:color w:val="auto"/>
          <w:sz w:val="24"/>
          <w:highlight w:val="none"/>
        </w:rPr>
        <w:t>投标文件技术标部分主要包括下列内容</w:t>
      </w:r>
      <w:r>
        <w:rPr>
          <w:bCs/>
          <w:color w:val="auto"/>
          <w:sz w:val="24"/>
          <w:highlight w:val="none"/>
        </w:rPr>
        <w:t>:</w:t>
      </w:r>
    </w:p>
    <w:p>
      <w:pPr>
        <w:spacing w:line="360" w:lineRule="auto"/>
        <w:ind w:firstLine="480" w:firstLineChars="200"/>
        <w:rPr>
          <w:bCs/>
          <w:color w:val="auto"/>
          <w:sz w:val="24"/>
          <w:highlight w:val="none"/>
        </w:rPr>
      </w:pPr>
      <w:r>
        <w:rPr>
          <w:rFonts w:hint="eastAsia"/>
          <w:bCs/>
          <w:color w:val="auto"/>
          <w:sz w:val="24"/>
          <w:highlight w:val="none"/>
        </w:rPr>
        <w:t>11.2.1 技术投标文件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bCs/>
          <w:color w:val="auto"/>
          <w:sz w:val="24"/>
          <w:highlight w:val="none"/>
        </w:rPr>
        <w:t>；</w:t>
      </w:r>
    </w:p>
    <w:p>
      <w:pPr>
        <w:spacing w:line="360" w:lineRule="auto"/>
        <w:ind w:firstLine="480" w:firstLineChars="200"/>
        <w:rPr>
          <w:bCs/>
          <w:color w:val="auto"/>
          <w:sz w:val="24"/>
          <w:highlight w:val="none"/>
        </w:rPr>
      </w:pPr>
      <w:r>
        <w:rPr>
          <w:rFonts w:hint="eastAsia"/>
          <w:bCs/>
          <w:color w:val="auto"/>
          <w:sz w:val="24"/>
          <w:highlight w:val="none"/>
        </w:rPr>
        <w:t>11.2.2 资格审查文件：</w:t>
      </w:r>
    </w:p>
    <w:p>
      <w:pPr>
        <w:spacing w:line="360" w:lineRule="auto"/>
        <w:ind w:firstLine="480" w:firstLineChars="200"/>
        <w:rPr>
          <w:bCs/>
          <w:color w:val="auto"/>
          <w:sz w:val="24"/>
          <w:highlight w:val="none"/>
        </w:rPr>
      </w:pPr>
      <w:r>
        <w:rPr>
          <w:rFonts w:hint="eastAsia"/>
          <w:bCs/>
          <w:color w:val="auto"/>
          <w:sz w:val="24"/>
          <w:highlight w:val="none"/>
        </w:rPr>
        <w:t xml:space="preserve">（1）投标人声明； </w:t>
      </w:r>
    </w:p>
    <w:p>
      <w:pPr>
        <w:spacing w:line="360" w:lineRule="auto"/>
        <w:ind w:firstLine="480" w:firstLineChars="200"/>
        <w:rPr>
          <w:bCs/>
          <w:color w:val="auto"/>
          <w:sz w:val="24"/>
          <w:highlight w:val="none"/>
        </w:rPr>
      </w:pPr>
      <w:r>
        <w:rPr>
          <w:rFonts w:hint="eastAsia"/>
          <w:bCs/>
          <w:color w:val="auto"/>
          <w:sz w:val="24"/>
          <w:highlight w:val="none"/>
        </w:rPr>
        <w:t>（2）法定代表人证明书、法定代表人签字或盖章的本投标文件授权委托证明书；</w:t>
      </w:r>
    </w:p>
    <w:p>
      <w:pPr>
        <w:spacing w:line="360" w:lineRule="auto"/>
        <w:ind w:firstLine="480" w:firstLineChars="200"/>
        <w:rPr>
          <w:bCs/>
          <w:color w:val="auto"/>
          <w:sz w:val="24"/>
          <w:highlight w:val="none"/>
        </w:rPr>
      </w:pPr>
      <w:r>
        <w:rPr>
          <w:rFonts w:hint="eastAsia"/>
          <w:bCs/>
          <w:color w:val="auto"/>
          <w:sz w:val="24"/>
          <w:highlight w:val="none"/>
        </w:rPr>
        <w:t>（3）企业营业执照（取自平台内上传件）；</w:t>
      </w:r>
    </w:p>
    <w:p>
      <w:pPr>
        <w:spacing w:line="360" w:lineRule="auto"/>
        <w:ind w:firstLine="480" w:firstLineChars="200"/>
        <w:rPr>
          <w:bCs/>
          <w:color w:val="auto"/>
          <w:sz w:val="24"/>
          <w:highlight w:val="none"/>
        </w:rPr>
      </w:pPr>
      <w:r>
        <w:rPr>
          <w:rFonts w:hint="eastAsia"/>
          <w:bCs/>
          <w:color w:val="auto"/>
          <w:sz w:val="24"/>
          <w:highlight w:val="none"/>
        </w:rPr>
        <w:t>（4）企业资质证书（取自平台内上传件）；</w:t>
      </w:r>
    </w:p>
    <w:p>
      <w:pPr>
        <w:spacing w:line="360" w:lineRule="auto"/>
        <w:ind w:firstLine="480" w:firstLineChars="200"/>
        <w:rPr>
          <w:bCs/>
          <w:color w:val="auto"/>
          <w:sz w:val="24"/>
          <w:highlight w:val="none"/>
        </w:rPr>
      </w:pPr>
      <w:r>
        <w:rPr>
          <w:rFonts w:hint="eastAsia"/>
          <w:bCs/>
          <w:color w:val="auto"/>
          <w:sz w:val="24"/>
          <w:highlight w:val="none"/>
        </w:rPr>
        <w:t>（5）建筑施工企业安全生产许可证（取自平台内上传件）；</w:t>
      </w:r>
    </w:p>
    <w:p>
      <w:pPr>
        <w:spacing w:line="360" w:lineRule="auto"/>
        <w:ind w:firstLine="480" w:firstLineChars="200"/>
        <w:rPr>
          <w:bCs/>
          <w:color w:val="auto"/>
          <w:sz w:val="24"/>
          <w:szCs w:val="24"/>
          <w:highlight w:val="none"/>
        </w:rPr>
      </w:pPr>
      <w:r>
        <w:rPr>
          <w:rFonts w:hint="eastAsia"/>
          <w:bCs/>
          <w:color w:val="auto"/>
          <w:sz w:val="24"/>
          <w:highlight w:val="none"/>
        </w:rPr>
        <w:t>（6）</w:t>
      </w:r>
      <w:r>
        <w:rPr>
          <w:rFonts w:hint="eastAsia"/>
          <w:bCs/>
          <w:color w:val="auto"/>
          <w:sz w:val="24"/>
          <w:szCs w:val="24"/>
          <w:highlight w:val="none"/>
        </w:rPr>
        <w:t>项目负责人（按网上投标登记时选择拟投标的项目负责人）</w:t>
      </w:r>
    </w:p>
    <w:p>
      <w:pPr>
        <w:spacing w:line="360" w:lineRule="auto"/>
        <w:ind w:firstLine="480" w:firstLineChars="200"/>
        <w:rPr>
          <w:bCs/>
          <w:color w:val="auto"/>
          <w:sz w:val="24"/>
          <w:szCs w:val="24"/>
          <w:highlight w:val="none"/>
        </w:rPr>
      </w:pPr>
      <w:r>
        <w:rPr>
          <w:rFonts w:hint="eastAsia"/>
          <w:bCs/>
          <w:color w:val="auto"/>
          <w:sz w:val="24"/>
          <w:szCs w:val="24"/>
          <w:highlight w:val="none"/>
        </w:rPr>
        <w:t>（7）专职安全员（按网上投标登记时选择拟投标的专职安全员）</w:t>
      </w:r>
    </w:p>
    <w:p>
      <w:pPr>
        <w:spacing w:line="360" w:lineRule="auto"/>
        <w:ind w:firstLine="480" w:firstLineChars="200"/>
        <w:rPr>
          <w:bCs/>
          <w:color w:val="auto"/>
          <w:sz w:val="24"/>
          <w:highlight w:val="none"/>
        </w:rPr>
      </w:pPr>
      <w:r>
        <w:rPr>
          <w:rFonts w:hint="eastAsia"/>
          <w:bCs/>
          <w:color w:val="auto"/>
          <w:sz w:val="24"/>
          <w:highlight w:val="none"/>
        </w:rPr>
        <w:t>（8）拟委托技术负责人的相关证书、资料（具体要求由招标人明确）</w:t>
      </w:r>
    </w:p>
    <w:p>
      <w:pPr>
        <w:spacing w:line="360" w:lineRule="auto"/>
        <w:ind w:firstLine="480" w:firstLineChars="200"/>
        <w:rPr>
          <w:bCs/>
          <w:color w:val="auto"/>
          <w:sz w:val="24"/>
          <w:highlight w:val="none"/>
        </w:rPr>
      </w:pPr>
      <w:r>
        <w:rPr>
          <w:rFonts w:hint="eastAsia"/>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bCs/>
          <w:color w:val="auto"/>
          <w:sz w:val="24"/>
          <w:highlight w:val="none"/>
        </w:rPr>
      </w:pPr>
      <w:r>
        <w:rPr>
          <w:rFonts w:hint="eastAsia"/>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bCs/>
          <w:color w:val="auto"/>
          <w:sz w:val="24"/>
          <w:szCs w:val="24"/>
          <w:highlight w:val="none"/>
        </w:rPr>
        <w:t>；</w:t>
      </w:r>
    </w:p>
    <w:p>
      <w:pPr>
        <w:spacing w:line="360" w:lineRule="auto"/>
        <w:ind w:firstLine="480" w:firstLineChars="200"/>
        <w:rPr>
          <w:bCs/>
          <w:color w:val="auto"/>
          <w:sz w:val="24"/>
          <w:szCs w:val="24"/>
          <w:highlight w:val="none"/>
        </w:rPr>
      </w:pPr>
      <w:r>
        <w:rPr>
          <w:rFonts w:hint="eastAsia"/>
          <w:bCs/>
          <w:color w:val="auto"/>
          <w:sz w:val="24"/>
          <w:highlight w:val="none"/>
        </w:rPr>
        <w:t>（11）专职安全员须具有在有效期内的安全考核合格证书（C类）或建筑施工企业专职安全生产管理人员安全生产考核合格证书</w:t>
      </w:r>
      <w:r>
        <w:rPr>
          <w:rFonts w:hint="eastAsia"/>
          <w:bCs/>
          <w:color w:val="auto"/>
          <w:sz w:val="24"/>
          <w:szCs w:val="24"/>
          <w:highlight w:val="none"/>
        </w:rPr>
        <w:t>（取自平台内上传件）；</w:t>
      </w:r>
    </w:p>
    <w:p>
      <w:pPr>
        <w:spacing w:line="360" w:lineRule="auto"/>
        <w:ind w:firstLine="480" w:firstLineChars="200"/>
        <w:rPr>
          <w:bCs/>
          <w:color w:val="auto"/>
          <w:sz w:val="24"/>
          <w:szCs w:val="24"/>
          <w:highlight w:val="none"/>
        </w:rPr>
      </w:pPr>
      <w:r>
        <w:rPr>
          <w:rFonts w:hint="eastAsia"/>
          <w:bCs/>
          <w:color w:val="auto"/>
          <w:sz w:val="24"/>
          <w:szCs w:val="24"/>
          <w:highlight w:val="none"/>
        </w:rPr>
        <w:t>（12）用于资格审查的业绩（设置业绩要求时选择此项，投标人</w:t>
      </w:r>
      <w:r>
        <w:rPr>
          <w:rFonts w:hint="eastAsia"/>
          <w:color w:val="auto"/>
          <w:sz w:val="24"/>
          <w:highlight w:val="none"/>
        </w:rPr>
        <w:t>须提供类似工程业绩的项目名称及项目编号，具体格式由招标人自定</w:t>
      </w:r>
      <w:r>
        <w:rPr>
          <w:rFonts w:hint="eastAsia"/>
          <w:bCs/>
          <w:color w:val="auto"/>
          <w:sz w:val="24"/>
          <w:szCs w:val="24"/>
          <w:highlight w:val="none"/>
        </w:rPr>
        <w:t>）；</w:t>
      </w:r>
    </w:p>
    <w:p>
      <w:pPr>
        <w:spacing w:line="360" w:lineRule="auto"/>
        <w:ind w:firstLine="480" w:firstLineChars="200"/>
        <w:rPr>
          <w:bCs/>
          <w:color w:val="auto"/>
          <w:sz w:val="24"/>
          <w:highlight w:val="none"/>
        </w:rPr>
      </w:pPr>
      <w:r>
        <w:rPr>
          <w:rFonts w:hint="eastAsia"/>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bCs/>
          <w:color w:val="auto"/>
          <w:sz w:val="24"/>
          <w:szCs w:val="24"/>
          <w:highlight w:val="none"/>
        </w:rPr>
      </w:pPr>
      <w:r>
        <w:rPr>
          <w:rFonts w:hint="eastAsia"/>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color w:val="auto"/>
          <w:sz w:val="24"/>
          <w:szCs w:val="24"/>
          <w:highlight w:val="none"/>
        </w:rPr>
        <w:t>联合体工作协议应明确约定各方拟承担的工作和责任</w:t>
      </w:r>
      <w:r>
        <w:rPr>
          <w:rFonts w:hint="eastAsia"/>
          <w:bCs/>
          <w:color w:val="auto"/>
          <w:sz w:val="24"/>
          <w:szCs w:val="24"/>
          <w:highlight w:val="none"/>
        </w:rPr>
        <w:t xml:space="preserve">）； </w:t>
      </w:r>
    </w:p>
    <w:p>
      <w:pPr>
        <w:spacing w:line="360" w:lineRule="auto"/>
        <w:ind w:firstLine="480" w:firstLineChars="200"/>
        <w:rPr>
          <w:bCs/>
          <w:color w:val="auto"/>
          <w:sz w:val="24"/>
          <w:highlight w:val="none"/>
        </w:rPr>
      </w:pPr>
      <w:r>
        <w:rPr>
          <w:rFonts w:hint="eastAsia"/>
          <w:bCs/>
          <w:color w:val="auto"/>
          <w:sz w:val="24"/>
          <w:szCs w:val="24"/>
          <w:highlight w:val="none"/>
        </w:rPr>
        <w:t>（15）</w:t>
      </w:r>
      <w:r>
        <w:rPr>
          <w:rFonts w:hint="eastAsia"/>
          <w:color w:val="auto"/>
          <w:sz w:val="24"/>
          <w:szCs w:val="24"/>
          <w:highlight w:val="none"/>
        </w:rPr>
        <w:t>投标人具有在广州地区可使用适合本工程的机械设备的证明文件（</w:t>
      </w:r>
      <w:r>
        <w:rPr>
          <w:rFonts w:hint="eastAsia"/>
          <w:color w:val="auto"/>
          <w:sz w:val="24"/>
          <w:highlight w:val="none"/>
        </w:rPr>
        <w:t>提供沥青摊铺机自有发票或权属证明及设备现场全貌彩照（彩照须能反映其规格型号）</w:t>
      </w:r>
      <w:r>
        <w:rPr>
          <w:rFonts w:hint="eastAsia"/>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color w:val="auto"/>
          <w:sz w:val="24"/>
          <w:highlight w:val="none"/>
        </w:rPr>
      </w:pPr>
      <w:r>
        <w:rPr>
          <w:color w:val="auto"/>
          <w:sz w:val="24"/>
          <w:highlight w:val="none"/>
        </w:rPr>
        <w:t>11.2.3</w:t>
      </w:r>
      <w:r>
        <w:rPr>
          <w:rFonts w:hint="eastAsia"/>
          <w:color w:val="auto"/>
          <w:sz w:val="24"/>
          <w:highlight w:val="none"/>
        </w:rPr>
        <w:t>项目管理机构配备。</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）投标人应列出该项目工程的施工组织机构构成和画出机构框架图及其负责人；</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）其他辅助说明资料。</w:t>
      </w:r>
    </w:p>
    <w:p>
      <w:pPr>
        <w:spacing w:line="360" w:lineRule="auto"/>
        <w:ind w:firstLine="480" w:firstLineChars="200"/>
        <w:rPr>
          <w:color w:val="auto"/>
          <w:sz w:val="24"/>
          <w:highlight w:val="none"/>
        </w:rPr>
      </w:pPr>
      <w:r>
        <w:rPr>
          <w:color w:val="auto"/>
          <w:sz w:val="24"/>
          <w:highlight w:val="none"/>
        </w:rPr>
        <w:t>11.2.4</w:t>
      </w:r>
      <w:r>
        <w:rPr>
          <w:rFonts w:hint="eastAsia"/>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color w:val="auto"/>
          <w:sz w:val="24"/>
          <w:highlight w:val="none"/>
        </w:rPr>
      </w:pPr>
      <w:r>
        <w:rPr>
          <w:color w:val="auto"/>
          <w:sz w:val="24"/>
          <w:highlight w:val="none"/>
        </w:rPr>
        <w:t>11.2.5</w:t>
      </w:r>
      <w:r>
        <w:rPr>
          <w:rFonts w:hint="eastAsia"/>
          <w:color w:val="auto"/>
          <w:sz w:val="24"/>
          <w:highlight w:val="none"/>
        </w:rPr>
        <w:t>施工组织设计或施工方案。（投标人在编制</w:t>
      </w:r>
      <w:r>
        <w:rPr>
          <w:color w:val="auto"/>
          <w:sz w:val="24"/>
          <w:highlight w:val="none"/>
        </w:rPr>
        <w:t>施工组织设计或施工方案</w:t>
      </w:r>
      <w:r>
        <w:rPr>
          <w:rFonts w:hint="eastAsia"/>
          <w:color w:val="auto"/>
          <w:sz w:val="24"/>
          <w:highlight w:val="none"/>
        </w:rPr>
        <w:t>时应按照招标人提出的施工现场建筑垃圾源头减量的具体要求以及建筑垃圾综合利用产品的使用要求提供相应措施。）</w:t>
      </w:r>
    </w:p>
    <w:p>
      <w:pPr>
        <w:tabs>
          <w:tab w:val="left" w:pos="1125"/>
        </w:tabs>
        <w:spacing w:line="360" w:lineRule="auto"/>
        <w:ind w:firstLine="480" w:firstLineChars="200"/>
        <w:rPr>
          <w:color w:val="auto"/>
          <w:sz w:val="24"/>
          <w:highlight w:val="none"/>
        </w:rPr>
      </w:pPr>
      <w:r>
        <w:rPr>
          <w:color w:val="auto"/>
          <w:sz w:val="24"/>
          <w:highlight w:val="none"/>
        </w:rPr>
        <w:t>11.2.</w:t>
      </w:r>
      <w:r>
        <w:rPr>
          <w:rFonts w:hint="eastAsia"/>
          <w:color w:val="auto"/>
          <w:sz w:val="24"/>
          <w:highlight w:val="none"/>
        </w:rPr>
        <w:t>6按照</w:t>
      </w:r>
      <w:r>
        <w:rPr>
          <w:rFonts w:hint="eastAsia"/>
          <w:bCs/>
          <w:color w:val="auto"/>
          <w:sz w:val="24"/>
          <w:highlight w:val="none"/>
        </w:rPr>
        <w:t>招标文件要求</w:t>
      </w:r>
      <w:r>
        <w:rPr>
          <w:rFonts w:hint="eastAsia"/>
          <w:color w:val="auto"/>
          <w:sz w:val="24"/>
          <w:highlight w:val="none"/>
        </w:rPr>
        <w:t>填写的《参与编制技术标投标文件人员名单》。</w:t>
      </w:r>
    </w:p>
    <w:p>
      <w:pPr>
        <w:spacing w:line="360" w:lineRule="auto"/>
        <w:ind w:firstLine="480" w:firstLineChars="200"/>
        <w:rPr>
          <w:bCs/>
          <w:color w:val="auto"/>
          <w:sz w:val="24"/>
          <w:highlight w:val="none"/>
        </w:rPr>
      </w:pPr>
      <w:r>
        <w:rPr>
          <w:bCs/>
          <w:color w:val="auto"/>
          <w:sz w:val="24"/>
          <w:highlight w:val="none"/>
        </w:rPr>
        <w:t xml:space="preserve">11.3 </w:t>
      </w:r>
      <w:r>
        <w:rPr>
          <w:rFonts w:hint="eastAsia"/>
          <w:bCs/>
          <w:color w:val="auto"/>
          <w:sz w:val="24"/>
          <w:highlight w:val="none"/>
        </w:rPr>
        <w:t>经济部分投标文件主要包括下列内容：</w:t>
      </w:r>
    </w:p>
    <w:p>
      <w:pPr>
        <w:spacing w:line="360" w:lineRule="auto"/>
        <w:ind w:firstLine="480" w:firstLineChars="200"/>
        <w:rPr>
          <w:color w:val="auto"/>
          <w:sz w:val="24"/>
          <w:highlight w:val="none"/>
        </w:rPr>
      </w:pPr>
      <w:r>
        <w:rPr>
          <w:color w:val="auto"/>
          <w:sz w:val="24"/>
          <w:highlight w:val="none"/>
        </w:rPr>
        <w:t xml:space="preserve">11.3.1 </w:t>
      </w:r>
      <w:r>
        <w:rPr>
          <w:rFonts w:hint="eastAsia"/>
          <w:color w:val="auto"/>
          <w:sz w:val="24"/>
          <w:highlight w:val="none"/>
        </w:rPr>
        <w:t>经济投标文件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11.3.2</w:t>
      </w:r>
      <w:r>
        <w:rPr>
          <w:rFonts w:hint="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 w:val="24"/>
          <w:szCs w:val="24"/>
          <w:highlight w:val="none"/>
        </w:rPr>
        <w:t>其中包括如下：</w:t>
      </w:r>
      <w:r>
        <w:rPr>
          <w:color w:val="auto"/>
          <w:sz w:val="24"/>
          <w:highlight w:val="none"/>
        </w:rPr>
        <w:t xml:space="preserve"> </w:t>
      </w:r>
    </w:p>
    <w:p>
      <w:pPr>
        <w:spacing w:line="360" w:lineRule="auto"/>
        <w:ind w:firstLine="566" w:firstLineChars="236"/>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）投标总价封面、扉页；</w:t>
      </w:r>
    </w:p>
    <w:p>
      <w:pPr>
        <w:spacing w:line="360" w:lineRule="auto"/>
        <w:ind w:firstLine="566" w:firstLineChars="236"/>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）总说明</w:t>
      </w:r>
    </w:p>
    <w:p>
      <w:pPr>
        <w:spacing w:line="360" w:lineRule="auto"/>
        <w:ind w:firstLine="566" w:firstLineChars="236"/>
        <w:rPr>
          <w:color w:val="auto"/>
          <w:sz w:val="24"/>
          <w:szCs w:val="24"/>
          <w:highlight w:val="none"/>
        </w:rPr>
      </w:pPr>
      <w:r>
        <w:rPr>
          <w:rFonts w:hint="eastAsia"/>
          <w:color w:val="auto"/>
          <w:sz w:val="24"/>
          <w:szCs w:val="24"/>
          <w:highlight w:val="none"/>
        </w:rPr>
        <w:t>（3）工程项目投标报价汇总表；</w:t>
      </w:r>
    </w:p>
    <w:p>
      <w:pPr>
        <w:spacing w:line="360" w:lineRule="auto"/>
        <w:ind w:firstLine="566" w:firstLineChars="236"/>
        <w:rPr>
          <w:color w:val="auto"/>
          <w:sz w:val="24"/>
          <w:szCs w:val="24"/>
          <w:highlight w:val="none"/>
        </w:rPr>
      </w:pPr>
      <w:r>
        <w:rPr>
          <w:rFonts w:hint="eastAsia"/>
          <w:color w:val="auto"/>
          <w:sz w:val="24"/>
          <w:szCs w:val="24"/>
          <w:highlight w:val="none"/>
        </w:rPr>
        <w:t>（4）单项工程投标报价汇总表；</w:t>
      </w:r>
    </w:p>
    <w:p>
      <w:pPr>
        <w:spacing w:line="360" w:lineRule="auto"/>
        <w:ind w:firstLine="566" w:firstLineChars="236"/>
        <w:rPr>
          <w:color w:val="auto"/>
          <w:sz w:val="24"/>
          <w:szCs w:val="24"/>
          <w:highlight w:val="none"/>
        </w:rPr>
      </w:pPr>
      <w:r>
        <w:rPr>
          <w:rFonts w:hint="eastAsia"/>
          <w:color w:val="auto"/>
          <w:sz w:val="24"/>
          <w:szCs w:val="24"/>
          <w:highlight w:val="none"/>
        </w:rPr>
        <w:t>（5）单位工程投标报价汇总表；</w:t>
      </w:r>
    </w:p>
    <w:p>
      <w:pPr>
        <w:spacing w:line="360" w:lineRule="auto"/>
        <w:ind w:firstLine="566" w:firstLineChars="236"/>
        <w:rPr>
          <w:color w:val="auto"/>
          <w:sz w:val="24"/>
          <w:szCs w:val="24"/>
          <w:highlight w:val="none"/>
        </w:rPr>
      </w:pPr>
      <w:r>
        <w:rPr>
          <w:rFonts w:hint="eastAsia"/>
          <w:color w:val="auto"/>
          <w:sz w:val="24"/>
          <w:szCs w:val="24"/>
          <w:highlight w:val="none"/>
        </w:rPr>
        <w:t>（6）分部分项工程清单与计价表；</w:t>
      </w:r>
    </w:p>
    <w:p>
      <w:pPr>
        <w:spacing w:line="360" w:lineRule="auto"/>
        <w:ind w:firstLine="566" w:firstLineChars="236"/>
        <w:rPr>
          <w:color w:val="auto"/>
          <w:sz w:val="24"/>
          <w:szCs w:val="24"/>
          <w:highlight w:val="none"/>
        </w:rPr>
      </w:pPr>
      <w:r>
        <w:rPr>
          <w:rFonts w:hint="eastAsia"/>
          <w:color w:val="auto"/>
          <w:sz w:val="24"/>
          <w:szCs w:val="24"/>
          <w:highlight w:val="none"/>
        </w:rPr>
        <w:t>（7）单价措施项目清单与计价表；</w:t>
      </w:r>
    </w:p>
    <w:p>
      <w:pPr>
        <w:spacing w:line="360" w:lineRule="auto"/>
        <w:ind w:firstLine="566" w:firstLineChars="236"/>
        <w:rPr>
          <w:color w:val="auto"/>
          <w:sz w:val="24"/>
          <w:szCs w:val="24"/>
          <w:highlight w:val="none"/>
        </w:rPr>
      </w:pPr>
      <w:r>
        <w:rPr>
          <w:rFonts w:hint="eastAsia"/>
          <w:color w:val="auto"/>
          <w:sz w:val="24"/>
          <w:szCs w:val="24"/>
          <w:highlight w:val="none"/>
        </w:rPr>
        <w:t>（8）总价措施项目清单与计价表；</w:t>
      </w:r>
    </w:p>
    <w:p>
      <w:pPr>
        <w:spacing w:line="360" w:lineRule="auto"/>
        <w:ind w:firstLine="566" w:firstLineChars="236"/>
        <w:rPr>
          <w:color w:val="auto"/>
          <w:sz w:val="24"/>
          <w:szCs w:val="24"/>
          <w:highlight w:val="none"/>
        </w:rPr>
      </w:pPr>
      <w:r>
        <w:rPr>
          <w:rFonts w:hint="eastAsia"/>
          <w:color w:val="auto"/>
          <w:sz w:val="24"/>
          <w:szCs w:val="24"/>
          <w:highlight w:val="none"/>
        </w:rPr>
        <w:t>（9）综合单价分析表；</w:t>
      </w:r>
    </w:p>
    <w:p>
      <w:pPr>
        <w:spacing w:line="360" w:lineRule="auto"/>
        <w:ind w:firstLine="566" w:firstLineChars="236"/>
        <w:rPr>
          <w:color w:val="auto"/>
          <w:sz w:val="24"/>
          <w:szCs w:val="24"/>
          <w:highlight w:val="none"/>
        </w:rPr>
      </w:pPr>
      <w:r>
        <w:rPr>
          <w:rFonts w:hint="eastAsia"/>
          <w:color w:val="auto"/>
          <w:sz w:val="24"/>
          <w:szCs w:val="24"/>
          <w:highlight w:val="none"/>
        </w:rPr>
        <w:t>（10）其他项目清单与计价汇总表；</w:t>
      </w:r>
    </w:p>
    <w:p>
      <w:pPr>
        <w:spacing w:line="360" w:lineRule="auto"/>
        <w:ind w:firstLine="566" w:firstLineChars="236"/>
        <w:rPr>
          <w:color w:val="auto"/>
          <w:sz w:val="24"/>
          <w:szCs w:val="24"/>
          <w:highlight w:val="none"/>
        </w:rPr>
      </w:pPr>
      <w:r>
        <w:rPr>
          <w:rFonts w:hint="eastAsia"/>
          <w:color w:val="auto"/>
          <w:sz w:val="24"/>
          <w:szCs w:val="24"/>
          <w:highlight w:val="none"/>
        </w:rPr>
        <w:t>（11）暂列金额明细表；</w:t>
      </w:r>
    </w:p>
    <w:p>
      <w:pPr>
        <w:spacing w:line="360" w:lineRule="auto"/>
        <w:ind w:firstLine="566" w:firstLineChars="236"/>
        <w:rPr>
          <w:color w:val="auto"/>
          <w:sz w:val="24"/>
          <w:szCs w:val="24"/>
          <w:highlight w:val="none"/>
        </w:rPr>
      </w:pPr>
      <w:r>
        <w:rPr>
          <w:rFonts w:hint="eastAsia"/>
          <w:color w:val="auto"/>
          <w:sz w:val="24"/>
          <w:szCs w:val="24"/>
          <w:highlight w:val="none"/>
        </w:rPr>
        <w:t>（12）材料（工程设备）暂估价明细表；</w:t>
      </w:r>
    </w:p>
    <w:p>
      <w:pPr>
        <w:spacing w:line="360" w:lineRule="auto"/>
        <w:ind w:firstLine="566" w:firstLineChars="236"/>
        <w:rPr>
          <w:color w:val="auto"/>
          <w:sz w:val="24"/>
          <w:szCs w:val="24"/>
          <w:highlight w:val="none"/>
        </w:rPr>
      </w:pPr>
      <w:r>
        <w:rPr>
          <w:rFonts w:hint="eastAsia"/>
          <w:color w:val="auto"/>
          <w:sz w:val="24"/>
          <w:szCs w:val="24"/>
          <w:highlight w:val="none"/>
        </w:rPr>
        <w:t>（13）专业工程暂估价明细表；</w:t>
      </w:r>
    </w:p>
    <w:p>
      <w:pPr>
        <w:spacing w:line="360" w:lineRule="auto"/>
        <w:ind w:firstLine="566" w:firstLineChars="236"/>
        <w:rPr>
          <w:color w:val="auto"/>
          <w:sz w:val="24"/>
          <w:szCs w:val="24"/>
          <w:highlight w:val="none"/>
        </w:rPr>
      </w:pPr>
      <w:r>
        <w:rPr>
          <w:rFonts w:hint="eastAsia"/>
          <w:color w:val="auto"/>
          <w:sz w:val="24"/>
          <w:szCs w:val="24"/>
          <w:highlight w:val="none"/>
        </w:rPr>
        <w:t>（14）计日工表；</w:t>
      </w:r>
    </w:p>
    <w:p>
      <w:pPr>
        <w:spacing w:line="360" w:lineRule="auto"/>
        <w:ind w:firstLine="566" w:firstLineChars="236"/>
        <w:rPr>
          <w:color w:val="auto"/>
          <w:sz w:val="24"/>
          <w:szCs w:val="24"/>
          <w:highlight w:val="none"/>
        </w:rPr>
      </w:pPr>
      <w:r>
        <w:rPr>
          <w:rFonts w:hint="eastAsia"/>
          <w:color w:val="auto"/>
          <w:sz w:val="24"/>
          <w:szCs w:val="24"/>
          <w:highlight w:val="none"/>
        </w:rPr>
        <w:t>（15）总承包服务计价表；</w:t>
      </w:r>
    </w:p>
    <w:p>
      <w:pPr>
        <w:spacing w:line="360" w:lineRule="auto"/>
        <w:ind w:firstLine="566" w:firstLineChars="236"/>
        <w:rPr>
          <w:color w:val="auto"/>
          <w:sz w:val="24"/>
          <w:szCs w:val="24"/>
          <w:highlight w:val="none"/>
        </w:rPr>
      </w:pPr>
      <w:r>
        <w:rPr>
          <w:rFonts w:hint="eastAsia"/>
          <w:color w:val="auto"/>
          <w:sz w:val="24"/>
          <w:szCs w:val="24"/>
          <w:highlight w:val="none"/>
        </w:rPr>
        <w:t>（16）规费和税金项目计价表；</w:t>
      </w:r>
    </w:p>
    <w:p>
      <w:pPr>
        <w:spacing w:line="360" w:lineRule="auto"/>
        <w:ind w:firstLine="480" w:firstLineChars="200"/>
        <w:rPr>
          <w:color w:val="auto"/>
          <w:sz w:val="24"/>
          <w:highlight w:val="none"/>
        </w:rPr>
      </w:pPr>
      <w:r>
        <w:rPr>
          <w:rFonts w:hint="eastAsia"/>
          <w:color w:val="auto"/>
          <w:sz w:val="24"/>
          <w:szCs w:val="24"/>
          <w:highlight w:val="none"/>
        </w:rPr>
        <w:t xml:space="preserve"> （17）人工、主要材料和设备一览表</w:t>
      </w:r>
    </w:p>
    <w:p>
      <w:pPr>
        <w:tabs>
          <w:tab w:val="left" w:pos="1125"/>
        </w:tabs>
        <w:spacing w:line="360" w:lineRule="auto"/>
        <w:ind w:firstLine="480" w:firstLineChars="200"/>
        <w:rPr>
          <w:color w:val="auto"/>
          <w:sz w:val="24"/>
          <w:highlight w:val="none"/>
        </w:rPr>
      </w:pPr>
      <w:r>
        <w:rPr>
          <w:color w:val="auto"/>
          <w:sz w:val="24"/>
          <w:highlight w:val="none"/>
        </w:rPr>
        <w:t>11.3.</w:t>
      </w:r>
      <w:r>
        <w:rPr>
          <w:rFonts w:hint="eastAsia"/>
          <w:color w:val="auto"/>
          <w:sz w:val="24"/>
          <w:highlight w:val="none"/>
        </w:rPr>
        <w:t>3按照</w:t>
      </w:r>
      <w:r>
        <w:rPr>
          <w:rFonts w:hint="eastAsia"/>
          <w:bCs/>
          <w:color w:val="auto"/>
          <w:sz w:val="24"/>
          <w:highlight w:val="none"/>
        </w:rPr>
        <w:t>招标文件要求</w:t>
      </w:r>
      <w:r>
        <w:rPr>
          <w:rFonts w:hint="eastAsia"/>
          <w:color w:val="auto"/>
          <w:sz w:val="24"/>
          <w:highlight w:val="none"/>
        </w:rPr>
        <w:t>填写的《参与编制经济标投标文件人员名单》。</w:t>
      </w:r>
    </w:p>
    <w:p>
      <w:pPr>
        <w:tabs>
          <w:tab w:val="left" w:pos="1125"/>
        </w:tabs>
        <w:spacing w:line="360" w:lineRule="auto"/>
        <w:ind w:firstLine="480" w:firstLineChars="200"/>
        <w:rPr>
          <w:color w:val="auto"/>
          <w:sz w:val="24"/>
          <w:highlight w:val="none"/>
        </w:rPr>
      </w:pPr>
      <w:r>
        <w:rPr>
          <w:rFonts w:hint="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color w:val="auto"/>
          <w:sz w:val="24"/>
          <w:highlight w:val="none"/>
        </w:rPr>
      </w:pPr>
      <w:r>
        <w:rPr>
          <w:color w:val="auto"/>
          <w:sz w:val="24"/>
          <w:highlight w:val="none"/>
        </w:rPr>
        <w:t>16.1</w:t>
      </w:r>
      <w:r>
        <w:rPr>
          <w:rFonts w:hint="eastAsia"/>
          <w:color w:val="auto"/>
          <w:sz w:val="24"/>
          <w:highlight w:val="none"/>
        </w:rPr>
        <w:t>投标人应按投标须知前附表第</w:t>
      </w:r>
      <w:r>
        <w:rPr>
          <w:color w:val="auto"/>
          <w:sz w:val="24"/>
          <w:highlight w:val="none"/>
        </w:rPr>
        <w:t>14</w:t>
      </w:r>
      <w:r>
        <w:rPr>
          <w:rFonts w:hint="eastAsia"/>
          <w:color w:val="auto"/>
          <w:sz w:val="24"/>
          <w:highlight w:val="none"/>
        </w:rPr>
        <w:t>项所述金额和时间递交</w:t>
      </w:r>
      <w:r>
        <w:rPr>
          <w:rFonts w:hint="eastAsia"/>
          <w:bCs/>
          <w:color w:val="auto"/>
          <w:sz w:val="24"/>
          <w:highlight w:val="none"/>
        </w:rPr>
        <w:t>投标保证金</w:t>
      </w:r>
      <w:r>
        <w:rPr>
          <w:rFonts w:hint="eastAsia"/>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color w:val="auto"/>
          <w:sz w:val="24"/>
          <w:highlight w:val="none"/>
        </w:rPr>
      </w:pPr>
      <w:r>
        <w:rPr>
          <w:rFonts w:hint="eastAsia"/>
          <w:color w:val="auto"/>
          <w:sz w:val="24"/>
          <w:highlight w:val="none"/>
        </w:rPr>
        <w:t>16.1.1 采用现金或者支票形式提交的，投标保证金须从投标人的银行基本账户转出。</w:t>
      </w:r>
    </w:p>
    <w:p>
      <w:pPr>
        <w:spacing w:line="360" w:lineRule="auto"/>
        <w:ind w:firstLine="480" w:firstLineChars="200"/>
        <w:rPr>
          <w:color w:val="auto"/>
          <w:sz w:val="24"/>
          <w:highlight w:val="none"/>
        </w:rPr>
      </w:pPr>
      <w:r>
        <w:rPr>
          <w:rFonts w:hint="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color w:val="auto"/>
          <w:sz w:val="24"/>
          <w:highlight w:val="none"/>
        </w:rPr>
      </w:pPr>
      <w:r>
        <w:rPr>
          <w:rFonts w:hint="eastAsia"/>
          <w:color w:val="auto"/>
          <w:sz w:val="24"/>
          <w:highlight w:val="none"/>
        </w:rPr>
        <w:t>16.1.3 采用电子形式的保函、担保或保证保险提交投标保证金的，应在招标文件中明确电子递交途径。</w:t>
      </w:r>
    </w:p>
    <w:p>
      <w:pPr>
        <w:spacing w:line="360" w:lineRule="auto"/>
        <w:ind w:firstLine="480" w:firstLineChars="200"/>
        <w:rPr>
          <w:color w:val="auto"/>
          <w:sz w:val="24"/>
          <w:highlight w:val="none"/>
        </w:rPr>
      </w:pPr>
      <w:r>
        <w:rPr>
          <w:rFonts w:hint="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color w:val="auto"/>
          <w:sz w:val="24"/>
          <w:highlight w:val="none"/>
        </w:rPr>
      </w:pPr>
      <w:r>
        <w:rPr>
          <w:rFonts w:hint="eastAsia"/>
          <w:color w:val="auto"/>
          <w:sz w:val="24"/>
          <w:highlight w:val="none"/>
        </w:rPr>
        <w:t>16.3投标保证金应依据法律法规的相关规定退还。</w:t>
      </w:r>
    </w:p>
    <w:p>
      <w:pPr>
        <w:spacing w:line="360" w:lineRule="auto"/>
        <w:ind w:firstLine="480" w:firstLineChars="200"/>
        <w:rPr>
          <w:color w:val="auto"/>
          <w:sz w:val="24"/>
          <w:highlight w:val="none"/>
        </w:rPr>
      </w:pPr>
      <w:r>
        <w:rPr>
          <w:rFonts w:hint="eastAsia"/>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color w:val="auto"/>
          <w:sz w:val="24"/>
          <w:highlight w:val="none"/>
        </w:rPr>
      </w:pPr>
      <w:r>
        <w:rPr>
          <w:rFonts w:hint="eastAsia"/>
          <w:color w:val="auto"/>
          <w:sz w:val="24"/>
          <w:highlight w:val="none"/>
        </w:rPr>
        <w:t>16.4.1因投标人原因造成投标文件未解密的；</w:t>
      </w:r>
    </w:p>
    <w:p>
      <w:pPr>
        <w:spacing w:line="360" w:lineRule="auto"/>
        <w:ind w:firstLine="480" w:firstLineChars="200"/>
        <w:rPr>
          <w:color w:val="auto"/>
          <w:sz w:val="24"/>
          <w:highlight w:val="none"/>
        </w:rPr>
      </w:pPr>
      <w:r>
        <w:rPr>
          <w:rFonts w:hint="eastAsia"/>
          <w:color w:val="auto"/>
          <w:sz w:val="24"/>
          <w:highlight w:val="none"/>
        </w:rPr>
        <w:t>16.4.2投标人在投标有效期内撤销投标文件；</w:t>
      </w:r>
    </w:p>
    <w:p>
      <w:pPr>
        <w:spacing w:line="360" w:lineRule="auto"/>
        <w:ind w:firstLine="480" w:firstLineChars="200"/>
        <w:rPr>
          <w:color w:val="auto"/>
          <w:sz w:val="24"/>
          <w:highlight w:val="none"/>
        </w:rPr>
      </w:pPr>
      <w:r>
        <w:rPr>
          <w:rFonts w:hint="eastAsia"/>
          <w:color w:val="auto"/>
          <w:sz w:val="24"/>
          <w:highlight w:val="none"/>
        </w:rPr>
        <w:t>16.4.3中标人未能在规定期限内按要求提交履约担保；</w:t>
      </w:r>
    </w:p>
    <w:p>
      <w:pPr>
        <w:spacing w:line="360" w:lineRule="auto"/>
        <w:ind w:firstLine="480" w:firstLineChars="200"/>
        <w:rPr>
          <w:color w:val="auto"/>
          <w:sz w:val="24"/>
          <w:highlight w:val="none"/>
        </w:rPr>
      </w:pPr>
      <w:r>
        <w:rPr>
          <w:rFonts w:hint="eastAsia"/>
          <w:color w:val="auto"/>
          <w:sz w:val="24"/>
          <w:highlight w:val="none"/>
        </w:rPr>
        <w:t>16.4.4中标人未能在规定期限内签署合同协议。</w:t>
      </w:r>
    </w:p>
    <w:p>
      <w:pPr>
        <w:spacing w:line="360" w:lineRule="auto"/>
        <w:ind w:firstLine="480" w:firstLineChars="200"/>
        <w:rPr>
          <w:color w:val="auto"/>
          <w:sz w:val="24"/>
          <w:highlight w:val="none"/>
        </w:rPr>
      </w:pPr>
      <w:r>
        <w:rPr>
          <w:rFonts w:hint="eastAsia"/>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color w:val="auto"/>
          <w:sz w:val="24"/>
          <w:highlight w:val="none"/>
        </w:rPr>
      </w:pPr>
      <w:r>
        <w:rPr>
          <w:rFonts w:hint="eastAsia"/>
          <w:color w:val="auto"/>
          <w:sz w:val="24"/>
          <w:highlight w:val="none"/>
        </w:rPr>
        <w:t>16.5.1投标人存在16.4条款所列情形且投标人提交的保函、担保或保证保险无法兑付的；</w:t>
      </w:r>
    </w:p>
    <w:p>
      <w:pPr>
        <w:spacing w:line="360" w:lineRule="auto"/>
        <w:ind w:firstLine="480" w:firstLineChars="200"/>
        <w:rPr>
          <w:color w:val="auto"/>
          <w:sz w:val="24"/>
          <w:highlight w:val="none"/>
        </w:rPr>
      </w:pPr>
      <w:r>
        <w:rPr>
          <w:rFonts w:hint="eastAsia"/>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16.5.3按招标文件要求免于提供投标保证金的投标人存在16.4条款所列情形的。</w:t>
      </w:r>
    </w:p>
    <w:p>
      <w:pPr>
        <w:spacing w:line="360" w:lineRule="auto"/>
        <w:ind w:firstLine="480" w:firstLineChars="200"/>
        <w:rPr>
          <w:color w:val="auto"/>
          <w:sz w:val="24"/>
          <w:highlight w:val="none"/>
        </w:rPr>
      </w:pPr>
      <w:r>
        <w:rPr>
          <w:rFonts w:hint="eastAsia"/>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color w:val="auto"/>
          <w:sz w:val="24"/>
          <w:highlight w:val="none"/>
        </w:rPr>
      </w:pPr>
      <w:r>
        <w:rPr>
          <w:color w:val="auto"/>
          <w:sz w:val="24"/>
          <w:highlight w:val="none"/>
        </w:rPr>
        <w:t>17.1</w:t>
      </w:r>
      <w:r>
        <w:rPr>
          <w:rFonts w:hint="eastAsia"/>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olor w:val="auto"/>
          <w:sz w:val="24"/>
          <w:highlight w:val="none"/>
          <w:u w:val="single"/>
        </w:rPr>
        <w:t xml:space="preserve">            </w:t>
      </w:r>
      <w:r>
        <w:rPr>
          <w:rFonts w:hint="eastAsia"/>
          <w:color w:val="auto"/>
          <w:sz w:val="24"/>
          <w:highlight w:val="none"/>
        </w:rPr>
        <w:t xml:space="preserve"> 。</w:t>
      </w:r>
    </w:p>
    <w:p>
      <w:pPr>
        <w:pStyle w:val="8"/>
        <w:spacing w:before="156" w:after="156"/>
        <w:rPr>
          <w:color w:val="auto"/>
          <w:highlight w:val="none"/>
        </w:rPr>
      </w:pPr>
      <w:bookmarkStart w:id="8" w:name="_Toc2638"/>
      <w:r>
        <w:rPr>
          <w:rFonts w:hint="eastAsia"/>
          <w:color w:val="auto"/>
          <w:highlight w:val="none"/>
        </w:rPr>
        <w:t>（四）投标文件的提交</w:t>
      </w:r>
      <w:bookmarkEnd w:id="8"/>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.1</w:t>
      </w:r>
      <w:r>
        <w:rPr>
          <w:rFonts w:hint="eastAsia"/>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 xml:space="preserve">.2 </w:t>
      </w:r>
      <w:r>
        <w:rPr>
          <w:rFonts w:hint="eastAsia"/>
          <w:bCs/>
          <w:color w:val="auto"/>
          <w:sz w:val="24"/>
          <w:highlight w:val="none"/>
        </w:rPr>
        <w:t>未按要求加密的投标文件，</w:t>
      </w:r>
      <w:r>
        <w:rPr>
          <w:color w:val="auto"/>
          <w:sz w:val="24"/>
          <w:szCs w:val="24"/>
          <w:highlight w:val="none"/>
          <w:u w:val="single"/>
        </w:rPr>
        <w:t xml:space="preserve">        </w:t>
      </w:r>
      <w:r>
        <w:rPr>
          <w:rFonts w:hint="eastAsia"/>
          <w:color w:val="auto"/>
          <w:sz w:val="24"/>
          <w:szCs w:val="24"/>
          <w:highlight w:val="none"/>
        </w:rPr>
        <w:t>交易平台</w:t>
      </w:r>
      <w:r>
        <w:rPr>
          <w:rFonts w:hint="eastAsia"/>
          <w:bCs/>
          <w:color w:val="auto"/>
          <w:sz w:val="24"/>
          <w:highlight w:val="none"/>
        </w:rPr>
        <w:t>将予以拒收。</w:t>
      </w:r>
    </w:p>
    <w:p>
      <w:pPr>
        <w:spacing w:line="360" w:lineRule="auto"/>
        <w:ind w:firstLine="482" w:firstLineChars="200"/>
        <w:rPr>
          <w:b/>
          <w:bCs/>
          <w:color w:val="auto"/>
          <w:sz w:val="24"/>
          <w:highlight w:val="none"/>
        </w:rPr>
      </w:pPr>
      <w:r>
        <w:rPr>
          <w:b/>
          <w:bCs/>
          <w:color w:val="auto"/>
          <w:sz w:val="24"/>
          <w:highlight w:val="none"/>
        </w:rPr>
        <w:t>19</w:t>
      </w:r>
      <w:r>
        <w:rPr>
          <w:rFonts w:hint="eastAsia"/>
          <w:b/>
          <w:bCs/>
          <w:color w:val="auto"/>
          <w:sz w:val="24"/>
          <w:highlight w:val="none"/>
        </w:rPr>
        <w:t>．投标文件的递交和接收</w:t>
      </w:r>
    </w:p>
    <w:p>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1投标人通过</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递交电子投标文件。</w:t>
      </w:r>
    </w:p>
    <w:p>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2投标人完成电子</w:t>
      </w:r>
      <w:r>
        <w:rPr>
          <w:rFonts w:hint="eastAsia"/>
          <w:color w:val="auto"/>
          <w:sz w:val="24"/>
          <w:highlight w:val="none"/>
        </w:rPr>
        <w:t>投标文件</w:t>
      </w:r>
      <w:r>
        <w:rPr>
          <w:rFonts w:hint="eastAsia"/>
          <w:bCs/>
          <w:color w:val="auto"/>
          <w:sz w:val="24"/>
          <w:highlight w:val="none"/>
        </w:rPr>
        <w:t>上传后，</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即时向投标人发出递交回执通知。递交时间以递交回执通知载明的传输完成时间为准。</w:t>
      </w:r>
    </w:p>
    <w:p>
      <w:pPr>
        <w:spacing w:line="360" w:lineRule="auto"/>
        <w:ind w:firstLine="480" w:firstLineChars="200"/>
        <w:rPr>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3</w:t>
      </w:r>
      <w:r>
        <w:rPr>
          <w:rFonts w:hint="eastAsia"/>
          <w:bCs/>
          <w:color w:val="auto"/>
          <w:sz w:val="24"/>
          <w:szCs w:val="24"/>
          <w:highlight w:val="none"/>
        </w:rPr>
        <w:t>逾期送达的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4</w:t>
      </w:r>
      <w:r>
        <w:rPr>
          <w:color w:val="auto"/>
          <w:sz w:val="24"/>
          <w:highlight w:val="none"/>
        </w:rPr>
        <w:t xml:space="preserve"> </w:t>
      </w:r>
      <w:r>
        <w:rPr>
          <w:rFonts w:hint="eastAsia"/>
          <w:color w:val="auto"/>
          <w:sz w:val="24"/>
          <w:szCs w:val="24"/>
          <w:highlight w:val="none"/>
        </w:rPr>
        <w:t>投标截止前，招标人拒绝接收符合条件的投标文件，投标人可向招标投标监督机构投诉。</w:t>
      </w:r>
    </w:p>
    <w:p>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5如技术标和经济标先后分别开启，</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将按招标文件规定的时间分别开启技术标和经济标。</w:t>
      </w:r>
    </w:p>
    <w:p>
      <w:pPr>
        <w:spacing w:line="360" w:lineRule="auto"/>
        <w:ind w:firstLine="480" w:firstLineChars="200"/>
        <w:rPr>
          <w:color w:val="auto"/>
          <w:sz w:val="24"/>
          <w:highlight w:val="none"/>
        </w:rPr>
      </w:pPr>
      <w:r>
        <w:rPr>
          <w:color w:val="auto"/>
          <w:sz w:val="24"/>
          <w:szCs w:val="24"/>
          <w:highlight w:val="none"/>
        </w:rPr>
        <w:t>19.6</w:t>
      </w:r>
      <w:r>
        <w:rPr>
          <w:rFonts w:hint="eastAsia"/>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color w:val="auto"/>
          <w:sz w:val="24"/>
          <w:highlight w:val="none"/>
        </w:rPr>
        <w:t>该投标文件将不能参与资格审查和评标</w:t>
      </w:r>
      <w:r>
        <w:rPr>
          <w:rFonts w:hint="eastAsia"/>
          <w:color w:val="auto"/>
          <w:sz w:val="24"/>
          <w:szCs w:val="24"/>
          <w:highlight w:val="none"/>
        </w:rPr>
        <w:t>（选择性条款）。</w:t>
      </w:r>
    </w:p>
    <w:p>
      <w:pPr>
        <w:spacing w:line="360" w:lineRule="auto"/>
        <w:ind w:firstLine="482" w:firstLineChars="200"/>
        <w:rPr>
          <w:b/>
          <w:bCs/>
          <w:color w:val="auto"/>
          <w:sz w:val="24"/>
          <w:highlight w:val="none"/>
        </w:rPr>
      </w:pPr>
      <w:r>
        <w:rPr>
          <w:b/>
          <w:bCs/>
          <w:color w:val="auto"/>
          <w:sz w:val="24"/>
          <w:highlight w:val="none"/>
        </w:rPr>
        <w:t>20</w:t>
      </w:r>
      <w:r>
        <w:rPr>
          <w:rFonts w:hint="eastAsia"/>
          <w:b/>
          <w:bCs/>
          <w:color w:val="auto"/>
          <w:sz w:val="24"/>
          <w:highlight w:val="none"/>
        </w:rPr>
        <w:t>．投标文件提交的截止时间</w:t>
      </w:r>
    </w:p>
    <w:p>
      <w:pPr>
        <w:spacing w:line="360" w:lineRule="auto"/>
        <w:ind w:firstLine="480" w:firstLineChars="200"/>
        <w:rPr>
          <w:b/>
          <w:bCs/>
          <w:color w:val="auto"/>
          <w:sz w:val="24"/>
          <w:highlight w:val="none"/>
        </w:rPr>
      </w:pPr>
      <w:r>
        <w:rPr>
          <w:color w:val="auto"/>
          <w:sz w:val="24"/>
          <w:highlight w:val="none"/>
        </w:rPr>
        <w:t>20.1</w:t>
      </w:r>
      <w:r>
        <w:rPr>
          <w:rFonts w:hint="eastAsia"/>
          <w:color w:val="auto"/>
          <w:sz w:val="24"/>
          <w:highlight w:val="none"/>
        </w:rPr>
        <w:t>投标人应在投标须知前附表第17项所述的时间前提交投标文件。</w:t>
      </w:r>
    </w:p>
    <w:p>
      <w:pPr>
        <w:spacing w:line="360" w:lineRule="auto"/>
        <w:ind w:firstLine="480" w:firstLineChars="200"/>
        <w:rPr>
          <w:color w:val="auto"/>
          <w:sz w:val="24"/>
          <w:highlight w:val="none"/>
        </w:rPr>
      </w:pPr>
      <w:r>
        <w:rPr>
          <w:color w:val="auto"/>
          <w:sz w:val="24"/>
          <w:highlight w:val="none"/>
        </w:rPr>
        <w:t>20.2</w:t>
      </w:r>
      <w:r>
        <w:rPr>
          <w:rFonts w:hint="eastAsia"/>
          <w:color w:val="auto"/>
          <w:sz w:val="24"/>
          <w:highlight w:val="none"/>
        </w:rPr>
        <w:t>招标人可按本须知第</w:t>
      </w:r>
      <w:r>
        <w:rPr>
          <w:color w:val="auto"/>
          <w:sz w:val="24"/>
          <w:highlight w:val="none"/>
        </w:rPr>
        <w:t>9</w:t>
      </w:r>
      <w:r>
        <w:rPr>
          <w:rFonts w:hint="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color w:val="auto"/>
          <w:sz w:val="24"/>
          <w:highlight w:val="none"/>
        </w:rPr>
      </w:pPr>
      <w:r>
        <w:rPr>
          <w:color w:val="auto"/>
          <w:sz w:val="24"/>
          <w:highlight w:val="none"/>
        </w:rPr>
        <w:t xml:space="preserve">20.3 </w:t>
      </w:r>
      <w:r>
        <w:rPr>
          <w:rFonts w:hint="eastAsia"/>
          <w:color w:val="auto"/>
          <w:sz w:val="24"/>
          <w:highlight w:val="none"/>
        </w:rPr>
        <w:t>到投标截止时间止，招标人收到的投标文件少于3家的，招标人将重新组织招标</w:t>
      </w:r>
      <w:r>
        <w:rPr>
          <w:rFonts w:hint="eastAsia"/>
          <w:color w:val="auto"/>
          <w:sz w:val="24"/>
          <w:szCs w:val="24"/>
          <w:highlight w:val="none"/>
        </w:rPr>
        <w:t>（当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r>
        <w:rPr>
          <w:rFonts w:hint="eastAsia"/>
          <w:color w:val="auto"/>
          <w:sz w:val="24"/>
          <w:highlight w:val="none"/>
        </w:rPr>
        <w:t>。</w:t>
      </w:r>
    </w:p>
    <w:p>
      <w:pPr>
        <w:spacing w:line="360" w:lineRule="auto"/>
        <w:ind w:firstLine="482" w:firstLineChars="200"/>
        <w:rPr>
          <w:b/>
          <w:bCs/>
          <w:color w:val="auto"/>
          <w:sz w:val="24"/>
          <w:highlight w:val="none"/>
        </w:rPr>
      </w:pPr>
      <w:r>
        <w:rPr>
          <w:b/>
          <w:bCs/>
          <w:color w:val="auto"/>
          <w:sz w:val="24"/>
          <w:highlight w:val="none"/>
        </w:rPr>
        <w:t>21</w:t>
      </w:r>
      <w:r>
        <w:rPr>
          <w:rFonts w:hint="eastAsia"/>
          <w:b/>
          <w:bCs/>
          <w:color w:val="auto"/>
          <w:sz w:val="24"/>
          <w:highlight w:val="none"/>
        </w:rPr>
        <w:t>．迟交的投标文件</w:t>
      </w:r>
    </w:p>
    <w:p>
      <w:pPr>
        <w:spacing w:line="360" w:lineRule="auto"/>
        <w:ind w:firstLine="480" w:firstLineChars="200"/>
        <w:rPr>
          <w:color w:val="auto"/>
          <w:sz w:val="24"/>
          <w:highlight w:val="none"/>
        </w:rPr>
      </w:pPr>
      <w:r>
        <w:rPr>
          <w:color w:val="auto"/>
          <w:sz w:val="24"/>
          <w:highlight w:val="none"/>
        </w:rPr>
        <w:t xml:space="preserve">21.1 </w:t>
      </w:r>
      <w:r>
        <w:rPr>
          <w:rFonts w:hint="eastAsia"/>
          <w:color w:val="auto"/>
          <w:sz w:val="24"/>
          <w:highlight w:val="none"/>
        </w:rPr>
        <w:t>本须知前附表第</w:t>
      </w:r>
      <w:r>
        <w:rPr>
          <w:color w:val="auto"/>
          <w:sz w:val="24"/>
          <w:highlight w:val="none"/>
        </w:rPr>
        <w:t>1</w:t>
      </w:r>
      <w:r>
        <w:rPr>
          <w:rFonts w:hint="eastAsia"/>
          <w:color w:val="auto"/>
          <w:sz w:val="24"/>
          <w:highlight w:val="none"/>
        </w:rPr>
        <w:t>7项规定的投标截止时间</w:t>
      </w:r>
      <w:r>
        <w:rPr>
          <w:rFonts w:hint="eastAsia"/>
          <w:bCs/>
          <w:color w:val="auto"/>
          <w:sz w:val="24"/>
          <w:szCs w:val="24"/>
          <w:highlight w:val="none"/>
        </w:rPr>
        <w:t>后送达的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pPr>
        <w:spacing w:line="360" w:lineRule="auto"/>
        <w:ind w:firstLine="482" w:firstLineChars="200"/>
        <w:rPr>
          <w:b/>
          <w:bCs/>
          <w:color w:val="auto"/>
          <w:sz w:val="24"/>
          <w:highlight w:val="none"/>
        </w:rPr>
      </w:pPr>
      <w:r>
        <w:rPr>
          <w:b/>
          <w:bCs/>
          <w:color w:val="auto"/>
          <w:sz w:val="24"/>
          <w:highlight w:val="none"/>
        </w:rPr>
        <w:t>22</w:t>
      </w:r>
      <w:r>
        <w:rPr>
          <w:rFonts w:hint="eastAsia"/>
          <w:b/>
          <w:bCs/>
          <w:color w:val="auto"/>
          <w:sz w:val="24"/>
          <w:highlight w:val="none"/>
        </w:rPr>
        <w:t>．投标文件的修改与撤回</w:t>
      </w:r>
    </w:p>
    <w:p>
      <w:pPr>
        <w:spacing w:line="360" w:lineRule="auto"/>
        <w:ind w:firstLine="480" w:firstLineChars="200"/>
        <w:rPr>
          <w:color w:val="auto"/>
          <w:sz w:val="24"/>
          <w:highlight w:val="none"/>
        </w:rPr>
      </w:pPr>
      <w:r>
        <w:rPr>
          <w:color w:val="auto"/>
          <w:sz w:val="24"/>
          <w:highlight w:val="none"/>
        </w:rPr>
        <w:t>22.1</w:t>
      </w:r>
      <w:r>
        <w:rPr>
          <w:rFonts w:hint="eastAsia"/>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color w:val="auto"/>
          <w:sz w:val="24"/>
          <w:szCs w:val="24"/>
          <w:highlight w:val="none"/>
        </w:rPr>
        <w:t>22.2投标人修改或撤回已递交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color w:val="auto"/>
          <w:sz w:val="24"/>
          <w:szCs w:val="24"/>
          <w:highlight w:val="none"/>
        </w:rPr>
        <w:t>22.3修改后再次递交的，按19点的规定执行。</w:t>
      </w:r>
    </w:p>
    <w:p>
      <w:pPr>
        <w:spacing w:line="360" w:lineRule="auto"/>
        <w:ind w:firstLine="480" w:firstLineChars="200"/>
        <w:rPr>
          <w:color w:val="auto"/>
          <w:sz w:val="24"/>
          <w:highlight w:val="none"/>
        </w:rPr>
      </w:pPr>
      <w:r>
        <w:rPr>
          <w:color w:val="auto"/>
          <w:sz w:val="24"/>
          <w:highlight w:val="none"/>
        </w:rPr>
        <w:t>22.</w:t>
      </w:r>
      <w:r>
        <w:rPr>
          <w:rFonts w:hint="eastAsia"/>
          <w:color w:val="auto"/>
          <w:sz w:val="24"/>
          <w:highlight w:val="none"/>
        </w:rPr>
        <w:t>4</w:t>
      </w:r>
      <w:r>
        <w:rPr>
          <w:color w:val="auto"/>
          <w:sz w:val="24"/>
          <w:highlight w:val="none"/>
        </w:rPr>
        <w:t xml:space="preserve"> </w:t>
      </w:r>
      <w:r>
        <w:rPr>
          <w:rFonts w:hint="eastAsia"/>
          <w:color w:val="auto"/>
          <w:sz w:val="24"/>
          <w:highlight w:val="none"/>
        </w:rPr>
        <w:t>在投标截止时间之后，投标人不得补充、修改和更换投标文件。</w:t>
      </w:r>
    </w:p>
    <w:p>
      <w:pPr>
        <w:pStyle w:val="8"/>
        <w:spacing w:before="156" w:after="156"/>
        <w:rPr>
          <w:color w:val="auto"/>
          <w:highlight w:val="none"/>
        </w:rPr>
      </w:pPr>
      <w:bookmarkStart w:id="9" w:name="_Toc29693"/>
      <w:r>
        <w:rPr>
          <w:rFonts w:hint="eastAsia"/>
          <w:color w:val="auto"/>
          <w:highlight w:val="none"/>
        </w:rPr>
        <w:t>（五）开标、评标、定标及合同签定</w:t>
      </w:r>
      <w:bookmarkEnd w:id="9"/>
    </w:p>
    <w:p>
      <w:pPr>
        <w:spacing w:line="360" w:lineRule="auto"/>
        <w:ind w:firstLine="482" w:firstLineChars="200"/>
        <w:rPr>
          <w:b/>
          <w:bCs/>
          <w:color w:val="auto"/>
          <w:sz w:val="24"/>
          <w:highlight w:val="none"/>
        </w:rPr>
      </w:pPr>
      <w:r>
        <w:rPr>
          <w:b/>
          <w:bCs/>
          <w:color w:val="auto"/>
          <w:sz w:val="24"/>
          <w:highlight w:val="none"/>
        </w:rPr>
        <w:t>23</w:t>
      </w:r>
      <w:r>
        <w:rPr>
          <w:rFonts w:hint="eastAsia"/>
          <w:b/>
          <w:bCs/>
          <w:color w:val="auto"/>
          <w:sz w:val="24"/>
          <w:highlight w:val="none"/>
        </w:rPr>
        <w:t>、开标。</w:t>
      </w:r>
    </w:p>
    <w:p>
      <w:pPr>
        <w:spacing w:line="360" w:lineRule="auto"/>
        <w:ind w:firstLine="480" w:firstLineChars="200"/>
        <w:rPr>
          <w:color w:val="auto"/>
          <w:sz w:val="24"/>
          <w:highlight w:val="none"/>
        </w:rPr>
      </w:pPr>
      <w:r>
        <w:rPr>
          <w:rFonts w:hint="eastAsia"/>
          <w:color w:val="auto"/>
          <w:sz w:val="24"/>
          <w:highlight w:val="none"/>
        </w:rPr>
        <w:t>详见第二章开标、评标及定标办法</w:t>
      </w:r>
    </w:p>
    <w:p>
      <w:pPr>
        <w:spacing w:line="360" w:lineRule="auto"/>
        <w:ind w:firstLine="482" w:firstLineChars="200"/>
        <w:rPr>
          <w:b/>
          <w:bCs/>
          <w:color w:val="auto"/>
          <w:sz w:val="24"/>
          <w:highlight w:val="none"/>
        </w:rPr>
      </w:pPr>
      <w:r>
        <w:rPr>
          <w:b/>
          <w:bCs/>
          <w:color w:val="auto"/>
          <w:sz w:val="24"/>
          <w:highlight w:val="none"/>
        </w:rPr>
        <w:t>24</w:t>
      </w:r>
      <w:r>
        <w:rPr>
          <w:rFonts w:hint="eastAsia"/>
          <w:b/>
          <w:bCs/>
          <w:color w:val="auto"/>
          <w:sz w:val="24"/>
          <w:highlight w:val="none"/>
        </w:rPr>
        <w:t>．评标过程的保密</w:t>
      </w:r>
    </w:p>
    <w:p>
      <w:pPr>
        <w:spacing w:line="360" w:lineRule="auto"/>
        <w:ind w:firstLine="480" w:firstLineChars="200"/>
        <w:rPr>
          <w:color w:val="auto"/>
          <w:sz w:val="24"/>
          <w:highlight w:val="none"/>
        </w:rPr>
      </w:pPr>
      <w:r>
        <w:rPr>
          <w:color w:val="auto"/>
          <w:sz w:val="24"/>
          <w:highlight w:val="none"/>
        </w:rPr>
        <w:t xml:space="preserve">24.1 </w:t>
      </w:r>
      <w:r>
        <w:rPr>
          <w:rFonts w:hint="eastAsia"/>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color w:val="auto"/>
          <w:sz w:val="24"/>
          <w:highlight w:val="none"/>
        </w:rPr>
      </w:pPr>
      <w:r>
        <w:rPr>
          <w:color w:val="auto"/>
          <w:sz w:val="24"/>
          <w:highlight w:val="none"/>
        </w:rPr>
        <w:t xml:space="preserve">24.2 </w:t>
      </w:r>
      <w:r>
        <w:rPr>
          <w:rFonts w:hint="eastAsia"/>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b/>
          <w:bCs/>
          <w:color w:val="auto"/>
          <w:sz w:val="24"/>
          <w:highlight w:val="none"/>
        </w:rPr>
      </w:pPr>
      <w:r>
        <w:rPr>
          <w:b/>
          <w:bCs/>
          <w:color w:val="auto"/>
          <w:sz w:val="24"/>
          <w:highlight w:val="none"/>
        </w:rPr>
        <w:t>25</w:t>
      </w:r>
      <w:r>
        <w:rPr>
          <w:rFonts w:hint="eastAsia"/>
          <w:b/>
          <w:bCs/>
          <w:color w:val="auto"/>
          <w:sz w:val="24"/>
          <w:highlight w:val="none"/>
        </w:rPr>
        <w:t>．投标文件的澄清，计算错误的修正</w:t>
      </w:r>
    </w:p>
    <w:p>
      <w:pPr>
        <w:spacing w:line="360" w:lineRule="auto"/>
        <w:ind w:firstLine="480" w:firstLineChars="200"/>
        <w:rPr>
          <w:color w:val="auto"/>
          <w:sz w:val="24"/>
          <w:highlight w:val="none"/>
        </w:rPr>
      </w:pPr>
      <w:r>
        <w:rPr>
          <w:rFonts w:hint="eastAsia"/>
          <w:color w:val="auto"/>
          <w:sz w:val="24"/>
          <w:highlight w:val="none"/>
        </w:rPr>
        <w:t>详见招标文件第二章开标、评标及定标办法</w:t>
      </w:r>
    </w:p>
    <w:p>
      <w:pPr>
        <w:spacing w:line="360" w:lineRule="auto"/>
        <w:ind w:firstLine="482" w:firstLineChars="200"/>
        <w:rPr>
          <w:b/>
          <w:bCs/>
          <w:color w:val="auto"/>
          <w:sz w:val="24"/>
          <w:highlight w:val="none"/>
        </w:rPr>
      </w:pPr>
      <w:r>
        <w:rPr>
          <w:b/>
          <w:bCs/>
          <w:color w:val="auto"/>
          <w:sz w:val="24"/>
          <w:highlight w:val="none"/>
        </w:rPr>
        <w:t>26</w:t>
      </w:r>
      <w:r>
        <w:rPr>
          <w:rFonts w:hint="eastAsia"/>
          <w:b/>
          <w:bCs/>
          <w:color w:val="auto"/>
          <w:sz w:val="24"/>
          <w:highlight w:val="none"/>
        </w:rPr>
        <w:t>．投标文件的评审、比较和否决</w:t>
      </w:r>
    </w:p>
    <w:p>
      <w:pPr>
        <w:spacing w:line="360" w:lineRule="auto"/>
        <w:ind w:firstLine="480" w:firstLineChars="200"/>
        <w:rPr>
          <w:bCs/>
          <w:color w:val="auto"/>
          <w:sz w:val="24"/>
          <w:szCs w:val="24"/>
          <w:highlight w:val="none"/>
        </w:rPr>
      </w:pPr>
      <w:r>
        <w:rPr>
          <w:rFonts w:hint="eastAsia"/>
          <w:color w:val="auto"/>
          <w:sz w:val="24"/>
          <w:highlight w:val="none"/>
        </w:rPr>
        <w:t>详见招标文件第二章开标、评标及定标办法。</w:t>
      </w:r>
    </w:p>
    <w:p>
      <w:pPr>
        <w:spacing w:line="360" w:lineRule="auto"/>
        <w:ind w:firstLine="482" w:firstLineChars="200"/>
        <w:rPr>
          <w:b/>
          <w:bCs/>
          <w:color w:val="auto"/>
          <w:sz w:val="24"/>
          <w:highlight w:val="none"/>
        </w:rPr>
      </w:pPr>
      <w:r>
        <w:rPr>
          <w:b/>
          <w:bCs/>
          <w:color w:val="auto"/>
          <w:sz w:val="24"/>
          <w:highlight w:val="none"/>
        </w:rPr>
        <w:t>27</w:t>
      </w:r>
      <w:r>
        <w:rPr>
          <w:rFonts w:hint="eastAsia"/>
          <w:b/>
          <w:bCs/>
          <w:color w:val="auto"/>
          <w:sz w:val="24"/>
          <w:highlight w:val="none"/>
        </w:rPr>
        <w:t>．中标通知书</w:t>
      </w:r>
    </w:p>
    <w:p>
      <w:pPr>
        <w:spacing w:line="360" w:lineRule="auto"/>
        <w:ind w:firstLine="480" w:firstLineChars="200"/>
        <w:rPr>
          <w:color w:val="auto"/>
          <w:sz w:val="24"/>
          <w:highlight w:val="none"/>
        </w:rPr>
      </w:pPr>
      <w:r>
        <w:rPr>
          <w:color w:val="auto"/>
          <w:sz w:val="24"/>
          <w:highlight w:val="none"/>
        </w:rPr>
        <w:t>27.1</w:t>
      </w:r>
      <w:r>
        <w:rPr>
          <w:rFonts w:hint="eastAsia"/>
          <w:color w:val="auto"/>
          <w:sz w:val="24"/>
          <w:highlight w:val="none"/>
        </w:rPr>
        <w:t>招标人将在</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eastAsia="仿宋_GB2312"/>
          <w:color w:val="auto"/>
          <w:sz w:val="24"/>
          <w:highlight w:val="none"/>
        </w:rPr>
      </w:pPr>
      <w:r>
        <w:rPr>
          <w:color w:val="auto"/>
          <w:sz w:val="24"/>
          <w:highlight w:val="none"/>
        </w:rPr>
        <w:t>27.2</w:t>
      </w:r>
      <w:r>
        <w:rPr>
          <w:rFonts w:hint="eastAsia"/>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color w:val="auto"/>
          <w:sz w:val="24"/>
          <w:highlight w:val="none"/>
        </w:rPr>
      </w:pPr>
      <w:r>
        <w:rPr>
          <w:color w:val="auto"/>
          <w:sz w:val="24"/>
          <w:highlight w:val="none"/>
        </w:rPr>
        <w:t>27.3</w:t>
      </w:r>
      <w:r>
        <w:rPr>
          <w:rFonts w:hint="eastAsia"/>
          <w:color w:val="auto"/>
          <w:sz w:val="24"/>
          <w:highlight w:val="none"/>
        </w:rPr>
        <w:t>中标人必须在收到中标通知书后</w:t>
      </w:r>
      <w:r>
        <w:rPr>
          <w:color w:val="auto"/>
          <w:sz w:val="24"/>
          <w:highlight w:val="none"/>
        </w:rPr>
        <w:t>24</w:t>
      </w:r>
      <w:r>
        <w:rPr>
          <w:rFonts w:hint="eastAsia"/>
          <w:color w:val="auto"/>
          <w:sz w:val="24"/>
          <w:highlight w:val="none"/>
        </w:rPr>
        <w:t>小时之内以书面形式回复招标人，确认收到。</w:t>
      </w:r>
    </w:p>
    <w:p>
      <w:pPr>
        <w:spacing w:line="360" w:lineRule="auto"/>
        <w:ind w:firstLine="480" w:firstLineChars="200"/>
        <w:rPr>
          <w:color w:val="auto"/>
          <w:sz w:val="24"/>
          <w:highlight w:val="none"/>
        </w:rPr>
      </w:pPr>
      <w:r>
        <w:rPr>
          <w:rFonts w:hint="eastAsia"/>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color w:val="auto"/>
          <w:sz w:val="24"/>
          <w:szCs w:val="24"/>
          <w:highlight w:val="none"/>
        </w:rPr>
        <w:t>交易平台和广东省招标投标监管网</w:t>
      </w:r>
      <w:r>
        <w:rPr>
          <w:rFonts w:hint="eastAsia"/>
          <w:color w:val="auto"/>
          <w:sz w:val="24"/>
          <w:highlight w:val="none"/>
        </w:rPr>
        <w:t>公开。</w:t>
      </w:r>
    </w:p>
    <w:p>
      <w:pPr>
        <w:spacing w:line="360" w:lineRule="auto"/>
        <w:ind w:firstLine="482" w:firstLineChars="200"/>
        <w:rPr>
          <w:b/>
          <w:bCs/>
          <w:color w:val="auto"/>
          <w:sz w:val="24"/>
          <w:highlight w:val="none"/>
        </w:rPr>
      </w:pPr>
      <w:r>
        <w:rPr>
          <w:b/>
          <w:bCs/>
          <w:color w:val="auto"/>
          <w:sz w:val="24"/>
          <w:highlight w:val="none"/>
        </w:rPr>
        <w:t>28</w:t>
      </w:r>
      <w:r>
        <w:rPr>
          <w:rFonts w:hint="eastAsia"/>
          <w:b/>
          <w:bCs/>
          <w:color w:val="auto"/>
          <w:sz w:val="24"/>
          <w:highlight w:val="none"/>
        </w:rPr>
        <w:t>．合同协议书的签订</w:t>
      </w:r>
    </w:p>
    <w:p>
      <w:pPr>
        <w:spacing w:line="360" w:lineRule="auto"/>
        <w:ind w:firstLine="480" w:firstLineChars="200"/>
        <w:rPr>
          <w:color w:val="auto"/>
          <w:sz w:val="24"/>
          <w:highlight w:val="none"/>
        </w:rPr>
      </w:pPr>
      <w:r>
        <w:rPr>
          <w:color w:val="auto"/>
          <w:sz w:val="24"/>
          <w:highlight w:val="none"/>
        </w:rPr>
        <w:t xml:space="preserve">28.1 </w:t>
      </w:r>
      <w:r>
        <w:rPr>
          <w:rFonts w:hint="eastAsia"/>
          <w:color w:val="auto"/>
          <w:sz w:val="24"/>
          <w:highlight w:val="none"/>
        </w:rPr>
        <w:t>招标人与中标人将于中标通知书发出之日起</w:t>
      </w:r>
      <w:r>
        <w:rPr>
          <w:color w:val="auto"/>
          <w:sz w:val="24"/>
          <w:highlight w:val="none"/>
        </w:rPr>
        <w:t>30</w:t>
      </w:r>
      <w:r>
        <w:rPr>
          <w:rFonts w:hint="eastAsia"/>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color w:val="auto"/>
          <w:sz w:val="24"/>
          <w:highlight w:val="none"/>
        </w:rPr>
      </w:pPr>
      <w:r>
        <w:rPr>
          <w:color w:val="auto"/>
          <w:sz w:val="24"/>
          <w:highlight w:val="none"/>
        </w:rPr>
        <w:t>28.2</w:t>
      </w:r>
      <w:r>
        <w:rPr>
          <w:rFonts w:hint="eastAsia"/>
          <w:color w:val="auto"/>
          <w:sz w:val="24"/>
          <w:highlight w:val="none"/>
        </w:rPr>
        <w:t>中标通知书发出之日起</w:t>
      </w:r>
      <w:r>
        <w:rPr>
          <w:color w:val="auto"/>
          <w:sz w:val="24"/>
          <w:highlight w:val="none"/>
        </w:rPr>
        <w:t>30</w:t>
      </w:r>
      <w:r>
        <w:rPr>
          <w:rFonts w:hint="eastAsia"/>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color w:val="auto"/>
          <w:sz w:val="24"/>
          <w:highlight w:val="none"/>
        </w:rPr>
      </w:pPr>
      <w:r>
        <w:rPr>
          <w:color w:val="auto"/>
          <w:sz w:val="24"/>
          <w:highlight w:val="none"/>
        </w:rPr>
        <w:t>28.3</w:t>
      </w:r>
      <w:r>
        <w:rPr>
          <w:rFonts w:hint="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color w:val="auto"/>
          <w:sz w:val="24"/>
          <w:highlight w:val="none"/>
        </w:rPr>
      </w:pPr>
      <w:r>
        <w:rPr>
          <w:color w:val="auto"/>
          <w:sz w:val="24"/>
          <w:highlight w:val="none"/>
        </w:rPr>
        <w:t>28.4</w:t>
      </w:r>
      <w:r>
        <w:rPr>
          <w:rFonts w:hint="eastAsia"/>
          <w:color w:val="auto"/>
          <w:sz w:val="24"/>
          <w:highlight w:val="none"/>
        </w:rPr>
        <w:t>招标人支付工程款时，中标人应按规定开具发票。</w:t>
      </w:r>
    </w:p>
    <w:p>
      <w:pPr>
        <w:spacing w:line="360" w:lineRule="auto"/>
        <w:ind w:firstLine="482" w:firstLineChars="200"/>
        <w:rPr>
          <w:b/>
          <w:bCs/>
          <w:color w:val="auto"/>
          <w:sz w:val="24"/>
          <w:highlight w:val="none"/>
        </w:rPr>
      </w:pPr>
      <w:r>
        <w:rPr>
          <w:b/>
          <w:bCs/>
          <w:color w:val="auto"/>
          <w:sz w:val="24"/>
          <w:highlight w:val="none"/>
        </w:rPr>
        <w:t>29</w:t>
      </w:r>
      <w:r>
        <w:rPr>
          <w:rFonts w:hint="eastAsia"/>
          <w:b/>
          <w:bCs/>
          <w:color w:val="auto"/>
          <w:sz w:val="24"/>
          <w:highlight w:val="none"/>
        </w:rPr>
        <w:t>．履约担保</w:t>
      </w:r>
    </w:p>
    <w:p>
      <w:pPr>
        <w:snapToGrid w:val="0"/>
        <w:spacing w:line="360" w:lineRule="auto"/>
        <w:ind w:firstLine="480" w:firstLineChars="200"/>
        <w:rPr>
          <w:color w:val="auto"/>
          <w:sz w:val="24"/>
          <w:highlight w:val="none"/>
        </w:rPr>
      </w:pPr>
      <w:r>
        <w:rPr>
          <w:color w:val="auto"/>
          <w:sz w:val="24"/>
          <w:highlight w:val="none"/>
        </w:rPr>
        <w:t xml:space="preserve">29.1 </w:t>
      </w:r>
      <w:r>
        <w:rPr>
          <w:rFonts w:hint="eastAsia"/>
          <w:color w:val="auto"/>
          <w:sz w:val="24"/>
          <w:highlight w:val="none"/>
        </w:rPr>
        <w:t>在收到中标通知书后的</w:t>
      </w:r>
      <w:r>
        <w:rPr>
          <w:b/>
          <w:color w:val="auto"/>
          <w:sz w:val="24"/>
          <w:highlight w:val="none"/>
        </w:rPr>
        <w:t>15</w:t>
      </w:r>
      <w:r>
        <w:rPr>
          <w:rFonts w:hint="eastAsia"/>
          <w:b/>
          <w:color w:val="auto"/>
          <w:sz w:val="24"/>
          <w:highlight w:val="none"/>
        </w:rPr>
        <w:t>日</w:t>
      </w:r>
      <w:r>
        <w:rPr>
          <w:rFonts w:hint="eastAsia"/>
          <w:color w:val="auto"/>
          <w:sz w:val="24"/>
          <w:highlight w:val="none"/>
        </w:rPr>
        <w:t>内，中标人应按本须知前附表第</w:t>
      </w:r>
      <w:r>
        <w:rPr>
          <w:color w:val="auto"/>
          <w:sz w:val="24"/>
          <w:highlight w:val="none"/>
        </w:rPr>
        <w:t>2</w:t>
      </w:r>
      <w:r>
        <w:rPr>
          <w:rFonts w:hint="eastAsia"/>
          <w:color w:val="auto"/>
          <w:sz w:val="24"/>
          <w:highlight w:val="none"/>
        </w:rPr>
        <w:t>0项的规定向招标人提交履约担保。</w:t>
      </w:r>
    </w:p>
    <w:p>
      <w:pPr>
        <w:snapToGrid w:val="0"/>
        <w:spacing w:line="360" w:lineRule="auto"/>
        <w:ind w:firstLine="480" w:firstLineChars="200"/>
        <w:rPr>
          <w:color w:val="auto"/>
          <w:sz w:val="24"/>
          <w:highlight w:val="none"/>
        </w:rPr>
      </w:pPr>
      <w:r>
        <w:rPr>
          <w:color w:val="auto"/>
          <w:sz w:val="24"/>
          <w:highlight w:val="none"/>
        </w:rPr>
        <w:t>29.2</w:t>
      </w:r>
      <w:r>
        <w:rPr>
          <w:rFonts w:hint="eastAsia"/>
          <w:color w:val="auto"/>
          <w:sz w:val="24"/>
          <w:highlight w:val="none"/>
        </w:rPr>
        <w:t>中标通知书发出之日起</w:t>
      </w:r>
      <w:r>
        <w:rPr>
          <w:color w:val="auto"/>
          <w:sz w:val="24"/>
          <w:highlight w:val="none"/>
        </w:rPr>
        <w:t>15</w:t>
      </w:r>
      <w:r>
        <w:rPr>
          <w:rFonts w:hint="eastAsia"/>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b/>
          <w:bCs/>
          <w:color w:val="auto"/>
          <w:sz w:val="24"/>
          <w:highlight w:val="none"/>
        </w:rPr>
      </w:pPr>
      <w:r>
        <w:rPr>
          <w:b/>
          <w:bCs/>
          <w:color w:val="auto"/>
          <w:sz w:val="24"/>
          <w:highlight w:val="none"/>
        </w:rPr>
        <w:t>30</w:t>
      </w:r>
      <w:r>
        <w:rPr>
          <w:rFonts w:hint="eastAsia"/>
          <w:b/>
          <w:bCs/>
          <w:color w:val="auto"/>
          <w:sz w:val="24"/>
          <w:highlight w:val="none"/>
        </w:rPr>
        <w:t>．合同生效</w:t>
      </w:r>
    </w:p>
    <w:p>
      <w:pPr>
        <w:spacing w:line="360" w:lineRule="auto"/>
        <w:ind w:firstLine="480" w:firstLineChars="200"/>
        <w:rPr>
          <w:color w:val="auto"/>
          <w:sz w:val="24"/>
          <w:highlight w:val="none"/>
        </w:rPr>
      </w:pPr>
      <w:r>
        <w:rPr>
          <w:color w:val="auto"/>
          <w:sz w:val="24"/>
          <w:highlight w:val="none"/>
        </w:rPr>
        <w:t>30.1</w:t>
      </w:r>
      <w:r>
        <w:rPr>
          <w:rFonts w:hint="eastAsia"/>
          <w:color w:val="auto"/>
          <w:sz w:val="24"/>
          <w:highlight w:val="none"/>
        </w:rPr>
        <w:t>在合同双方全权代表在合同协议书上签字，并分别加盖双方单位的公章后，合同正式生效。</w:t>
      </w:r>
    </w:p>
    <w:p>
      <w:pPr>
        <w:spacing w:line="360" w:lineRule="auto"/>
        <w:ind w:firstLine="482" w:firstLineChars="200"/>
        <w:rPr>
          <w:b/>
          <w:bCs/>
          <w:color w:val="auto"/>
          <w:sz w:val="24"/>
          <w:highlight w:val="none"/>
        </w:rPr>
      </w:pPr>
      <w:r>
        <w:rPr>
          <w:b/>
          <w:bCs/>
          <w:color w:val="auto"/>
          <w:sz w:val="24"/>
          <w:highlight w:val="none"/>
        </w:rPr>
        <w:t>31</w:t>
      </w:r>
      <w:r>
        <w:rPr>
          <w:rFonts w:hint="eastAsia"/>
          <w:b/>
          <w:bCs/>
          <w:color w:val="auto"/>
          <w:sz w:val="24"/>
          <w:highlight w:val="none"/>
        </w:rPr>
        <w:t>．其它费用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b/>
          <w:color w:val="auto"/>
          <w:sz w:val="24"/>
          <w:highlight w:val="none"/>
        </w:rPr>
      </w:pPr>
      <w:r>
        <w:rPr>
          <w:rFonts w:hint="eastAsia"/>
          <w:b/>
          <w:color w:val="auto"/>
          <w:sz w:val="24"/>
          <w:highlight w:val="none"/>
        </w:rPr>
        <w:t>33. 投标人信誉的要求</w:t>
      </w:r>
    </w:p>
    <w:p>
      <w:pPr>
        <w:spacing w:line="480" w:lineRule="auto"/>
        <w:ind w:firstLine="537" w:firstLineChars="224"/>
        <w:rPr>
          <w:color w:val="auto"/>
          <w:sz w:val="24"/>
          <w:highlight w:val="none"/>
        </w:rPr>
      </w:pPr>
      <w:r>
        <w:rPr>
          <w:rFonts w:hint="eastAsia"/>
          <w:color w:val="auto"/>
          <w:sz w:val="24"/>
          <w:highlight w:val="none"/>
        </w:rPr>
        <w:t>存在下列情形之一的，招标人可以限制其投标（需在招标文件中明确评定方法）</w:t>
      </w:r>
    </w:p>
    <w:p>
      <w:pPr>
        <w:spacing w:line="480" w:lineRule="auto"/>
        <w:ind w:firstLine="537" w:firstLineChars="224"/>
        <w:rPr>
          <w:color w:val="auto"/>
          <w:sz w:val="24"/>
          <w:highlight w:val="none"/>
        </w:rPr>
      </w:pPr>
      <w:r>
        <w:rPr>
          <w:rFonts w:hint="eastAsia"/>
          <w:color w:val="auto"/>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bookmarkEnd w:id="5"/>
      <w:r>
        <w:rPr>
          <w:rFonts w:hint="eastAsia" w:ascii="宋体" w:hAnsi="宋体"/>
          <w:color w:val="auto"/>
          <w:sz w:val="24"/>
          <w:highlight w:val="none"/>
        </w:rPr>
        <w:t>。</w:t>
      </w:r>
    </w:p>
    <w:p>
      <w:pPr>
        <w:pStyle w:val="3"/>
        <w:spacing w:before="0" w:beforeAutospacing="0" w:after="0" w:afterAutospacing="0"/>
        <w:jc w:val="center"/>
        <w:rPr>
          <w:rFonts w:hint="default"/>
          <w:color w:val="auto"/>
          <w:highlight w:val="none"/>
        </w:rPr>
      </w:pPr>
      <w:r>
        <w:rPr>
          <w:color w:val="auto"/>
          <w:sz w:val="24"/>
          <w:highlight w:val="none"/>
        </w:rPr>
        <w:br w:type="page"/>
      </w:r>
      <w:bookmarkStart w:id="10" w:name="_Toc18664066"/>
      <w:r>
        <w:rPr>
          <w:color w:val="auto"/>
          <w:highlight w:val="none"/>
        </w:rPr>
        <w:t>第二章  开标、评标及定标办法</w:t>
      </w:r>
      <w:bookmarkEnd w:id="10"/>
    </w:p>
    <w:p>
      <w:pPr>
        <w:pStyle w:val="7"/>
        <w:rPr>
          <w:color w:val="auto"/>
          <w:highlight w:val="none"/>
        </w:rPr>
      </w:pPr>
      <w:bookmarkStart w:id="11" w:name="_Toc18664067"/>
      <w:r>
        <w:rPr>
          <w:rFonts w:hint="eastAsia"/>
          <w:color w:val="auto"/>
          <w:sz w:val="28"/>
          <w:szCs w:val="28"/>
          <w:highlight w:val="none"/>
        </w:rPr>
        <w:t>一、</w:t>
      </w:r>
      <w:r>
        <w:rPr>
          <w:rFonts w:hint="eastAsia"/>
          <w:color w:val="auto"/>
          <w:highlight w:val="none"/>
        </w:rPr>
        <w:t>开标、评标及定标办法修改表</w:t>
      </w:r>
      <w:bookmarkEnd w:id="11"/>
    </w:p>
    <w:p>
      <w:pPr>
        <w:pStyle w:val="5"/>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472" w:firstLineChars="224"/>
        <w:rPr>
          <w:rFonts w:cs="宋体"/>
          <w:b/>
          <w:color w:val="auto"/>
          <w:szCs w:val="21"/>
          <w:highlight w:val="none"/>
        </w:rPr>
      </w:pPr>
      <w:r>
        <w:rPr>
          <w:rFonts w:hint="eastAsia" w:cs="宋体"/>
          <w:b/>
          <w:color w:val="auto"/>
          <w:szCs w:val="21"/>
          <w:highlight w:val="none"/>
        </w:rPr>
        <w:t>条款号：（二）开标评标办法程序和细则       修改类型：删除</w:t>
      </w:r>
    </w:p>
    <w:p>
      <w:pPr>
        <w:pBdr>
          <w:bottom w:val="single" w:color="auto" w:sz="6" w:space="1"/>
        </w:pBdr>
        <w:spacing w:line="360" w:lineRule="auto"/>
        <w:ind w:firstLine="472" w:firstLineChars="224"/>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可选办法一（适合综合评分法一，技术标与经济标先后分别开启）</w:t>
      </w:r>
    </w:p>
    <w:p>
      <w:pPr>
        <w:pBdr>
          <w:bottom w:val="single" w:color="auto" w:sz="6" w:space="1"/>
        </w:pBdr>
        <w:spacing w:line="360" w:lineRule="auto"/>
        <w:ind w:firstLine="472" w:firstLineChars="224"/>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可选办法二（适合综合评分法一，技术标与经济标同时开启）</w:t>
      </w:r>
    </w:p>
    <w:p>
      <w:pPr>
        <w:pBdr>
          <w:bottom w:val="single" w:color="auto" w:sz="6" w:space="1"/>
        </w:pBdr>
        <w:spacing w:line="360" w:lineRule="auto"/>
        <w:ind w:firstLine="472" w:firstLineChars="224"/>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可选办法三（适合综合评分法二，技术标与经济标先后分别开启）</w:t>
      </w:r>
    </w:p>
    <w:p>
      <w:pPr>
        <w:pBdr>
          <w:bottom w:val="single" w:color="auto" w:sz="6" w:space="1"/>
        </w:pBdr>
        <w:spacing w:line="360" w:lineRule="auto"/>
        <w:ind w:firstLine="472" w:firstLineChars="224"/>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可选办法四（适合综合评分法二，技术标与经济标同时开启）</w:t>
      </w:r>
    </w:p>
    <w:p>
      <w:pPr>
        <w:pBdr>
          <w:bottom w:val="single" w:color="auto" w:sz="6" w:space="1"/>
        </w:pBdr>
        <w:spacing w:line="360" w:lineRule="auto"/>
        <w:ind w:firstLine="472" w:firstLineChars="224"/>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可选办法五（适合综合评分法三，技术标与经济标先后分别开启）</w:t>
      </w:r>
    </w:p>
    <w:p>
      <w:pPr>
        <w:pBdr>
          <w:bottom w:val="single" w:color="auto" w:sz="6" w:space="1"/>
        </w:pBdr>
        <w:spacing w:line="360" w:lineRule="auto"/>
        <w:ind w:firstLine="472" w:firstLineChars="224"/>
        <w:rPr>
          <w:color w:val="auto"/>
          <w:highlight w:val="none"/>
        </w:rPr>
      </w:pPr>
      <w:r>
        <w:rPr>
          <w:rFonts w:hint="eastAsia" w:cs="宋体"/>
          <w:b/>
          <w:color w:val="auto"/>
          <w:szCs w:val="21"/>
          <w:highlight w:val="none"/>
        </w:rPr>
        <w:t>原文：</w:t>
      </w:r>
      <w:r>
        <w:rPr>
          <w:rFonts w:hint="eastAsia"/>
          <w:color w:val="auto"/>
          <w:highlight w:val="none"/>
        </w:rPr>
        <w:t>可选办法</w:t>
      </w:r>
      <w:r>
        <w:rPr>
          <w:rFonts w:hint="eastAsia"/>
          <w:color w:val="auto"/>
          <w:highlight w:val="none"/>
          <w:lang w:val="en-US" w:eastAsia="zh-CN"/>
        </w:rPr>
        <w:t>七</w:t>
      </w:r>
      <w:r>
        <w:rPr>
          <w:rFonts w:hint="eastAsia"/>
          <w:color w:val="auto"/>
          <w:highlight w:val="none"/>
        </w:rPr>
        <w:t>（适合综合评分法</w:t>
      </w:r>
      <w:r>
        <w:rPr>
          <w:rFonts w:hint="eastAsia" w:cs="宋体"/>
          <w:color w:val="auto"/>
          <w:szCs w:val="21"/>
          <w:highlight w:val="none"/>
          <w:lang w:val="en-US" w:eastAsia="zh-CN"/>
        </w:rPr>
        <w:t>四</w:t>
      </w:r>
      <w:r>
        <w:rPr>
          <w:rFonts w:hint="eastAsia"/>
          <w:color w:val="auto"/>
          <w:highlight w:val="none"/>
        </w:rPr>
        <w:t>，技术标与经济标同时开启）</w:t>
      </w:r>
    </w:p>
    <w:p>
      <w:pPr>
        <w:pBdr>
          <w:bottom w:val="single" w:color="auto" w:sz="6" w:space="1"/>
        </w:pBdr>
        <w:spacing w:line="360" w:lineRule="auto"/>
        <w:ind w:firstLine="472" w:firstLineChars="224"/>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可选办法八（适合经评审的最低投标价法，技术标与经济标同时开启）</w:t>
      </w:r>
    </w:p>
    <w:p>
      <w:pPr>
        <w:spacing w:line="48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color w:val="auto"/>
          <w:szCs w:val="21"/>
          <w:highlight w:val="none"/>
        </w:rPr>
        <w:t xml:space="preserve">36.1 </w:t>
      </w:r>
      <w:r>
        <w:rPr>
          <w:rFonts w:hint="eastAsia"/>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color w:val="auto"/>
          <w:szCs w:val="21"/>
          <w:highlight w:val="none"/>
        </w:rPr>
        <w:t xml:space="preserve">36.1 </w:t>
      </w:r>
      <w:r>
        <w:rPr>
          <w:rFonts w:hint="eastAsia"/>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22" w:firstLineChars="200"/>
        <w:rPr>
          <w:b/>
          <w:color w:val="auto"/>
          <w:szCs w:val="21"/>
          <w:highlight w:val="none"/>
        </w:rPr>
      </w:pPr>
      <w:r>
        <w:rPr>
          <w:rFonts w:hint="eastAsia"/>
          <w:b/>
          <w:color w:val="auto"/>
          <w:szCs w:val="21"/>
          <w:highlight w:val="none"/>
        </w:rPr>
        <w:t>条款号：</w:t>
      </w:r>
      <w:r>
        <w:rPr>
          <w:rFonts w:hint="eastAsia"/>
          <w:b/>
          <w:bCs/>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color w:val="auto"/>
          <w:szCs w:val="21"/>
          <w:highlight w:val="none"/>
        </w:rPr>
        <w:t>应的评标办法供评标时使用。</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w:t>
      </w:r>
      <w:r>
        <w:rPr>
          <w:rFonts w:hint="eastAsia" w:cs="宋体"/>
          <w:b/>
          <w:bCs/>
          <w:color w:val="auto"/>
          <w:szCs w:val="21"/>
          <w:highlight w:val="none"/>
        </w:rPr>
        <w:t>36.5.1</w:t>
      </w:r>
      <w:r>
        <w:rPr>
          <w:rFonts w:hint="eastAsia" w:cs="宋体"/>
          <w:color w:val="auto"/>
          <w:szCs w:val="21"/>
          <w:highlight w:val="none"/>
        </w:rPr>
        <w:t xml:space="preserve">  </w:t>
      </w:r>
      <w:r>
        <w:rPr>
          <w:rFonts w:hint="eastAsia" w:cs="宋体"/>
          <w:b/>
          <w:color w:val="auto"/>
          <w:szCs w:val="21"/>
          <w:highlight w:val="none"/>
        </w:rPr>
        <w:t xml:space="preserve">                修改类型：修改</w:t>
      </w:r>
    </w:p>
    <w:p>
      <w:pPr>
        <w:pBdr>
          <w:bottom w:val="single" w:color="auto" w:sz="6" w:space="1"/>
        </w:pBdr>
        <w:spacing w:line="360" w:lineRule="auto"/>
        <w:ind w:firstLine="413" w:firstLineChars="196"/>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 xml:space="preserve"> 在投标截止时间后半小时内，投标人通过</w:t>
      </w:r>
      <w:r>
        <w:rPr>
          <w:rFonts w:hint="eastAsia" w:cs="宋体"/>
          <w:color w:val="auto"/>
          <w:szCs w:val="21"/>
          <w:highlight w:val="none"/>
          <w:u w:val="single"/>
        </w:rPr>
        <w:t xml:space="preserve">        </w:t>
      </w:r>
      <w:r>
        <w:rPr>
          <w:rFonts w:hint="eastAsia"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13" w:firstLineChars="196"/>
        <w:rPr>
          <w:rFonts w:cs="宋体"/>
          <w:color w:val="auto"/>
          <w:szCs w:val="21"/>
          <w:highlight w:val="none"/>
        </w:rPr>
      </w:pPr>
      <w:r>
        <w:rPr>
          <w:rFonts w:hint="eastAsia" w:cs="宋体"/>
          <w:b/>
          <w:bCs/>
          <w:color w:val="auto"/>
          <w:szCs w:val="21"/>
          <w:highlight w:val="none"/>
        </w:rPr>
        <w:t>现文：</w:t>
      </w:r>
      <w:r>
        <w:rPr>
          <w:rFonts w:hint="eastAsia" w:cs="宋体"/>
          <w:color w:val="auto"/>
          <w:szCs w:val="21"/>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2" w:firstLineChars="200"/>
        <w:rPr>
          <w:b/>
          <w:color w:val="auto"/>
          <w:szCs w:val="21"/>
          <w:highlight w:val="none"/>
        </w:rPr>
      </w:pPr>
      <w:r>
        <w:rPr>
          <w:rFonts w:hint="eastAsia"/>
          <w:b/>
          <w:color w:val="auto"/>
          <w:szCs w:val="21"/>
          <w:highlight w:val="none"/>
        </w:rPr>
        <w:t>条款号：38.1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3</w:t>
      </w:r>
      <w:r>
        <w:rPr>
          <w:color w:val="auto"/>
          <w:szCs w:val="21"/>
          <w:highlight w:val="none"/>
        </w:rPr>
        <w:t>8.1</w:t>
      </w:r>
      <w:r>
        <w:rPr>
          <w:rFonts w:hint="eastAsia"/>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3</w:t>
      </w:r>
      <w:r>
        <w:rPr>
          <w:color w:val="auto"/>
          <w:szCs w:val="21"/>
          <w:highlight w:val="none"/>
        </w:rPr>
        <w:t>8.1</w:t>
      </w:r>
      <w:r>
        <w:rPr>
          <w:rFonts w:hint="eastAsia"/>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color w:val="auto"/>
          <w:szCs w:val="21"/>
          <w:highlight w:val="none"/>
          <w:u w:val="single"/>
        </w:rPr>
        <w:t>、对同类问题表述不一致、有明显文字和计算错误的内容以及细微偏差</w:t>
      </w:r>
      <w:r>
        <w:rPr>
          <w:rFonts w:hint="eastAsia"/>
          <w:color w:val="auto"/>
          <w:szCs w:val="21"/>
          <w:highlight w:val="none"/>
        </w:rPr>
        <w:t>的内容作出澄清。</w:t>
      </w:r>
    </w:p>
    <w:p>
      <w:pPr>
        <w:spacing w:line="36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 xml:space="preserve">39.3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color w:val="auto"/>
          <w:szCs w:val="21"/>
          <w:highlight w:val="none"/>
        </w:rPr>
        <w:t>39.3</w:t>
      </w:r>
      <w:r>
        <w:rPr>
          <w:rFonts w:hint="eastAsia"/>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color w:val="auto"/>
          <w:szCs w:val="21"/>
          <w:highlight w:val="none"/>
          <w:u w:val="single"/>
        </w:rPr>
      </w:pPr>
      <w:r>
        <w:rPr>
          <w:rFonts w:hint="eastAsia"/>
          <w:b/>
          <w:color w:val="auto"/>
          <w:szCs w:val="21"/>
          <w:highlight w:val="none"/>
        </w:rPr>
        <w:t>现文：</w:t>
      </w:r>
      <w:r>
        <w:rPr>
          <w:color w:val="auto"/>
          <w:szCs w:val="21"/>
          <w:highlight w:val="none"/>
        </w:rPr>
        <w:t>39.3</w:t>
      </w:r>
      <w:r>
        <w:rPr>
          <w:rFonts w:hint="eastAsia"/>
          <w:bCs/>
          <w:color w:val="auto"/>
          <w:szCs w:val="21"/>
          <w:highlight w:val="none"/>
        </w:rPr>
        <w:t>排名第一的中标候选人放弃中标、或因不可抗力提出不能履行合同，或者招标文件规定应当提交履约担保而在规定的期限内未能提交的，</w:t>
      </w:r>
      <w:r>
        <w:rPr>
          <w:rFonts w:hint="eastAsia" w:cs="宋体"/>
          <w:bCs/>
          <w:color w:val="auto"/>
          <w:szCs w:val="21"/>
          <w:highlight w:val="none"/>
          <w:u w:val="single"/>
        </w:rPr>
        <w:t>或经核查发现委派的项目负责人已在</w:t>
      </w:r>
      <w:r>
        <w:rPr>
          <w:rFonts w:hint="eastAsia"/>
          <w:color w:val="auto"/>
          <w:kern w:val="0"/>
          <w:szCs w:val="21"/>
          <w:highlight w:val="none"/>
        </w:rPr>
        <w:t>其他在建项目中任施工单位项目负责人</w:t>
      </w:r>
      <w:r>
        <w:rPr>
          <w:rFonts w:hint="eastAsia" w:cs="宋体"/>
          <w:bCs/>
          <w:color w:val="auto"/>
          <w:szCs w:val="21"/>
          <w:highlight w:val="none"/>
          <w:u w:val="single"/>
        </w:rPr>
        <w:t>的，或因中标候选人原因在招标文件规定时间内未与招标人完成合同签署的，招标人可以重新招标，也可以确定排名第二的中标候选人为中标人，如第二中标候选人出现前款所列的情形的，招标人也可以确定排名第三的中标候选人为中标人，如所有中标候选人均出现前款所列的情形，为招标失败，招标人依法重新招标</w:t>
      </w:r>
      <w:r>
        <w:rPr>
          <w:rFonts w:hint="eastAsia"/>
          <w:bCs/>
          <w:color w:val="auto"/>
          <w:szCs w:val="21"/>
          <w:highlight w:val="none"/>
          <w:u w:val="single"/>
        </w:rPr>
        <w:t>。</w:t>
      </w:r>
    </w:p>
    <w:p>
      <w:pPr>
        <w:spacing w:line="480" w:lineRule="auto"/>
        <w:ind w:firstLine="422" w:firstLineChars="200"/>
        <w:rPr>
          <w:b/>
          <w:color w:val="auto"/>
          <w:szCs w:val="21"/>
          <w:highlight w:val="none"/>
        </w:rPr>
      </w:pPr>
      <w:r>
        <w:rPr>
          <w:rFonts w:hint="eastAsia"/>
          <w:b/>
          <w:color w:val="auto"/>
          <w:szCs w:val="21"/>
          <w:highlight w:val="none"/>
        </w:rPr>
        <w:t>条款号：41.1                    修改类型：修改</w:t>
      </w:r>
    </w:p>
    <w:p>
      <w:pPr>
        <w:snapToGrid w:val="0"/>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41.1开标由招标人主持。</w:t>
      </w:r>
    </w:p>
    <w:p>
      <w:pPr>
        <w:pBdr>
          <w:bottom w:val="single" w:color="auto" w:sz="6" w:space="1"/>
        </w:pBdr>
        <w:snapToGrid w:val="0"/>
        <w:spacing w:line="360" w:lineRule="auto"/>
        <w:ind w:firstLine="422" w:firstLineChars="200"/>
        <w:rPr>
          <w:color w:val="auto"/>
          <w:sz w:val="24"/>
          <w:szCs w:val="24"/>
          <w:highlight w:val="none"/>
        </w:rPr>
      </w:pPr>
      <w:r>
        <w:rPr>
          <w:rFonts w:hint="eastAsia"/>
          <w:b/>
          <w:color w:val="auto"/>
          <w:szCs w:val="21"/>
          <w:highlight w:val="none"/>
        </w:rPr>
        <w:t>现文：</w:t>
      </w:r>
      <w:r>
        <w:rPr>
          <w:rFonts w:hint="eastAsia"/>
          <w:color w:val="auto"/>
          <w:szCs w:val="21"/>
          <w:highlight w:val="none"/>
        </w:rPr>
        <w:t>41.1开标由招标人</w:t>
      </w:r>
      <w:r>
        <w:rPr>
          <w:rFonts w:hint="eastAsia"/>
          <w:color w:val="auto"/>
          <w:szCs w:val="21"/>
          <w:highlight w:val="none"/>
          <w:u w:val="single"/>
        </w:rPr>
        <w:t>或招标代理</w:t>
      </w:r>
      <w:r>
        <w:rPr>
          <w:rFonts w:hint="eastAsia"/>
          <w:color w:val="auto"/>
          <w:szCs w:val="21"/>
          <w:highlight w:val="none"/>
        </w:rPr>
        <w:t>主持；</w:t>
      </w:r>
    </w:p>
    <w:p>
      <w:pPr>
        <w:spacing w:line="360" w:lineRule="auto"/>
        <w:ind w:firstLine="422" w:firstLineChars="200"/>
        <w:rPr>
          <w:b/>
          <w:color w:val="auto"/>
          <w:szCs w:val="21"/>
          <w:highlight w:val="none"/>
        </w:rPr>
      </w:pPr>
      <w:r>
        <w:rPr>
          <w:rFonts w:hint="eastAsia"/>
          <w:b/>
          <w:color w:val="auto"/>
          <w:szCs w:val="21"/>
          <w:highlight w:val="none"/>
        </w:rPr>
        <w:t>条款号：41.2.1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w:t>
      </w:r>
      <w:r>
        <w:rPr>
          <w:color w:val="auto"/>
          <w:szCs w:val="21"/>
          <w:highlight w:val="none"/>
        </w:rPr>
        <w:t>1.2.1</w:t>
      </w:r>
      <w:r>
        <w:rPr>
          <w:rFonts w:hint="eastAsia"/>
          <w:color w:val="auto"/>
          <w:szCs w:val="21"/>
          <w:highlight w:val="none"/>
        </w:rPr>
        <w:t>投标截止期前，各投标人递交投标文件（包括技术标投标文件、经济标投标文件）至</w:t>
      </w:r>
      <w:r>
        <w:rPr>
          <w:rFonts w:hint="eastAsia"/>
          <w:color w:val="auto"/>
          <w:szCs w:val="21"/>
          <w:highlight w:val="none"/>
          <w:u w:val="single"/>
        </w:rPr>
        <w:t xml:space="preserve">     </w:t>
      </w:r>
      <w:r>
        <w:rPr>
          <w:rFonts w:hint="eastAsia"/>
          <w:color w:val="auto"/>
          <w:szCs w:val="21"/>
          <w:highlight w:val="none"/>
        </w:rPr>
        <w:t>交易平台。有关投标文件提交的事项详见第一章投标须知。</w:t>
      </w:r>
    </w:p>
    <w:p>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4</w:t>
      </w:r>
      <w:r>
        <w:rPr>
          <w:color w:val="auto"/>
          <w:szCs w:val="21"/>
          <w:highlight w:val="none"/>
        </w:rPr>
        <w:t>1.2.1</w:t>
      </w:r>
      <w:r>
        <w:rPr>
          <w:rFonts w:hint="eastAsia"/>
          <w:color w:val="auto"/>
          <w:szCs w:val="21"/>
          <w:highlight w:val="none"/>
        </w:rPr>
        <w:t>投标截止期前，各投标人递交投标文件（包括技术标投标文件、经济标投标文件）至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480" w:lineRule="auto"/>
        <w:ind w:firstLine="422" w:firstLineChars="200"/>
        <w:rPr>
          <w:b/>
          <w:color w:val="auto"/>
          <w:szCs w:val="21"/>
          <w:highlight w:val="none"/>
        </w:rPr>
      </w:pPr>
      <w:r>
        <w:rPr>
          <w:rFonts w:hint="eastAsia"/>
          <w:b/>
          <w:color w:val="auto"/>
          <w:szCs w:val="21"/>
          <w:highlight w:val="none"/>
        </w:rPr>
        <w:t>条款号：42.1</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原文：</w:t>
      </w:r>
      <w:r>
        <w:rPr>
          <w:rFonts w:hint="eastAsia"/>
          <w:bCs/>
          <w:color w:val="auto"/>
          <w:szCs w:val="21"/>
          <w:highlight w:val="none"/>
        </w:rPr>
        <w:t>42.1评标委员会的组成：方式</w:t>
      </w:r>
      <w:r>
        <w:rPr>
          <w:rFonts w:hint="eastAsia"/>
          <w:bCs/>
          <w:color w:val="auto"/>
          <w:szCs w:val="21"/>
          <w:highlight w:val="none"/>
          <w:u w:val="single"/>
        </w:rPr>
        <w:t xml:space="preserve">     </w:t>
      </w:r>
      <w:r>
        <w:rPr>
          <w:rFonts w:hint="eastAsia"/>
          <w:bCs/>
          <w:color w:val="auto"/>
          <w:szCs w:val="21"/>
          <w:highlight w:val="none"/>
        </w:rPr>
        <w:t>。</w:t>
      </w:r>
    </w:p>
    <w:p>
      <w:pPr>
        <w:pBdr>
          <w:bottom w:val="single" w:color="auto" w:sz="6" w:space="1"/>
        </w:pBdr>
        <w:spacing w:line="360" w:lineRule="auto"/>
        <w:ind w:firstLine="420" w:firstLineChars="200"/>
        <w:rPr>
          <w:bCs/>
          <w:color w:val="auto"/>
          <w:szCs w:val="21"/>
          <w:highlight w:val="none"/>
        </w:rPr>
      </w:pPr>
      <w:r>
        <w:rPr>
          <w:rFonts w:hint="eastAsia"/>
          <w:bCs/>
          <w:color w:val="auto"/>
          <w:szCs w:val="21"/>
          <w:highlight w:val="none"/>
        </w:rPr>
        <w:t>方式一：评标委员会为综合评标委员会，负责评标工作。</w:t>
      </w:r>
    </w:p>
    <w:p>
      <w:pPr>
        <w:pBdr>
          <w:bottom w:val="single" w:color="auto" w:sz="6" w:space="1"/>
        </w:pBdr>
        <w:spacing w:line="360" w:lineRule="auto"/>
        <w:ind w:firstLine="420" w:firstLineChars="200"/>
        <w:rPr>
          <w:bCs/>
          <w:color w:val="auto"/>
          <w:szCs w:val="21"/>
          <w:highlight w:val="none"/>
        </w:rPr>
      </w:pPr>
      <w:r>
        <w:rPr>
          <w:rFonts w:hint="eastAsia"/>
          <w:bCs/>
          <w:color w:val="auto"/>
          <w:szCs w:val="21"/>
          <w:highlight w:val="none"/>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4</w:t>
      </w:r>
      <w:r>
        <w:rPr>
          <w:color w:val="auto"/>
          <w:szCs w:val="21"/>
          <w:highlight w:val="none"/>
        </w:rPr>
        <w:t>2.2</w:t>
      </w:r>
      <w:r>
        <w:rPr>
          <w:rFonts w:hint="eastAsia"/>
          <w:color w:val="auto"/>
          <w:szCs w:val="21"/>
          <w:highlight w:val="none"/>
        </w:rPr>
        <w:t>评标委员会的组成：方式</w:t>
      </w:r>
      <w:r>
        <w:rPr>
          <w:rFonts w:hint="eastAsia"/>
          <w:color w:val="auto"/>
          <w:szCs w:val="21"/>
          <w:highlight w:val="none"/>
          <w:u w:val="single"/>
        </w:rPr>
        <w:t xml:space="preserve"> 一 </w:t>
      </w:r>
      <w:r>
        <w:rPr>
          <w:rFonts w:hint="eastAsia"/>
          <w:color w:val="auto"/>
          <w:szCs w:val="21"/>
          <w:highlight w:val="none"/>
        </w:rPr>
        <w:t xml:space="preserve">。 </w:t>
      </w:r>
    </w:p>
    <w:p>
      <w:pPr>
        <w:pBdr>
          <w:bottom w:val="single" w:color="auto" w:sz="6" w:space="1"/>
        </w:pBdr>
        <w:spacing w:line="360" w:lineRule="auto"/>
        <w:ind w:firstLine="422" w:firstLineChars="201"/>
        <w:rPr>
          <w:rFonts w:cs="宋体"/>
          <w:color w:val="auto"/>
          <w:szCs w:val="21"/>
          <w:highlight w:val="none"/>
        </w:rPr>
      </w:pPr>
      <w:r>
        <w:rPr>
          <w:rFonts w:hint="eastAsia"/>
          <w:color w:val="auto"/>
          <w:szCs w:val="21"/>
          <w:highlight w:val="none"/>
        </w:rPr>
        <w:t>方式一：评标委员会为综合评标委员会，负责资格审查及评标工作。</w:t>
      </w:r>
    </w:p>
    <w:p>
      <w:pPr>
        <w:spacing w:line="360" w:lineRule="auto"/>
        <w:ind w:firstLine="424" w:firstLineChars="201"/>
        <w:rPr>
          <w:rFonts w:cs="宋体"/>
          <w:b/>
          <w:color w:val="auto"/>
          <w:szCs w:val="21"/>
          <w:highlight w:val="none"/>
        </w:rPr>
      </w:pPr>
      <w:r>
        <w:rPr>
          <w:rFonts w:hint="eastAsia" w:cs="宋体"/>
          <w:b/>
          <w:color w:val="auto"/>
          <w:szCs w:val="21"/>
          <w:highlight w:val="none"/>
        </w:rPr>
        <w:t>条款号：42.3.2                      修改类型：修改</w:t>
      </w:r>
    </w:p>
    <w:p>
      <w:pPr>
        <w:spacing w:line="360" w:lineRule="auto"/>
        <w:ind w:firstLine="424" w:firstLineChars="201"/>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 xml:space="preserve">42.3.2 </w:t>
      </w:r>
      <w:r>
        <w:rPr>
          <w:rFonts w:hint="eastAsia"/>
          <w:bCs/>
          <w:color w:val="auto"/>
          <w:szCs w:val="21"/>
          <w:highlight w:val="none"/>
          <w:u w:val="single"/>
        </w:rPr>
        <w:t xml:space="preserve">     </w:t>
      </w:r>
      <w:r>
        <w:rPr>
          <w:rFonts w:hint="eastAsia" w:cs="宋体"/>
          <w:color w:val="auto"/>
          <w:szCs w:val="21"/>
          <w:highlight w:val="none"/>
        </w:rPr>
        <w:t>详细审查评分：评标委员会按照本办法附表</w:t>
      </w:r>
      <w:r>
        <w:rPr>
          <w:rFonts w:hint="eastAsia"/>
          <w:bCs/>
          <w:color w:val="auto"/>
          <w:szCs w:val="21"/>
          <w:highlight w:val="none"/>
          <w:u w:val="single"/>
        </w:rPr>
        <w:t xml:space="preserve">     </w:t>
      </w:r>
      <w:r>
        <w:rPr>
          <w:rFonts w:hint="eastAsia" w:cs="宋体"/>
          <w:color w:val="auto"/>
          <w:szCs w:val="21"/>
          <w:highlight w:val="none"/>
        </w:rPr>
        <w:t>《</w:t>
      </w:r>
      <w:r>
        <w:rPr>
          <w:rFonts w:hint="eastAsia"/>
          <w:bCs/>
          <w:color w:val="auto"/>
          <w:szCs w:val="21"/>
          <w:highlight w:val="none"/>
          <w:u w:val="single"/>
        </w:rPr>
        <w:t xml:space="preserve">     </w:t>
      </w:r>
      <w:r>
        <w:rPr>
          <w:rFonts w:hint="eastAsia" w:cs="宋体"/>
          <w:color w:val="auto"/>
          <w:szCs w:val="21"/>
          <w:highlight w:val="none"/>
        </w:rPr>
        <w:t>详细审查评分表》对通过技术标有效性审查的投标文件进行详细审查，评出</w:t>
      </w:r>
      <w:r>
        <w:rPr>
          <w:rFonts w:hint="eastAsia"/>
          <w:bCs/>
          <w:color w:val="auto"/>
          <w:szCs w:val="21"/>
          <w:highlight w:val="none"/>
          <w:u w:val="single"/>
        </w:rPr>
        <w:t xml:space="preserve">     </w:t>
      </w:r>
      <w:r>
        <w:rPr>
          <w:rFonts w:hint="eastAsia" w:cs="宋体"/>
          <w:color w:val="auto"/>
          <w:szCs w:val="21"/>
          <w:highlight w:val="none"/>
        </w:rPr>
        <w:t>得分。</w:t>
      </w:r>
    </w:p>
    <w:p>
      <w:pPr>
        <w:pBdr>
          <w:bottom w:val="single" w:color="auto" w:sz="6" w:space="1"/>
        </w:pBdr>
        <w:spacing w:line="360" w:lineRule="auto"/>
        <w:ind w:firstLine="424" w:firstLineChars="201"/>
        <w:rPr>
          <w:color w:val="auto"/>
          <w:szCs w:val="21"/>
          <w:highlight w:val="none"/>
        </w:rPr>
      </w:pPr>
      <w:r>
        <w:rPr>
          <w:rFonts w:hint="eastAsia" w:cs="宋体"/>
          <w:b/>
          <w:color w:val="auto"/>
          <w:szCs w:val="21"/>
          <w:highlight w:val="none"/>
        </w:rPr>
        <w:t>现文：</w:t>
      </w:r>
      <w:r>
        <w:rPr>
          <w:rFonts w:hint="eastAsia" w:cs="宋体"/>
          <w:color w:val="auto"/>
          <w:szCs w:val="21"/>
          <w:highlight w:val="none"/>
        </w:rPr>
        <w:t>42.3.2</w:t>
      </w:r>
      <w:r>
        <w:rPr>
          <w:rFonts w:hint="eastAsia" w:cs="宋体"/>
          <w:color w:val="auto"/>
          <w:szCs w:val="21"/>
          <w:highlight w:val="none"/>
          <w:u w:val="single"/>
        </w:rPr>
        <w:t>技术标</w:t>
      </w:r>
      <w:r>
        <w:rPr>
          <w:rFonts w:hint="eastAsia" w:cs="宋体"/>
          <w:color w:val="auto"/>
          <w:szCs w:val="21"/>
          <w:highlight w:val="none"/>
        </w:rPr>
        <w:t>详细审查评分：评标委员会按照本办法附表</w:t>
      </w:r>
      <w:r>
        <w:rPr>
          <w:rFonts w:hint="eastAsia" w:cs="宋体"/>
          <w:color w:val="auto"/>
          <w:szCs w:val="21"/>
          <w:highlight w:val="none"/>
          <w:u w:val="single"/>
        </w:rPr>
        <w:t>四</w:t>
      </w:r>
      <w:r>
        <w:rPr>
          <w:rFonts w:hint="eastAsia" w:cs="宋体"/>
          <w:color w:val="auto"/>
          <w:szCs w:val="21"/>
          <w:highlight w:val="none"/>
        </w:rPr>
        <w:t>《</w:t>
      </w:r>
      <w:r>
        <w:rPr>
          <w:rFonts w:hint="eastAsia" w:cs="宋体"/>
          <w:color w:val="auto"/>
          <w:szCs w:val="21"/>
          <w:highlight w:val="none"/>
          <w:u w:val="single"/>
        </w:rPr>
        <w:t>技术标</w:t>
      </w:r>
      <w:r>
        <w:rPr>
          <w:rFonts w:hint="eastAsia" w:cs="宋体"/>
          <w:color w:val="auto"/>
          <w:szCs w:val="21"/>
          <w:highlight w:val="none"/>
        </w:rPr>
        <w:t>详细审查评分表》对通过技术标有效性审查的投标文件进行详细审查，评出</w:t>
      </w:r>
      <w:r>
        <w:rPr>
          <w:rFonts w:hint="eastAsia" w:cs="宋体"/>
          <w:color w:val="auto"/>
          <w:szCs w:val="21"/>
          <w:highlight w:val="none"/>
          <w:u w:val="single"/>
        </w:rPr>
        <w:t>技术标</w:t>
      </w:r>
      <w:r>
        <w:rPr>
          <w:rFonts w:hint="eastAsia" w:cs="宋体"/>
          <w:color w:val="auto"/>
          <w:szCs w:val="21"/>
          <w:highlight w:val="none"/>
        </w:rPr>
        <w:t>得分</w:t>
      </w:r>
      <w:r>
        <w:rPr>
          <w:rFonts w:hint="eastAsia" w:cs="宋体"/>
          <w:color w:val="auto"/>
          <w:szCs w:val="21"/>
          <w:highlight w:val="none"/>
          <w:u w:val="single"/>
        </w:rPr>
        <w:t>（即技术分），投标人的技术标得分为各评委评分的算术平均值（若分数出现小数点时，保留小数点后二位，第三位小数四舍五入）。</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b/>
          <w:bCs/>
          <w:color w:val="auto"/>
          <w:szCs w:val="21"/>
          <w:highlight w:val="none"/>
        </w:rPr>
        <w:t>4</w:t>
      </w:r>
      <w:r>
        <w:rPr>
          <w:rFonts w:hint="eastAsia" w:cs="宋体"/>
          <w:b/>
          <w:bCs/>
          <w:color w:val="auto"/>
          <w:szCs w:val="21"/>
          <w:highlight w:val="none"/>
        </w:rPr>
        <w:t>2.3.4</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color w:val="auto"/>
          <w:szCs w:val="21"/>
          <w:highlight w:val="none"/>
        </w:rPr>
      </w:pPr>
      <w:r>
        <w:rPr>
          <w:rFonts w:hint="eastAsia"/>
          <w:b/>
          <w:bCs/>
          <w:color w:val="auto"/>
          <w:szCs w:val="21"/>
          <w:highlight w:val="none"/>
        </w:rPr>
        <w:t>原文：</w:t>
      </w:r>
      <w:r>
        <w:rPr>
          <w:rFonts w:hint="eastAsia"/>
          <w:color w:val="auto"/>
          <w:szCs w:val="21"/>
          <w:highlight w:val="none"/>
        </w:rPr>
        <w:t>4</w:t>
      </w:r>
      <w:r>
        <w:rPr>
          <w:rFonts w:hint="eastAsia" w:cs="宋体"/>
          <w:color w:val="auto"/>
          <w:szCs w:val="21"/>
          <w:highlight w:val="none"/>
        </w:rPr>
        <w:t>2.3.4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24" w:firstLineChars="201"/>
        <w:rPr>
          <w:rFonts w:cs="宋体"/>
          <w:color w:val="auto"/>
          <w:szCs w:val="21"/>
          <w:highlight w:val="none"/>
          <w:u w:val="single"/>
        </w:rPr>
      </w:pPr>
      <w:r>
        <w:rPr>
          <w:rFonts w:hint="eastAsia"/>
          <w:b/>
          <w:color w:val="auto"/>
          <w:szCs w:val="21"/>
          <w:highlight w:val="none"/>
        </w:rPr>
        <w:t>现文：</w:t>
      </w:r>
      <w:r>
        <w:rPr>
          <w:rFonts w:hint="eastAsia"/>
          <w:color w:val="auto"/>
          <w:szCs w:val="21"/>
          <w:highlight w:val="none"/>
        </w:rPr>
        <w:t>4</w:t>
      </w:r>
      <w:r>
        <w:rPr>
          <w:rFonts w:hint="eastAsia" w:cs="宋体"/>
          <w:color w:val="auto"/>
          <w:szCs w:val="21"/>
          <w:highlight w:val="none"/>
        </w:rPr>
        <w:t>2.3.4评标委员会按照</w:t>
      </w:r>
      <w:r>
        <w:rPr>
          <w:rFonts w:hint="eastAsia" w:cs="宋体"/>
          <w:color w:val="auto"/>
          <w:szCs w:val="21"/>
          <w:highlight w:val="none"/>
          <w:u w:val="single"/>
        </w:rPr>
        <w:t>“第一阶段得分=技术分（满分为100分）×技术分权重（100%）”</w:t>
      </w:r>
      <w:r>
        <w:rPr>
          <w:rFonts w:hint="eastAsia" w:cs="宋体"/>
          <w:color w:val="auto"/>
          <w:szCs w:val="21"/>
          <w:highlight w:val="none"/>
        </w:rPr>
        <w:t>的公式及投标须知前附表第27项的规定，计算各投标人第一阶段得分(按四舍五入的原则保留两位小数)，并按照得分从高到低排列先后次序，若投标人得分相同的，</w:t>
      </w:r>
      <w:r>
        <w:rPr>
          <w:rFonts w:hint="eastAsia" w:cs="宋体"/>
          <w:color w:val="auto"/>
          <w:szCs w:val="21"/>
          <w:highlight w:val="none"/>
          <w:u w:val="single"/>
        </w:rPr>
        <w:t>则以投标总报价较低的排前；投标总报价仍相同的，则对具有相同情况的投标人，由评标委员会采用记名投票方式，确定投标人第一阶段名次的排序。编写第一阶段评审报告。</w:t>
      </w:r>
    </w:p>
    <w:p>
      <w:pPr>
        <w:spacing w:line="360" w:lineRule="auto"/>
        <w:ind w:firstLine="424" w:firstLineChars="201"/>
        <w:rPr>
          <w:rFonts w:cs="宋体"/>
          <w:b/>
          <w:color w:val="auto"/>
          <w:szCs w:val="21"/>
          <w:highlight w:val="none"/>
        </w:rPr>
      </w:pPr>
      <w:r>
        <w:rPr>
          <w:rFonts w:hint="eastAsia" w:cs="宋体"/>
          <w:b/>
          <w:color w:val="auto"/>
          <w:szCs w:val="21"/>
          <w:highlight w:val="none"/>
        </w:rPr>
        <w:t>条款号：42.4.2                      修改类型：修改</w:t>
      </w:r>
    </w:p>
    <w:p>
      <w:pPr>
        <w:spacing w:line="360" w:lineRule="auto"/>
        <w:ind w:firstLine="424" w:firstLineChars="201"/>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42.4.2若进入第二阶段投标人中所有投标报价均大于等于最高投标限价*D%（D的取值范围为[94,100],由招标人自主确定）的（具体金额为：</w:t>
      </w:r>
      <w:r>
        <w:rPr>
          <w:rFonts w:hint="eastAsia" w:cs="宋体"/>
          <w:color w:val="auto"/>
          <w:szCs w:val="21"/>
          <w:highlight w:val="none"/>
          <w:u w:val="single"/>
        </w:rPr>
        <w:t xml:space="preserve">        </w:t>
      </w:r>
      <w:r>
        <w:rPr>
          <w:rFonts w:hint="eastAsia" w:cs="宋体"/>
          <w:color w:val="auto"/>
          <w:szCs w:val="21"/>
          <w:highlight w:val="none"/>
        </w:rPr>
        <w:t>元），则本项目招标失败，由招标人依法重新招标。</w:t>
      </w:r>
    </w:p>
    <w:p>
      <w:pPr>
        <w:pBdr>
          <w:bottom w:val="single" w:color="auto" w:sz="6" w:space="1"/>
        </w:pBdr>
        <w:spacing w:line="360" w:lineRule="auto"/>
        <w:ind w:firstLine="424" w:firstLineChars="201"/>
        <w:rPr>
          <w:color w:val="auto"/>
          <w:szCs w:val="21"/>
          <w:highlight w:val="none"/>
        </w:rPr>
      </w:pPr>
      <w:r>
        <w:rPr>
          <w:rFonts w:hint="eastAsia" w:cs="宋体"/>
          <w:b/>
          <w:bCs/>
          <w:color w:val="auto"/>
          <w:szCs w:val="21"/>
          <w:highlight w:val="none"/>
        </w:rPr>
        <w:t>现文</w:t>
      </w:r>
      <w:r>
        <w:rPr>
          <w:rFonts w:hint="eastAsia" w:cs="宋体"/>
          <w:color w:val="auto"/>
          <w:szCs w:val="21"/>
          <w:highlight w:val="none"/>
        </w:rPr>
        <w:t>：42.4.2若进入第二阶段投标人中所有投标报价均大于等于最高投标限价</w:t>
      </w:r>
      <w:r>
        <w:rPr>
          <w:rFonts w:cs="宋体"/>
          <w:color w:val="auto"/>
          <w:szCs w:val="21"/>
          <w:highlight w:val="none"/>
        </w:rPr>
        <w:t>*</w:t>
      </w:r>
      <w:r>
        <w:rPr>
          <w:rFonts w:hint="eastAsia" w:cs="宋体"/>
          <w:color w:val="auto"/>
          <w:szCs w:val="21"/>
          <w:highlight w:val="none"/>
          <w:u w:val="single"/>
          <w:lang w:val="en-US" w:eastAsia="zh-CN"/>
        </w:rPr>
        <w:t>94</w:t>
      </w:r>
      <w:r>
        <w:rPr>
          <w:rFonts w:cs="宋体"/>
          <w:color w:val="auto"/>
          <w:szCs w:val="21"/>
          <w:highlight w:val="none"/>
          <w:u w:val="single"/>
        </w:rPr>
        <w:t>%</w:t>
      </w:r>
      <w:r>
        <w:rPr>
          <w:rFonts w:cs="宋体"/>
          <w:color w:val="auto"/>
          <w:szCs w:val="21"/>
          <w:highlight w:val="none"/>
        </w:rPr>
        <w:t>的（具体金额为：</w:t>
      </w:r>
      <w:r>
        <w:rPr>
          <w:rFonts w:hint="eastAsia" w:cs="宋体"/>
          <w:color w:val="auto"/>
          <w:szCs w:val="21"/>
          <w:highlight w:val="none"/>
          <w:u w:val="single"/>
        </w:rPr>
        <w:t xml:space="preserve">        </w:t>
      </w:r>
      <w:r>
        <w:rPr>
          <w:rFonts w:cs="宋体"/>
          <w:color w:val="auto"/>
          <w:szCs w:val="21"/>
          <w:highlight w:val="none"/>
        </w:rPr>
        <w:t>元），则本项目招标失败，由招标人依法重新招标。</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b/>
          <w:bCs/>
          <w:color w:val="auto"/>
          <w:szCs w:val="21"/>
          <w:highlight w:val="none"/>
        </w:rPr>
        <w:t>4</w:t>
      </w:r>
      <w:r>
        <w:rPr>
          <w:rFonts w:hint="eastAsia" w:cs="宋体"/>
          <w:b/>
          <w:bCs/>
          <w:color w:val="auto"/>
          <w:szCs w:val="21"/>
          <w:highlight w:val="none"/>
        </w:rPr>
        <w:t>2.4.3.1</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4" w:firstLineChars="201"/>
        <w:rPr>
          <w:rFonts w:cs="宋体"/>
          <w:color w:val="auto"/>
          <w:szCs w:val="21"/>
          <w:highlight w:val="none"/>
        </w:rPr>
      </w:pPr>
      <w:r>
        <w:rPr>
          <w:rFonts w:hint="eastAsia"/>
          <w:b/>
          <w:color w:val="auto"/>
          <w:szCs w:val="21"/>
          <w:highlight w:val="none"/>
        </w:rPr>
        <w:t>原文：</w:t>
      </w:r>
      <w:r>
        <w:rPr>
          <w:rFonts w:hint="eastAsia"/>
          <w:color w:val="auto"/>
          <w:szCs w:val="21"/>
          <w:highlight w:val="none"/>
        </w:rPr>
        <w:t>4</w:t>
      </w:r>
      <w:r>
        <w:rPr>
          <w:rFonts w:hint="eastAsia" w:cs="宋体"/>
          <w:color w:val="auto"/>
          <w:szCs w:val="21"/>
          <w:highlight w:val="none"/>
        </w:rPr>
        <w:t>2.4.3.1按方法计算评标参考价：</w:t>
      </w:r>
    </w:p>
    <w:p>
      <w:pPr>
        <w:widowControl/>
        <w:spacing w:line="360" w:lineRule="auto"/>
        <w:ind w:firstLine="424" w:firstLineChars="201"/>
        <w:rPr>
          <w:rFonts w:cs="宋体"/>
          <w:b/>
          <w:bCs/>
          <w:color w:val="auto"/>
          <w:kern w:val="0"/>
          <w:szCs w:val="21"/>
          <w:highlight w:val="none"/>
        </w:rPr>
      </w:pPr>
      <w:r>
        <w:rPr>
          <w:rFonts w:hint="eastAsia" w:cs="宋体"/>
          <w:b/>
          <w:bCs/>
          <w:color w:val="auto"/>
          <w:kern w:val="0"/>
          <w:szCs w:val="21"/>
          <w:highlight w:val="none"/>
        </w:rPr>
        <w:t xml:space="preserve">    方法一：加权平均法</w:t>
      </w:r>
    </w:p>
    <w:p>
      <w:pPr>
        <w:spacing w:line="360" w:lineRule="auto"/>
        <w:ind w:firstLine="422" w:firstLineChars="201"/>
        <w:rPr>
          <w:rFonts w:cs="宋体"/>
          <w:color w:val="auto"/>
          <w:szCs w:val="21"/>
          <w:highlight w:val="none"/>
        </w:rPr>
      </w:pPr>
      <w:r>
        <w:rPr>
          <w:rFonts w:hint="eastAsia" w:cs="仿宋"/>
          <w:color w:val="auto"/>
          <w:szCs w:val="21"/>
          <w:highlight w:val="none"/>
        </w:rPr>
        <w:t>技术标或技术标加诚信得分或第一阶段入围得分</w:t>
      </w:r>
      <w:r>
        <w:rPr>
          <w:rFonts w:hint="eastAsia" w:cs="宋体"/>
          <w:color w:val="auto"/>
          <w:szCs w:val="21"/>
          <w:highlight w:val="none"/>
        </w:rPr>
        <w:t>（具体由招标人自定）前N名（N≥5，具体由招标人自定）的经济报价加权平均，计算评标参考价。公式如下：</w:t>
      </w:r>
    </w:p>
    <w:p>
      <w:pPr>
        <w:spacing w:line="360" w:lineRule="auto"/>
        <w:ind w:firstLine="422" w:firstLineChars="201"/>
        <w:rPr>
          <w:rFonts w:cs="宋体"/>
          <w:color w:val="auto"/>
          <w:szCs w:val="21"/>
          <w:highlight w:val="none"/>
        </w:rPr>
      </w:pPr>
      <w:r>
        <w:rPr>
          <w:rFonts w:hint="eastAsia" w:cs="宋体"/>
          <w:color w:val="auto"/>
          <w:szCs w:val="21"/>
          <w:highlight w:val="none"/>
        </w:rPr>
        <w:t>评标参考价=Σ（投标人的投标报价*报价权重）。</w:t>
      </w:r>
    </w:p>
    <w:p>
      <w:pPr>
        <w:widowControl/>
        <w:spacing w:line="360" w:lineRule="auto"/>
        <w:ind w:firstLine="422" w:firstLineChars="201"/>
        <w:rPr>
          <w:rFonts w:cs="宋体"/>
          <w:color w:val="auto"/>
          <w:szCs w:val="21"/>
          <w:highlight w:val="none"/>
        </w:rPr>
      </w:pPr>
      <w:r>
        <w:rPr>
          <w:rFonts w:hint="eastAsia" w:cs="宋体"/>
          <w:color w:val="auto"/>
          <w:szCs w:val="21"/>
          <w:highlight w:val="none"/>
        </w:rPr>
        <w:t>其中：报价权重的计算方法为：将N名投标人按技术分由高至低进行排序，第一名投标人的权重为（</w:t>
      </w:r>
      <w:r>
        <w:rPr>
          <w:rFonts w:cs="仿宋"/>
          <w:color w:val="auto"/>
          <w:sz w:val="24"/>
          <w:szCs w:val="24"/>
          <w:highlight w:val="none"/>
        </w:rPr>
        <w:fldChar w:fldCharType="begin"/>
      </w:r>
      <w:r>
        <w:rPr>
          <w:rFonts w:cs="仿宋"/>
          <w:color w:val="auto"/>
          <w:sz w:val="24"/>
          <w:szCs w:val="24"/>
          <w:highlight w:val="none"/>
        </w:rPr>
        <w:instrText xml:space="preserve"> QUOTE </w:instrText>
      </w:r>
      <w:r>
        <w:rPr>
          <w:color w:val="auto"/>
          <w:sz w:val="24"/>
          <w:szCs w:val="24"/>
          <w:highlight w:val="none"/>
        </w:rPr>
        <w:drawing>
          <wp:inline distT="0" distB="0" distL="114300" distR="114300">
            <wp:extent cx="381000" cy="447675"/>
            <wp:effectExtent l="0" t="0" r="0"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color w:val="auto"/>
          <w:sz w:val="24"/>
          <w:szCs w:val="24"/>
          <w:highlight w:val="none"/>
        </w:rPr>
        <w:instrText xml:space="preserve"> \* MERGEFORMAT </w:instrText>
      </w:r>
      <w:r>
        <w:rPr>
          <w:rFonts w:cs="仿宋"/>
          <w:color w:val="auto"/>
          <w:sz w:val="24"/>
          <w:szCs w:val="24"/>
          <w:highlight w:val="none"/>
        </w:rPr>
        <w:fldChar w:fldCharType="separate"/>
      </w:r>
      <w:r>
        <w:rPr>
          <w:color w:val="auto"/>
          <w:szCs w:val="21"/>
          <w:highlight w:val="none"/>
        </w:rPr>
        <w:drawing>
          <wp:inline distT="0" distB="0" distL="114300" distR="114300">
            <wp:extent cx="381000" cy="447675"/>
            <wp:effectExtent l="0" t="0" r="0" b="889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cs="仿宋"/>
          <w:color w:val="auto"/>
          <w:sz w:val="24"/>
          <w:szCs w:val="24"/>
          <w:highlight w:val="none"/>
        </w:rPr>
        <w:fldChar w:fldCharType="end"/>
      </w:r>
      <w:r>
        <w:rPr>
          <w:rFonts w:hint="eastAsia" w:cs="宋体"/>
          <w:color w:val="auto"/>
          <w:szCs w:val="21"/>
          <w:highlight w:val="none"/>
        </w:rPr>
        <w:t>），第二名投标人的权重为（</w:t>
      </w:r>
      <w:r>
        <w:rPr>
          <w:rFonts w:cs="仿宋"/>
          <w:color w:val="auto"/>
          <w:sz w:val="24"/>
          <w:szCs w:val="24"/>
          <w:highlight w:val="none"/>
        </w:rPr>
        <w:fldChar w:fldCharType="begin"/>
      </w:r>
      <w:r>
        <w:rPr>
          <w:rFonts w:cs="仿宋"/>
          <w:color w:val="auto"/>
          <w:sz w:val="24"/>
          <w:szCs w:val="24"/>
          <w:highlight w:val="none"/>
        </w:rPr>
        <w:instrText xml:space="preserve"> QUOTE </w:instrText>
      </w:r>
      <w:r>
        <w:rPr>
          <w:color w:val="auto"/>
          <w:position w:val="-23"/>
          <w:sz w:val="24"/>
          <w:szCs w:val="24"/>
          <w:highlight w:val="none"/>
        </w:rPr>
        <w:drawing>
          <wp:inline distT="0" distB="0" distL="114300" distR="114300">
            <wp:extent cx="323850" cy="40005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color w:val="auto"/>
          <w:position w:val="-23"/>
          <w:sz w:val="24"/>
          <w:szCs w:val="24"/>
          <w:highlight w:val="none"/>
        </w:rPr>
        <w:instrText xml:space="preserve"> \* MERGEFORMAT </w:instrText>
      </w:r>
      <w:r>
        <w:rPr>
          <w:rFonts w:cs="仿宋"/>
          <w:color w:val="auto"/>
          <w:sz w:val="24"/>
          <w:szCs w:val="24"/>
          <w:highlight w:val="none"/>
        </w:rPr>
        <w:fldChar w:fldCharType="separate"/>
      </w:r>
      <w:r>
        <w:rPr>
          <w:color w:val="auto"/>
          <w:position w:val="-23"/>
          <w:szCs w:val="21"/>
          <w:highlight w:val="none"/>
        </w:rPr>
        <w:drawing>
          <wp:inline distT="0" distB="0" distL="114300" distR="114300">
            <wp:extent cx="323850" cy="400050"/>
            <wp:effectExtent l="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cs="仿宋"/>
          <w:color w:val="auto"/>
          <w:sz w:val="24"/>
          <w:szCs w:val="24"/>
          <w:highlight w:val="none"/>
        </w:rPr>
        <w:fldChar w:fldCharType="end"/>
      </w:r>
      <w:r>
        <w:rPr>
          <w:rFonts w:hint="eastAsia" w:cs="宋体"/>
          <w:color w:val="auto"/>
          <w:szCs w:val="21"/>
          <w:highlight w:val="none"/>
        </w:rPr>
        <w:t>），以此类推，最后一名投标人的权重为（</w:t>
      </w:r>
      <w:r>
        <w:rPr>
          <w:rFonts w:cs="仿宋"/>
          <w:color w:val="auto"/>
          <w:sz w:val="24"/>
          <w:szCs w:val="24"/>
          <w:highlight w:val="none"/>
        </w:rPr>
        <w:fldChar w:fldCharType="begin"/>
      </w:r>
      <w:r>
        <w:rPr>
          <w:rFonts w:cs="仿宋"/>
          <w:color w:val="auto"/>
          <w:sz w:val="24"/>
          <w:szCs w:val="24"/>
          <w:highlight w:val="none"/>
        </w:rPr>
        <w:instrText xml:space="preserve"> QUOTE </w:instrText>
      </w:r>
      <w:r>
        <w:rPr>
          <w:color w:val="auto"/>
          <w:position w:val="-23"/>
          <w:sz w:val="24"/>
          <w:szCs w:val="24"/>
          <w:highlight w:val="none"/>
        </w:rPr>
        <w:drawing>
          <wp:inline distT="0" distB="0" distL="114300" distR="114300">
            <wp:extent cx="323850" cy="4000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color w:val="auto"/>
          <w:position w:val="-23"/>
          <w:sz w:val="24"/>
          <w:szCs w:val="24"/>
          <w:highlight w:val="none"/>
        </w:rPr>
        <w:instrText xml:space="preserve"> \* MERGEFORMAT </w:instrText>
      </w:r>
      <w:r>
        <w:rPr>
          <w:rFonts w:cs="仿宋"/>
          <w:color w:val="auto"/>
          <w:sz w:val="24"/>
          <w:szCs w:val="24"/>
          <w:highlight w:val="none"/>
        </w:rPr>
        <w:fldChar w:fldCharType="separate"/>
      </w:r>
      <w:r>
        <w:rPr>
          <w:color w:val="auto"/>
          <w:position w:val="-23"/>
          <w:szCs w:val="21"/>
          <w:highlight w:val="none"/>
        </w:rPr>
        <w:drawing>
          <wp:inline distT="0" distB="0" distL="114300" distR="114300">
            <wp:extent cx="323850" cy="40005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cs="仿宋"/>
          <w:color w:val="auto"/>
          <w:sz w:val="24"/>
          <w:szCs w:val="24"/>
          <w:highlight w:val="none"/>
        </w:rPr>
        <w:fldChar w:fldCharType="end"/>
      </w:r>
      <w:r>
        <w:rPr>
          <w:rFonts w:hint="eastAsia" w:cs="宋体"/>
          <w:color w:val="auto"/>
          <w:szCs w:val="21"/>
          <w:highlight w:val="none"/>
        </w:rPr>
        <w:t>）。</w:t>
      </w:r>
    </w:p>
    <w:p>
      <w:pPr>
        <w:widowControl/>
        <w:spacing w:line="360" w:lineRule="auto"/>
        <w:ind w:firstLine="424" w:firstLineChars="201"/>
        <w:rPr>
          <w:rFonts w:cs="宋体"/>
          <w:color w:val="auto"/>
          <w:szCs w:val="21"/>
          <w:highlight w:val="none"/>
        </w:rPr>
      </w:pPr>
      <w:r>
        <w:rPr>
          <w:rFonts w:hint="eastAsia" w:cs="宋体"/>
          <w:b/>
          <w:bCs/>
          <w:color w:val="auto"/>
          <w:kern w:val="0"/>
          <w:szCs w:val="21"/>
          <w:highlight w:val="none"/>
        </w:rPr>
        <w:t>方法二：区间抽取法</w:t>
      </w:r>
    </w:p>
    <w:p>
      <w:pPr>
        <w:widowControl/>
        <w:spacing w:line="360" w:lineRule="auto"/>
        <w:ind w:firstLine="422" w:firstLineChars="201"/>
        <w:rPr>
          <w:rFonts w:cs="宋体"/>
          <w:color w:val="auto"/>
          <w:kern w:val="0"/>
          <w:szCs w:val="21"/>
          <w:highlight w:val="none"/>
        </w:rPr>
      </w:pPr>
      <w:r>
        <w:rPr>
          <w:rFonts w:hint="eastAsia" w:cs="宋体"/>
          <w:color w:val="auto"/>
          <w:szCs w:val="21"/>
          <w:highlight w:val="none"/>
        </w:rPr>
        <w:t>设立入围合格分数线（</w:t>
      </w:r>
      <w:r>
        <w:rPr>
          <w:rFonts w:hint="eastAsia" w:cs="仿宋"/>
          <w:color w:val="auto"/>
          <w:szCs w:val="21"/>
          <w:highlight w:val="none"/>
        </w:rPr>
        <w:t>技术标或技术标加诚信得分或第一阶段入围得分</w:t>
      </w:r>
      <w:r>
        <w:rPr>
          <w:rFonts w:hint="eastAsia" w:cs="宋体"/>
          <w:color w:val="auto"/>
          <w:szCs w:val="21"/>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2" w:firstLineChars="201"/>
        <w:rPr>
          <w:rFonts w:cs="宋体"/>
          <w:color w:val="auto"/>
          <w:kern w:val="0"/>
          <w:szCs w:val="21"/>
          <w:highlight w:val="none"/>
          <w:vertAlign w:val="subscript"/>
        </w:rPr>
      </w:pPr>
      <w:r>
        <w:rPr>
          <w:rFonts w:hint="eastAsia" w:cs="宋体"/>
          <w:color w:val="auto"/>
          <w:kern w:val="0"/>
          <w:szCs w:val="21"/>
          <w:highlight w:val="none"/>
        </w:rPr>
        <w:t>评标参考价=（Q</w:t>
      </w:r>
      <w:r>
        <w:rPr>
          <w:rFonts w:hint="eastAsia" w:cs="宋体"/>
          <w:color w:val="auto"/>
          <w:kern w:val="0"/>
          <w:szCs w:val="21"/>
          <w:highlight w:val="none"/>
          <w:vertAlign w:val="subscript"/>
        </w:rPr>
        <w:t>高</w:t>
      </w:r>
      <w:r>
        <w:rPr>
          <w:rFonts w:hint="eastAsia" w:cs="宋体"/>
          <w:color w:val="auto"/>
          <w:kern w:val="0"/>
          <w:szCs w:val="21"/>
          <w:highlight w:val="none"/>
        </w:rPr>
        <w:t>-Q</w:t>
      </w:r>
      <w:r>
        <w:rPr>
          <w:rFonts w:hint="eastAsia" w:cs="宋体"/>
          <w:color w:val="auto"/>
          <w:kern w:val="0"/>
          <w:szCs w:val="21"/>
          <w:highlight w:val="none"/>
          <w:vertAlign w:val="subscript"/>
        </w:rPr>
        <w:t>低</w:t>
      </w:r>
      <w:r>
        <w:rPr>
          <w:rFonts w:hint="eastAsia" w:cs="宋体"/>
          <w:color w:val="auto"/>
          <w:kern w:val="0"/>
          <w:szCs w:val="21"/>
          <w:highlight w:val="none"/>
        </w:rPr>
        <w:t>）/100*Ｘ+Q</w:t>
      </w:r>
      <w:r>
        <w:rPr>
          <w:rFonts w:hint="eastAsia" w:cs="宋体"/>
          <w:color w:val="auto"/>
          <w:kern w:val="0"/>
          <w:szCs w:val="21"/>
          <w:highlight w:val="none"/>
          <w:vertAlign w:val="subscript"/>
        </w:rPr>
        <w:t>低</w:t>
      </w:r>
    </w:p>
    <w:p>
      <w:pPr>
        <w:widowControl/>
        <w:snapToGrid w:val="0"/>
        <w:spacing w:line="360" w:lineRule="auto"/>
        <w:ind w:firstLine="422" w:firstLineChars="201"/>
        <w:rPr>
          <w:rFonts w:cs="宋体"/>
          <w:color w:val="auto"/>
          <w:szCs w:val="21"/>
          <w:highlight w:val="none"/>
        </w:rPr>
      </w:pPr>
      <w:r>
        <w:rPr>
          <w:rFonts w:hint="eastAsia" w:cs="宋体"/>
          <w:color w:val="auto"/>
          <w:szCs w:val="21"/>
          <w:highlight w:val="none"/>
        </w:rPr>
        <w:t>Q</w:t>
      </w:r>
      <w:r>
        <w:rPr>
          <w:rFonts w:hint="eastAsia" w:cs="宋体"/>
          <w:color w:val="auto"/>
          <w:szCs w:val="21"/>
          <w:highlight w:val="none"/>
          <w:vertAlign w:val="subscript"/>
        </w:rPr>
        <w:t>低</w:t>
      </w:r>
      <w:r>
        <w:rPr>
          <w:rFonts w:hint="eastAsia" w:cs="宋体"/>
          <w:color w:val="auto"/>
          <w:szCs w:val="21"/>
          <w:highlight w:val="none"/>
        </w:rPr>
        <w:t>：为达到或超过技术标及格分数线的投标人最低报价与工程成本警示价两者中的较高值；</w:t>
      </w:r>
    </w:p>
    <w:p>
      <w:pPr>
        <w:spacing w:line="360" w:lineRule="auto"/>
        <w:ind w:firstLine="422" w:firstLineChars="201"/>
        <w:rPr>
          <w:rFonts w:cs="宋体"/>
          <w:color w:val="auto"/>
          <w:szCs w:val="21"/>
          <w:highlight w:val="none"/>
        </w:rPr>
      </w:pPr>
      <w:r>
        <w:rPr>
          <w:rFonts w:hint="eastAsia" w:cs="宋体"/>
          <w:color w:val="auto"/>
          <w:kern w:val="0"/>
          <w:szCs w:val="21"/>
          <w:highlight w:val="none"/>
        </w:rPr>
        <w:t>Q</w:t>
      </w:r>
      <w:r>
        <w:rPr>
          <w:rFonts w:hint="eastAsia" w:cs="宋体"/>
          <w:color w:val="auto"/>
          <w:kern w:val="0"/>
          <w:szCs w:val="21"/>
          <w:highlight w:val="none"/>
          <w:vertAlign w:val="subscript"/>
        </w:rPr>
        <w:t>高</w:t>
      </w:r>
      <w:r>
        <w:rPr>
          <w:rFonts w:hint="eastAsia" w:cs="宋体"/>
          <w:color w:val="auto"/>
          <w:szCs w:val="21"/>
          <w:highlight w:val="none"/>
        </w:rPr>
        <w:t>：为（最高投标限价*D%）（D的取值范围为[94,100],由招标人自定）</w:t>
      </w:r>
    </w:p>
    <w:p>
      <w:pPr>
        <w:spacing w:line="360" w:lineRule="auto"/>
        <w:ind w:firstLine="422" w:firstLineChars="201"/>
        <w:rPr>
          <w:rFonts w:cs="宋体"/>
          <w:color w:val="auto"/>
          <w:szCs w:val="21"/>
          <w:highlight w:val="none"/>
        </w:rPr>
      </w:pPr>
      <w:r>
        <w:rPr>
          <w:rFonts w:hint="eastAsia" w:cs="宋体"/>
          <w:color w:val="auto"/>
          <w:szCs w:val="21"/>
          <w:highlight w:val="none"/>
        </w:rPr>
        <w:t>X:为等分点值，在开标前从[0,100]整数中随机抽取。</w:t>
      </w:r>
    </w:p>
    <w:p>
      <w:pPr>
        <w:spacing w:line="360" w:lineRule="auto"/>
        <w:ind w:firstLine="424" w:firstLineChars="201"/>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42.4.3.1按方法</w:t>
      </w:r>
      <w:r>
        <w:rPr>
          <w:rFonts w:hint="eastAsia" w:cs="宋体"/>
          <w:color w:val="auto"/>
          <w:szCs w:val="21"/>
          <w:highlight w:val="none"/>
          <w:u w:val="single"/>
        </w:rPr>
        <w:t xml:space="preserve">  一  </w:t>
      </w:r>
      <w:r>
        <w:rPr>
          <w:rFonts w:hint="eastAsia" w:cs="宋体"/>
          <w:color w:val="auto"/>
          <w:szCs w:val="21"/>
          <w:highlight w:val="none"/>
        </w:rPr>
        <w:t xml:space="preserve">计算评标参考价： </w:t>
      </w:r>
    </w:p>
    <w:p>
      <w:pPr>
        <w:spacing w:line="360" w:lineRule="auto"/>
        <w:ind w:firstLine="424" w:firstLineChars="201"/>
        <w:rPr>
          <w:rFonts w:cs="宋体"/>
          <w:b/>
          <w:bCs/>
          <w:color w:val="auto"/>
          <w:kern w:val="0"/>
          <w:szCs w:val="21"/>
          <w:highlight w:val="none"/>
        </w:rPr>
      </w:pPr>
      <w:r>
        <w:rPr>
          <w:rFonts w:hint="eastAsia" w:cs="宋体"/>
          <w:b/>
          <w:bCs/>
          <w:color w:val="auto"/>
          <w:kern w:val="0"/>
          <w:szCs w:val="21"/>
          <w:highlight w:val="none"/>
        </w:rPr>
        <w:t>方法一：加权平均法</w:t>
      </w:r>
    </w:p>
    <w:p>
      <w:pPr>
        <w:spacing w:line="360" w:lineRule="auto"/>
        <w:ind w:firstLine="422" w:firstLineChars="201"/>
        <w:rPr>
          <w:rFonts w:cs="宋体"/>
          <w:color w:val="auto"/>
          <w:szCs w:val="21"/>
          <w:highlight w:val="none"/>
        </w:rPr>
      </w:pPr>
      <w:r>
        <w:rPr>
          <w:rFonts w:hint="eastAsia"/>
          <w:color w:val="auto"/>
          <w:szCs w:val="21"/>
          <w:highlight w:val="none"/>
          <w:u w:val="single"/>
        </w:rPr>
        <w:t>将第一阶段入围得分前5</w:t>
      </w:r>
      <w:r>
        <w:rPr>
          <w:color w:val="auto"/>
          <w:szCs w:val="21"/>
          <w:highlight w:val="none"/>
          <w:u w:val="single"/>
        </w:rPr>
        <w:t>名（当通过技术标有效性审查的</w:t>
      </w:r>
      <w:r>
        <w:rPr>
          <w:rFonts w:hint="eastAsia"/>
          <w:color w:val="auto"/>
          <w:szCs w:val="21"/>
          <w:highlight w:val="none"/>
          <w:u w:val="single"/>
        </w:rPr>
        <w:t>投标人</w:t>
      </w:r>
      <w:r>
        <w:rPr>
          <w:color w:val="auto"/>
          <w:szCs w:val="21"/>
          <w:highlight w:val="none"/>
          <w:u w:val="single"/>
        </w:rPr>
        <w:t>家数大于等于3家且小于</w:t>
      </w:r>
      <w:r>
        <w:rPr>
          <w:rFonts w:hint="eastAsia"/>
          <w:color w:val="auto"/>
          <w:szCs w:val="21"/>
          <w:highlight w:val="none"/>
          <w:u w:val="single"/>
        </w:rPr>
        <w:t>5</w:t>
      </w:r>
      <w:r>
        <w:rPr>
          <w:color w:val="auto"/>
          <w:szCs w:val="21"/>
          <w:highlight w:val="none"/>
          <w:u w:val="single"/>
        </w:rPr>
        <w:t>家的，N取通过技术标有效性审查的全部家数；当通过技术标有效性审查的</w:t>
      </w:r>
      <w:r>
        <w:rPr>
          <w:rFonts w:hint="eastAsia"/>
          <w:color w:val="auto"/>
          <w:szCs w:val="21"/>
          <w:highlight w:val="none"/>
          <w:u w:val="single"/>
        </w:rPr>
        <w:t>投标人</w:t>
      </w:r>
      <w:r>
        <w:rPr>
          <w:color w:val="auto"/>
          <w:szCs w:val="21"/>
          <w:highlight w:val="none"/>
          <w:u w:val="single"/>
        </w:rPr>
        <w:t>家数大于或等于</w:t>
      </w:r>
      <w:r>
        <w:rPr>
          <w:rFonts w:hint="eastAsia"/>
          <w:color w:val="auto"/>
          <w:szCs w:val="21"/>
          <w:highlight w:val="none"/>
          <w:u w:val="single"/>
        </w:rPr>
        <w:t>5</w:t>
      </w:r>
      <w:r>
        <w:rPr>
          <w:color w:val="auto"/>
          <w:szCs w:val="21"/>
          <w:highlight w:val="none"/>
          <w:u w:val="single"/>
        </w:rPr>
        <w:t>家的，N=</w:t>
      </w:r>
      <w:r>
        <w:rPr>
          <w:rFonts w:hint="eastAsia"/>
          <w:color w:val="auto"/>
          <w:szCs w:val="21"/>
          <w:highlight w:val="none"/>
          <w:u w:val="single"/>
        </w:rPr>
        <w:t>5</w:t>
      </w:r>
      <w:r>
        <w:rPr>
          <w:color w:val="auto"/>
          <w:szCs w:val="21"/>
          <w:highlight w:val="none"/>
          <w:u w:val="single"/>
        </w:rPr>
        <w:t>）</w:t>
      </w:r>
      <w:r>
        <w:rPr>
          <w:rFonts w:hint="eastAsia" w:cs="宋体"/>
          <w:color w:val="auto"/>
          <w:szCs w:val="21"/>
          <w:highlight w:val="none"/>
        </w:rPr>
        <w:t>的经济报价加权平均，计算评标参考价。公式如下：</w:t>
      </w:r>
    </w:p>
    <w:p>
      <w:pPr>
        <w:spacing w:line="360" w:lineRule="auto"/>
        <w:ind w:firstLine="422" w:firstLineChars="201"/>
        <w:rPr>
          <w:rFonts w:cs="宋体"/>
          <w:color w:val="auto"/>
          <w:szCs w:val="21"/>
          <w:highlight w:val="none"/>
        </w:rPr>
      </w:pPr>
      <w:r>
        <w:rPr>
          <w:rFonts w:hint="eastAsia" w:cs="宋体"/>
          <w:color w:val="auto"/>
          <w:szCs w:val="21"/>
          <w:highlight w:val="none"/>
        </w:rPr>
        <w:t>评标参考价=Σ（投标人的投标报价*报价权重）。</w:t>
      </w:r>
    </w:p>
    <w:p>
      <w:pPr>
        <w:widowControl/>
        <w:spacing w:line="360" w:lineRule="auto"/>
        <w:rPr>
          <w:rFonts w:cs="宋体"/>
          <w:color w:val="auto"/>
          <w:szCs w:val="21"/>
          <w:highlight w:val="none"/>
        </w:rPr>
      </w:pPr>
      <w:r>
        <w:rPr>
          <w:rFonts w:hint="eastAsia" w:cs="宋体"/>
          <w:color w:val="auto"/>
          <w:szCs w:val="21"/>
          <w:highlight w:val="none"/>
        </w:rPr>
        <w:t>其中：报价权重的计算方法为：将N名投标人按第一阶段入围得分由高至低进行排序，第一名投标人的权重为（</w:t>
      </w:r>
      <w:r>
        <w:rPr>
          <w:rFonts w:hint="eastAsia" w:cs="宋体"/>
          <w:color w:val="auto"/>
          <w:szCs w:val="21"/>
          <w:highlight w:val="none"/>
        </w:rPr>
        <w:fldChar w:fldCharType="begin"/>
      </w:r>
      <w:r>
        <w:rPr>
          <w:rFonts w:hint="eastAsia" w:cs="宋体"/>
          <w:color w:val="auto"/>
          <w:szCs w:val="21"/>
          <w:highlight w:val="none"/>
        </w:rPr>
        <w:instrText xml:space="preserve"> QUOTE </w:instrText>
      </w:r>
      <w:r>
        <w:rPr>
          <w:rFonts w:cs="宋体"/>
          <w:color w:val="auto"/>
          <w:szCs w:val="21"/>
          <w:highlight w:val="none"/>
        </w:rPr>
        <w:drawing>
          <wp:inline distT="0" distB="0" distL="114300" distR="114300">
            <wp:extent cx="381000" cy="447675"/>
            <wp:effectExtent l="0" t="0" r="0"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26"/>
                    <a:stretch>
                      <a:fillRect/>
                    </a:stretch>
                  </pic:blipFill>
                  <pic:spPr>
                    <a:xfrm>
                      <a:off x="0" y="0"/>
                      <a:ext cx="381000" cy="447675"/>
                    </a:xfrm>
                    <a:prstGeom prst="rect">
                      <a:avLst/>
                    </a:prstGeom>
                    <a:noFill/>
                    <a:ln>
                      <a:noFill/>
                    </a:ln>
                  </pic:spPr>
                </pic:pic>
              </a:graphicData>
            </a:graphic>
          </wp:inline>
        </w:drawing>
      </w:r>
      <w:r>
        <w:rPr>
          <w:rFonts w:cs="宋体"/>
          <w:color w:val="auto"/>
          <w:szCs w:val="21"/>
          <w:highlight w:val="none"/>
        </w:rPr>
        <w:instrText xml:space="preserve"> \* MERGEFORMAT </w:instrText>
      </w:r>
      <w:r>
        <w:rPr>
          <w:rFonts w:hint="eastAsia" w:cs="宋体"/>
          <w:color w:val="auto"/>
          <w:szCs w:val="21"/>
          <w:highlight w:val="none"/>
        </w:rPr>
        <w:fldChar w:fldCharType="separate"/>
      </w:r>
      <w:r>
        <w:rPr>
          <w:rFonts w:cs="宋体"/>
          <w:color w:val="auto"/>
          <w:szCs w:val="21"/>
          <w:highlight w:val="none"/>
        </w:rPr>
        <w:drawing>
          <wp:inline distT="0" distB="0" distL="114300" distR="114300">
            <wp:extent cx="381000" cy="447675"/>
            <wp:effectExtent l="0" t="0" r="0" b="9525"/>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26"/>
                    <a:stretch>
                      <a:fillRect/>
                    </a:stretch>
                  </pic:blipFill>
                  <pic:spPr>
                    <a:xfrm>
                      <a:off x="0" y="0"/>
                      <a:ext cx="381000" cy="447675"/>
                    </a:xfrm>
                    <a:prstGeom prst="rect">
                      <a:avLst/>
                    </a:prstGeom>
                    <a:noFill/>
                    <a:ln>
                      <a:noFill/>
                    </a:ln>
                  </pic:spPr>
                </pic:pic>
              </a:graphicData>
            </a:graphic>
          </wp:inline>
        </w:drawing>
      </w:r>
      <w:r>
        <w:rPr>
          <w:rFonts w:hint="eastAsia" w:cs="宋体"/>
          <w:color w:val="auto"/>
          <w:szCs w:val="21"/>
          <w:highlight w:val="none"/>
        </w:rPr>
        <w:fldChar w:fldCharType="end"/>
      </w:r>
      <w:r>
        <w:rPr>
          <w:rFonts w:hint="eastAsia" w:cs="宋体"/>
          <w:color w:val="auto"/>
          <w:szCs w:val="21"/>
          <w:highlight w:val="none"/>
        </w:rPr>
        <w:t>），第二名投标人的权重为（</w:t>
      </w:r>
      <w:r>
        <w:rPr>
          <w:rFonts w:hint="eastAsia" w:cs="宋体"/>
          <w:color w:val="auto"/>
          <w:szCs w:val="21"/>
          <w:highlight w:val="none"/>
        </w:rPr>
        <w:fldChar w:fldCharType="begin"/>
      </w:r>
      <w:r>
        <w:rPr>
          <w:rFonts w:hint="eastAsia" w:cs="宋体"/>
          <w:color w:val="auto"/>
          <w:szCs w:val="21"/>
          <w:highlight w:val="none"/>
        </w:rPr>
        <w:instrText xml:space="preserve"> QUOTE </w:instrText>
      </w:r>
      <w:r>
        <w:rPr>
          <w:rFonts w:cs="宋体"/>
          <w:color w:val="auto"/>
          <w:position w:val="-23"/>
          <w:szCs w:val="21"/>
          <w:highlight w:val="none"/>
        </w:rPr>
        <w:drawing>
          <wp:inline distT="0" distB="0" distL="114300" distR="114300">
            <wp:extent cx="323850" cy="400050"/>
            <wp:effectExtent l="0" t="0" r="0"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7"/>
                    <a:stretch>
                      <a:fillRect/>
                    </a:stretch>
                  </pic:blipFill>
                  <pic:spPr>
                    <a:xfrm>
                      <a:off x="0" y="0"/>
                      <a:ext cx="323850" cy="400050"/>
                    </a:xfrm>
                    <a:prstGeom prst="rect">
                      <a:avLst/>
                    </a:prstGeom>
                    <a:noFill/>
                    <a:ln>
                      <a:noFill/>
                    </a:ln>
                  </pic:spPr>
                </pic:pic>
              </a:graphicData>
            </a:graphic>
          </wp:inline>
        </w:drawing>
      </w:r>
      <w:r>
        <w:rPr>
          <w:rFonts w:cs="宋体"/>
          <w:color w:val="auto"/>
          <w:position w:val="-23"/>
          <w:szCs w:val="21"/>
          <w:highlight w:val="none"/>
        </w:rPr>
        <w:instrText xml:space="preserve"> \* MERGEFORMAT </w:instrText>
      </w:r>
      <w:r>
        <w:rPr>
          <w:rFonts w:hint="eastAsia" w:cs="宋体"/>
          <w:color w:val="auto"/>
          <w:szCs w:val="21"/>
          <w:highlight w:val="none"/>
        </w:rPr>
        <w:fldChar w:fldCharType="separate"/>
      </w:r>
      <w:r>
        <w:rPr>
          <w:rFonts w:cs="宋体"/>
          <w:color w:val="auto"/>
          <w:position w:val="-23"/>
          <w:szCs w:val="21"/>
          <w:highlight w:val="none"/>
        </w:rPr>
        <w:drawing>
          <wp:inline distT="0" distB="0" distL="114300" distR="114300">
            <wp:extent cx="323850" cy="400050"/>
            <wp:effectExtent l="0" t="0" r="0" b="0"/>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7"/>
                    <a:stretch>
                      <a:fillRect/>
                    </a:stretch>
                  </pic:blipFill>
                  <pic:spPr>
                    <a:xfrm>
                      <a:off x="0" y="0"/>
                      <a:ext cx="323850" cy="400050"/>
                    </a:xfrm>
                    <a:prstGeom prst="rect">
                      <a:avLst/>
                    </a:prstGeom>
                    <a:noFill/>
                    <a:ln>
                      <a:noFill/>
                    </a:ln>
                  </pic:spPr>
                </pic:pic>
              </a:graphicData>
            </a:graphic>
          </wp:inline>
        </w:drawing>
      </w:r>
      <w:r>
        <w:rPr>
          <w:rFonts w:hint="eastAsia" w:cs="宋体"/>
          <w:color w:val="auto"/>
          <w:szCs w:val="21"/>
          <w:highlight w:val="none"/>
        </w:rPr>
        <w:fldChar w:fldCharType="end"/>
      </w:r>
      <w:r>
        <w:rPr>
          <w:rFonts w:hint="eastAsia" w:cs="宋体"/>
          <w:color w:val="auto"/>
          <w:szCs w:val="21"/>
          <w:highlight w:val="none"/>
        </w:rPr>
        <w:t>），以此类推，最后一名投标人的权重为（</w:t>
      </w:r>
      <w:r>
        <w:rPr>
          <w:rFonts w:hint="eastAsia" w:cs="宋体"/>
          <w:color w:val="auto"/>
          <w:szCs w:val="21"/>
          <w:highlight w:val="none"/>
        </w:rPr>
        <w:fldChar w:fldCharType="begin"/>
      </w:r>
      <w:r>
        <w:rPr>
          <w:rFonts w:hint="eastAsia" w:cs="宋体"/>
          <w:color w:val="auto"/>
          <w:szCs w:val="21"/>
          <w:highlight w:val="none"/>
        </w:rPr>
        <w:instrText xml:space="preserve"> QUOTE </w:instrText>
      </w:r>
      <w:r>
        <w:rPr>
          <w:rFonts w:cs="宋体"/>
          <w:color w:val="auto"/>
          <w:position w:val="-23"/>
          <w:szCs w:val="21"/>
          <w:highlight w:val="none"/>
        </w:rPr>
        <w:drawing>
          <wp:inline distT="0" distB="0" distL="114300" distR="114300">
            <wp:extent cx="323850" cy="400050"/>
            <wp:effectExtent l="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28"/>
                    <a:stretch>
                      <a:fillRect/>
                    </a:stretch>
                  </pic:blipFill>
                  <pic:spPr>
                    <a:xfrm>
                      <a:off x="0" y="0"/>
                      <a:ext cx="323850" cy="400050"/>
                    </a:xfrm>
                    <a:prstGeom prst="rect">
                      <a:avLst/>
                    </a:prstGeom>
                    <a:noFill/>
                    <a:ln>
                      <a:noFill/>
                    </a:ln>
                  </pic:spPr>
                </pic:pic>
              </a:graphicData>
            </a:graphic>
          </wp:inline>
        </w:drawing>
      </w:r>
      <w:r>
        <w:rPr>
          <w:rFonts w:cs="宋体"/>
          <w:color w:val="auto"/>
          <w:position w:val="-23"/>
          <w:szCs w:val="21"/>
          <w:highlight w:val="none"/>
        </w:rPr>
        <w:instrText xml:space="preserve"> \* MERGEFORMAT </w:instrText>
      </w:r>
      <w:r>
        <w:rPr>
          <w:rFonts w:hint="eastAsia" w:cs="宋体"/>
          <w:color w:val="auto"/>
          <w:szCs w:val="21"/>
          <w:highlight w:val="none"/>
        </w:rPr>
        <w:fldChar w:fldCharType="separate"/>
      </w:r>
      <w:r>
        <w:rPr>
          <w:rFonts w:cs="宋体"/>
          <w:color w:val="auto"/>
          <w:position w:val="-23"/>
          <w:szCs w:val="21"/>
          <w:highlight w:val="none"/>
        </w:rPr>
        <w:drawing>
          <wp:inline distT="0" distB="0" distL="114300" distR="114300">
            <wp:extent cx="323850" cy="400050"/>
            <wp:effectExtent l="0" t="0" r="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8"/>
                    <a:stretch>
                      <a:fillRect/>
                    </a:stretch>
                  </pic:blipFill>
                  <pic:spPr>
                    <a:xfrm>
                      <a:off x="0" y="0"/>
                      <a:ext cx="323850" cy="400050"/>
                    </a:xfrm>
                    <a:prstGeom prst="rect">
                      <a:avLst/>
                    </a:prstGeom>
                    <a:noFill/>
                    <a:ln>
                      <a:noFill/>
                    </a:ln>
                  </pic:spPr>
                </pic:pic>
              </a:graphicData>
            </a:graphic>
          </wp:inline>
        </w:drawing>
      </w:r>
      <w:r>
        <w:rPr>
          <w:rFonts w:hint="eastAsia" w:cs="宋体"/>
          <w:color w:val="auto"/>
          <w:szCs w:val="21"/>
          <w:highlight w:val="none"/>
        </w:rPr>
        <w:fldChar w:fldCharType="end"/>
      </w:r>
      <w:r>
        <w:rPr>
          <w:rFonts w:hint="eastAsia" w:cs="宋体"/>
          <w:color w:val="auto"/>
          <w:szCs w:val="21"/>
          <w:highlight w:val="none"/>
        </w:rPr>
        <w:t xml:space="preserve">）。 </w:t>
      </w:r>
    </w:p>
    <w:p>
      <w:pPr>
        <w:pBdr>
          <w:bottom w:val="single" w:color="auto" w:sz="6" w:space="1"/>
        </w:pBdr>
        <w:spacing w:line="360" w:lineRule="auto"/>
        <w:ind w:firstLine="422" w:firstLineChars="201"/>
        <w:rPr>
          <w:rFonts w:cs="仿宋"/>
          <w:color w:val="auto"/>
          <w:szCs w:val="21"/>
          <w:highlight w:val="none"/>
        </w:rPr>
      </w:pPr>
      <w:r>
        <w:rPr>
          <w:rFonts w:hint="eastAsia" w:cs="宋体"/>
          <w:color w:val="auto"/>
          <w:szCs w:val="21"/>
          <w:highlight w:val="none"/>
          <w:u w:val="single"/>
        </w:rPr>
        <w:t>若投标人第一阶段入围得分相同的，则以投标总报价较低的排前；投标总报价仍相同的，则对具有相同情况的投标人，由评标委员会采用记名投票方式，确定投标人第一阶段入围得分名次的排序。</w:t>
      </w:r>
    </w:p>
    <w:p>
      <w:pPr>
        <w:spacing w:line="360" w:lineRule="auto"/>
        <w:ind w:firstLine="424" w:firstLineChars="201"/>
        <w:rPr>
          <w:rFonts w:cs="宋体"/>
          <w:b/>
          <w:color w:val="auto"/>
          <w:szCs w:val="21"/>
          <w:highlight w:val="none"/>
        </w:rPr>
      </w:pPr>
      <w:r>
        <w:rPr>
          <w:rFonts w:hint="eastAsia"/>
          <w:b/>
          <w:color w:val="auto"/>
          <w:szCs w:val="21"/>
          <w:highlight w:val="none"/>
        </w:rPr>
        <w:t>条款号：4</w:t>
      </w:r>
      <w:r>
        <w:rPr>
          <w:rFonts w:hint="eastAsia" w:cs="宋体"/>
          <w:b/>
          <w:color w:val="auto"/>
          <w:kern w:val="0"/>
          <w:szCs w:val="21"/>
          <w:highlight w:val="none"/>
        </w:rPr>
        <w:t>2.4.3.2</w:t>
      </w:r>
      <w:r>
        <w:rPr>
          <w:rFonts w:hint="eastAsia" w:cs="宋体"/>
          <w:b/>
          <w:color w:val="auto"/>
          <w:szCs w:val="21"/>
          <w:highlight w:val="none"/>
        </w:rPr>
        <w:t xml:space="preserve">                    修改类型：修改</w:t>
      </w:r>
    </w:p>
    <w:p>
      <w:pPr>
        <w:spacing w:line="360" w:lineRule="auto"/>
        <w:ind w:firstLine="424" w:firstLineChars="201"/>
        <w:rPr>
          <w:rFonts w:cs="宋体"/>
          <w:color w:val="auto"/>
          <w:szCs w:val="21"/>
          <w:highlight w:val="none"/>
        </w:rPr>
      </w:pPr>
      <w:r>
        <w:rPr>
          <w:rFonts w:hint="eastAsia" w:cs="宋体"/>
          <w:b/>
          <w:color w:val="auto"/>
          <w:szCs w:val="21"/>
          <w:highlight w:val="none"/>
        </w:rPr>
        <w:t>原文：</w:t>
      </w:r>
      <w:r>
        <w:rPr>
          <w:rFonts w:hint="eastAsia" w:cs="宋体"/>
          <w:color w:val="auto"/>
          <w:kern w:val="0"/>
          <w:szCs w:val="21"/>
          <w:highlight w:val="none"/>
        </w:rPr>
        <w:t>42.4.3.2</w:t>
      </w:r>
      <w:r>
        <w:rPr>
          <w:rFonts w:hint="eastAsia"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hAnsi="Times New Roman"/>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color w:val="auto"/>
          <w:kern w:val="0"/>
          <w:szCs w:val="21"/>
          <w:highlight w:val="none"/>
        </w:rPr>
        <w:t>42.4.3.2</w:t>
      </w:r>
      <w:r>
        <w:rPr>
          <w:rFonts w:hint="eastAsia" w:cs="宋体"/>
          <w:color w:val="auto"/>
          <w:szCs w:val="21"/>
          <w:highlight w:val="none"/>
        </w:rPr>
        <w:t>当</w:t>
      </w:r>
      <w:r>
        <w:rPr>
          <w:rFonts w:hint="eastAsia" w:cs="宋体"/>
          <w:color w:val="auto"/>
          <w:szCs w:val="21"/>
          <w:highlight w:val="none"/>
          <w:u w:val="single"/>
        </w:rPr>
        <w:t>投标总报价</w:t>
      </w:r>
      <w:r>
        <w:rPr>
          <w:rFonts w:hint="eastAsia" w:cs="宋体"/>
          <w:color w:val="auto"/>
          <w:szCs w:val="21"/>
          <w:highlight w:val="none"/>
        </w:rPr>
        <w:t>等于评标参考价时得100分，</w:t>
      </w:r>
      <w:r>
        <w:rPr>
          <w:rFonts w:hint="eastAsia" w:cs="宋体"/>
          <w:color w:val="auto"/>
          <w:szCs w:val="21"/>
          <w:highlight w:val="none"/>
          <w:u w:val="single"/>
        </w:rPr>
        <w:t>投标总报价</w:t>
      </w:r>
      <w:r>
        <w:rPr>
          <w:rFonts w:hint="eastAsia" w:cs="宋体"/>
          <w:color w:val="auto"/>
          <w:szCs w:val="21"/>
          <w:highlight w:val="none"/>
        </w:rPr>
        <w:t>每高于评标参考价1%，扣</w:t>
      </w:r>
      <w:r>
        <w:rPr>
          <w:rFonts w:hint="eastAsia" w:cs="宋体"/>
          <w:color w:val="auto"/>
          <w:szCs w:val="21"/>
          <w:highlight w:val="none"/>
          <w:u w:val="single"/>
        </w:rPr>
        <w:t>0.</w:t>
      </w:r>
      <w:r>
        <w:rPr>
          <w:rFonts w:hint="eastAsia" w:cs="宋体"/>
          <w:color w:val="auto"/>
          <w:szCs w:val="21"/>
          <w:highlight w:val="none"/>
          <w:u w:val="single"/>
          <w:lang w:val="en-US" w:eastAsia="zh-CN"/>
        </w:rPr>
        <w:t>5</w:t>
      </w:r>
      <w:r>
        <w:rPr>
          <w:rFonts w:hint="eastAsia" w:cs="宋体"/>
          <w:color w:val="auto"/>
          <w:szCs w:val="21"/>
          <w:highlight w:val="none"/>
          <w:u w:val="single"/>
        </w:rPr>
        <w:t>分</w:t>
      </w:r>
      <w:r>
        <w:rPr>
          <w:rFonts w:hint="eastAsia" w:cs="宋体"/>
          <w:color w:val="auto"/>
          <w:szCs w:val="21"/>
          <w:highlight w:val="none"/>
        </w:rPr>
        <w:t>，每低于评标参考价1%，扣</w:t>
      </w:r>
      <w:r>
        <w:rPr>
          <w:rFonts w:hint="eastAsia" w:cs="宋体"/>
          <w:color w:val="auto"/>
          <w:szCs w:val="21"/>
          <w:highlight w:val="none"/>
          <w:u w:val="single"/>
        </w:rPr>
        <w:t>0.</w:t>
      </w:r>
      <w:r>
        <w:rPr>
          <w:rFonts w:hint="eastAsia" w:cs="宋体"/>
          <w:color w:val="auto"/>
          <w:szCs w:val="21"/>
          <w:highlight w:val="none"/>
          <w:u w:val="single"/>
          <w:lang w:val="en-US" w:eastAsia="zh-CN"/>
        </w:rPr>
        <w:t>3</w:t>
      </w:r>
      <w:r>
        <w:rPr>
          <w:rFonts w:hint="eastAsia" w:cs="宋体"/>
          <w:color w:val="auto"/>
          <w:szCs w:val="21"/>
          <w:highlight w:val="none"/>
          <w:u w:val="single"/>
        </w:rPr>
        <w:t>分</w:t>
      </w:r>
      <w:r>
        <w:rPr>
          <w:rFonts w:hint="eastAsia" w:cs="宋体"/>
          <w:color w:val="auto"/>
          <w:szCs w:val="21"/>
          <w:highlight w:val="none"/>
        </w:rPr>
        <w:t>，扣至0分为止，得出经济分，精确到小数点后两位。</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条款号：附表一《资格审查表》          修改类型：修改</w:t>
      </w:r>
    </w:p>
    <w:p>
      <w:pPr>
        <w:spacing w:line="360" w:lineRule="auto"/>
        <w:ind w:firstLine="422" w:firstLineChars="200"/>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bCs/>
          <w:color w:val="auto"/>
          <w:szCs w:val="21"/>
          <w:highlight w:val="none"/>
        </w:rPr>
        <w:t>详见附表一《资格审查表》</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条款号：附表二《技术标有效性审查表》          修改类型：修改</w:t>
      </w:r>
    </w:p>
    <w:p>
      <w:pPr>
        <w:spacing w:line="360" w:lineRule="auto"/>
        <w:ind w:firstLine="422" w:firstLineChars="200"/>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bCs/>
          <w:color w:val="auto"/>
          <w:szCs w:val="21"/>
          <w:highlight w:val="none"/>
        </w:rPr>
        <w:t>详见附表二《技术标有效性审查表》</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条款号：附表三《经济标有效性审查表》          修改类型：修改</w:t>
      </w:r>
    </w:p>
    <w:p>
      <w:pPr>
        <w:spacing w:line="360" w:lineRule="auto"/>
        <w:ind w:firstLine="422" w:firstLineChars="200"/>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bCs/>
          <w:color w:val="auto"/>
          <w:szCs w:val="21"/>
          <w:highlight w:val="none"/>
        </w:rPr>
        <w:t>详见附表三《经济标有效性审查表》</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条款号：附表四《技术标详细审查评分表》          修改类型：修改</w:t>
      </w:r>
    </w:p>
    <w:p>
      <w:pPr>
        <w:spacing w:line="360" w:lineRule="auto"/>
        <w:ind w:firstLine="422" w:firstLineChars="200"/>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详见《广州市建设工程施工公开招标项目招标文件范本GZZB2018-3》</w:t>
      </w:r>
    </w:p>
    <w:p>
      <w:pPr>
        <w:pBdr>
          <w:bottom w:val="single" w:color="auto" w:sz="6" w:space="1"/>
        </w:pBdr>
        <w:spacing w:line="360" w:lineRule="auto"/>
        <w:ind w:firstLine="527" w:firstLineChars="250"/>
        <w:rPr>
          <w:rFonts w:cs="宋体"/>
          <w:color w:val="auto"/>
          <w:szCs w:val="21"/>
          <w:highlight w:val="none"/>
        </w:rPr>
      </w:pPr>
      <w:r>
        <w:rPr>
          <w:rFonts w:hint="eastAsia" w:cs="宋体"/>
          <w:b/>
          <w:color w:val="auto"/>
          <w:szCs w:val="21"/>
          <w:highlight w:val="none"/>
        </w:rPr>
        <w:t>现文：</w:t>
      </w:r>
      <w:r>
        <w:rPr>
          <w:rFonts w:hint="eastAsia" w:cs="宋体"/>
          <w:bCs/>
          <w:color w:val="auto"/>
          <w:szCs w:val="21"/>
          <w:highlight w:val="none"/>
        </w:rPr>
        <w:t>详见附表四《技术标详细审查评分表》</w:t>
      </w:r>
    </w:p>
    <w:p>
      <w:pPr>
        <w:spacing w:line="360" w:lineRule="auto"/>
        <w:ind w:firstLine="472" w:firstLineChars="224"/>
        <w:rPr>
          <w:rFonts w:cs="宋体"/>
          <w:b/>
          <w:color w:val="auto"/>
          <w:szCs w:val="21"/>
          <w:highlight w:val="none"/>
        </w:rPr>
      </w:pPr>
      <w:r>
        <w:rPr>
          <w:rFonts w:hint="eastAsia" w:cs="宋体"/>
          <w:b/>
          <w:color w:val="auto"/>
          <w:szCs w:val="21"/>
          <w:highlight w:val="none"/>
        </w:rPr>
        <w:t>条款号：附表五《经济标评分表》             修改类型：修改</w:t>
      </w:r>
    </w:p>
    <w:p>
      <w:pPr>
        <w:pBdr>
          <w:bottom w:val="single" w:color="auto" w:sz="6" w:space="1"/>
        </w:pBdr>
        <w:spacing w:line="360" w:lineRule="auto"/>
        <w:ind w:firstLine="472" w:firstLineChars="224"/>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详见《广州市建设工程施工公开招标项目招标文件范本GZZB2018-3》</w:t>
      </w:r>
    </w:p>
    <w:p>
      <w:pPr>
        <w:pBdr>
          <w:bottom w:val="single" w:color="auto" w:sz="6" w:space="1"/>
        </w:pBdr>
        <w:spacing w:line="380" w:lineRule="exact"/>
        <w:ind w:firstLine="527" w:firstLineChars="250"/>
        <w:rPr>
          <w:rFonts w:cs="宋体"/>
          <w:bCs/>
          <w:color w:val="auto"/>
          <w:szCs w:val="21"/>
          <w:highlight w:val="none"/>
        </w:rPr>
      </w:pPr>
      <w:r>
        <w:rPr>
          <w:rFonts w:hint="eastAsia" w:cs="宋体"/>
          <w:b/>
          <w:color w:val="auto"/>
          <w:szCs w:val="21"/>
          <w:highlight w:val="none"/>
        </w:rPr>
        <w:t>现文：</w:t>
      </w:r>
      <w:r>
        <w:rPr>
          <w:rFonts w:hint="eastAsia" w:cs="宋体"/>
          <w:bCs/>
          <w:color w:val="auto"/>
          <w:szCs w:val="21"/>
          <w:highlight w:val="none"/>
        </w:rPr>
        <w:t>详见附表五《经济标评分表》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spacing w:line="360" w:lineRule="auto"/>
        <w:rPr>
          <w:color w:val="auto"/>
          <w:highlight w:val="none"/>
        </w:rPr>
      </w:pPr>
    </w:p>
    <w:p>
      <w:pPr>
        <w:pStyle w:val="9"/>
        <w:spacing w:line="360" w:lineRule="auto"/>
        <w:rPr>
          <w:color w:val="auto"/>
          <w:highlight w:val="none"/>
        </w:rPr>
      </w:pPr>
      <w:r>
        <w:rPr>
          <w:color w:val="auto"/>
          <w:highlight w:val="none"/>
        </w:rPr>
        <w:br w:type="page"/>
      </w:r>
    </w:p>
    <w:p>
      <w:pPr>
        <w:pStyle w:val="7"/>
        <w:ind w:firstLine="525"/>
        <w:rPr>
          <w:color w:val="auto"/>
          <w:highlight w:val="none"/>
        </w:rPr>
      </w:pPr>
      <w:bookmarkStart w:id="12" w:name="_Toc18664068"/>
      <w:r>
        <w:rPr>
          <w:rFonts w:hint="eastAsia"/>
          <w:color w:val="auto"/>
          <w:highlight w:val="none"/>
        </w:rPr>
        <w:t>二、开标、评标及定标办法</w:t>
      </w:r>
      <w:r>
        <w:rPr>
          <w:rFonts w:hint="eastAsia"/>
          <w:color w:val="auto"/>
          <w:szCs w:val="30"/>
          <w:highlight w:val="none"/>
        </w:rPr>
        <w:t>通用条款</w:t>
      </w:r>
      <w:bookmarkEnd w:id="12"/>
    </w:p>
    <w:p>
      <w:pPr>
        <w:pStyle w:val="8"/>
        <w:spacing w:before="156" w:after="156"/>
        <w:ind w:firstLine="540" w:firstLineChars="200"/>
        <w:rPr>
          <w:color w:val="auto"/>
          <w:highlight w:val="none"/>
        </w:rPr>
      </w:pPr>
      <w:bookmarkStart w:id="13" w:name="_Toc18664069"/>
      <w:r>
        <w:rPr>
          <w:rFonts w:hint="eastAsia"/>
          <w:color w:val="auto"/>
          <w:highlight w:val="none"/>
        </w:rPr>
        <w:t>（一）总则</w:t>
      </w:r>
      <w:bookmarkEnd w:id="13"/>
    </w:p>
    <w:p>
      <w:pPr>
        <w:spacing w:line="360" w:lineRule="auto"/>
        <w:ind w:firstLine="480" w:firstLineChars="200"/>
        <w:rPr>
          <w:b/>
          <w:color w:val="auto"/>
          <w:sz w:val="24"/>
          <w:szCs w:val="24"/>
          <w:highlight w:val="none"/>
        </w:rPr>
      </w:pPr>
      <w:r>
        <w:rPr>
          <w:color w:val="auto"/>
          <w:sz w:val="24"/>
          <w:szCs w:val="24"/>
          <w:highlight w:val="none"/>
        </w:rPr>
        <w:t xml:space="preserve">35 </w:t>
      </w:r>
      <w:r>
        <w:rPr>
          <w:rFonts w:hint="eastAsia"/>
          <w:color w:val="auto"/>
          <w:sz w:val="24"/>
          <w:szCs w:val="24"/>
          <w:highlight w:val="none"/>
        </w:rPr>
        <w:t>开标、评标及定标所依据的规则</w:t>
      </w:r>
    </w:p>
    <w:p>
      <w:pPr>
        <w:spacing w:line="360" w:lineRule="auto"/>
        <w:ind w:firstLine="480" w:firstLineChars="200"/>
        <w:rPr>
          <w:color w:val="auto"/>
          <w:sz w:val="24"/>
          <w:szCs w:val="24"/>
          <w:highlight w:val="none"/>
        </w:rPr>
      </w:pPr>
      <w:r>
        <w:rPr>
          <w:color w:val="auto"/>
          <w:sz w:val="24"/>
          <w:szCs w:val="24"/>
          <w:highlight w:val="none"/>
        </w:rPr>
        <w:t>35.1</w:t>
      </w:r>
      <w:r>
        <w:rPr>
          <w:rFonts w:hint="eastAsia"/>
          <w:color w:val="auto"/>
          <w:sz w:val="24"/>
          <w:szCs w:val="24"/>
          <w:highlight w:val="none"/>
        </w:rPr>
        <w:t>《中华人民共和国招标投标法》；</w:t>
      </w:r>
    </w:p>
    <w:p>
      <w:pPr>
        <w:spacing w:line="360" w:lineRule="auto"/>
        <w:ind w:firstLine="480" w:firstLineChars="200"/>
        <w:rPr>
          <w:color w:val="auto"/>
          <w:sz w:val="24"/>
          <w:szCs w:val="24"/>
          <w:highlight w:val="none"/>
        </w:rPr>
      </w:pPr>
      <w:r>
        <w:rPr>
          <w:color w:val="auto"/>
          <w:sz w:val="24"/>
          <w:szCs w:val="24"/>
          <w:highlight w:val="none"/>
        </w:rPr>
        <w:t>35.2</w:t>
      </w:r>
      <w:r>
        <w:rPr>
          <w:rFonts w:hint="eastAsia"/>
          <w:color w:val="auto"/>
          <w:sz w:val="24"/>
          <w:szCs w:val="24"/>
          <w:highlight w:val="none"/>
        </w:rPr>
        <w:t>《中华人民共和国招标投标法实施条例》；</w:t>
      </w:r>
    </w:p>
    <w:p>
      <w:pPr>
        <w:spacing w:line="360" w:lineRule="auto"/>
        <w:ind w:firstLine="480" w:firstLineChars="200"/>
        <w:rPr>
          <w:color w:val="auto"/>
          <w:sz w:val="24"/>
          <w:szCs w:val="24"/>
          <w:highlight w:val="none"/>
        </w:rPr>
      </w:pPr>
      <w:r>
        <w:rPr>
          <w:color w:val="auto"/>
          <w:sz w:val="24"/>
          <w:szCs w:val="24"/>
          <w:highlight w:val="none"/>
        </w:rPr>
        <w:t>35.3</w:t>
      </w:r>
      <w:r>
        <w:rPr>
          <w:rFonts w:hint="eastAsia"/>
          <w:color w:val="auto"/>
          <w:sz w:val="24"/>
          <w:szCs w:val="24"/>
          <w:highlight w:val="none"/>
        </w:rPr>
        <w:t>《评标委员会和评标方法暂行规定》（七部委第</w:t>
      </w:r>
      <w:r>
        <w:rPr>
          <w:color w:val="auto"/>
          <w:sz w:val="24"/>
          <w:szCs w:val="24"/>
          <w:highlight w:val="none"/>
        </w:rPr>
        <w:t>12</w:t>
      </w:r>
      <w:r>
        <w:rPr>
          <w:rFonts w:hint="eastAsia"/>
          <w:color w:val="auto"/>
          <w:sz w:val="24"/>
          <w:szCs w:val="24"/>
          <w:highlight w:val="none"/>
        </w:rPr>
        <w:t>号令）</w:t>
      </w:r>
    </w:p>
    <w:p>
      <w:pPr>
        <w:spacing w:line="360" w:lineRule="auto"/>
        <w:ind w:firstLine="480" w:firstLineChars="200"/>
        <w:rPr>
          <w:color w:val="auto"/>
          <w:sz w:val="24"/>
          <w:szCs w:val="24"/>
          <w:highlight w:val="none"/>
        </w:rPr>
      </w:pPr>
      <w:r>
        <w:rPr>
          <w:color w:val="auto"/>
          <w:sz w:val="24"/>
          <w:szCs w:val="24"/>
          <w:highlight w:val="none"/>
        </w:rPr>
        <w:t>35.4</w:t>
      </w:r>
      <w:r>
        <w:rPr>
          <w:rFonts w:hint="eastAsia"/>
          <w:color w:val="auto"/>
          <w:sz w:val="24"/>
          <w:szCs w:val="24"/>
          <w:highlight w:val="none"/>
        </w:rPr>
        <w:t>《工程建设项目施工招标投标办法》（七部委</w:t>
      </w:r>
      <w:r>
        <w:rPr>
          <w:color w:val="auto"/>
          <w:sz w:val="24"/>
          <w:szCs w:val="24"/>
          <w:highlight w:val="none"/>
        </w:rPr>
        <w:t>2003</w:t>
      </w:r>
      <w:r>
        <w:rPr>
          <w:rFonts w:hint="eastAsia"/>
          <w:color w:val="auto"/>
          <w:sz w:val="24"/>
          <w:szCs w:val="24"/>
          <w:highlight w:val="none"/>
        </w:rPr>
        <w:t>年第</w:t>
      </w:r>
      <w:r>
        <w:rPr>
          <w:color w:val="auto"/>
          <w:sz w:val="24"/>
          <w:szCs w:val="24"/>
          <w:highlight w:val="none"/>
        </w:rPr>
        <w:t>30</w:t>
      </w:r>
      <w:r>
        <w:rPr>
          <w:rFonts w:hint="eastAsia"/>
          <w:color w:val="auto"/>
          <w:sz w:val="24"/>
          <w:szCs w:val="24"/>
          <w:highlight w:val="none"/>
        </w:rPr>
        <w:t>号令）</w:t>
      </w:r>
    </w:p>
    <w:p>
      <w:pPr>
        <w:spacing w:line="360" w:lineRule="auto"/>
        <w:ind w:firstLine="480" w:firstLineChars="200"/>
        <w:rPr>
          <w:color w:val="auto"/>
          <w:sz w:val="24"/>
          <w:szCs w:val="24"/>
          <w:highlight w:val="none"/>
        </w:rPr>
      </w:pPr>
      <w:r>
        <w:rPr>
          <w:color w:val="auto"/>
          <w:sz w:val="24"/>
          <w:szCs w:val="24"/>
          <w:highlight w:val="none"/>
        </w:rPr>
        <w:t>35.5</w:t>
      </w:r>
      <w:r>
        <w:rPr>
          <w:rFonts w:hint="eastAsia"/>
          <w:color w:val="auto"/>
          <w:sz w:val="24"/>
          <w:szCs w:val="24"/>
          <w:highlight w:val="none"/>
        </w:rPr>
        <w:t>《广东省实施〈中华人民共和国招标投标法〉办法》；</w:t>
      </w:r>
    </w:p>
    <w:p>
      <w:pPr>
        <w:spacing w:line="360" w:lineRule="auto"/>
        <w:ind w:firstLine="480" w:firstLineChars="200"/>
        <w:rPr>
          <w:color w:val="auto"/>
          <w:sz w:val="24"/>
          <w:szCs w:val="24"/>
          <w:highlight w:val="none"/>
        </w:rPr>
      </w:pPr>
      <w:r>
        <w:rPr>
          <w:color w:val="auto"/>
          <w:sz w:val="24"/>
          <w:szCs w:val="24"/>
          <w:highlight w:val="none"/>
        </w:rPr>
        <w:t>35.6</w:t>
      </w:r>
      <w:r>
        <w:rPr>
          <w:rFonts w:hint="eastAsia"/>
          <w:color w:val="auto"/>
          <w:sz w:val="24"/>
          <w:szCs w:val="24"/>
          <w:highlight w:val="none"/>
        </w:rPr>
        <w:t>《房屋建筑和市政基础设施工程施工招标投标管理办法》（建设部令第</w:t>
      </w:r>
      <w:r>
        <w:rPr>
          <w:color w:val="auto"/>
          <w:sz w:val="24"/>
          <w:szCs w:val="24"/>
          <w:highlight w:val="none"/>
        </w:rPr>
        <w:t>89</w:t>
      </w:r>
      <w:r>
        <w:rPr>
          <w:rFonts w:hint="eastAsia"/>
          <w:color w:val="auto"/>
          <w:sz w:val="24"/>
          <w:szCs w:val="24"/>
          <w:highlight w:val="none"/>
        </w:rPr>
        <w:t>号）</w:t>
      </w:r>
    </w:p>
    <w:p>
      <w:pPr>
        <w:spacing w:line="360" w:lineRule="auto"/>
        <w:ind w:firstLine="480" w:firstLineChars="200"/>
        <w:rPr>
          <w:color w:val="auto"/>
          <w:sz w:val="24"/>
          <w:szCs w:val="24"/>
          <w:highlight w:val="none"/>
        </w:rPr>
      </w:pPr>
      <w:r>
        <w:rPr>
          <w:color w:val="auto"/>
          <w:sz w:val="24"/>
          <w:szCs w:val="24"/>
          <w:highlight w:val="none"/>
        </w:rPr>
        <w:t>35.7</w:t>
      </w:r>
      <w:r>
        <w:rPr>
          <w:rFonts w:hint="eastAsia"/>
          <w:color w:val="auto"/>
          <w:sz w:val="24"/>
          <w:szCs w:val="24"/>
          <w:highlight w:val="none"/>
        </w:rPr>
        <w:t>《广东省加强建设工程招标投标监督管理的若干规定》（粤发[2004]4号）；</w:t>
      </w:r>
    </w:p>
    <w:p>
      <w:pPr>
        <w:spacing w:line="360" w:lineRule="auto"/>
        <w:ind w:firstLine="480" w:firstLineChars="200"/>
        <w:rPr>
          <w:color w:val="auto"/>
          <w:sz w:val="24"/>
          <w:szCs w:val="24"/>
          <w:highlight w:val="none"/>
        </w:rPr>
      </w:pPr>
      <w:r>
        <w:rPr>
          <w:color w:val="auto"/>
          <w:sz w:val="24"/>
          <w:szCs w:val="24"/>
          <w:highlight w:val="none"/>
        </w:rPr>
        <w:t>35.</w:t>
      </w:r>
      <w:r>
        <w:rPr>
          <w:rFonts w:hint="eastAsia"/>
          <w:color w:val="auto"/>
          <w:sz w:val="24"/>
          <w:szCs w:val="24"/>
          <w:highlight w:val="none"/>
        </w:rPr>
        <w:t>8《广州市工程建设项目招标投标管理办法》（穗府办规〔2017〕5号）。</w:t>
      </w:r>
    </w:p>
    <w:p>
      <w:pPr>
        <w:spacing w:line="360" w:lineRule="auto"/>
        <w:ind w:firstLine="480" w:firstLineChars="200"/>
        <w:rPr>
          <w:color w:val="auto"/>
          <w:sz w:val="24"/>
          <w:szCs w:val="24"/>
          <w:highlight w:val="none"/>
        </w:rPr>
      </w:pPr>
      <w:r>
        <w:rPr>
          <w:rFonts w:hint="eastAsia"/>
          <w:color w:val="auto"/>
          <w:sz w:val="24"/>
          <w:szCs w:val="24"/>
          <w:highlight w:val="none"/>
        </w:rPr>
        <w:t>35.9本项目招标文件。</w:t>
      </w:r>
    </w:p>
    <w:p>
      <w:pPr>
        <w:spacing w:line="360" w:lineRule="auto"/>
        <w:ind w:firstLine="480" w:firstLineChars="200"/>
        <w:rPr>
          <w:color w:val="auto"/>
          <w:sz w:val="24"/>
          <w:szCs w:val="24"/>
          <w:highlight w:val="none"/>
        </w:rPr>
      </w:pPr>
      <w:r>
        <w:rPr>
          <w:color w:val="auto"/>
          <w:sz w:val="24"/>
          <w:szCs w:val="24"/>
          <w:highlight w:val="none"/>
        </w:rPr>
        <w:t>36</w:t>
      </w:r>
      <w:r>
        <w:rPr>
          <w:rFonts w:hint="eastAsia"/>
          <w:color w:val="auto"/>
          <w:sz w:val="24"/>
          <w:szCs w:val="24"/>
          <w:highlight w:val="none"/>
        </w:rPr>
        <w:t>．开标</w:t>
      </w:r>
    </w:p>
    <w:p>
      <w:pPr>
        <w:spacing w:line="360" w:lineRule="auto"/>
        <w:ind w:firstLine="480" w:firstLineChars="200"/>
        <w:rPr>
          <w:color w:val="auto"/>
          <w:sz w:val="24"/>
          <w:szCs w:val="24"/>
          <w:highlight w:val="none"/>
        </w:rPr>
      </w:pPr>
      <w:r>
        <w:rPr>
          <w:color w:val="auto"/>
          <w:sz w:val="24"/>
          <w:szCs w:val="24"/>
          <w:highlight w:val="none"/>
        </w:rPr>
        <w:t xml:space="preserve">36.1 </w:t>
      </w:r>
      <w:r>
        <w:rPr>
          <w:rFonts w:hint="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color w:val="auto"/>
          <w:sz w:val="24"/>
          <w:szCs w:val="24"/>
          <w:highlight w:val="none"/>
        </w:rPr>
      </w:pPr>
      <w:r>
        <w:rPr>
          <w:color w:val="auto"/>
          <w:sz w:val="24"/>
          <w:szCs w:val="24"/>
          <w:highlight w:val="none"/>
        </w:rPr>
        <w:t>36.2</w:t>
      </w:r>
      <w:r>
        <w:rPr>
          <w:rFonts w:hint="eastAsia"/>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color w:val="auto"/>
          <w:sz w:val="24"/>
          <w:szCs w:val="24"/>
          <w:highlight w:val="none"/>
        </w:rPr>
      </w:pPr>
      <w:r>
        <w:rPr>
          <w:rFonts w:hint="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color w:val="auto"/>
          <w:sz w:val="24"/>
          <w:szCs w:val="24"/>
          <w:highlight w:val="none"/>
        </w:rPr>
      </w:pPr>
      <w:r>
        <w:rPr>
          <w:rFonts w:hint="eastAsia"/>
          <w:color w:val="auto"/>
          <w:sz w:val="24"/>
          <w:szCs w:val="24"/>
          <w:highlight w:val="none"/>
        </w:rPr>
        <w:t>36.4若递交投标文件的投标人不足3家，则重新组织招标。（当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p>
    <w:p>
      <w:pPr>
        <w:spacing w:line="360" w:lineRule="auto"/>
        <w:ind w:firstLine="480" w:firstLineChars="200"/>
        <w:rPr>
          <w:color w:val="auto"/>
          <w:sz w:val="24"/>
          <w:highlight w:val="none"/>
        </w:rPr>
      </w:pPr>
      <w:r>
        <w:rPr>
          <w:rFonts w:hint="eastAsia"/>
          <w:color w:val="auto"/>
          <w:sz w:val="24"/>
          <w:highlight w:val="none"/>
        </w:rPr>
        <w:t>36.5按下列程序进行开标：</w:t>
      </w:r>
    </w:p>
    <w:p>
      <w:pPr>
        <w:spacing w:line="360" w:lineRule="auto"/>
        <w:ind w:firstLine="480" w:firstLineChars="200"/>
        <w:rPr>
          <w:color w:val="auto"/>
          <w:sz w:val="24"/>
          <w:highlight w:val="none"/>
        </w:rPr>
      </w:pPr>
      <w:r>
        <w:rPr>
          <w:rFonts w:hint="eastAsia"/>
          <w:color w:val="auto"/>
          <w:sz w:val="24"/>
          <w:highlight w:val="none"/>
        </w:rPr>
        <w:t>36.5.1在投标截止时间后半小时内，投标人通过</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color w:val="auto"/>
          <w:sz w:val="24"/>
          <w:highlight w:val="none"/>
        </w:rPr>
      </w:pPr>
      <w:r>
        <w:rPr>
          <w:rFonts w:hint="eastAsia"/>
          <w:color w:val="auto"/>
          <w:sz w:val="24"/>
          <w:highlight w:val="none"/>
        </w:rPr>
        <w:t>36.5.2备用光盘的读取按投标须知前附表第36项的规定执行；</w:t>
      </w:r>
    </w:p>
    <w:p>
      <w:pPr>
        <w:spacing w:line="360" w:lineRule="auto"/>
        <w:ind w:firstLine="480" w:firstLineChars="200"/>
        <w:rPr>
          <w:color w:val="auto"/>
          <w:sz w:val="24"/>
          <w:highlight w:val="none"/>
        </w:rPr>
      </w:pPr>
      <w:r>
        <w:rPr>
          <w:rFonts w:hint="eastAsia"/>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color w:val="auto"/>
          <w:sz w:val="24"/>
          <w:highlight w:val="none"/>
        </w:rPr>
      </w:pPr>
      <w:r>
        <w:rPr>
          <w:rFonts w:hint="eastAsia"/>
          <w:color w:val="auto"/>
          <w:sz w:val="24"/>
          <w:highlight w:val="none"/>
        </w:rPr>
        <w:t>36.5.4开标结束。</w:t>
      </w:r>
    </w:p>
    <w:p>
      <w:pPr>
        <w:spacing w:line="360" w:lineRule="auto"/>
        <w:ind w:firstLine="480" w:firstLineChars="200"/>
        <w:rPr>
          <w:color w:val="auto"/>
          <w:sz w:val="24"/>
          <w:highlight w:val="none"/>
        </w:rPr>
      </w:pPr>
      <w:r>
        <w:rPr>
          <w:rFonts w:hint="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color w:val="auto"/>
          <w:sz w:val="24"/>
          <w:highlight w:val="none"/>
        </w:rPr>
      </w:pPr>
      <w:r>
        <w:rPr>
          <w:rFonts w:hint="eastAsia"/>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rPr>
        <w:t>．评标</w:t>
      </w:r>
    </w:p>
    <w:p>
      <w:pPr>
        <w:spacing w:line="360" w:lineRule="auto"/>
        <w:ind w:firstLine="480" w:firstLineChars="200"/>
        <w:rPr>
          <w:color w:val="auto"/>
          <w:sz w:val="24"/>
          <w:szCs w:val="24"/>
          <w:highlight w:val="none"/>
        </w:rPr>
      </w:pPr>
      <w:r>
        <w:rPr>
          <w:color w:val="auto"/>
          <w:sz w:val="24"/>
          <w:szCs w:val="24"/>
          <w:highlight w:val="none"/>
        </w:rPr>
        <w:t>37.1</w:t>
      </w:r>
      <w:r>
        <w:rPr>
          <w:rFonts w:hint="eastAsia"/>
          <w:color w:val="auto"/>
          <w:sz w:val="24"/>
          <w:szCs w:val="24"/>
          <w:highlight w:val="none"/>
        </w:rPr>
        <w:t>评标委员会由招标人依法组建。</w:t>
      </w:r>
    </w:p>
    <w:p>
      <w:pPr>
        <w:spacing w:line="360" w:lineRule="auto"/>
        <w:ind w:firstLine="480" w:firstLineChars="200"/>
        <w:rPr>
          <w:color w:val="auto"/>
          <w:sz w:val="24"/>
          <w:szCs w:val="24"/>
          <w:highlight w:val="none"/>
        </w:rPr>
      </w:pPr>
      <w:r>
        <w:rPr>
          <w:color w:val="auto"/>
          <w:sz w:val="24"/>
          <w:szCs w:val="24"/>
          <w:highlight w:val="none"/>
        </w:rPr>
        <w:t>37.2</w:t>
      </w:r>
      <w:r>
        <w:rPr>
          <w:rFonts w:hint="eastAsia"/>
          <w:color w:val="auto"/>
          <w:sz w:val="24"/>
          <w:szCs w:val="24"/>
          <w:highlight w:val="none"/>
        </w:rPr>
        <w:t>评标委员会的职责及守则：</w:t>
      </w:r>
    </w:p>
    <w:p>
      <w:pPr>
        <w:spacing w:line="360" w:lineRule="auto"/>
        <w:ind w:firstLine="480" w:firstLineChars="200"/>
        <w:rPr>
          <w:color w:val="auto"/>
          <w:sz w:val="24"/>
          <w:szCs w:val="24"/>
          <w:highlight w:val="none"/>
        </w:rPr>
      </w:pPr>
      <w:r>
        <w:rPr>
          <w:color w:val="auto"/>
          <w:sz w:val="24"/>
          <w:szCs w:val="24"/>
          <w:highlight w:val="none"/>
        </w:rPr>
        <w:t>37.2.1</w:t>
      </w:r>
      <w:r>
        <w:rPr>
          <w:rFonts w:hint="eastAsia"/>
          <w:color w:val="auto"/>
          <w:sz w:val="24"/>
          <w:szCs w:val="24"/>
          <w:highlight w:val="none"/>
        </w:rPr>
        <w:t>根据评标细则，对</w:t>
      </w:r>
      <w:r>
        <w:rPr>
          <w:rFonts w:hint="eastAsia"/>
          <w:color w:val="auto"/>
          <w:sz w:val="24"/>
          <w:highlight w:val="none"/>
        </w:rPr>
        <w:t>投标文件</w:t>
      </w:r>
      <w:r>
        <w:rPr>
          <w:rFonts w:hint="eastAsia"/>
          <w:color w:val="auto"/>
          <w:sz w:val="24"/>
          <w:szCs w:val="24"/>
          <w:highlight w:val="none"/>
        </w:rPr>
        <w:t>进行认真评审，完成评审报告；</w:t>
      </w:r>
    </w:p>
    <w:p>
      <w:pPr>
        <w:spacing w:line="360" w:lineRule="auto"/>
        <w:ind w:firstLine="480" w:firstLineChars="200"/>
        <w:rPr>
          <w:color w:val="auto"/>
          <w:sz w:val="24"/>
          <w:szCs w:val="24"/>
          <w:highlight w:val="none"/>
        </w:rPr>
      </w:pPr>
      <w:r>
        <w:rPr>
          <w:color w:val="auto"/>
          <w:sz w:val="24"/>
          <w:szCs w:val="24"/>
          <w:highlight w:val="none"/>
        </w:rPr>
        <w:t>37.2.2</w:t>
      </w:r>
      <w:r>
        <w:rPr>
          <w:rFonts w:hint="eastAsia"/>
          <w:color w:val="auto"/>
          <w:sz w:val="24"/>
          <w:szCs w:val="24"/>
          <w:highlight w:val="none"/>
        </w:rPr>
        <w:t>向招标人报告评审意见，推荐合格的中标候选人。</w:t>
      </w:r>
    </w:p>
    <w:p>
      <w:pPr>
        <w:spacing w:line="360" w:lineRule="auto"/>
        <w:ind w:firstLine="480" w:firstLineChars="200"/>
        <w:rPr>
          <w:color w:val="auto"/>
          <w:sz w:val="24"/>
          <w:szCs w:val="24"/>
          <w:highlight w:val="none"/>
        </w:rPr>
      </w:pPr>
      <w:r>
        <w:rPr>
          <w:bCs/>
          <w:color w:val="auto"/>
          <w:sz w:val="24"/>
          <w:szCs w:val="24"/>
          <w:highlight w:val="none"/>
        </w:rPr>
        <w:t>37.2.3</w:t>
      </w:r>
      <w:r>
        <w:rPr>
          <w:b/>
          <w:bCs/>
          <w:color w:val="auto"/>
          <w:sz w:val="24"/>
          <w:szCs w:val="24"/>
          <w:highlight w:val="none"/>
        </w:rPr>
        <w:t xml:space="preserve"> </w:t>
      </w:r>
      <w:r>
        <w:rPr>
          <w:rFonts w:hint="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color w:val="auto"/>
          <w:sz w:val="24"/>
          <w:szCs w:val="24"/>
          <w:highlight w:val="none"/>
        </w:rPr>
      </w:pPr>
      <w:r>
        <w:rPr>
          <w:color w:val="auto"/>
          <w:sz w:val="24"/>
          <w:szCs w:val="24"/>
          <w:highlight w:val="none"/>
        </w:rPr>
        <w:t>37.2.4</w:t>
      </w:r>
      <w:r>
        <w:rPr>
          <w:rFonts w:hint="eastAsia"/>
          <w:color w:val="auto"/>
          <w:sz w:val="24"/>
          <w:szCs w:val="24"/>
          <w:highlight w:val="none"/>
        </w:rPr>
        <w:t>全体参与评标人员：</w:t>
      </w:r>
    </w:p>
    <w:p>
      <w:pPr>
        <w:spacing w:line="360" w:lineRule="auto"/>
        <w:ind w:firstLine="480" w:firstLineChars="200"/>
        <w:rPr>
          <w:color w:val="auto"/>
          <w:sz w:val="24"/>
          <w:szCs w:val="24"/>
          <w:highlight w:val="none"/>
        </w:rPr>
      </w:pPr>
      <w:r>
        <w:rPr>
          <w:color w:val="auto"/>
          <w:sz w:val="24"/>
          <w:szCs w:val="24"/>
          <w:highlight w:val="none"/>
        </w:rPr>
        <w:t xml:space="preserve">37.2.4.1 </w:t>
      </w:r>
      <w:r>
        <w:rPr>
          <w:rFonts w:hint="eastAsia"/>
          <w:color w:val="auto"/>
          <w:sz w:val="24"/>
          <w:szCs w:val="24"/>
          <w:highlight w:val="none"/>
        </w:rPr>
        <w:t>必须遵守评标纪律、不得泄密；</w:t>
      </w:r>
    </w:p>
    <w:p>
      <w:pPr>
        <w:spacing w:line="360" w:lineRule="auto"/>
        <w:ind w:firstLine="480" w:firstLineChars="200"/>
        <w:rPr>
          <w:color w:val="auto"/>
          <w:sz w:val="24"/>
          <w:szCs w:val="24"/>
          <w:highlight w:val="none"/>
        </w:rPr>
      </w:pPr>
      <w:r>
        <w:rPr>
          <w:color w:val="auto"/>
          <w:sz w:val="24"/>
          <w:szCs w:val="24"/>
          <w:highlight w:val="none"/>
        </w:rPr>
        <w:t xml:space="preserve">37.2.4.2 </w:t>
      </w:r>
      <w:r>
        <w:rPr>
          <w:rFonts w:hint="eastAsia"/>
          <w:color w:val="auto"/>
          <w:sz w:val="24"/>
          <w:szCs w:val="24"/>
          <w:highlight w:val="none"/>
        </w:rPr>
        <w:t>必须公正、不得循私；</w:t>
      </w:r>
    </w:p>
    <w:p>
      <w:pPr>
        <w:spacing w:line="360" w:lineRule="auto"/>
        <w:ind w:firstLine="480" w:firstLineChars="200"/>
        <w:rPr>
          <w:color w:val="auto"/>
          <w:sz w:val="24"/>
          <w:szCs w:val="24"/>
          <w:highlight w:val="none"/>
        </w:rPr>
      </w:pPr>
      <w:r>
        <w:rPr>
          <w:color w:val="auto"/>
          <w:sz w:val="24"/>
          <w:szCs w:val="24"/>
          <w:highlight w:val="none"/>
        </w:rPr>
        <w:t xml:space="preserve">37.2.4.3 </w:t>
      </w:r>
      <w:r>
        <w:rPr>
          <w:rFonts w:hint="eastAsia"/>
          <w:color w:val="auto"/>
          <w:sz w:val="24"/>
          <w:szCs w:val="24"/>
          <w:highlight w:val="none"/>
        </w:rPr>
        <w:t>必须科学、不得草率；</w:t>
      </w:r>
    </w:p>
    <w:p>
      <w:pPr>
        <w:spacing w:line="360" w:lineRule="auto"/>
        <w:ind w:firstLine="480" w:firstLineChars="200"/>
        <w:rPr>
          <w:color w:val="auto"/>
          <w:sz w:val="24"/>
          <w:szCs w:val="24"/>
          <w:highlight w:val="none"/>
        </w:rPr>
      </w:pPr>
      <w:r>
        <w:rPr>
          <w:color w:val="auto"/>
          <w:sz w:val="24"/>
          <w:szCs w:val="24"/>
          <w:highlight w:val="none"/>
        </w:rPr>
        <w:t xml:space="preserve">37.2.4.4 </w:t>
      </w:r>
      <w:r>
        <w:rPr>
          <w:rFonts w:hint="eastAsia"/>
          <w:color w:val="auto"/>
          <w:sz w:val="24"/>
          <w:szCs w:val="24"/>
          <w:highlight w:val="none"/>
        </w:rPr>
        <w:t>必须客观、不得带有成见；</w:t>
      </w:r>
    </w:p>
    <w:p>
      <w:pPr>
        <w:spacing w:line="360" w:lineRule="auto"/>
        <w:ind w:firstLine="480" w:firstLineChars="200"/>
        <w:rPr>
          <w:color w:val="auto"/>
          <w:sz w:val="24"/>
          <w:szCs w:val="24"/>
          <w:highlight w:val="none"/>
        </w:rPr>
      </w:pPr>
      <w:r>
        <w:rPr>
          <w:color w:val="auto"/>
          <w:sz w:val="24"/>
          <w:szCs w:val="24"/>
          <w:highlight w:val="none"/>
        </w:rPr>
        <w:t xml:space="preserve">37.2.4.5 </w:t>
      </w:r>
      <w:r>
        <w:rPr>
          <w:rFonts w:hint="eastAsia"/>
          <w:color w:val="auto"/>
          <w:sz w:val="24"/>
          <w:szCs w:val="24"/>
          <w:highlight w:val="none"/>
        </w:rPr>
        <w:t>必须平等、不得强加于人；</w:t>
      </w:r>
    </w:p>
    <w:p>
      <w:pPr>
        <w:spacing w:line="360" w:lineRule="auto"/>
        <w:ind w:firstLine="480" w:firstLineChars="200"/>
        <w:rPr>
          <w:color w:val="auto"/>
          <w:sz w:val="24"/>
          <w:szCs w:val="24"/>
          <w:highlight w:val="none"/>
        </w:rPr>
      </w:pPr>
      <w:r>
        <w:rPr>
          <w:color w:val="auto"/>
          <w:sz w:val="24"/>
          <w:szCs w:val="24"/>
          <w:highlight w:val="none"/>
        </w:rPr>
        <w:t xml:space="preserve">37.2.4.6 </w:t>
      </w:r>
      <w:r>
        <w:rPr>
          <w:rFonts w:hint="eastAsia"/>
          <w:color w:val="auto"/>
          <w:sz w:val="24"/>
          <w:szCs w:val="24"/>
          <w:highlight w:val="none"/>
        </w:rPr>
        <w:t>必须严谨、不得随意马虎。</w:t>
      </w:r>
    </w:p>
    <w:p>
      <w:pPr>
        <w:spacing w:line="360" w:lineRule="auto"/>
        <w:ind w:firstLine="480" w:firstLineChars="200"/>
        <w:rPr>
          <w:color w:val="auto"/>
          <w:sz w:val="24"/>
          <w:szCs w:val="24"/>
          <w:highlight w:val="none"/>
        </w:rPr>
      </w:pPr>
      <w:r>
        <w:rPr>
          <w:color w:val="auto"/>
          <w:sz w:val="24"/>
          <w:szCs w:val="24"/>
          <w:highlight w:val="none"/>
        </w:rPr>
        <w:t xml:space="preserve">37.3 </w:t>
      </w:r>
      <w:r>
        <w:rPr>
          <w:rFonts w:hint="eastAsia"/>
          <w:color w:val="auto"/>
          <w:sz w:val="24"/>
          <w:szCs w:val="24"/>
          <w:highlight w:val="none"/>
        </w:rPr>
        <w:t>评标结束后，评标委员会递交评标报告并依法推荐中标候选人。</w:t>
      </w:r>
      <w:r>
        <w:rPr>
          <w:color w:val="auto"/>
          <w:sz w:val="24"/>
          <w:szCs w:val="24"/>
          <w:highlight w:val="none"/>
        </w:rPr>
        <w:t xml:space="preserve"> </w:t>
      </w:r>
    </w:p>
    <w:p>
      <w:pPr>
        <w:spacing w:line="360" w:lineRule="auto"/>
        <w:ind w:firstLine="480" w:firstLineChars="200"/>
        <w:rPr>
          <w:color w:val="auto"/>
          <w:sz w:val="24"/>
          <w:szCs w:val="24"/>
          <w:highlight w:val="none"/>
        </w:rPr>
      </w:pPr>
      <w:r>
        <w:rPr>
          <w:color w:val="auto"/>
          <w:sz w:val="24"/>
          <w:szCs w:val="24"/>
          <w:highlight w:val="none"/>
        </w:rPr>
        <w:t>38</w:t>
      </w:r>
      <w:r>
        <w:rPr>
          <w:rFonts w:hint="eastAsia"/>
          <w:color w:val="auto"/>
          <w:sz w:val="24"/>
          <w:szCs w:val="24"/>
          <w:highlight w:val="none"/>
        </w:rPr>
        <w:t>．投标文件的澄清</w:t>
      </w:r>
    </w:p>
    <w:p>
      <w:pPr>
        <w:spacing w:line="360" w:lineRule="auto"/>
        <w:ind w:firstLine="480" w:firstLineChars="200"/>
        <w:rPr>
          <w:color w:val="auto"/>
          <w:sz w:val="24"/>
          <w:szCs w:val="24"/>
          <w:highlight w:val="none"/>
        </w:rPr>
      </w:pPr>
      <w:r>
        <w:rPr>
          <w:color w:val="auto"/>
          <w:sz w:val="24"/>
          <w:szCs w:val="24"/>
          <w:highlight w:val="none"/>
        </w:rPr>
        <w:t>38.1</w:t>
      </w:r>
      <w:r>
        <w:rPr>
          <w:rFonts w:hint="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color w:val="auto"/>
          <w:sz w:val="24"/>
          <w:szCs w:val="24"/>
          <w:highlight w:val="none"/>
        </w:rPr>
      </w:pPr>
      <w:r>
        <w:rPr>
          <w:color w:val="auto"/>
          <w:sz w:val="24"/>
          <w:szCs w:val="24"/>
          <w:highlight w:val="none"/>
        </w:rPr>
        <w:t xml:space="preserve">38.2 </w:t>
      </w:r>
      <w:r>
        <w:rPr>
          <w:rFonts w:hint="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color w:val="auto"/>
          <w:sz w:val="24"/>
          <w:szCs w:val="24"/>
          <w:highlight w:val="none"/>
        </w:rPr>
      </w:pPr>
      <w:r>
        <w:rPr>
          <w:color w:val="auto"/>
          <w:sz w:val="24"/>
          <w:szCs w:val="24"/>
          <w:highlight w:val="none"/>
        </w:rPr>
        <w:t xml:space="preserve">38.3 </w:t>
      </w:r>
      <w:r>
        <w:rPr>
          <w:rFonts w:hint="eastAsia"/>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color w:val="auto"/>
          <w:sz w:val="24"/>
          <w:szCs w:val="24"/>
          <w:highlight w:val="none"/>
        </w:rPr>
      </w:pPr>
      <w:r>
        <w:rPr>
          <w:color w:val="auto"/>
          <w:sz w:val="24"/>
          <w:szCs w:val="24"/>
          <w:highlight w:val="none"/>
        </w:rPr>
        <w:t>38.4</w:t>
      </w:r>
      <w:r>
        <w:rPr>
          <w:rFonts w:hint="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color w:val="auto"/>
          <w:sz w:val="24"/>
          <w:szCs w:val="24"/>
          <w:highlight w:val="none"/>
        </w:rPr>
      </w:pPr>
      <w:r>
        <w:rPr>
          <w:rFonts w:hint="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．定标</w:t>
      </w:r>
    </w:p>
    <w:p>
      <w:pPr>
        <w:spacing w:line="360" w:lineRule="auto"/>
        <w:ind w:firstLine="480" w:firstLineChars="200"/>
        <w:rPr>
          <w:color w:val="auto"/>
          <w:sz w:val="24"/>
          <w:szCs w:val="24"/>
          <w:highlight w:val="none"/>
        </w:rPr>
      </w:pPr>
      <w:r>
        <w:rPr>
          <w:color w:val="auto"/>
          <w:sz w:val="24"/>
          <w:szCs w:val="24"/>
          <w:highlight w:val="none"/>
        </w:rPr>
        <w:t xml:space="preserve">39.1 </w:t>
      </w:r>
      <w:r>
        <w:rPr>
          <w:rFonts w:hint="eastAsia"/>
          <w:color w:val="auto"/>
          <w:sz w:val="24"/>
          <w:szCs w:val="24"/>
          <w:highlight w:val="none"/>
        </w:rPr>
        <w:t>招标人根据评标委员会递交的评标报告，最终审定中标人。</w:t>
      </w:r>
    </w:p>
    <w:p>
      <w:pPr>
        <w:spacing w:line="360" w:lineRule="auto"/>
        <w:ind w:firstLine="480" w:firstLineChars="200"/>
        <w:rPr>
          <w:color w:val="auto"/>
          <w:sz w:val="24"/>
          <w:szCs w:val="24"/>
          <w:highlight w:val="none"/>
        </w:rPr>
      </w:pPr>
      <w:r>
        <w:rPr>
          <w:color w:val="auto"/>
          <w:sz w:val="24"/>
          <w:szCs w:val="24"/>
          <w:highlight w:val="none"/>
        </w:rPr>
        <w:t xml:space="preserve">39.2 </w:t>
      </w:r>
      <w:r>
        <w:rPr>
          <w:rFonts w:hint="eastAsia"/>
          <w:color w:val="auto"/>
          <w:sz w:val="24"/>
          <w:szCs w:val="24"/>
          <w:highlight w:val="none"/>
        </w:rPr>
        <w:t>依法必须进行公开招标的项目，招标人应当确定排名第一的中标候选人为中标人。</w:t>
      </w:r>
    </w:p>
    <w:p>
      <w:pPr>
        <w:spacing w:line="360" w:lineRule="auto"/>
        <w:ind w:firstLine="480" w:firstLineChars="200"/>
        <w:rPr>
          <w:color w:val="auto"/>
          <w:sz w:val="24"/>
          <w:szCs w:val="24"/>
          <w:highlight w:val="none"/>
        </w:rPr>
      </w:pPr>
      <w:r>
        <w:rPr>
          <w:color w:val="auto"/>
          <w:sz w:val="24"/>
          <w:szCs w:val="24"/>
          <w:highlight w:val="none"/>
        </w:rPr>
        <w:t>39.3</w:t>
      </w:r>
      <w:r>
        <w:rPr>
          <w:rFonts w:hint="eastAsia"/>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color w:val="auto"/>
          <w:sz w:val="24"/>
          <w:szCs w:val="24"/>
          <w:highlight w:val="none"/>
        </w:rPr>
      </w:pPr>
      <w:r>
        <w:rPr>
          <w:color w:val="auto"/>
          <w:sz w:val="24"/>
          <w:szCs w:val="24"/>
          <w:highlight w:val="none"/>
        </w:rPr>
        <w:t>39.4</w:t>
      </w:r>
      <w:r>
        <w:rPr>
          <w:rFonts w:hint="eastAsia"/>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color w:val="auto"/>
          <w:sz w:val="24"/>
          <w:szCs w:val="24"/>
          <w:highlight w:val="none"/>
        </w:rPr>
      </w:pPr>
      <w:r>
        <w:rPr>
          <w:rFonts w:hint="eastAsia"/>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14" w:name="_Toc18664070"/>
      <w:r>
        <w:rPr>
          <w:rFonts w:hint="eastAsia"/>
          <w:color w:val="auto"/>
          <w:highlight w:val="none"/>
        </w:rPr>
        <w:t>（二）开标评标办法程序和细则</w:t>
      </w:r>
      <w:bookmarkEnd w:id="14"/>
    </w:p>
    <w:p>
      <w:pPr>
        <w:spacing w:line="360" w:lineRule="auto"/>
        <w:ind w:firstLine="480" w:firstLineChars="200"/>
        <w:rPr>
          <w:color w:val="auto"/>
          <w:sz w:val="24"/>
          <w:szCs w:val="24"/>
          <w:highlight w:val="none"/>
        </w:rPr>
      </w:pPr>
      <w:r>
        <w:rPr>
          <w:rFonts w:hint="eastAsia"/>
          <w:color w:val="auto"/>
          <w:sz w:val="24"/>
          <w:szCs w:val="24"/>
          <w:highlight w:val="none"/>
        </w:rPr>
        <w:t>注：以下八种评标办法所述企业综合诚信评价分数即投标截止当日广州市工程招标代理行业协会网站上公布的企业综合诚信评价</w:t>
      </w:r>
      <w:r>
        <w:rPr>
          <w:color w:val="auto"/>
          <w:sz w:val="24"/>
          <w:szCs w:val="24"/>
          <w:highlight w:val="none"/>
        </w:rPr>
        <w:t>60</w:t>
      </w:r>
      <w:r>
        <w:rPr>
          <w:rFonts w:hint="eastAsia"/>
          <w:color w:val="auto"/>
          <w:sz w:val="24"/>
          <w:szCs w:val="24"/>
          <w:highlight w:val="none"/>
        </w:rPr>
        <w:t>日诚信分。</w:t>
      </w:r>
    </w:p>
    <w:p>
      <w:pPr>
        <w:pStyle w:val="8"/>
        <w:spacing w:before="156" w:after="156"/>
        <w:ind w:firstLine="540" w:firstLineChars="200"/>
        <w:rPr>
          <w:color w:val="auto"/>
          <w:highlight w:val="none"/>
        </w:rPr>
      </w:pPr>
      <w:bookmarkStart w:id="15" w:name="_Toc21525508"/>
      <w:bookmarkStart w:id="16" w:name="_Toc2272563"/>
      <w:r>
        <w:rPr>
          <w:rFonts w:hint="eastAsia"/>
          <w:color w:val="auto"/>
          <w:highlight w:val="none"/>
        </w:rPr>
        <w:t>可选办法六（适合综合评分法三，技术标与经济标同时开启）</w:t>
      </w:r>
      <w:bookmarkEnd w:id="15"/>
      <w:bookmarkEnd w:id="16"/>
    </w:p>
    <w:p>
      <w:pPr>
        <w:pStyle w:val="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color w:val="auto"/>
          <w:sz w:val="24"/>
          <w:szCs w:val="24"/>
          <w:highlight w:val="none"/>
        </w:rPr>
      </w:pPr>
      <w:r>
        <w:rPr>
          <w:rFonts w:hint="eastAsia"/>
          <w:color w:val="auto"/>
          <w:sz w:val="24"/>
          <w:szCs w:val="24"/>
          <w:highlight w:val="none"/>
        </w:rPr>
        <w:t>40.1投标人递交技术标、经济标投标文件；</w:t>
      </w:r>
    </w:p>
    <w:p>
      <w:pPr>
        <w:spacing w:line="360" w:lineRule="auto"/>
        <w:ind w:firstLine="480" w:firstLineChars="200"/>
        <w:rPr>
          <w:color w:val="auto"/>
          <w:sz w:val="24"/>
          <w:szCs w:val="24"/>
          <w:highlight w:val="none"/>
        </w:rPr>
      </w:pPr>
      <w:r>
        <w:rPr>
          <w:rFonts w:hint="eastAsia"/>
          <w:color w:val="auto"/>
          <w:sz w:val="24"/>
          <w:szCs w:val="24"/>
          <w:highlight w:val="none"/>
        </w:rPr>
        <w:t>40.2技术标与经济标投标文件同时公开开标；</w:t>
      </w:r>
    </w:p>
    <w:p>
      <w:pPr>
        <w:spacing w:line="360" w:lineRule="auto"/>
        <w:ind w:firstLine="480" w:firstLineChars="200"/>
        <w:rPr>
          <w:color w:val="auto"/>
          <w:sz w:val="24"/>
          <w:szCs w:val="24"/>
          <w:highlight w:val="none"/>
        </w:rPr>
      </w:pPr>
      <w:r>
        <w:rPr>
          <w:rFonts w:hint="eastAsia"/>
          <w:color w:val="auto"/>
          <w:sz w:val="24"/>
          <w:szCs w:val="24"/>
          <w:highlight w:val="none"/>
        </w:rPr>
        <w:t>40.3由评标委员会对所有已公开开标的投标人进行资格审查；</w:t>
      </w:r>
    </w:p>
    <w:p>
      <w:pPr>
        <w:spacing w:line="360" w:lineRule="auto"/>
        <w:ind w:firstLine="480" w:firstLineChars="200"/>
        <w:rPr>
          <w:color w:val="auto"/>
          <w:sz w:val="24"/>
          <w:szCs w:val="24"/>
          <w:highlight w:val="none"/>
        </w:rPr>
      </w:pPr>
      <w:r>
        <w:rPr>
          <w:rFonts w:hint="eastAsia"/>
          <w:color w:val="auto"/>
          <w:sz w:val="24"/>
          <w:szCs w:val="24"/>
          <w:highlight w:val="none"/>
        </w:rPr>
        <w:t>40.4技术标投标文件有效性审查；</w:t>
      </w:r>
    </w:p>
    <w:p>
      <w:pPr>
        <w:spacing w:line="360" w:lineRule="auto"/>
        <w:ind w:firstLine="480" w:firstLineChars="200"/>
        <w:rPr>
          <w:color w:val="auto"/>
          <w:sz w:val="24"/>
          <w:szCs w:val="24"/>
          <w:highlight w:val="none"/>
        </w:rPr>
      </w:pPr>
      <w:r>
        <w:rPr>
          <w:rFonts w:hint="eastAsia"/>
          <w:color w:val="auto"/>
          <w:sz w:val="24"/>
          <w:szCs w:val="24"/>
          <w:highlight w:val="none"/>
        </w:rPr>
        <w:t>40.5技术标详细审查评分；</w:t>
      </w:r>
    </w:p>
    <w:p>
      <w:pPr>
        <w:spacing w:line="360" w:lineRule="auto"/>
        <w:ind w:firstLine="480" w:firstLineChars="200"/>
        <w:rPr>
          <w:color w:val="auto"/>
          <w:sz w:val="24"/>
          <w:szCs w:val="24"/>
          <w:highlight w:val="none"/>
        </w:rPr>
      </w:pPr>
      <w:r>
        <w:rPr>
          <w:rFonts w:hint="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color w:val="auto"/>
          <w:sz w:val="24"/>
          <w:szCs w:val="24"/>
          <w:highlight w:val="none"/>
        </w:rPr>
      </w:pPr>
      <w:r>
        <w:rPr>
          <w:rFonts w:hint="eastAsia"/>
          <w:color w:val="auto"/>
          <w:sz w:val="24"/>
          <w:szCs w:val="24"/>
          <w:highlight w:val="none"/>
        </w:rPr>
        <w:t>40.7按投标须知前附表第25项规定，确定进入第二阶段评审的投标人；</w:t>
      </w:r>
    </w:p>
    <w:p>
      <w:pPr>
        <w:spacing w:line="360" w:lineRule="auto"/>
        <w:ind w:firstLine="480" w:firstLineChars="200"/>
        <w:rPr>
          <w:color w:val="auto"/>
          <w:sz w:val="24"/>
          <w:szCs w:val="24"/>
          <w:highlight w:val="none"/>
        </w:rPr>
      </w:pPr>
      <w:r>
        <w:rPr>
          <w:rFonts w:hint="eastAsia"/>
          <w:color w:val="auto"/>
          <w:sz w:val="24"/>
          <w:szCs w:val="24"/>
          <w:highlight w:val="none"/>
        </w:rPr>
        <w:t>40.8将进入第二阶段评审的投标人进行排序；</w:t>
      </w:r>
    </w:p>
    <w:p>
      <w:pPr>
        <w:spacing w:line="360" w:lineRule="auto"/>
        <w:ind w:firstLine="480" w:firstLineChars="200"/>
        <w:rPr>
          <w:color w:val="auto"/>
          <w:sz w:val="24"/>
          <w:szCs w:val="24"/>
          <w:highlight w:val="none"/>
        </w:rPr>
      </w:pPr>
      <w:r>
        <w:rPr>
          <w:rFonts w:hint="eastAsia"/>
          <w:color w:val="auto"/>
          <w:sz w:val="24"/>
          <w:szCs w:val="24"/>
          <w:highlight w:val="none"/>
        </w:rPr>
        <w:t>40.9按排序对经济标投标文件进行有效性审查（含投标报价算术校核），直至评出所有中标候选人；</w:t>
      </w:r>
    </w:p>
    <w:p>
      <w:pPr>
        <w:spacing w:line="360" w:lineRule="auto"/>
        <w:ind w:firstLine="480" w:firstLineChars="200"/>
        <w:rPr>
          <w:color w:val="auto"/>
          <w:sz w:val="24"/>
          <w:szCs w:val="24"/>
          <w:highlight w:val="none"/>
        </w:rPr>
      </w:pPr>
      <w:r>
        <w:rPr>
          <w:rFonts w:hint="eastAsia"/>
          <w:color w:val="auto"/>
          <w:sz w:val="24"/>
          <w:szCs w:val="24"/>
          <w:highlight w:val="none"/>
        </w:rPr>
        <w:t>40.10评标委员会编写评标报告，向招标人推荐中标候选人名单。</w:t>
      </w:r>
    </w:p>
    <w:p>
      <w:pPr>
        <w:spacing w:line="360" w:lineRule="auto"/>
        <w:ind w:firstLine="480" w:firstLineChars="200"/>
        <w:rPr>
          <w:color w:val="auto"/>
          <w:sz w:val="24"/>
          <w:szCs w:val="24"/>
          <w:highlight w:val="none"/>
        </w:rPr>
      </w:pPr>
      <w:r>
        <w:rPr>
          <w:rFonts w:hint="eastAsia"/>
          <w:color w:val="auto"/>
          <w:sz w:val="24"/>
          <w:szCs w:val="24"/>
          <w:highlight w:val="none"/>
        </w:rPr>
        <w:t>41. 开标细则</w:t>
      </w:r>
    </w:p>
    <w:p>
      <w:pPr>
        <w:spacing w:line="360" w:lineRule="auto"/>
        <w:ind w:firstLine="480" w:firstLineChars="200"/>
        <w:rPr>
          <w:color w:val="auto"/>
          <w:sz w:val="24"/>
          <w:szCs w:val="24"/>
          <w:highlight w:val="none"/>
        </w:rPr>
      </w:pPr>
      <w:r>
        <w:rPr>
          <w:rFonts w:hint="eastAsia"/>
          <w:color w:val="auto"/>
          <w:sz w:val="24"/>
          <w:szCs w:val="24"/>
          <w:highlight w:val="none"/>
        </w:rPr>
        <w:t>41.1开标由招标人主持；</w:t>
      </w:r>
    </w:p>
    <w:p>
      <w:pPr>
        <w:spacing w:line="360" w:lineRule="auto"/>
        <w:ind w:firstLine="480" w:firstLineChars="200"/>
        <w:rPr>
          <w:color w:val="auto"/>
          <w:sz w:val="24"/>
          <w:szCs w:val="24"/>
          <w:highlight w:val="none"/>
        </w:rPr>
      </w:pPr>
      <w:r>
        <w:rPr>
          <w:rFonts w:hint="eastAsia"/>
          <w:color w:val="auto"/>
          <w:sz w:val="24"/>
          <w:szCs w:val="24"/>
          <w:highlight w:val="none"/>
        </w:rPr>
        <w:t>41.2细则</w:t>
      </w:r>
    </w:p>
    <w:p>
      <w:pPr>
        <w:spacing w:line="360" w:lineRule="auto"/>
        <w:ind w:firstLine="480" w:firstLineChars="200"/>
        <w:rPr>
          <w:color w:val="auto"/>
          <w:sz w:val="24"/>
          <w:szCs w:val="24"/>
          <w:highlight w:val="none"/>
        </w:rPr>
      </w:pPr>
      <w:r>
        <w:rPr>
          <w:rFonts w:hint="eastAsia"/>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color w:val="auto"/>
          <w:sz w:val="24"/>
          <w:szCs w:val="24"/>
          <w:highlight w:val="none"/>
        </w:rPr>
        <w:t xml:space="preserve">交易平台。有关投标文件提交的事项详见第一章投标须知。 </w:t>
      </w:r>
    </w:p>
    <w:p>
      <w:pPr>
        <w:spacing w:line="360" w:lineRule="auto"/>
        <w:ind w:firstLine="480" w:firstLineChars="200"/>
        <w:rPr>
          <w:color w:val="auto"/>
          <w:sz w:val="24"/>
          <w:szCs w:val="24"/>
          <w:highlight w:val="none"/>
        </w:rPr>
      </w:pPr>
      <w:r>
        <w:rPr>
          <w:rFonts w:hint="eastAsia"/>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color w:val="auto"/>
          <w:sz w:val="24"/>
          <w:szCs w:val="24"/>
          <w:highlight w:val="none"/>
        </w:rPr>
      </w:pPr>
      <w:r>
        <w:rPr>
          <w:rFonts w:hint="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color w:val="auto"/>
          <w:sz w:val="24"/>
          <w:szCs w:val="24"/>
          <w:highlight w:val="none"/>
        </w:rPr>
      </w:pPr>
      <w:r>
        <w:rPr>
          <w:rFonts w:hint="eastAsia"/>
          <w:color w:val="auto"/>
          <w:sz w:val="24"/>
          <w:szCs w:val="24"/>
          <w:highlight w:val="none"/>
        </w:rPr>
        <w:t>41.3.1开标时，公布：a、投标人名称；b、</w:t>
      </w:r>
      <w:r>
        <w:rPr>
          <w:rFonts w:hint="eastAsia"/>
          <w:color w:val="auto"/>
          <w:sz w:val="24"/>
          <w:highlight w:val="none"/>
        </w:rPr>
        <w:t>投标文件</w:t>
      </w:r>
      <w:r>
        <w:rPr>
          <w:rFonts w:hint="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color w:val="auto"/>
          <w:sz w:val="24"/>
          <w:szCs w:val="24"/>
          <w:highlight w:val="none"/>
        </w:rPr>
      </w:pPr>
      <w:r>
        <w:rPr>
          <w:rFonts w:hint="eastAsia"/>
          <w:color w:val="auto"/>
          <w:sz w:val="24"/>
          <w:szCs w:val="24"/>
          <w:highlight w:val="none"/>
        </w:rPr>
        <w:t>41.4招标人对开标过程进行记录，并存档备查，投标人在开标记录上签字。</w:t>
      </w:r>
    </w:p>
    <w:p>
      <w:pPr>
        <w:spacing w:line="360" w:lineRule="auto"/>
        <w:ind w:firstLine="480" w:firstLineChars="200"/>
        <w:rPr>
          <w:color w:val="auto"/>
          <w:sz w:val="24"/>
          <w:szCs w:val="24"/>
          <w:highlight w:val="none"/>
        </w:rPr>
      </w:pPr>
      <w:r>
        <w:rPr>
          <w:rFonts w:hint="eastAsia"/>
          <w:color w:val="auto"/>
          <w:sz w:val="24"/>
          <w:szCs w:val="24"/>
          <w:highlight w:val="none"/>
        </w:rPr>
        <w:t>41.5 招标人将上述符合要求的投标文件，送至评标委员会进行评审。</w:t>
      </w:r>
    </w:p>
    <w:p>
      <w:pPr>
        <w:spacing w:line="360" w:lineRule="auto"/>
        <w:ind w:firstLine="480" w:firstLineChars="200"/>
        <w:rPr>
          <w:color w:val="auto"/>
          <w:sz w:val="24"/>
          <w:szCs w:val="24"/>
          <w:highlight w:val="none"/>
        </w:rPr>
      </w:pPr>
      <w:r>
        <w:rPr>
          <w:color w:val="auto"/>
          <w:sz w:val="24"/>
          <w:szCs w:val="24"/>
          <w:highlight w:val="none"/>
        </w:rPr>
        <w:t xml:space="preserve">42. </w:t>
      </w:r>
      <w:r>
        <w:rPr>
          <w:rFonts w:hint="eastAsia"/>
          <w:color w:val="auto"/>
          <w:sz w:val="24"/>
          <w:szCs w:val="24"/>
          <w:highlight w:val="none"/>
        </w:rPr>
        <w:t>评标细则</w:t>
      </w:r>
    </w:p>
    <w:p>
      <w:pPr>
        <w:spacing w:line="360" w:lineRule="auto"/>
        <w:ind w:firstLine="480" w:firstLineChars="200"/>
        <w:rPr>
          <w:color w:val="auto"/>
          <w:sz w:val="24"/>
          <w:szCs w:val="24"/>
          <w:highlight w:val="none"/>
        </w:rPr>
      </w:pPr>
      <w:r>
        <w:rPr>
          <w:rFonts w:hint="eastAsia"/>
          <w:color w:val="auto"/>
          <w:sz w:val="24"/>
          <w:szCs w:val="24"/>
          <w:highlight w:val="none"/>
        </w:rPr>
        <w:t>42.1评标委员会的组成：方式</w:t>
      </w:r>
      <w:r>
        <w:rPr>
          <w:rFonts w:hint="eastAsia"/>
          <w:color w:val="auto"/>
          <w:sz w:val="24"/>
          <w:szCs w:val="24"/>
          <w:highlight w:val="none"/>
          <w:u w:val="single"/>
        </w:rPr>
        <w:t xml:space="preserve">      </w:t>
      </w:r>
      <w:r>
        <w:rPr>
          <w:rFonts w:hint="eastAsia"/>
          <w:color w:val="auto"/>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方式一：评标委员会为综合评标委员会，负责评标工作。</w:t>
      </w:r>
    </w:p>
    <w:p>
      <w:pPr>
        <w:widowControl/>
        <w:spacing w:line="360" w:lineRule="auto"/>
        <w:ind w:firstLine="480" w:firstLineChars="200"/>
        <w:jc w:val="left"/>
        <w:rPr>
          <w:rFonts w:cs="宋体"/>
          <w:color w:val="auto"/>
          <w:kern w:val="0"/>
          <w:sz w:val="24"/>
          <w:szCs w:val="24"/>
          <w:highlight w:val="none"/>
        </w:rPr>
      </w:pPr>
      <w:r>
        <w:rPr>
          <w:rFonts w:hint="eastAsia"/>
          <w:color w:val="auto"/>
          <w:sz w:val="24"/>
          <w:szCs w:val="24"/>
          <w:highlight w:val="none"/>
        </w:rPr>
        <w:t>方式二：评标委员会由技术评审组和经济评审组组成。其中：资格审查、技术评审由技术评标组负责，经济评审由经济评审组负责。</w:t>
      </w:r>
      <w:r>
        <w:rPr>
          <w:rFonts w:hint="eastAsia" w:cs="宋体"/>
          <w:color w:val="auto"/>
          <w:kern w:val="0"/>
          <w:sz w:val="24"/>
          <w:szCs w:val="24"/>
          <w:highlight w:val="none"/>
        </w:rPr>
        <w:t xml:space="preserve"> </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cs="宋体"/>
          <w:color w:val="auto"/>
          <w:kern w:val="0"/>
          <w:sz w:val="24"/>
          <w:szCs w:val="24"/>
          <w:highlight w:val="none"/>
        </w:rPr>
      </w:pPr>
      <w:r>
        <w:rPr>
          <w:rFonts w:hint="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color w:val="auto"/>
          <w:sz w:val="24"/>
          <w:szCs w:val="24"/>
          <w:highlight w:val="none"/>
        </w:rPr>
      </w:pPr>
      <w:r>
        <w:rPr>
          <w:rFonts w:hint="eastAsia"/>
          <w:color w:val="auto"/>
          <w:sz w:val="24"/>
          <w:szCs w:val="24"/>
          <w:highlight w:val="none"/>
        </w:rPr>
        <w:t>42.3 第一阶段评审</w:t>
      </w:r>
    </w:p>
    <w:p>
      <w:pPr>
        <w:spacing w:line="360" w:lineRule="auto"/>
        <w:ind w:firstLine="480" w:firstLineChars="200"/>
        <w:rPr>
          <w:color w:val="auto"/>
          <w:sz w:val="24"/>
          <w:szCs w:val="24"/>
          <w:highlight w:val="none"/>
        </w:rPr>
      </w:pPr>
      <w:r>
        <w:rPr>
          <w:color w:val="auto"/>
          <w:sz w:val="24"/>
          <w:szCs w:val="24"/>
          <w:highlight w:val="none"/>
        </w:rPr>
        <w:t>42.3</w:t>
      </w:r>
      <w:r>
        <w:rPr>
          <w:rFonts w:hint="eastAsia"/>
          <w:color w:val="auto"/>
          <w:sz w:val="24"/>
          <w:szCs w:val="24"/>
          <w:highlight w:val="none"/>
        </w:rPr>
        <w:t>.1技术标的有效性审查：投标文件中没有任一种列于本办法附表二《技术标有效性审查表》中情形的，为有效</w:t>
      </w:r>
      <w:r>
        <w:rPr>
          <w:rFonts w:hint="eastAsia"/>
          <w:color w:val="auto"/>
          <w:sz w:val="24"/>
          <w:highlight w:val="none"/>
        </w:rPr>
        <w:t>投标文件</w:t>
      </w:r>
      <w:r>
        <w:rPr>
          <w:rFonts w:hint="eastAsia"/>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color w:val="auto"/>
          <w:sz w:val="24"/>
          <w:szCs w:val="24"/>
          <w:highlight w:val="none"/>
        </w:rPr>
      </w:pPr>
      <w:r>
        <w:rPr>
          <w:rFonts w:hint="eastAsia"/>
          <w:color w:val="auto"/>
          <w:sz w:val="24"/>
          <w:szCs w:val="24"/>
          <w:highlight w:val="none"/>
        </w:rPr>
        <w:t>42.3.2</w:t>
      </w:r>
      <w:r>
        <w:rPr>
          <w:rFonts w:hint="eastAsia"/>
          <w:color w:val="auto"/>
          <w:sz w:val="24"/>
          <w:szCs w:val="24"/>
          <w:highlight w:val="none"/>
          <w:u w:val="single"/>
        </w:rPr>
        <w:t xml:space="preserve">     </w:t>
      </w:r>
      <w:r>
        <w:rPr>
          <w:rFonts w:hint="eastAsia"/>
          <w:color w:val="auto"/>
          <w:sz w:val="24"/>
          <w:szCs w:val="24"/>
          <w:highlight w:val="none"/>
        </w:rPr>
        <w:t>详细审查评分：评标委员会按照本办法附表</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详细审查评分表》对通过技术标有效性审查的投标文件进行详细审查，评出</w:t>
      </w:r>
      <w:r>
        <w:rPr>
          <w:rFonts w:hint="eastAsia"/>
          <w:color w:val="auto"/>
          <w:sz w:val="24"/>
          <w:szCs w:val="24"/>
          <w:highlight w:val="none"/>
          <w:u w:val="single"/>
        </w:rPr>
        <w:t xml:space="preserve">     </w:t>
      </w:r>
      <w:r>
        <w:rPr>
          <w:rFonts w:hint="eastAsia"/>
          <w:color w:val="auto"/>
          <w:sz w:val="24"/>
          <w:szCs w:val="24"/>
          <w:highlight w:val="none"/>
        </w:rPr>
        <w:t>得分。</w:t>
      </w:r>
    </w:p>
    <w:p>
      <w:pPr>
        <w:spacing w:line="360" w:lineRule="auto"/>
        <w:ind w:firstLine="480" w:firstLineChars="200"/>
        <w:rPr>
          <w:color w:val="auto"/>
          <w:sz w:val="24"/>
          <w:szCs w:val="24"/>
          <w:highlight w:val="none"/>
        </w:rPr>
      </w:pPr>
      <w:r>
        <w:rPr>
          <w:rFonts w:hint="eastAsia"/>
          <w:color w:val="auto"/>
          <w:sz w:val="24"/>
          <w:szCs w:val="24"/>
          <w:highlight w:val="none"/>
        </w:rPr>
        <w:t>42.3.4评标委员会按照“第一阶段得分=</w:t>
      </w:r>
      <w:r>
        <w:rPr>
          <w:rFonts w:hint="eastAsia"/>
          <w:color w:val="auto"/>
          <w:sz w:val="24"/>
          <w:szCs w:val="24"/>
          <w:highlight w:val="none"/>
          <w:u w:val="single"/>
        </w:rPr>
        <w:t xml:space="preserve">               </w:t>
      </w:r>
      <w:r>
        <w:rPr>
          <w:rFonts w:hint="eastAsia"/>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color w:val="auto"/>
          <w:sz w:val="24"/>
          <w:szCs w:val="24"/>
          <w:highlight w:val="none"/>
        </w:rPr>
      </w:pPr>
      <w:r>
        <w:rPr>
          <w:rFonts w:hint="eastAsia"/>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color w:val="auto"/>
          <w:sz w:val="24"/>
          <w:szCs w:val="24"/>
          <w:highlight w:val="none"/>
        </w:rPr>
      </w:pPr>
      <w:r>
        <w:rPr>
          <w:color w:val="auto"/>
          <w:sz w:val="24"/>
          <w:szCs w:val="24"/>
          <w:highlight w:val="none"/>
        </w:rPr>
        <w:t>42.4</w:t>
      </w:r>
      <w:r>
        <w:rPr>
          <w:rFonts w:hint="eastAsia"/>
          <w:color w:val="auto"/>
          <w:sz w:val="24"/>
          <w:szCs w:val="24"/>
          <w:highlight w:val="none"/>
        </w:rPr>
        <w:t xml:space="preserve"> 第二阶段评审</w:t>
      </w:r>
    </w:p>
    <w:p>
      <w:pPr>
        <w:spacing w:line="360" w:lineRule="auto"/>
        <w:ind w:firstLine="480" w:firstLineChars="200"/>
        <w:rPr>
          <w:color w:val="auto"/>
          <w:sz w:val="24"/>
          <w:szCs w:val="24"/>
          <w:highlight w:val="none"/>
        </w:rPr>
      </w:pPr>
      <w:r>
        <w:rPr>
          <w:color w:val="auto"/>
          <w:sz w:val="24"/>
          <w:szCs w:val="24"/>
          <w:highlight w:val="none"/>
        </w:rPr>
        <w:t>42.4.1</w:t>
      </w:r>
      <w:r>
        <w:rPr>
          <w:rFonts w:hint="eastAsia"/>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color w:val="auto"/>
          <w:sz w:val="24"/>
          <w:szCs w:val="24"/>
          <w:highlight w:val="none"/>
        </w:rPr>
      </w:pPr>
      <w:r>
        <w:rPr>
          <w:rFonts w:hint="eastAsia"/>
          <w:color w:val="auto"/>
          <w:sz w:val="24"/>
          <w:szCs w:val="24"/>
          <w:highlight w:val="none"/>
        </w:rPr>
        <w:t>42.4.2若进入第二阶段投标人中所有投标报价均大于等于最高投标限价*D%（D的取值范围为[94,100],由招标人自主确定）的（具体金额为：</w:t>
      </w:r>
      <w:r>
        <w:rPr>
          <w:rFonts w:hint="eastAsia"/>
          <w:color w:val="auto"/>
          <w:sz w:val="24"/>
          <w:szCs w:val="24"/>
          <w:highlight w:val="none"/>
          <w:u w:val="single"/>
        </w:rPr>
        <w:t xml:space="preserve">      </w:t>
      </w:r>
      <w:r>
        <w:rPr>
          <w:rFonts w:hint="eastAsia"/>
          <w:color w:val="auto"/>
          <w:sz w:val="24"/>
          <w:szCs w:val="24"/>
          <w:highlight w:val="none"/>
        </w:rPr>
        <w:t>元），则本项目招标失败，由招标人依法重新招标。</w:t>
      </w:r>
    </w:p>
    <w:p>
      <w:pPr>
        <w:spacing w:line="360" w:lineRule="auto"/>
        <w:ind w:firstLine="480" w:firstLineChars="200"/>
        <w:rPr>
          <w:color w:val="auto"/>
          <w:sz w:val="24"/>
          <w:szCs w:val="24"/>
          <w:highlight w:val="none"/>
        </w:rPr>
      </w:pPr>
      <w:r>
        <w:rPr>
          <w:rFonts w:hint="eastAsia"/>
          <w:color w:val="auto"/>
          <w:sz w:val="24"/>
          <w:szCs w:val="24"/>
          <w:highlight w:val="none"/>
        </w:rPr>
        <w:t>42.4.3投标文件经济标的评分</w:t>
      </w:r>
    </w:p>
    <w:p>
      <w:pPr>
        <w:spacing w:line="360" w:lineRule="auto"/>
        <w:ind w:firstLine="480" w:firstLineChars="200"/>
        <w:rPr>
          <w:color w:val="auto"/>
          <w:sz w:val="24"/>
          <w:szCs w:val="24"/>
          <w:highlight w:val="none"/>
        </w:rPr>
      </w:pPr>
      <w:r>
        <w:rPr>
          <w:rFonts w:hint="eastAsia"/>
          <w:color w:val="auto"/>
          <w:sz w:val="24"/>
          <w:szCs w:val="24"/>
          <w:highlight w:val="none"/>
        </w:rPr>
        <w:t>42.4.3.1按方法</w:t>
      </w:r>
      <w:r>
        <w:rPr>
          <w:rFonts w:hint="eastAsia"/>
          <w:color w:val="auto"/>
          <w:sz w:val="24"/>
          <w:szCs w:val="24"/>
          <w:highlight w:val="none"/>
          <w:u w:val="single"/>
        </w:rPr>
        <w:t xml:space="preserve">    </w:t>
      </w:r>
      <w:r>
        <w:rPr>
          <w:rFonts w:hint="eastAsia"/>
          <w:color w:val="auto"/>
          <w:sz w:val="24"/>
          <w:szCs w:val="24"/>
          <w:highlight w:val="none"/>
        </w:rPr>
        <w:t>计算评标参考价：</w:t>
      </w:r>
    </w:p>
    <w:p>
      <w:pPr>
        <w:widowControl/>
        <w:spacing w:line="360" w:lineRule="auto"/>
        <w:ind w:firstLine="482" w:firstLineChars="200"/>
        <w:rPr>
          <w:b/>
          <w:bCs/>
          <w:color w:val="auto"/>
          <w:kern w:val="0"/>
          <w:sz w:val="24"/>
          <w:szCs w:val="24"/>
          <w:highlight w:val="none"/>
        </w:rPr>
      </w:pPr>
      <w:r>
        <w:rPr>
          <w:rFonts w:hint="eastAsia" w:cs="仿宋"/>
          <w:b/>
          <w:bCs/>
          <w:color w:val="auto"/>
          <w:kern w:val="0"/>
          <w:sz w:val="24"/>
          <w:szCs w:val="24"/>
          <w:highlight w:val="none"/>
        </w:rPr>
        <w:t>方法一：加权平均法</w:t>
      </w:r>
    </w:p>
    <w:p>
      <w:pPr>
        <w:spacing w:line="360" w:lineRule="auto"/>
        <w:ind w:firstLine="480" w:firstLineChars="200"/>
        <w:rPr>
          <w:rFonts w:cs="仿宋"/>
          <w:color w:val="auto"/>
          <w:sz w:val="24"/>
          <w:szCs w:val="24"/>
          <w:highlight w:val="none"/>
        </w:rPr>
      </w:pPr>
      <w:r>
        <w:rPr>
          <w:rFonts w:hint="eastAsia" w:cs="仿宋"/>
          <w:color w:val="auto"/>
          <w:sz w:val="24"/>
          <w:szCs w:val="24"/>
          <w:highlight w:val="none"/>
        </w:rPr>
        <w:t>技术标或技术标加诚信得分或第一阶段入围得分（具体由招标人自定）前</w:t>
      </w:r>
      <w:r>
        <w:rPr>
          <w:rFonts w:cs="仿宋"/>
          <w:color w:val="auto"/>
          <w:sz w:val="24"/>
          <w:szCs w:val="24"/>
          <w:highlight w:val="none"/>
        </w:rPr>
        <w:t>N</w:t>
      </w:r>
      <w:r>
        <w:rPr>
          <w:rFonts w:hint="eastAsia" w:cs="仿宋"/>
          <w:color w:val="auto"/>
          <w:sz w:val="24"/>
          <w:szCs w:val="24"/>
          <w:highlight w:val="none"/>
        </w:rPr>
        <w:t>名（N≥5，具体由招标人自定）的经济报价加权平均，计算评标参考价。公式如下：</w:t>
      </w:r>
    </w:p>
    <w:p>
      <w:pPr>
        <w:spacing w:line="360" w:lineRule="auto"/>
        <w:ind w:firstLine="480" w:firstLineChars="200"/>
        <w:rPr>
          <w:rFonts w:cs="仿宋"/>
          <w:color w:val="auto"/>
          <w:sz w:val="24"/>
          <w:szCs w:val="24"/>
          <w:highlight w:val="none"/>
        </w:rPr>
      </w:pPr>
      <w:r>
        <w:rPr>
          <w:rFonts w:hint="eastAsia" w:cs="仿宋"/>
          <w:color w:val="auto"/>
          <w:sz w:val="24"/>
          <w:szCs w:val="24"/>
          <w:highlight w:val="none"/>
        </w:rPr>
        <w:t>评标参考价</w:t>
      </w:r>
      <w:r>
        <w:rPr>
          <w:rFonts w:cs="仿宋"/>
          <w:color w:val="auto"/>
          <w:sz w:val="24"/>
          <w:szCs w:val="24"/>
          <w:highlight w:val="none"/>
        </w:rPr>
        <w:t>=</w:t>
      </w:r>
      <w:r>
        <w:rPr>
          <w:rFonts w:hint="eastAsia" w:cs="仿宋"/>
          <w:color w:val="auto"/>
          <w:sz w:val="24"/>
          <w:szCs w:val="24"/>
          <w:highlight w:val="none"/>
        </w:rPr>
        <w:t>Σ（投标人的投标报价</w:t>
      </w:r>
      <w:r>
        <w:rPr>
          <w:rFonts w:cs="仿宋"/>
          <w:color w:val="auto"/>
          <w:sz w:val="24"/>
          <w:szCs w:val="24"/>
          <w:highlight w:val="none"/>
        </w:rPr>
        <w:t>*</w:t>
      </w:r>
      <w:r>
        <w:rPr>
          <w:rFonts w:hint="eastAsia" w:cs="仿宋"/>
          <w:color w:val="auto"/>
          <w:sz w:val="24"/>
          <w:szCs w:val="24"/>
          <w:highlight w:val="none"/>
        </w:rPr>
        <w:t>报价权重）。</w:t>
      </w:r>
    </w:p>
    <w:p>
      <w:pPr>
        <w:spacing w:line="360" w:lineRule="auto"/>
        <w:ind w:firstLine="480" w:firstLineChars="200"/>
        <w:rPr>
          <w:rFonts w:cs="仿宋"/>
          <w:color w:val="auto"/>
          <w:sz w:val="24"/>
          <w:szCs w:val="24"/>
          <w:highlight w:val="none"/>
        </w:rPr>
      </w:pPr>
      <w:r>
        <w:rPr>
          <w:rFonts w:hint="eastAsia" w:cs="仿宋"/>
          <w:color w:val="auto"/>
          <w:sz w:val="24"/>
          <w:szCs w:val="24"/>
          <w:highlight w:val="none"/>
        </w:rPr>
        <w:t>其中：报价权重的计算方法为：将</w:t>
      </w:r>
      <w:r>
        <w:rPr>
          <w:rFonts w:cs="仿宋"/>
          <w:color w:val="auto"/>
          <w:sz w:val="24"/>
          <w:szCs w:val="24"/>
          <w:highlight w:val="none"/>
        </w:rPr>
        <w:t>N</w:t>
      </w:r>
      <w:r>
        <w:rPr>
          <w:rFonts w:hint="eastAsia" w:cs="仿宋"/>
          <w:color w:val="auto"/>
          <w:sz w:val="24"/>
          <w:szCs w:val="24"/>
          <w:highlight w:val="none"/>
        </w:rPr>
        <w:t>名投标人按技术分由高至低进行排序，第一名投标人的权重为（</w:t>
      </w:r>
      <w:r>
        <w:rPr>
          <w:rFonts w:cs="仿宋"/>
          <w:color w:val="auto"/>
          <w:sz w:val="24"/>
          <w:szCs w:val="24"/>
          <w:highlight w:val="none"/>
        </w:rPr>
        <w:fldChar w:fldCharType="begin"/>
      </w:r>
      <w:r>
        <w:rPr>
          <w:rFonts w:cs="仿宋"/>
          <w:color w:val="auto"/>
          <w:sz w:val="24"/>
          <w:szCs w:val="24"/>
          <w:highlight w:val="none"/>
        </w:rPr>
        <w:instrText xml:space="preserve"> QUOTE </w:instrText>
      </w:r>
      <w:r>
        <w:rPr>
          <w:color w:val="auto"/>
          <w:sz w:val="24"/>
          <w:szCs w:val="24"/>
          <w:highlight w:val="none"/>
        </w:rPr>
        <w:drawing>
          <wp:inline distT="0" distB="0" distL="0" distR="0">
            <wp:extent cx="381000" cy="447675"/>
            <wp:effectExtent l="0" t="0" r="0" b="889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cs="仿宋"/>
          <w:color w:val="auto"/>
          <w:sz w:val="24"/>
          <w:szCs w:val="24"/>
          <w:highlight w:val="none"/>
        </w:rPr>
        <w:fldChar w:fldCharType="separate"/>
      </w:r>
      <w:r>
        <w:rPr>
          <w:color w:val="auto"/>
          <w:sz w:val="24"/>
          <w:szCs w:val="24"/>
          <w:highlight w:val="none"/>
        </w:rPr>
        <w:drawing>
          <wp:inline distT="0" distB="0" distL="0" distR="0">
            <wp:extent cx="381000" cy="447675"/>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cs="仿宋"/>
          <w:color w:val="auto"/>
          <w:sz w:val="24"/>
          <w:szCs w:val="24"/>
          <w:highlight w:val="none"/>
        </w:rPr>
        <w:fldChar w:fldCharType="end"/>
      </w:r>
      <w:r>
        <w:rPr>
          <w:rFonts w:hint="eastAsia" w:cs="仿宋"/>
          <w:color w:val="auto"/>
          <w:sz w:val="24"/>
          <w:szCs w:val="24"/>
          <w:highlight w:val="none"/>
        </w:rPr>
        <w:t>），第二名投标人的权重为（</w:t>
      </w:r>
      <w:r>
        <w:rPr>
          <w:rFonts w:cs="仿宋"/>
          <w:color w:val="auto"/>
          <w:sz w:val="24"/>
          <w:szCs w:val="24"/>
          <w:highlight w:val="none"/>
        </w:rPr>
        <w:fldChar w:fldCharType="begin"/>
      </w:r>
      <w:r>
        <w:rPr>
          <w:rFonts w:cs="仿宋"/>
          <w:color w:val="auto"/>
          <w:sz w:val="24"/>
          <w:szCs w:val="24"/>
          <w:highlight w:val="none"/>
        </w:rPr>
        <w:instrText xml:space="preserve"> QUOTE </w:instrText>
      </w:r>
      <w:r>
        <w:rPr>
          <w:color w:val="auto"/>
          <w:position w:val="-23"/>
          <w:sz w:val="24"/>
          <w:szCs w:val="24"/>
          <w:highlight w:val="none"/>
        </w:rPr>
        <w:drawing>
          <wp:inline distT="0" distB="0" distL="0" distR="0">
            <wp:extent cx="323850" cy="400050"/>
            <wp:effectExtent l="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cs="仿宋"/>
          <w:color w:val="auto"/>
          <w:sz w:val="24"/>
          <w:szCs w:val="24"/>
          <w:highlight w:val="none"/>
        </w:rPr>
        <w:fldChar w:fldCharType="separate"/>
      </w:r>
      <w:r>
        <w:rPr>
          <w:color w:val="auto"/>
          <w:position w:val="-23"/>
          <w:sz w:val="24"/>
          <w:szCs w:val="24"/>
          <w:highlight w:val="none"/>
        </w:rPr>
        <w:drawing>
          <wp:inline distT="0" distB="0" distL="0" distR="0">
            <wp:extent cx="323850" cy="400050"/>
            <wp:effectExtent l="0" t="0" r="0" b="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cs="仿宋"/>
          <w:color w:val="auto"/>
          <w:sz w:val="24"/>
          <w:szCs w:val="24"/>
          <w:highlight w:val="none"/>
        </w:rPr>
        <w:fldChar w:fldCharType="end"/>
      </w:r>
      <w:r>
        <w:rPr>
          <w:rFonts w:hint="eastAsia" w:cs="仿宋"/>
          <w:color w:val="auto"/>
          <w:sz w:val="24"/>
          <w:szCs w:val="24"/>
          <w:highlight w:val="none"/>
        </w:rPr>
        <w:t>），以此类推，最后一名投标人的权重为（</w:t>
      </w:r>
      <w:r>
        <w:rPr>
          <w:rFonts w:cs="仿宋"/>
          <w:color w:val="auto"/>
          <w:sz w:val="24"/>
          <w:szCs w:val="24"/>
          <w:highlight w:val="none"/>
        </w:rPr>
        <w:fldChar w:fldCharType="begin"/>
      </w:r>
      <w:r>
        <w:rPr>
          <w:rFonts w:cs="仿宋"/>
          <w:color w:val="auto"/>
          <w:sz w:val="24"/>
          <w:szCs w:val="24"/>
          <w:highlight w:val="none"/>
        </w:rPr>
        <w:instrText xml:space="preserve"> QUOTE </w:instrText>
      </w:r>
      <w:r>
        <w:rPr>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cs="仿宋"/>
          <w:color w:val="auto"/>
          <w:sz w:val="24"/>
          <w:szCs w:val="24"/>
          <w:highlight w:val="none"/>
        </w:rPr>
        <w:fldChar w:fldCharType="separate"/>
      </w:r>
      <w:r>
        <w:rPr>
          <w:color w:val="auto"/>
          <w:position w:val="-23"/>
          <w:sz w:val="24"/>
          <w:szCs w:val="24"/>
          <w:highlight w:val="none"/>
        </w:rPr>
        <w:drawing>
          <wp:inline distT="0" distB="0" distL="0" distR="0">
            <wp:extent cx="323850" cy="400050"/>
            <wp:effectExtent l="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cs="仿宋"/>
          <w:color w:val="auto"/>
          <w:sz w:val="24"/>
          <w:szCs w:val="24"/>
          <w:highlight w:val="none"/>
        </w:rPr>
        <w:fldChar w:fldCharType="end"/>
      </w:r>
      <w:r>
        <w:rPr>
          <w:rFonts w:hint="eastAsia" w:cs="仿宋"/>
          <w:color w:val="auto"/>
          <w:sz w:val="24"/>
          <w:szCs w:val="24"/>
          <w:highlight w:val="none"/>
        </w:rPr>
        <w:t>）。</w:t>
      </w:r>
    </w:p>
    <w:p>
      <w:pPr>
        <w:widowControl/>
        <w:spacing w:line="360" w:lineRule="auto"/>
        <w:ind w:firstLine="482" w:firstLineChars="200"/>
        <w:rPr>
          <w:b/>
          <w:bCs/>
          <w:color w:val="auto"/>
          <w:kern w:val="0"/>
          <w:sz w:val="24"/>
          <w:szCs w:val="24"/>
          <w:highlight w:val="none"/>
        </w:rPr>
      </w:pPr>
      <w:r>
        <w:rPr>
          <w:rFonts w:hint="eastAsia" w:cs="仿宋"/>
          <w:b/>
          <w:bCs/>
          <w:color w:val="auto"/>
          <w:kern w:val="0"/>
          <w:sz w:val="24"/>
          <w:szCs w:val="24"/>
          <w:highlight w:val="none"/>
        </w:rPr>
        <w:t>方法二：区间抽取法</w:t>
      </w:r>
    </w:p>
    <w:p>
      <w:pPr>
        <w:widowControl/>
        <w:snapToGrid w:val="0"/>
        <w:spacing w:line="360" w:lineRule="auto"/>
        <w:ind w:firstLine="480" w:firstLineChars="200"/>
        <w:rPr>
          <w:color w:val="auto"/>
          <w:kern w:val="0"/>
          <w:sz w:val="24"/>
          <w:szCs w:val="24"/>
          <w:highlight w:val="none"/>
        </w:rPr>
      </w:pPr>
      <w:r>
        <w:rPr>
          <w:rFonts w:hint="eastAsia"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color w:val="auto"/>
          <w:kern w:val="0"/>
          <w:sz w:val="24"/>
          <w:szCs w:val="24"/>
          <w:highlight w:val="none"/>
          <w:vertAlign w:val="subscript"/>
        </w:rPr>
      </w:pPr>
      <w:r>
        <w:rPr>
          <w:rFonts w:hint="eastAsia" w:cs="仿宋"/>
          <w:color w:val="auto"/>
          <w:kern w:val="0"/>
          <w:sz w:val="24"/>
          <w:szCs w:val="24"/>
          <w:highlight w:val="none"/>
        </w:rPr>
        <w:t>评标参考价</w:t>
      </w:r>
      <w:r>
        <w:rPr>
          <w:rFonts w:cs="仿宋"/>
          <w:color w:val="auto"/>
          <w:kern w:val="0"/>
          <w:sz w:val="24"/>
          <w:szCs w:val="24"/>
          <w:highlight w:val="none"/>
        </w:rPr>
        <w:t>=</w:t>
      </w:r>
      <w:r>
        <w:rPr>
          <w:rFonts w:hint="eastAsia" w:cs="仿宋"/>
          <w:color w:val="auto"/>
          <w:kern w:val="0"/>
          <w:sz w:val="24"/>
          <w:szCs w:val="24"/>
          <w:highlight w:val="none"/>
        </w:rPr>
        <w:t>（</w:t>
      </w:r>
      <w:r>
        <w:rPr>
          <w:rFonts w:cs="仿宋"/>
          <w:color w:val="auto"/>
          <w:kern w:val="0"/>
          <w:sz w:val="24"/>
          <w:szCs w:val="24"/>
          <w:highlight w:val="none"/>
        </w:rPr>
        <w:t>Q</w:t>
      </w:r>
      <w:r>
        <w:rPr>
          <w:rFonts w:hint="eastAsia" w:cs="仿宋"/>
          <w:color w:val="auto"/>
          <w:kern w:val="0"/>
          <w:sz w:val="24"/>
          <w:szCs w:val="24"/>
          <w:highlight w:val="none"/>
          <w:vertAlign w:val="subscript"/>
        </w:rPr>
        <w:t>高</w:t>
      </w:r>
      <w:r>
        <w:rPr>
          <w:rFonts w:cs="仿宋"/>
          <w:color w:val="auto"/>
          <w:kern w:val="0"/>
          <w:sz w:val="24"/>
          <w:szCs w:val="24"/>
          <w:highlight w:val="none"/>
        </w:rPr>
        <w:t>-Q</w:t>
      </w:r>
      <w:r>
        <w:rPr>
          <w:rFonts w:hint="eastAsia" w:cs="仿宋"/>
          <w:color w:val="auto"/>
          <w:kern w:val="0"/>
          <w:sz w:val="24"/>
          <w:szCs w:val="24"/>
          <w:highlight w:val="none"/>
          <w:vertAlign w:val="subscript"/>
        </w:rPr>
        <w:t>低</w:t>
      </w:r>
      <w:r>
        <w:rPr>
          <w:rFonts w:hint="eastAsia" w:cs="仿宋"/>
          <w:color w:val="auto"/>
          <w:kern w:val="0"/>
          <w:sz w:val="24"/>
          <w:szCs w:val="24"/>
          <w:highlight w:val="none"/>
        </w:rPr>
        <w:t>）</w:t>
      </w:r>
      <w:r>
        <w:rPr>
          <w:rFonts w:cs="仿宋"/>
          <w:color w:val="auto"/>
          <w:kern w:val="0"/>
          <w:sz w:val="24"/>
          <w:szCs w:val="24"/>
          <w:highlight w:val="none"/>
        </w:rPr>
        <w:t>/100*</w:t>
      </w:r>
      <w:r>
        <w:rPr>
          <w:rFonts w:hint="eastAsia" w:cs="仿宋"/>
          <w:color w:val="auto"/>
          <w:kern w:val="0"/>
          <w:sz w:val="24"/>
          <w:szCs w:val="24"/>
          <w:highlight w:val="none"/>
        </w:rPr>
        <w:t>Ｘ</w:t>
      </w:r>
      <w:r>
        <w:rPr>
          <w:rFonts w:cs="仿宋"/>
          <w:color w:val="auto"/>
          <w:kern w:val="0"/>
          <w:sz w:val="24"/>
          <w:szCs w:val="24"/>
          <w:highlight w:val="none"/>
        </w:rPr>
        <w:t>+Q</w:t>
      </w:r>
      <w:r>
        <w:rPr>
          <w:rFonts w:hint="eastAsia" w:cs="仿宋"/>
          <w:color w:val="auto"/>
          <w:kern w:val="0"/>
          <w:sz w:val="24"/>
          <w:szCs w:val="24"/>
          <w:highlight w:val="none"/>
          <w:vertAlign w:val="subscript"/>
        </w:rPr>
        <w:t>低</w:t>
      </w:r>
    </w:p>
    <w:p>
      <w:pPr>
        <w:widowControl/>
        <w:snapToGrid w:val="0"/>
        <w:spacing w:line="360" w:lineRule="auto"/>
        <w:ind w:firstLine="480" w:firstLineChars="200"/>
        <w:rPr>
          <w:color w:val="auto"/>
          <w:sz w:val="24"/>
          <w:szCs w:val="24"/>
          <w:highlight w:val="none"/>
        </w:rPr>
      </w:pPr>
      <w:r>
        <w:rPr>
          <w:rFonts w:cs="仿宋"/>
          <w:color w:val="auto"/>
          <w:sz w:val="24"/>
          <w:szCs w:val="24"/>
          <w:highlight w:val="none"/>
        </w:rPr>
        <w:t>Q</w:t>
      </w:r>
      <w:r>
        <w:rPr>
          <w:rFonts w:hint="eastAsia" w:cs="仿宋"/>
          <w:color w:val="auto"/>
          <w:sz w:val="24"/>
          <w:szCs w:val="24"/>
          <w:highlight w:val="none"/>
          <w:vertAlign w:val="subscript"/>
        </w:rPr>
        <w:t>低</w:t>
      </w:r>
      <w:r>
        <w:rPr>
          <w:rFonts w:hint="eastAsia"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cs="仿宋"/>
          <w:color w:val="auto"/>
          <w:sz w:val="24"/>
          <w:szCs w:val="24"/>
          <w:highlight w:val="none"/>
        </w:rPr>
      </w:pPr>
      <w:r>
        <w:rPr>
          <w:rFonts w:cs="仿宋"/>
          <w:color w:val="auto"/>
          <w:kern w:val="0"/>
          <w:sz w:val="24"/>
          <w:szCs w:val="24"/>
          <w:highlight w:val="none"/>
        </w:rPr>
        <w:t>Q</w:t>
      </w:r>
      <w:r>
        <w:rPr>
          <w:rFonts w:hint="eastAsia" w:cs="仿宋"/>
          <w:color w:val="auto"/>
          <w:kern w:val="0"/>
          <w:sz w:val="24"/>
          <w:szCs w:val="24"/>
          <w:highlight w:val="none"/>
          <w:vertAlign w:val="subscript"/>
        </w:rPr>
        <w:t>高</w:t>
      </w:r>
      <w:r>
        <w:rPr>
          <w:rFonts w:hint="eastAsia" w:cs="仿宋"/>
          <w:color w:val="auto"/>
          <w:sz w:val="24"/>
          <w:szCs w:val="24"/>
          <w:highlight w:val="none"/>
        </w:rPr>
        <w:t>：为（最高投标限价</w:t>
      </w:r>
      <w:r>
        <w:rPr>
          <w:rFonts w:cs="仿宋"/>
          <w:color w:val="auto"/>
          <w:sz w:val="24"/>
          <w:szCs w:val="24"/>
          <w:highlight w:val="none"/>
        </w:rPr>
        <w:t>*D%</w:t>
      </w:r>
      <w:r>
        <w:rPr>
          <w:rFonts w:hint="eastAsia" w:cs="仿宋"/>
          <w:color w:val="auto"/>
          <w:sz w:val="24"/>
          <w:szCs w:val="24"/>
          <w:highlight w:val="none"/>
        </w:rPr>
        <w:t>）（</w:t>
      </w:r>
      <w:r>
        <w:rPr>
          <w:rFonts w:cs="仿宋"/>
          <w:color w:val="auto"/>
          <w:sz w:val="24"/>
          <w:szCs w:val="24"/>
          <w:highlight w:val="none"/>
        </w:rPr>
        <w:t>D</w:t>
      </w:r>
      <w:r>
        <w:rPr>
          <w:rFonts w:hint="eastAsia" w:cs="仿宋"/>
          <w:color w:val="auto"/>
          <w:sz w:val="24"/>
          <w:szCs w:val="24"/>
          <w:highlight w:val="none"/>
        </w:rPr>
        <w:t>的取值范围为</w:t>
      </w:r>
      <w:r>
        <w:rPr>
          <w:rFonts w:cs="仿宋"/>
          <w:color w:val="auto"/>
          <w:sz w:val="24"/>
          <w:szCs w:val="24"/>
          <w:highlight w:val="none"/>
        </w:rPr>
        <w:t>[94,100],</w:t>
      </w:r>
      <w:r>
        <w:rPr>
          <w:rFonts w:hint="eastAsia" w:cs="仿宋"/>
          <w:color w:val="auto"/>
          <w:sz w:val="24"/>
          <w:szCs w:val="24"/>
          <w:highlight w:val="none"/>
        </w:rPr>
        <w:t>由招标人自定）</w:t>
      </w:r>
    </w:p>
    <w:p>
      <w:pPr>
        <w:spacing w:line="360" w:lineRule="auto"/>
        <w:ind w:firstLine="480" w:firstLineChars="200"/>
        <w:rPr>
          <w:color w:val="auto"/>
          <w:sz w:val="24"/>
          <w:szCs w:val="24"/>
          <w:highlight w:val="none"/>
        </w:rPr>
      </w:pPr>
      <w:r>
        <w:rPr>
          <w:rFonts w:hint="eastAsia" w:cs="仿宋"/>
          <w:color w:val="auto"/>
          <w:sz w:val="24"/>
          <w:szCs w:val="24"/>
          <w:highlight w:val="none"/>
        </w:rPr>
        <w:t xml:space="preserve">    </w:t>
      </w:r>
      <w:r>
        <w:rPr>
          <w:rFonts w:cs="仿宋"/>
          <w:color w:val="auto"/>
          <w:sz w:val="24"/>
          <w:szCs w:val="24"/>
          <w:highlight w:val="none"/>
        </w:rPr>
        <w:t>X:</w:t>
      </w:r>
      <w:r>
        <w:rPr>
          <w:rFonts w:hint="eastAsia" w:cs="仿宋"/>
          <w:color w:val="auto"/>
          <w:sz w:val="24"/>
          <w:szCs w:val="24"/>
          <w:highlight w:val="none"/>
        </w:rPr>
        <w:t>为等分点值，在开标前从</w:t>
      </w:r>
      <w:r>
        <w:rPr>
          <w:rFonts w:cs="仿宋"/>
          <w:color w:val="auto"/>
          <w:sz w:val="24"/>
          <w:szCs w:val="24"/>
          <w:highlight w:val="none"/>
        </w:rPr>
        <w:t>[0,100]</w:t>
      </w:r>
      <w:r>
        <w:rPr>
          <w:rFonts w:hint="eastAsia" w:cs="仿宋"/>
          <w:color w:val="auto"/>
          <w:sz w:val="24"/>
          <w:szCs w:val="24"/>
          <w:highlight w:val="none"/>
        </w:rPr>
        <w:t>整数中随机抽取</w:t>
      </w:r>
    </w:p>
    <w:p>
      <w:pPr>
        <w:spacing w:line="360" w:lineRule="auto"/>
        <w:ind w:firstLine="480" w:firstLineChars="200"/>
        <w:rPr>
          <w:color w:val="auto"/>
          <w:sz w:val="24"/>
          <w:szCs w:val="24"/>
          <w:highlight w:val="none"/>
        </w:rPr>
      </w:pPr>
      <w:r>
        <w:rPr>
          <w:rFonts w:hint="eastAsia" w:cs="宋体"/>
          <w:color w:val="auto"/>
          <w:kern w:val="0"/>
          <w:sz w:val="24"/>
          <w:szCs w:val="24"/>
          <w:highlight w:val="none"/>
        </w:rPr>
        <w:t>42.4.3.2</w:t>
      </w:r>
      <w:r>
        <w:rPr>
          <w:rFonts w:hint="eastAsia"/>
          <w:color w:val="auto"/>
          <w:sz w:val="24"/>
          <w:szCs w:val="24"/>
          <w:highlight w:val="none"/>
        </w:rPr>
        <w:t>当标价等于评标参考价时得</w:t>
      </w:r>
      <w:r>
        <w:rPr>
          <w:color w:val="auto"/>
          <w:sz w:val="24"/>
          <w:szCs w:val="24"/>
          <w:highlight w:val="none"/>
        </w:rPr>
        <w:t>100</w:t>
      </w:r>
      <w:r>
        <w:rPr>
          <w:rFonts w:hint="eastAsia"/>
          <w:color w:val="auto"/>
          <w:sz w:val="24"/>
          <w:szCs w:val="24"/>
          <w:highlight w:val="none"/>
        </w:rPr>
        <w:t>分，标价每高于评标参考价</w:t>
      </w:r>
      <w:r>
        <w:rPr>
          <w:color w:val="auto"/>
          <w:sz w:val="24"/>
          <w:szCs w:val="24"/>
          <w:highlight w:val="none"/>
        </w:rPr>
        <w:t>1%</w:t>
      </w:r>
      <w:r>
        <w:rPr>
          <w:rFonts w:hint="eastAsia"/>
          <w:color w:val="auto"/>
          <w:sz w:val="24"/>
          <w:szCs w:val="24"/>
          <w:highlight w:val="none"/>
        </w:rPr>
        <w:t>，扣</w:t>
      </w:r>
      <w:r>
        <w:rPr>
          <w:color w:val="auto"/>
          <w:sz w:val="24"/>
          <w:szCs w:val="24"/>
          <w:highlight w:val="none"/>
        </w:rPr>
        <w:t>1.5</w:t>
      </w:r>
      <w:r>
        <w:rPr>
          <w:rFonts w:hint="eastAsia"/>
          <w:color w:val="auto"/>
          <w:sz w:val="24"/>
          <w:szCs w:val="24"/>
          <w:highlight w:val="none"/>
        </w:rPr>
        <w:t>分，每低于评标参考价</w:t>
      </w:r>
      <w:r>
        <w:rPr>
          <w:color w:val="auto"/>
          <w:sz w:val="24"/>
          <w:szCs w:val="24"/>
          <w:highlight w:val="none"/>
        </w:rPr>
        <w:t>1%</w:t>
      </w:r>
      <w:r>
        <w:rPr>
          <w:rFonts w:hint="eastAsia"/>
          <w:color w:val="auto"/>
          <w:sz w:val="24"/>
          <w:szCs w:val="24"/>
          <w:highlight w:val="none"/>
        </w:rPr>
        <w:t>，扣</w:t>
      </w:r>
      <w:r>
        <w:rPr>
          <w:color w:val="auto"/>
          <w:sz w:val="24"/>
          <w:szCs w:val="24"/>
          <w:highlight w:val="none"/>
        </w:rPr>
        <w:t>1</w:t>
      </w:r>
      <w:r>
        <w:rPr>
          <w:rFonts w:hint="eastAsia"/>
          <w:color w:val="auto"/>
          <w:sz w:val="24"/>
          <w:szCs w:val="24"/>
          <w:highlight w:val="none"/>
        </w:rPr>
        <w:t>分，扣至</w:t>
      </w:r>
      <w:r>
        <w:rPr>
          <w:color w:val="auto"/>
          <w:sz w:val="24"/>
          <w:szCs w:val="24"/>
          <w:highlight w:val="none"/>
        </w:rPr>
        <w:t>0</w:t>
      </w:r>
      <w:r>
        <w:rPr>
          <w:rFonts w:hint="eastAsia"/>
          <w:color w:val="auto"/>
          <w:sz w:val="24"/>
          <w:szCs w:val="24"/>
          <w:highlight w:val="none"/>
        </w:rPr>
        <w:t>分为止，得出经济分，精确到小数点后两位。</w:t>
      </w:r>
    </w:p>
    <w:p>
      <w:pPr>
        <w:spacing w:line="360" w:lineRule="auto"/>
        <w:ind w:firstLine="480" w:firstLineChars="200"/>
        <w:rPr>
          <w:color w:val="auto"/>
          <w:sz w:val="24"/>
          <w:szCs w:val="24"/>
          <w:highlight w:val="none"/>
        </w:rPr>
      </w:pPr>
      <w:r>
        <w:rPr>
          <w:rFonts w:hint="eastAsia"/>
          <w:color w:val="auto"/>
          <w:sz w:val="24"/>
          <w:szCs w:val="24"/>
          <w:highlight w:val="none"/>
        </w:rPr>
        <w:t>42.4.3.3评标委员会按投标须知前附表第32项的规定确定排序。</w:t>
      </w:r>
    </w:p>
    <w:p>
      <w:pPr>
        <w:spacing w:line="360" w:lineRule="auto"/>
        <w:ind w:firstLine="480" w:firstLineChars="200"/>
        <w:rPr>
          <w:color w:val="auto"/>
          <w:sz w:val="24"/>
          <w:szCs w:val="24"/>
          <w:highlight w:val="none"/>
        </w:rPr>
      </w:pPr>
      <w:r>
        <w:rPr>
          <w:rFonts w:hint="eastAsia"/>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color w:val="auto"/>
          <w:sz w:val="24"/>
          <w:highlight w:val="none"/>
        </w:rPr>
        <w:t>投标文件</w:t>
      </w:r>
      <w:r>
        <w:rPr>
          <w:rFonts w:hint="eastAsia"/>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4.5.1如果数字表示的金额和用文字表示的金额不一致时，应以文字表示的金额为准；</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4.5.2经算术复核的投标人报价与其投标报价不一致时，按就低不就高原则确定其最终报价；</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w:t>
      </w:r>
      <w:r>
        <w:rPr>
          <w:color w:val="auto"/>
          <w:sz w:val="24"/>
          <w:szCs w:val="24"/>
          <w:highlight w:val="none"/>
        </w:rPr>
        <w:t>4</w:t>
      </w:r>
      <w:r>
        <w:rPr>
          <w:rFonts w:hint="eastAsia"/>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w:t>
      </w:r>
      <w:r>
        <w:rPr>
          <w:color w:val="auto"/>
          <w:sz w:val="24"/>
          <w:szCs w:val="24"/>
          <w:highlight w:val="none"/>
        </w:rPr>
        <w:t>5</w:t>
      </w:r>
      <w:r>
        <w:rPr>
          <w:rFonts w:hint="eastAsia"/>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w:t>
      </w:r>
      <w:r>
        <w:rPr>
          <w:color w:val="auto"/>
          <w:sz w:val="24"/>
          <w:szCs w:val="24"/>
          <w:highlight w:val="none"/>
        </w:rPr>
        <w:t>6</w:t>
      </w:r>
      <w:r>
        <w:rPr>
          <w:rFonts w:hint="eastAsia"/>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w:t>
      </w:r>
      <w:r>
        <w:rPr>
          <w:color w:val="auto"/>
          <w:sz w:val="24"/>
          <w:szCs w:val="24"/>
          <w:highlight w:val="none"/>
        </w:rPr>
        <w:t>7</w:t>
      </w:r>
      <w:r>
        <w:rPr>
          <w:rFonts w:hint="eastAsia"/>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4.5.</w:t>
      </w:r>
      <w:r>
        <w:rPr>
          <w:color w:val="auto"/>
          <w:sz w:val="24"/>
          <w:szCs w:val="24"/>
          <w:highlight w:val="none"/>
        </w:rPr>
        <w:t>8</w:t>
      </w:r>
      <w:r>
        <w:rPr>
          <w:rFonts w:hint="eastAsia"/>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6评标委员会应在通过投标文件经济标有效性审查的投标人中，按步骤42.4确定的投标人第二阶段排序，推荐前</w:t>
      </w:r>
      <w:r>
        <w:rPr>
          <w:color w:val="auto"/>
          <w:sz w:val="24"/>
          <w:szCs w:val="24"/>
          <w:highlight w:val="none"/>
        </w:rPr>
        <w:t>3</w:t>
      </w:r>
      <w:r>
        <w:rPr>
          <w:rFonts w:hint="eastAsia"/>
          <w:color w:val="auto"/>
          <w:sz w:val="24"/>
          <w:szCs w:val="24"/>
          <w:highlight w:val="none"/>
        </w:rPr>
        <w:t>名依次为第一中标候选人至第三中标候选人</w:t>
      </w:r>
      <w:r>
        <w:rPr>
          <w:color w:val="auto"/>
          <w:sz w:val="24"/>
          <w:szCs w:val="24"/>
          <w:highlight w:val="none"/>
        </w:rPr>
        <w:t>,</w:t>
      </w:r>
      <w:r>
        <w:rPr>
          <w:rFonts w:hint="eastAsia"/>
          <w:color w:val="auto"/>
          <w:sz w:val="24"/>
          <w:szCs w:val="24"/>
          <w:highlight w:val="none"/>
        </w:rPr>
        <w:t>并编制评标报告。</w:t>
      </w:r>
    </w:p>
    <w:p>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7若通过经济标有效性审查的投标人不足三家，应当依法重新招标。（当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N+2</w:t>
      </w:r>
      <w:r>
        <w:rPr>
          <w:rFonts w:hint="eastAsia"/>
          <w:color w:val="auto"/>
          <w:sz w:val="24"/>
          <w:szCs w:val="24"/>
          <w:highlight w:val="none"/>
        </w:rPr>
        <w:t>家，应当依法重新招标）</w:t>
      </w:r>
    </w:p>
    <w:p>
      <w:pPr>
        <w:widowControl/>
        <w:snapToGrid w:val="0"/>
        <w:spacing w:line="360" w:lineRule="auto"/>
        <w:ind w:right="102"/>
        <w:jc w:val="left"/>
        <w:rPr>
          <w:color w:val="auto"/>
          <w:sz w:val="24"/>
          <w:szCs w:val="24"/>
          <w:highlight w:val="none"/>
        </w:rPr>
        <w:sectPr>
          <w:footerReference r:id="rId10" w:type="first"/>
          <w:footerReference r:id="rId9" w:type="default"/>
          <w:endnotePr>
            <w:numFmt w:val="decimal"/>
          </w:endnotePr>
          <w:pgSz w:w="11906" w:h="16838"/>
          <w:pgMar w:top="1304" w:right="1361" w:bottom="1304" w:left="1361" w:header="851" w:footer="907" w:gutter="0"/>
          <w:pgNumType w:fmt="decimal" w:start="1"/>
          <w:cols w:space="720" w:num="1"/>
          <w:titlePg/>
          <w:docGrid w:type="lines" w:linePitch="312" w:charSpace="0"/>
        </w:sectPr>
      </w:pPr>
      <w:r>
        <w:rPr>
          <w:color w:val="auto"/>
          <w:sz w:val="24"/>
          <w:szCs w:val="24"/>
          <w:highlight w:val="none"/>
        </w:rPr>
        <w:br w:type="page"/>
      </w:r>
    </w:p>
    <w:p>
      <w:pPr>
        <w:widowControl/>
        <w:snapToGrid w:val="0"/>
        <w:spacing w:line="360" w:lineRule="auto"/>
        <w:ind w:right="102"/>
        <w:jc w:val="left"/>
        <w:rPr>
          <w:color w:val="auto"/>
          <w:szCs w:val="21"/>
          <w:highlight w:val="none"/>
        </w:rPr>
      </w:pPr>
      <w:r>
        <w:rPr>
          <w:rFonts w:hint="eastAsia"/>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rPr>
          <w:color w:val="auto"/>
          <w:sz w:val="24"/>
          <w:szCs w:val="24"/>
          <w:highlight w:val="none"/>
        </w:rPr>
      </w:pPr>
      <w:r>
        <w:rPr>
          <w:rFonts w:hint="eastAsia"/>
          <w:color w:val="auto"/>
          <w:sz w:val="24"/>
          <w:szCs w:val="24"/>
          <w:highlight w:val="none"/>
        </w:rPr>
        <w:t>工程名称：</w:t>
      </w:r>
    </w:p>
    <w:tbl>
      <w:tblPr>
        <w:tblStyle w:val="24"/>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15"/>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b/>
                <w:color w:val="auto"/>
                <w:szCs w:val="21"/>
                <w:highlight w:val="none"/>
              </w:rPr>
            </w:pPr>
            <w:r>
              <w:rPr>
                <w:rFonts w:hint="eastAsia" w:cs="宋体"/>
                <w:b/>
                <w:color w:val="auto"/>
                <w:szCs w:val="21"/>
                <w:highlight w:val="none"/>
              </w:rPr>
              <w:t>序号</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b/>
                <w:color w:val="auto"/>
                <w:szCs w:val="21"/>
                <w:highlight w:val="none"/>
              </w:rPr>
            </w:pPr>
            <w:r>
              <w:rPr>
                <w:rFonts w:hint="eastAsia"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b/>
                <w:color w:val="auto"/>
                <w:szCs w:val="21"/>
                <w:highlight w:val="none"/>
              </w:rPr>
            </w:pPr>
            <w:r>
              <w:rPr>
                <w:rFonts w:hint="eastAsia"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b/>
                <w:color w:val="auto"/>
                <w:szCs w:val="21"/>
                <w:highlight w:val="none"/>
              </w:rPr>
            </w:pPr>
            <w:r>
              <w:rPr>
                <w:rFonts w:hint="eastAsia"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1</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2</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u w:val="single"/>
              </w:rPr>
              <w:t>营业执照在</w:t>
            </w:r>
            <w:r>
              <w:rPr>
                <w:rFonts w:hint="eastAsia" w:cs="宋体"/>
                <w:color w:val="auto"/>
                <w:highlight w:val="none"/>
                <w:u w:val="single"/>
              </w:rPr>
              <w:t>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3</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投标人均持有建设行政主管部门颁发的企业资质证书及安全生产许可证；投标人资质符合公告要求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u w:val="single"/>
              </w:rPr>
            </w:pPr>
            <w:r>
              <w:rPr>
                <w:rFonts w:hint="eastAsia" w:cs="宋体"/>
                <w:color w:val="auto"/>
                <w:szCs w:val="21"/>
                <w:highlight w:val="none"/>
                <w:u w:val="single"/>
              </w:rPr>
              <w:t>资质证书及安全生产许可证在广州市住建行业信用管理平台内上传件；</w:t>
            </w:r>
            <w:r>
              <w:rPr>
                <w:rFonts w:hint="eastAsia" w:cs="宋体"/>
                <w:color w:val="auto"/>
                <w:szCs w:val="21"/>
                <w:highlight w:val="none"/>
                <w:u w:val="single"/>
                <w:lang w:val="en-US" w:eastAsia="zh-CN"/>
              </w:rPr>
              <w:t xml:space="preserve"> </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4</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u w:val="single"/>
              </w:rPr>
            </w:pPr>
            <w:r>
              <w:rPr>
                <w:rFonts w:hint="eastAsia" w:cs="宋体"/>
                <w:color w:val="auto"/>
                <w:szCs w:val="21"/>
                <w:highlight w:val="none"/>
                <w:u w:val="single"/>
              </w:rPr>
              <w:t>使用有效期内的注册建造师注册证书在广州市住建行业信用平台内上传件。</w:t>
            </w:r>
          </w:p>
          <w:p>
            <w:pPr>
              <w:spacing w:before="120" w:after="60"/>
              <w:rPr>
                <w:rFonts w:cs="宋体"/>
                <w:color w:val="auto"/>
                <w:szCs w:val="21"/>
                <w:highlight w:val="none"/>
                <w:u w:val="single"/>
              </w:rPr>
            </w:pPr>
            <w:r>
              <w:rPr>
                <w:rFonts w:hint="eastAsia" w:cs="宋体"/>
                <w:color w:val="auto"/>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5</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项目负责人</w:t>
            </w:r>
            <w:r>
              <w:rPr>
                <w:rFonts w:hint="eastAsia" w:ascii="宋体" w:hAnsi="宋体"/>
                <w:color w:val="auto"/>
                <w:szCs w:val="21"/>
                <w:highlight w:val="none"/>
              </w:rPr>
              <w:t>安全生产考核合格证</w:t>
            </w:r>
            <w:r>
              <w:rPr>
                <w:rFonts w:hint="eastAsia" w:cs="宋体"/>
                <w:color w:val="auto"/>
                <w:szCs w:val="21"/>
                <w:highlight w:val="none"/>
              </w:rPr>
              <w:t>（B证）或建筑施工企业项目负责人安全生产考核合格证在广州市住建行业信用管理平台内上传件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6</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bCs/>
                <w:color w:val="auto"/>
                <w:szCs w:val="21"/>
                <w:highlight w:val="none"/>
                <w:u w:val="single"/>
              </w:rPr>
              <w:t>拟委派技术负责人的职称证书清晰扫描件或在广州市住建行业信用管理平台内上传件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7</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专职安全员须具有在有效期内的安全生产考核合格证（C类）或建筑施工企业专职安全生产管理人员安全生产考核合格证（C3）</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bCs/>
                <w:color w:val="auto"/>
                <w:szCs w:val="21"/>
                <w:highlight w:val="none"/>
              </w:rPr>
              <w:t>专职安全员须具有在有效期内的安全生产考核合格证（C类）或建筑施工企业专职安全生产管理人员安全生产考核合格证（C3）（</w:t>
            </w:r>
            <w:r>
              <w:rPr>
                <w:rFonts w:hint="eastAsia" w:cs="宋体"/>
                <w:bCs/>
                <w:color w:val="auto"/>
                <w:szCs w:val="21"/>
                <w:highlight w:val="none"/>
                <w:u w:val="single"/>
              </w:rPr>
              <w:t>取自广州市住建行业信用管理平台内上传件</w:t>
            </w:r>
            <w:r>
              <w:rPr>
                <w:rFonts w:hint="eastAsia" w:cs="宋体"/>
                <w:bCs/>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8</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9</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10</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cs="宋体"/>
                <w:color w:val="auto"/>
                <w:szCs w:val="21"/>
                <w:highlight w:val="none"/>
              </w:rPr>
              <w:t>关于联合体投标：本项目</w:t>
            </w:r>
            <w:r>
              <w:rPr>
                <w:rFonts w:hint="eastAsia" w:cs="宋体"/>
                <w:color w:val="auto"/>
                <w:szCs w:val="21"/>
                <w:highlight w:val="none"/>
              </w:rPr>
              <w:t>不</w:t>
            </w:r>
            <w:r>
              <w:rPr>
                <w:rFonts w:cs="宋体"/>
                <w:color w:val="auto"/>
                <w:szCs w:val="21"/>
                <w:highlight w:val="none"/>
              </w:rPr>
              <w:t>接受联合体投标。</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cs="宋体"/>
                <w:strike/>
                <w:color w:val="auto"/>
                <w:szCs w:val="21"/>
                <w:highlight w:val="none"/>
                <w:u w:val="single"/>
              </w:rPr>
            </w:pPr>
            <w:r>
              <w:rPr>
                <w:rFonts w:hint="eastAsia"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11</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资格审查前，投标人须在广州市住房和城乡建设局建立企业信用档案及拟担任本工程项目负责人、专职安全员须是本企业中的在册人员</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投标人在广州市住建行业信用管理平台内企业信用档案的企业和人员信息</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12</w:t>
            </w:r>
          </w:p>
        </w:tc>
        <w:tc>
          <w:tcPr>
            <w:tcW w:w="6615" w:type="dxa"/>
            <w:tcBorders>
              <w:top w:val="single" w:color="auto" w:sz="4" w:space="0"/>
              <w:left w:val="single" w:color="auto" w:sz="4" w:space="0"/>
              <w:bottom w:val="single" w:color="auto" w:sz="4" w:space="0"/>
              <w:right w:val="single" w:color="auto" w:sz="4" w:space="0"/>
            </w:tcBorders>
            <w:vAlign w:val="center"/>
          </w:tcPr>
          <w:p>
            <w:pPr>
              <w:spacing w:before="120" w:after="60"/>
              <w:rPr>
                <w:rFonts w:cs="宋体"/>
                <w:color w:val="auto"/>
                <w:szCs w:val="21"/>
                <w:highlight w:val="none"/>
              </w:rPr>
            </w:pPr>
            <w:r>
              <w:rPr>
                <w:rFonts w:hint="eastAsia" w:cs="宋体"/>
                <w:color w:val="auto"/>
                <w:szCs w:val="21"/>
                <w:highlight w:val="none"/>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r>
              <w:rPr>
                <w:rFonts w:hint="eastAsia" w:cs="宋体"/>
                <w:color w:val="auto"/>
                <w:szCs w:val="21"/>
                <w:highlight w:val="none"/>
              </w:rPr>
              <w:t>13</w:t>
            </w:r>
          </w:p>
        </w:tc>
        <w:tc>
          <w:tcPr>
            <w:tcW w:w="6615" w:type="dxa"/>
            <w:tcBorders>
              <w:top w:val="single" w:color="auto" w:sz="4" w:space="0"/>
              <w:left w:val="single" w:color="auto" w:sz="4" w:space="0"/>
              <w:bottom w:val="single" w:color="auto" w:sz="4" w:space="0"/>
              <w:right w:val="single" w:color="auto" w:sz="4" w:space="0"/>
            </w:tcBorders>
            <w:vAlign w:val="center"/>
          </w:tcPr>
          <w:p>
            <w:pPr>
              <w:jc w:val="left"/>
              <w:rPr>
                <w:rFonts w:cs="宋体"/>
                <w:strike/>
                <w:dstrike w:val="0"/>
                <w:color w:val="auto"/>
                <w:szCs w:val="21"/>
                <w:highlight w:val="none"/>
                <w:u w:val="single"/>
              </w:rPr>
            </w:pPr>
            <w:r>
              <w:rPr>
                <w:rFonts w:hint="eastAsia" w:cs="宋体"/>
                <w:strike/>
                <w:dstrike w:val="0"/>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cs="宋体"/>
                <w:strike/>
                <w:dstrike w:val="0"/>
                <w:color w:val="auto"/>
                <w:szCs w:val="21"/>
                <w:highlight w:val="none"/>
                <w:u w:val="single"/>
              </w:rPr>
            </w:pPr>
            <w:r>
              <w:rPr>
                <w:rFonts w:hint="eastAsia" w:cs="宋体"/>
                <w:strike/>
                <w:dstrike w:val="0"/>
                <w:color w:val="auto"/>
                <w:szCs w:val="21"/>
                <w:highlight w:val="none"/>
                <w:u w:val="single"/>
              </w:rPr>
              <w:t xml:space="preserve">以资格审查时广州市黄埔区人民政府、广州开发区管委会网站的区住房和城乡建设局网页“建筑活动不良行为记录”栏目（网址： </w:t>
            </w:r>
            <w:r>
              <w:rPr>
                <w:rFonts w:cs="宋体"/>
                <w:strike/>
                <w:dstrike w:val="0"/>
                <w:color w:val="auto"/>
                <w:szCs w:val="21"/>
                <w:highlight w:val="none"/>
                <w:u w:val="single"/>
              </w:rPr>
              <w:t>http://www.hp.gov.cn/gzjg/qzfgwhgzbm/qzfhcxjsj10/jzhdblxwjl/</w:t>
            </w:r>
            <w:r>
              <w:rPr>
                <w:rFonts w:hint="eastAsia" w:cs="宋体"/>
                <w:strike/>
                <w:dstrike w:val="0"/>
                <w:color w:val="auto"/>
                <w:szCs w:val="21"/>
                <w:highlight w:val="none"/>
                <w:u w:val="single"/>
              </w:rPr>
              <w:t>）公布名单为准。若资格审查时网址有变化，以最新网址为准。</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14</w:t>
            </w:r>
          </w:p>
        </w:tc>
        <w:tc>
          <w:tcPr>
            <w:tcW w:w="661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kern w:val="2"/>
                <w:sz w:val="21"/>
                <w:szCs w:val="21"/>
                <w:highlight w:val="none"/>
                <w:u w:val="single"/>
                <w:lang w:val="en-US" w:eastAsia="zh-CN" w:bidi="ar-SA"/>
              </w:rPr>
            </w:pPr>
            <w:r>
              <w:rPr>
                <w:rFonts w:ascii="宋体" w:hAnsi="宋体" w:cs="宋体"/>
                <w:color w:val="auto"/>
                <w:szCs w:val="21"/>
                <w:highlight w:val="none"/>
                <w:u w:val="single"/>
              </w:rPr>
              <w:t>未被纳入失信联合惩戒名单且被限制参加建设工程投标的（具体名单以递交投标文件截止时间“信用广州”https://credit1.gz.gov.cn/sgs/sgsXkNew公布的“失信黑名单”为准。不包含限制参加财政投资工程或政府投资工程的投标）</w:t>
            </w:r>
          </w:p>
        </w:tc>
        <w:tc>
          <w:tcPr>
            <w:tcW w:w="63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kern w:val="2"/>
                <w:sz w:val="21"/>
                <w:szCs w:val="22"/>
                <w:highlight w:val="none"/>
                <w:lang w:val="en-US" w:eastAsia="zh-CN" w:bidi="ar-SA"/>
              </w:rPr>
            </w:pPr>
            <w:r>
              <w:rPr>
                <w:rFonts w:hint="eastAsia" w:ascii="宋体" w:hAnsi="宋体" w:cs="宋体"/>
                <w:color w:val="auto"/>
                <w:szCs w:val="21"/>
                <w:highlight w:val="none"/>
              </w:rPr>
              <w:t>投标人无需提供资料，按交易系统比对的结果进行评审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cs="宋体"/>
                <w:color w:val="auto"/>
                <w:szCs w:val="21"/>
                <w:highlight w:val="none"/>
                <w:lang w:val="en-US" w:eastAsia="zh-CN"/>
              </w:rPr>
            </w:pPr>
            <w:r>
              <w:rPr>
                <w:rFonts w:hint="eastAsia" w:cs="宋体"/>
                <w:color w:val="auto"/>
                <w:szCs w:val="21"/>
                <w:highlight w:val="none"/>
                <w:lang w:val="en-US" w:eastAsia="zh-CN"/>
              </w:rPr>
              <w:t>15</w:t>
            </w:r>
          </w:p>
        </w:tc>
        <w:tc>
          <w:tcPr>
            <w:tcW w:w="661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未被列入拖欠农民工工资失信联合惩戒对象名单</w:t>
            </w:r>
            <w:r>
              <w:rPr>
                <w:rFonts w:ascii="宋体" w:hAnsi="宋体" w:cs="宋体"/>
                <w:color w:val="auto"/>
                <w:szCs w:val="21"/>
                <w:highlight w:val="none"/>
                <w:u w:val="single"/>
              </w:rPr>
              <w:t>（具体名单以递交投标文件截止时间“信用</w:t>
            </w:r>
            <w:r>
              <w:rPr>
                <w:rFonts w:hint="eastAsia" w:cs="宋体"/>
                <w:color w:val="auto"/>
                <w:szCs w:val="21"/>
                <w:highlight w:val="none"/>
                <w:u w:val="single"/>
                <w:lang w:val="en-US" w:eastAsia="zh-CN"/>
              </w:rPr>
              <w:t>中国</w:t>
            </w:r>
            <w:r>
              <w:rPr>
                <w:rFonts w:ascii="宋体" w:hAnsi="宋体" w:cs="宋体"/>
                <w:color w:val="auto"/>
                <w:szCs w:val="21"/>
                <w:highlight w:val="none"/>
                <w:u w:val="single"/>
              </w:rPr>
              <w:t>”</w:t>
            </w:r>
            <w:r>
              <w:rPr>
                <w:rFonts w:hint="eastAsia" w:ascii="宋体" w:hAnsi="宋体" w:cs="宋体"/>
                <w:color w:val="auto"/>
                <w:szCs w:val="21"/>
                <w:highlight w:val="none"/>
                <w:u w:val="single"/>
              </w:rPr>
              <w:t>https://www.creditchina.gov.cn/xinyongfuwu/?navPage=4</w:t>
            </w:r>
            <w:r>
              <w:rPr>
                <w:rFonts w:ascii="宋体" w:hAnsi="宋体" w:cs="宋体"/>
                <w:color w:val="auto"/>
                <w:szCs w:val="21"/>
                <w:highlight w:val="none"/>
                <w:u w:val="single"/>
              </w:rPr>
              <w:t>公布的“</w:t>
            </w:r>
            <w:r>
              <w:rPr>
                <w:rFonts w:hint="eastAsia" w:cs="宋体"/>
                <w:color w:val="auto"/>
                <w:szCs w:val="21"/>
                <w:highlight w:val="none"/>
                <w:u w:val="single"/>
                <w:lang w:val="en-US" w:eastAsia="zh-CN"/>
              </w:rPr>
              <w:t>拖欠农民工工资失信联合惩戒对象名单</w:t>
            </w:r>
            <w:r>
              <w:rPr>
                <w:rFonts w:ascii="宋体" w:hAnsi="宋体" w:cs="宋体"/>
                <w:color w:val="auto"/>
                <w:szCs w:val="21"/>
                <w:highlight w:val="none"/>
                <w:u w:val="single"/>
              </w:rPr>
              <w:t>”为准。不包含限制参加财政投资工程或政府投资工程的投标）</w:t>
            </w:r>
          </w:p>
        </w:tc>
        <w:tc>
          <w:tcPr>
            <w:tcW w:w="63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cs="宋体"/>
                <w:color w:val="auto"/>
                <w:szCs w:val="21"/>
                <w:highlight w:val="none"/>
              </w:rPr>
            </w:pPr>
          </w:p>
        </w:tc>
      </w:tr>
    </w:tbl>
    <w:p>
      <w:pPr>
        <w:spacing w:line="240" w:lineRule="auto"/>
        <w:ind w:firstLine="470" w:firstLineChars="224"/>
        <w:rPr>
          <w:color w:val="auto"/>
          <w:szCs w:val="21"/>
          <w:highlight w:val="none"/>
        </w:rPr>
      </w:pPr>
      <w:r>
        <w:rPr>
          <w:rFonts w:hint="eastAsia"/>
          <w:color w:val="auto"/>
          <w:szCs w:val="21"/>
          <w:highlight w:val="none"/>
        </w:rPr>
        <w:t>备注：</w:t>
      </w:r>
      <w:r>
        <w:rPr>
          <w:color w:val="auto"/>
          <w:szCs w:val="21"/>
          <w:highlight w:val="none"/>
        </w:rPr>
        <w:t>1</w:t>
      </w:r>
      <w:r>
        <w:rPr>
          <w:rFonts w:hint="eastAsia"/>
          <w:color w:val="auto"/>
          <w:szCs w:val="21"/>
          <w:highlight w:val="none"/>
        </w:rPr>
        <w:t>、每一项目符合的打“○”，不符合的打“×”；</w:t>
      </w:r>
      <w:r>
        <w:rPr>
          <w:color w:val="auto"/>
          <w:szCs w:val="21"/>
          <w:highlight w:val="none"/>
        </w:rPr>
        <w:t xml:space="preserve"> </w:t>
      </w:r>
    </w:p>
    <w:p>
      <w:pPr>
        <w:spacing w:line="240" w:lineRule="auto"/>
        <w:ind w:firstLine="470" w:firstLineChars="224"/>
        <w:rPr>
          <w:rFonts w:hint="eastAsia"/>
          <w:color w:val="auto"/>
          <w:szCs w:val="21"/>
          <w:highlight w:val="none"/>
        </w:rPr>
      </w:pPr>
      <w:r>
        <w:rPr>
          <w:color w:val="auto"/>
          <w:szCs w:val="21"/>
          <w:highlight w:val="none"/>
        </w:rPr>
        <w:t>2</w:t>
      </w:r>
      <w:r>
        <w:rPr>
          <w:rFonts w:hint="eastAsia"/>
          <w:color w:val="auto"/>
          <w:szCs w:val="21"/>
          <w:highlight w:val="none"/>
        </w:rPr>
        <w:t>、若评委意见不一致时，则按少数服从多数的原则，作出评审结论。汇总后，出现一个“×”的结论为“不通过”。</w:t>
      </w:r>
    </w:p>
    <w:p>
      <w:pPr>
        <w:spacing w:line="240" w:lineRule="auto"/>
        <w:ind w:firstLine="470" w:firstLineChars="224"/>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ind w:firstLine="420" w:firstLineChars="200"/>
        <w:rPr>
          <w:color w:val="auto"/>
          <w:szCs w:val="21"/>
          <w:highlight w:val="none"/>
        </w:rPr>
      </w:pPr>
      <w:r>
        <w:rPr>
          <w:rFonts w:hint="eastAsia"/>
          <w:color w:val="auto"/>
          <w:szCs w:val="21"/>
          <w:highlight w:val="none"/>
        </w:rPr>
        <w:t>评委签名：</w:t>
      </w:r>
    </w:p>
    <w:p>
      <w:pPr>
        <w:pStyle w:val="7"/>
        <w:rPr>
          <w:rFonts w:hint="eastAsia"/>
          <w:color w:val="auto"/>
          <w:highlight w:val="none"/>
        </w:rPr>
        <w:sectPr>
          <w:endnotePr>
            <w:numFmt w:val="decimal"/>
          </w:endnotePr>
          <w:pgSz w:w="16838" w:h="11905" w:orient="landscape"/>
          <w:pgMar w:top="1247" w:right="1440" w:bottom="1247" w:left="1440" w:header="850" w:footer="907" w:gutter="0"/>
          <w:pgNumType w:fmt="decimal"/>
          <w:cols w:space="0" w:num="1"/>
          <w:titlePg/>
          <w:docGrid w:type="lines" w:linePitch="319" w:charSpace="0"/>
        </w:sectPr>
      </w:pPr>
    </w:p>
    <w:p>
      <w:pPr>
        <w:rPr>
          <w:b/>
          <w:color w:val="auto"/>
          <w:sz w:val="36"/>
          <w:szCs w:val="36"/>
          <w:highlight w:val="none"/>
        </w:rPr>
      </w:pPr>
      <w:r>
        <w:rPr>
          <w:rFonts w:hint="eastAsia"/>
          <w:color w:val="auto"/>
          <w:szCs w:val="21"/>
          <w:highlight w:val="none"/>
        </w:rPr>
        <w:t>附表二</w:t>
      </w:r>
      <w:r>
        <w:rPr>
          <w:rFonts w:hint="eastAsia"/>
          <w:color w:val="auto"/>
          <w:szCs w:val="21"/>
          <w:highlight w:val="none"/>
          <w:lang w:val="en-US" w:eastAsia="zh-CN"/>
        </w:rPr>
        <w:t xml:space="preserve">                                                  </w:t>
      </w: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24"/>
        <w:tblW w:w="142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957"/>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序号</w:t>
            </w:r>
          </w:p>
        </w:tc>
        <w:tc>
          <w:tcPr>
            <w:tcW w:w="8957"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 xml:space="preserve"> </w:t>
            </w:r>
            <w:r>
              <w:rPr>
                <w:rFonts w:hint="eastAsia"/>
                <w:color w:val="auto"/>
                <w:szCs w:val="21"/>
                <w:highlight w:val="none"/>
              </w:rPr>
              <w:t>投标人</w:t>
            </w:r>
          </w:p>
          <w:p>
            <w:pPr>
              <w:adjustRightInd w:val="0"/>
              <w:rPr>
                <w:color w:val="auto"/>
                <w:szCs w:val="21"/>
                <w:highlight w:val="none"/>
              </w:rPr>
            </w:pPr>
            <w:r>
              <w:rPr>
                <w:rFonts w:hint="eastAsia"/>
                <w:color w:val="auto"/>
                <w:szCs w:val="21"/>
                <w:highlight w:val="none"/>
              </w:rPr>
              <w:t>评审内容</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1</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2</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rFonts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3</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4</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rPr>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（指招标文件第四章提供格式的《广州建设工程施工招标投标书（技术标）》、《投标函》、《标函承诺书》、《项目负责人驻场承诺书》）</w:t>
            </w:r>
            <w:r>
              <w:rPr>
                <w:rFonts w:hint="eastAsia" w:cs="宋体"/>
                <w:color w:val="auto"/>
                <w:szCs w:val="21"/>
                <w:highlight w:val="none"/>
              </w:rPr>
              <w:t>，或主要内容（指投标文件组成内容）不全，或关键字迹模糊、无法辨认的；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5</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6</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7</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8</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bl>
    <w:p>
      <w:pPr>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color w:val="auto"/>
          <w:szCs w:val="21"/>
          <w:highlight w:val="none"/>
        </w:rPr>
      </w:pPr>
      <w:r>
        <w:rPr>
          <w:rFonts w:hint="eastAsia"/>
          <w:color w:val="auto"/>
          <w:szCs w:val="21"/>
          <w:highlight w:val="none"/>
        </w:rPr>
        <w:t xml:space="preserve">    2</w:t>
      </w:r>
      <w:r>
        <w:rPr>
          <w:color w:val="auto"/>
          <w:szCs w:val="21"/>
          <w:highlight w:val="none"/>
        </w:rPr>
        <w:t>.不得将</w:t>
      </w:r>
      <w:r>
        <w:rPr>
          <w:rFonts w:hint="eastAsia"/>
          <w:color w:val="auto"/>
          <w:szCs w:val="21"/>
          <w:highlight w:val="none"/>
        </w:rPr>
        <w:t>文件顺序、</w:t>
      </w:r>
      <w:r>
        <w:rPr>
          <w:color w:val="auto"/>
          <w:szCs w:val="21"/>
          <w:highlight w:val="none"/>
        </w:rPr>
        <w:t>明显的文字错误等列为否</w:t>
      </w:r>
      <w:r>
        <w:rPr>
          <w:rFonts w:hint="eastAsia"/>
          <w:color w:val="auto"/>
          <w:szCs w:val="21"/>
          <w:highlight w:val="none"/>
        </w:rPr>
        <w:t>决</w:t>
      </w:r>
      <w:r>
        <w:rPr>
          <w:color w:val="auto"/>
          <w:szCs w:val="21"/>
          <w:highlight w:val="none"/>
        </w:rPr>
        <w:t>投标的</w:t>
      </w:r>
      <w:r>
        <w:rPr>
          <w:rFonts w:hint="eastAsia"/>
          <w:color w:val="auto"/>
          <w:szCs w:val="21"/>
          <w:highlight w:val="none"/>
        </w:rPr>
        <w:t>情形。评委</w:t>
      </w:r>
      <w:r>
        <w:rPr>
          <w:color w:val="auto"/>
          <w:szCs w:val="21"/>
          <w:highlight w:val="none"/>
        </w:rPr>
        <w:t>发现投标</w:t>
      </w:r>
      <w:r>
        <w:rPr>
          <w:rFonts w:hint="eastAsia"/>
          <w:color w:val="auto"/>
          <w:szCs w:val="21"/>
          <w:highlight w:val="none"/>
        </w:rPr>
        <w:t>文件</w:t>
      </w:r>
      <w:r>
        <w:rPr>
          <w:color w:val="auto"/>
          <w:szCs w:val="21"/>
          <w:highlight w:val="none"/>
        </w:rPr>
        <w:t>中</w:t>
      </w:r>
      <w:r>
        <w:rPr>
          <w:rFonts w:hint="eastAsia"/>
          <w:color w:val="auto"/>
          <w:szCs w:val="21"/>
          <w:highlight w:val="none"/>
        </w:rPr>
        <w:t>含义不明确</w:t>
      </w:r>
      <w:r>
        <w:rPr>
          <w:color w:val="auto"/>
          <w:szCs w:val="21"/>
          <w:highlight w:val="none"/>
        </w:rPr>
        <w:t>、对同类问题表述不一致、有明显</w:t>
      </w:r>
      <w:r>
        <w:rPr>
          <w:rFonts w:hint="eastAsia"/>
          <w:color w:val="auto"/>
          <w:szCs w:val="21"/>
          <w:highlight w:val="none"/>
        </w:rPr>
        <w:t>文字</w:t>
      </w:r>
      <w:r>
        <w:rPr>
          <w:color w:val="auto"/>
          <w:szCs w:val="21"/>
          <w:highlight w:val="none"/>
        </w:rPr>
        <w:t>和计算错误</w:t>
      </w:r>
      <w:r>
        <w:rPr>
          <w:rFonts w:hint="eastAsia"/>
          <w:color w:val="auto"/>
          <w:szCs w:val="21"/>
          <w:highlight w:val="none"/>
        </w:rPr>
        <w:t>的，</w:t>
      </w:r>
      <w:r>
        <w:rPr>
          <w:color w:val="auto"/>
          <w:szCs w:val="21"/>
          <w:highlight w:val="none"/>
        </w:rPr>
        <w:t>应当</w:t>
      </w:r>
      <w:r>
        <w:rPr>
          <w:rFonts w:hint="eastAsia"/>
          <w:color w:val="auto"/>
          <w:szCs w:val="21"/>
          <w:highlight w:val="none"/>
        </w:rPr>
        <w:t>要求</w:t>
      </w:r>
      <w:r>
        <w:rPr>
          <w:color w:val="auto"/>
          <w:szCs w:val="21"/>
          <w:highlight w:val="none"/>
        </w:rPr>
        <w:t>投标人作必要的澄清、说明</w:t>
      </w:r>
      <w:r>
        <w:rPr>
          <w:rFonts w:hint="eastAsia"/>
          <w:color w:val="auto"/>
          <w:szCs w:val="21"/>
          <w:highlight w:val="none"/>
        </w:rPr>
        <w:t>后再判定投标人是否通过有效性审查</w:t>
      </w:r>
      <w:r>
        <w:rPr>
          <w:color w:val="auto"/>
          <w:szCs w:val="21"/>
          <w:highlight w:val="none"/>
        </w:rPr>
        <w:t>，不得直接否决投标</w:t>
      </w:r>
      <w:r>
        <w:rPr>
          <w:rFonts w:hint="eastAsia"/>
          <w:color w:val="auto"/>
          <w:szCs w:val="21"/>
          <w:highlight w:val="none"/>
        </w:rPr>
        <w:t>，若出现评标委员会否决投标的，应在评标报告中载明否决投标的具体情形、原因。</w:t>
      </w:r>
    </w:p>
    <w:p>
      <w:pPr>
        <w:rPr>
          <w:color w:val="auto"/>
          <w:szCs w:val="21"/>
          <w:highlight w:val="none"/>
        </w:rPr>
      </w:pPr>
      <w:r>
        <w:rPr>
          <w:rFonts w:hint="eastAsia"/>
          <w:color w:val="auto"/>
          <w:szCs w:val="21"/>
          <w:highlight w:val="none"/>
        </w:rPr>
        <w:t xml:space="preserve">    3</w:t>
      </w:r>
      <w:r>
        <w:rPr>
          <w:color w:val="auto"/>
          <w:szCs w:val="21"/>
          <w:highlight w:val="none"/>
        </w:rPr>
        <w:t>.</w:t>
      </w:r>
      <w:r>
        <w:rPr>
          <w:rFonts w:hint="eastAsia"/>
          <w:color w:val="auto"/>
          <w:szCs w:val="21"/>
          <w:highlight w:val="none"/>
        </w:rPr>
        <w:t>凡出现以上任何一项情形，结论均为无效，否则就为有效。</w:t>
      </w:r>
    </w:p>
    <w:p>
      <w:pPr>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如对本表中某种情形的评审意见不一致时，以评标委员会过半数成员的意见作为评标委员会对该情形的认定结论。</w:t>
      </w:r>
    </w:p>
    <w:p>
      <w:pPr>
        <w:ind w:firstLine="420" w:firstLineChars="200"/>
        <w:rPr>
          <w:color w:val="auto"/>
          <w:szCs w:val="21"/>
          <w:highlight w:val="none"/>
        </w:rPr>
      </w:pPr>
      <w:r>
        <w:rPr>
          <w:rFonts w:hint="eastAsia"/>
          <w:color w:val="auto"/>
          <w:szCs w:val="21"/>
          <w:highlight w:val="none"/>
        </w:rPr>
        <w:t>评委签名：</w:t>
      </w:r>
    </w:p>
    <w:p>
      <w:pPr>
        <w:rPr>
          <w:b/>
          <w:color w:val="auto"/>
          <w:sz w:val="36"/>
          <w:szCs w:val="36"/>
          <w:highlight w:val="none"/>
        </w:rPr>
      </w:pPr>
      <w:r>
        <w:rPr>
          <w:color w:val="auto"/>
          <w:highlight w:val="none"/>
        </w:rPr>
        <w:br w:type="page"/>
      </w:r>
      <w:r>
        <w:rPr>
          <w:rFonts w:hint="eastAsia"/>
          <w:color w:val="auto"/>
          <w:szCs w:val="21"/>
          <w:highlight w:val="none"/>
        </w:rPr>
        <w:t xml:space="preserve">附表三                                                     </w:t>
      </w: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24"/>
        <w:tblW w:w="143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39"/>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序号</w:t>
            </w:r>
          </w:p>
        </w:tc>
        <w:tc>
          <w:tcPr>
            <w:tcW w:w="9539" w:type="dxa"/>
            <w:tcBorders>
              <w:top w:val="single" w:color="auto" w:sz="4" w:space="0"/>
              <w:left w:val="single" w:color="auto" w:sz="4" w:space="0"/>
              <w:bottom w:val="single" w:color="auto" w:sz="4" w:space="0"/>
              <w:right w:val="single" w:color="auto" w:sz="4" w:space="0"/>
              <w:tl2br w:val="single" w:color="auto" w:sz="4" w:space="0"/>
            </w:tcBorders>
          </w:tcPr>
          <w:p>
            <w:pPr>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 xml:space="preserve">                                                      投标人</w:t>
            </w:r>
          </w:p>
          <w:p>
            <w:pPr>
              <w:rPr>
                <w:color w:val="auto"/>
                <w:szCs w:val="21"/>
                <w:highlight w:val="none"/>
              </w:rPr>
            </w:pPr>
            <w:r>
              <w:rPr>
                <w:rFonts w:hint="eastAsia"/>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2</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投标报价高于最高投标限价或综合单价限价的</w:t>
            </w:r>
            <w:r>
              <w:rPr>
                <w:rFonts w:hint="eastAsia" w:cs="宋体"/>
                <w:color w:val="auto"/>
                <w:szCs w:val="21"/>
                <w:highlight w:val="none"/>
                <w:u w:val="single"/>
              </w:rPr>
              <w:t>（以最高投标限价公布函公布的各项控制数据和工程量清单列明的综合单价限价为准）</w:t>
            </w:r>
            <w:r>
              <w:rPr>
                <w:rFonts w:hint="eastAsia"/>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w:t>
            </w:r>
          </w:p>
        </w:tc>
        <w:tc>
          <w:tcPr>
            <w:tcW w:w="9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color w:val="auto"/>
                <w:szCs w:val="21"/>
                <w:highlight w:val="none"/>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4</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5</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（指招标文件第四章提供格式的《广州建设工程施工招标投标书（经济标）》《对投标文件编制的承诺》等）</w:t>
            </w:r>
            <w:r>
              <w:rPr>
                <w:rFonts w:hint="eastAsia" w:cs="宋体"/>
                <w:color w:val="auto"/>
                <w:szCs w:val="21"/>
                <w:highlight w:val="none"/>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6</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不同投标人的投标报价中分部分项工程量清单综合单价相似度达到80%及以上的(以</w:t>
            </w:r>
            <w:r>
              <w:rPr>
                <w:rFonts w:hint="eastAsia"/>
                <w:color w:val="auto"/>
                <w:szCs w:val="21"/>
                <w:highlight w:val="none"/>
                <w:u w:val="single"/>
              </w:rPr>
              <w:t>广州公共资源交易中心</w:t>
            </w:r>
            <w:r>
              <w:rPr>
                <w:rFonts w:hint="eastAsia"/>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7</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8</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9</w:t>
            </w:r>
          </w:p>
        </w:tc>
        <w:tc>
          <w:tcPr>
            <w:tcW w:w="953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10</w:t>
            </w:r>
          </w:p>
        </w:tc>
        <w:tc>
          <w:tcPr>
            <w:tcW w:w="9539" w:type="dxa"/>
            <w:tcBorders>
              <w:top w:val="single" w:color="auto" w:sz="4" w:space="0"/>
              <w:left w:val="single" w:color="auto" w:sz="4" w:space="0"/>
              <w:bottom w:val="single" w:color="auto" w:sz="4" w:space="0"/>
              <w:right w:val="single" w:color="auto" w:sz="4" w:space="0"/>
            </w:tcBorders>
            <w:vAlign w:val="center"/>
          </w:tcPr>
          <w:p>
            <w:pPr>
              <w:snapToGrid w:val="0"/>
              <w:rPr>
                <w:color w:val="auto"/>
                <w:szCs w:val="21"/>
                <w:highlight w:val="none"/>
              </w:rPr>
            </w:pPr>
            <w:r>
              <w:rPr>
                <w:rFonts w:hint="eastAsia"/>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bl>
    <w:p>
      <w:pPr>
        <w:ind w:firstLine="458"/>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本表使用GZZB2018-3招标文件范本，与范本内容不同之处均以下划线标明。</w:t>
      </w:r>
    </w:p>
    <w:p>
      <w:pPr>
        <w:ind w:firstLine="458"/>
        <w:rPr>
          <w:color w:val="auto"/>
          <w:szCs w:val="21"/>
          <w:highlight w:val="none"/>
        </w:rPr>
      </w:pPr>
      <w:r>
        <w:rPr>
          <w:color w:val="auto"/>
          <w:szCs w:val="21"/>
          <w:highlight w:val="none"/>
        </w:rPr>
        <w:t>2.</w:t>
      </w:r>
      <w:r>
        <w:rPr>
          <w:rFonts w:hint="eastAsia"/>
          <w:color w:val="auto"/>
          <w:szCs w:val="21"/>
          <w:highlight w:val="none"/>
        </w:rPr>
        <w:t>凡出现以上任何一项情形，结论均为无效，否则就为有效。</w:t>
      </w:r>
    </w:p>
    <w:p>
      <w:pPr>
        <w:ind w:firstLine="458"/>
        <w:rPr>
          <w:rFonts w:hint="eastAsia"/>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如对本表中某种情形的评审意见不一致时，以评标委员会过半数成员的意见作为评标委员会对该情形的认定结论。</w:t>
      </w:r>
    </w:p>
    <w:p>
      <w:pPr>
        <w:pStyle w:val="2"/>
        <w:ind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5" w:orient="landscape"/>
          <w:pgMar w:top="1474" w:right="1440" w:bottom="1474" w:left="1440" w:header="850" w:footer="907" w:gutter="0"/>
          <w:pgNumType w:fmt="decimal"/>
          <w:cols w:space="0" w:num="1"/>
          <w:titlePg/>
          <w:docGrid w:type="lines" w:linePitch="319"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pStyle w:val="5"/>
        <w:jc w:val="center"/>
        <w:rPr>
          <w:rFonts w:hint="eastAsia" w:eastAsia="宋体"/>
          <w:b/>
          <w:color w:val="auto"/>
          <w:sz w:val="36"/>
          <w:szCs w:val="36"/>
          <w:highlight w:val="none"/>
          <w:lang w:eastAsia="zh-CN"/>
        </w:rPr>
      </w:pPr>
      <w:r>
        <w:rPr>
          <w:rFonts w:hint="eastAsia"/>
          <w:b/>
          <w:color w:val="auto"/>
          <w:sz w:val="36"/>
          <w:szCs w:val="36"/>
          <w:highlight w:val="none"/>
        </w:rPr>
        <w:t>技术标详细审查</w:t>
      </w:r>
      <w:r>
        <w:rPr>
          <w:rFonts w:hint="eastAsia" w:ascii="宋体" w:hAnsi="宋体" w:eastAsia="宋体" w:cs="宋体"/>
          <w:b/>
          <w:color w:val="auto"/>
          <w:sz w:val="36"/>
          <w:szCs w:val="36"/>
          <w:highlight w:val="none"/>
        </w:rPr>
        <w:t>评分表(权重</w:t>
      </w:r>
      <w:r>
        <w:rPr>
          <w:rFonts w:hint="eastAsia" w:ascii="宋体" w:hAnsi="宋体" w:cs="宋体"/>
          <w:b/>
          <w:color w:val="auto"/>
          <w:sz w:val="36"/>
          <w:szCs w:val="36"/>
          <w:highlight w:val="none"/>
          <w:lang w:val="en-US" w:eastAsia="zh-CN"/>
        </w:rPr>
        <w:t>20</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lang w:eastAsia="zh-CN"/>
        </w:rPr>
        <w:t>）</w:t>
      </w:r>
    </w:p>
    <w:p>
      <w:pPr>
        <w:spacing w:beforeLines="0" w:afterLines="0"/>
        <w:rPr>
          <w:rFonts w:hint="eastAsia" w:asciiTheme="minorEastAsia" w:hAnsiTheme="minorEastAsia" w:eastAsiaTheme="minorEastAsia" w:cstheme="minorEastAsia"/>
          <w:color w:val="auto"/>
          <w:spacing w:val="-6"/>
          <w:sz w:val="21"/>
          <w:szCs w:val="21"/>
          <w:highlight w:val="none"/>
        </w:rPr>
      </w:pPr>
    </w:p>
    <w:tbl>
      <w:tblPr>
        <w:tblStyle w:val="2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72"/>
        <w:gridCol w:w="720"/>
        <w:gridCol w:w="1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trPr>
        <w:tc>
          <w:tcPr>
            <w:tcW w:w="704" w:type="dxa"/>
            <w:shd w:val="clear" w:color="auto" w:fill="auto"/>
            <w:noWrap w:val="0"/>
            <w:vAlign w:val="center"/>
          </w:tcPr>
          <w:p>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序号</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b/>
                <w:bCs/>
                <w:color w:val="auto"/>
                <w:kern w:val="0"/>
                <w:sz w:val="20"/>
                <w:szCs w:val="20"/>
                <w:highlight w:val="none"/>
                <w:lang w:bidi="ar"/>
              </w:rPr>
              <w:t>评标项</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b/>
                <w:bCs/>
                <w:color w:val="auto"/>
                <w:kern w:val="0"/>
                <w:sz w:val="20"/>
                <w:szCs w:val="20"/>
                <w:highlight w:val="none"/>
                <w:lang w:bidi="ar"/>
              </w:rPr>
              <w:t>分值</w:t>
            </w:r>
          </w:p>
        </w:tc>
        <w:tc>
          <w:tcPr>
            <w:tcW w:w="11471" w:type="dxa"/>
            <w:shd w:val="clear" w:color="auto" w:fill="auto"/>
            <w:noWrap w:val="0"/>
            <w:vAlign w:val="center"/>
          </w:tcPr>
          <w:p>
            <w:pPr>
              <w:jc w:val="center"/>
              <w:rPr>
                <w:b/>
                <w:color w:val="auto"/>
                <w:highlight w:val="none"/>
              </w:rPr>
            </w:pPr>
            <w:r>
              <w:rPr>
                <w:rFonts w:hint="eastAsia"/>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4" w:type="dxa"/>
            <w:shd w:val="clear" w:color="auto" w:fill="auto"/>
            <w:noWrap w:val="0"/>
            <w:vAlign w:val="center"/>
          </w:tcPr>
          <w:p>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sz w:val="20"/>
                <w:szCs w:val="18"/>
                <w:highlight w:val="none"/>
              </w:rPr>
              <w:t>一</w:t>
            </w:r>
          </w:p>
        </w:tc>
        <w:tc>
          <w:tcPr>
            <w:tcW w:w="1672" w:type="dxa"/>
            <w:shd w:val="clear" w:color="auto" w:fill="auto"/>
            <w:noWrap w:val="0"/>
            <w:vAlign w:val="center"/>
          </w:tcPr>
          <w:p>
            <w:pPr>
              <w:widowControl/>
              <w:ind w:left="13" w:leftChars="-51" w:right="-145" w:rightChars="-69" w:hanging="120" w:hangingChars="60"/>
              <w:jc w:val="center"/>
              <w:textAlignment w:val="center"/>
              <w:rPr>
                <w:rFonts w:hint="eastAsia" w:ascii="宋体" w:hAnsi="宋体" w:cs="宋体"/>
                <w:b/>
                <w:bCs/>
                <w:color w:val="auto"/>
                <w:kern w:val="0"/>
                <w:sz w:val="20"/>
                <w:szCs w:val="20"/>
                <w:highlight w:val="none"/>
                <w:lang w:bidi="ar"/>
              </w:rPr>
            </w:pPr>
            <w:r>
              <w:rPr>
                <w:rFonts w:hint="eastAsia" w:ascii="宋体" w:hAnsi="宋体"/>
                <w:b/>
                <w:bCs/>
                <w:color w:val="auto"/>
                <w:sz w:val="20"/>
                <w:szCs w:val="18"/>
                <w:highlight w:val="none"/>
              </w:rPr>
              <w:t>项目管理机构能力</w:t>
            </w:r>
          </w:p>
        </w:tc>
        <w:tc>
          <w:tcPr>
            <w:tcW w:w="720" w:type="dxa"/>
            <w:shd w:val="clear" w:color="auto" w:fill="auto"/>
            <w:noWrap w:val="0"/>
            <w:vAlign w:val="center"/>
          </w:tcPr>
          <w:p>
            <w:pPr>
              <w:widowControl/>
              <w:jc w:val="center"/>
              <w:textAlignment w:val="center"/>
              <w:rPr>
                <w:rFonts w:hint="eastAsia" w:ascii="宋体" w:hAnsi="宋体" w:cs="宋体"/>
                <w:b/>
                <w:bCs/>
                <w:color w:val="auto"/>
                <w:kern w:val="0"/>
                <w:sz w:val="20"/>
                <w:szCs w:val="20"/>
                <w:highlight w:val="none"/>
                <w:lang w:bidi="ar"/>
              </w:rPr>
            </w:pPr>
            <w:r>
              <w:rPr>
                <w:rFonts w:ascii="宋体" w:hAnsi="宋体" w:cs="宋体"/>
                <w:b/>
                <w:bCs/>
                <w:color w:val="auto"/>
                <w:sz w:val="20"/>
                <w:szCs w:val="18"/>
                <w:highlight w:val="none"/>
              </w:rPr>
              <w:t>70</w:t>
            </w:r>
          </w:p>
        </w:tc>
        <w:tc>
          <w:tcPr>
            <w:tcW w:w="11471" w:type="dxa"/>
            <w:shd w:val="clear" w:color="auto" w:fill="auto"/>
            <w:noWrap w:val="0"/>
            <w:vAlign w:val="top"/>
          </w:tcPr>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.1</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技术负责人</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20</w:t>
            </w:r>
          </w:p>
        </w:tc>
        <w:tc>
          <w:tcPr>
            <w:tcW w:w="11471" w:type="dxa"/>
            <w:shd w:val="clear" w:color="auto" w:fill="auto"/>
            <w:noWrap w:val="0"/>
            <w:vAlign w:val="center"/>
          </w:tcPr>
          <w:p>
            <w:pPr>
              <w:numPr>
                <w:ilvl w:val="0"/>
                <w:numId w:val="1"/>
              </w:numPr>
              <w:rPr>
                <w:color w:val="auto"/>
                <w:highlight w:val="none"/>
              </w:rPr>
            </w:pPr>
            <w:r>
              <w:rPr>
                <w:rFonts w:hint="eastAsia"/>
                <w:color w:val="auto"/>
                <w:highlight w:val="none"/>
              </w:rPr>
              <w:t>技术负责人</w:t>
            </w:r>
            <w:r>
              <w:rPr>
                <w:color w:val="auto"/>
                <w:highlight w:val="none"/>
              </w:rPr>
              <w:t>具有</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color w:val="auto"/>
                <w:highlight w:val="none"/>
              </w:rPr>
              <w:t>相关专业高级工程师</w:t>
            </w:r>
            <w:r>
              <w:rPr>
                <w:rFonts w:hint="eastAsia"/>
                <w:color w:val="auto"/>
                <w:highlight w:val="none"/>
              </w:rPr>
              <w:t>（或以上）</w:t>
            </w:r>
            <w:r>
              <w:rPr>
                <w:color w:val="auto"/>
                <w:highlight w:val="none"/>
              </w:rPr>
              <w:t>技术职称</w:t>
            </w:r>
            <w:r>
              <w:rPr>
                <w:rFonts w:hint="eastAsia"/>
                <w:color w:val="auto"/>
                <w:highlight w:val="none"/>
                <w:lang w:val="en-US" w:eastAsia="zh-CN"/>
              </w:rPr>
              <w:t>的得5分。</w:t>
            </w:r>
          </w:p>
          <w:p>
            <w:pPr>
              <w:numPr>
                <w:ilvl w:val="0"/>
                <w:numId w:val="1"/>
              </w:numPr>
              <w:rPr>
                <w:rFonts w:hint="eastAsia" w:eastAsia="宋体"/>
                <w:color w:val="auto"/>
                <w:highlight w:val="none"/>
                <w:lang w:eastAsia="zh-CN"/>
              </w:rPr>
            </w:pPr>
            <w:r>
              <w:rPr>
                <w:rFonts w:hint="eastAsia"/>
                <w:color w:val="auto"/>
                <w:highlight w:val="none"/>
                <w:lang w:val="en-US" w:eastAsia="zh-CN"/>
              </w:rPr>
              <w:t>技术负责人工作年限在15</w:t>
            </w:r>
            <w:r>
              <w:rPr>
                <w:color w:val="auto"/>
                <w:highlight w:val="none"/>
              </w:rPr>
              <w:t>年（或以上）</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rFonts w:hint="eastAsia"/>
                <w:color w:val="auto"/>
                <w:highlight w:val="none"/>
              </w:rPr>
              <w:t>的</w:t>
            </w:r>
            <w:r>
              <w:rPr>
                <w:color w:val="auto"/>
                <w:highlight w:val="none"/>
              </w:rPr>
              <w:t>，得</w:t>
            </w:r>
            <w:r>
              <w:rPr>
                <w:rFonts w:hint="eastAsia"/>
                <w:color w:val="auto"/>
                <w:highlight w:val="none"/>
                <w:lang w:val="en-US" w:eastAsia="zh-CN"/>
              </w:rPr>
              <w:t>15</w:t>
            </w:r>
            <w:r>
              <w:rPr>
                <w:color w:val="auto"/>
                <w:highlight w:val="none"/>
              </w:rPr>
              <w:t>分；10年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至1</w:t>
            </w:r>
            <w:r>
              <w:rPr>
                <w:rFonts w:hint="eastAsia"/>
                <w:color w:val="auto"/>
                <w:highlight w:val="none"/>
                <w:lang w:val="en-US" w:eastAsia="zh-CN"/>
              </w:rPr>
              <w:t>5</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w:t>
            </w:r>
            <w:r>
              <w:rPr>
                <w:rFonts w:hint="eastAsia"/>
                <w:color w:val="auto"/>
                <w:highlight w:val="none"/>
                <w:lang w:val="en-US" w:eastAsia="zh-CN"/>
              </w:rPr>
              <w:t>10</w:t>
            </w:r>
            <w:r>
              <w:rPr>
                <w:color w:val="auto"/>
                <w:highlight w:val="none"/>
              </w:rPr>
              <w:t>分</w:t>
            </w:r>
            <w:r>
              <w:rPr>
                <w:rFonts w:hint="eastAsia"/>
                <w:color w:val="auto"/>
                <w:highlight w:val="none"/>
                <w:lang w:eastAsia="zh-CN"/>
              </w:rPr>
              <w:t>；</w:t>
            </w:r>
            <w:r>
              <w:rPr>
                <w:rFonts w:hint="eastAsia"/>
                <w:color w:val="auto"/>
                <w:highlight w:val="none"/>
              </w:rPr>
              <w:t>5</w:t>
            </w:r>
            <w:r>
              <w:rPr>
                <w:color w:val="auto"/>
                <w:highlight w:val="none"/>
              </w:rPr>
              <w:t>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w:t>
            </w:r>
            <w:r>
              <w:rPr>
                <w:rFonts w:hint="eastAsia"/>
                <w:color w:val="auto"/>
                <w:highlight w:val="none"/>
                <w:lang w:val="en-US" w:eastAsia="zh-CN"/>
              </w:rPr>
              <w:t>10</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rFonts w:hint="eastAsia"/>
                <w:color w:val="auto"/>
                <w:highlight w:val="none"/>
                <w:lang w:val="en-US" w:eastAsia="zh-CN"/>
              </w:rPr>
              <w:t>的</w:t>
            </w:r>
            <w:r>
              <w:rPr>
                <w:color w:val="auto"/>
                <w:highlight w:val="none"/>
              </w:rPr>
              <w:t>，得</w:t>
            </w:r>
            <w:r>
              <w:rPr>
                <w:rFonts w:hint="eastAsia"/>
                <w:color w:val="auto"/>
                <w:highlight w:val="none"/>
                <w:lang w:val="en-US" w:eastAsia="zh-CN"/>
              </w:rPr>
              <w:t>5</w:t>
            </w:r>
            <w:r>
              <w:rPr>
                <w:color w:val="auto"/>
                <w:highlight w:val="none"/>
              </w:rPr>
              <w:t>分；</w:t>
            </w:r>
            <w:r>
              <w:rPr>
                <w:rFonts w:hint="eastAsia"/>
                <w:color w:val="auto"/>
                <w:highlight w:val="none"/>
                <w:lang w:val="en-US" w:eastAsia="zh-CN"/>
              </w:rPr>
              <w:t>1年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rFonts w:hint="eastAsia"/>
                <w:color w:val="auto"/>
                <w:highlight w:val="none"/>
                <w:lang w:val="en-US" w:eastAsia="zh-CN"/>
              </w:rPr>
              <w:t>至5年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rFonts w:hint="eastAsia"/>
                <w:color w:val="auto"/>
                <w:highlight w:val="none"/>
                <w:lang w:val="en-US" w:eastAsia="zh-CN"/>
              </w:rPr>
              <w:t>的</w:t>
            </w:r>
            <w:r>
              <w:rPr>
                <w:color w:val="auto"/>
                <w:highlight w:val="none"/>
              </w:rPr>
              <w:t>得</w:t>
            </w:r>
            <w:r>
              <w:rPr>
                <w:rFonts w:hint="eastAsia"/>
                <w:color w:val="auto"/>
                <w:highlight w:val="none"/>
                <w:lang w:val="en-US" w:eastAsia="zh-CN"/>
              </w:rPr>
              <w:t>1</w:t>
            </w:r>
            <w:r>
              <w:rPr>
                <w:color w:val="auto"/>
                <w:highlight w:val="none"/>
              </w:rPr>
              <w:t>分；不满足上述条件的不得分。本小项最高得</w:t>
            </w:r>
            <w:r>
              <w:rPr>
                <w:rFonts w:hint="eastAsia"/>
                <w:color w:val="auto"/>
                <w:highlight w:val="none"/>
                <w:lang w:val="en-US" w:eastAsia="zh-CN"/>
              </w:rPr>
              <w:t>15</w:t>
            </w:r>
            <w:r>
              <w:rPr>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.2</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质量负责人</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10</w:t>
            </w:r>
          </w:p>
        </w:tc>
        <w:tc>
          <w:tcPr>
            <w:tcW w:w="11471" w:type="dxa"/>
            <w:shd w:val="clear" w:color="auto" w:fill="auto"/>
            <w:noWrap w:val="0"/>
            <w:vAlign w:val="center"/>
          </w:tcPr>
          <w:p>
            <w:pPr>
              <w:rPr>
                <w:color w:val="auto"/>
                <w:highlight w:val="none"/>
              </w:rPr>
            </w:pPr>
            <w:r>
              <w:rPr>
                <w:color w:val="auto"/>
                <w:highlight w:val="none"/>
              </w:rPr>
              <w:t>（1）质量负责人具备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color w:val="auto"/>
                <w:highlight w:val="none"/>
              </w:rPr>
              <w:t>相关专业高级工程师（或以上）职称的，得6分；具备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color w:val="auto"/>
                <w:highlight w:val="none"/>
              </w:rPr>
              <w:t>相关专业</w:t>
            </w:r>
            <w:r>
              <w:rPr>
                <w:rFonts w:hint="eastAsia"/>
                <w:color w:val="auto"/>
                <w:highlight w:val="none"/>
                <w:lang w:val="en-US" w:eastAsia="zh-CN"/>
              </w:rPr>
              <w:t>中级</w:t>
            </w:r>
            <w:r>
              <w:rPr>
                <w:color w:val="auto"/>
                <w:highlight w:val="none"/>
              </w:rPr>
              <w:t>工程师职称的，得3分；不满足前述条件的本小项不得分。本小项最高得6分。</w:t>
            </w:r>
          </w:p>
          <w:p>
            <w:pPr>
              <w:rPr>
                <w:color w:val="auto"/>
                <w:highlight w:val="none"/>
              </w:rPr>
            </w:pPr>
            <w:r>
              <w:rPr>
                <w:color w:val="auto"/>
                <w:highlight w:val="none"/>
              </w:rPr>
              <w:t>（2）质量负责人工作年限15年（或以上）</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的，得4分；10年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至1</w:t>
            </w:r>
            <w:r>
              <w:rPr>
                <w:rFonts w:hint="eastAsia"/>
                <w:color w:val="auto"/>
                <w:highlight w:val="none"/>
                <w:lang w:val="en-US" w:eastAsia="zh-CN"/>
              </w:rPr>
              <w:t>5</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的，得3分；5年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w:t>
            </w:r>
            <w:r>
              <w:rPr>
                <w:rFonts w:hint="eastAsia"/>
                <w:color w:val="auto"/>
                <w:highlight w:val="none"/>
                <w:lang w:val="en-US" w:eastAsia="zh-CN"/>
              </w:rPr>
              <w:t>10</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的，得2分；1年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w:t>
            </w:r>
            <w:r>
              <w:rPr>
                <w:rFonts w:hint="eastAsia"/>
                <w:color w:val="auto"/>
                <w:highlight w:val="none"/>
                <w:lang w:val="en-US" w:eastAsia="zh-CN"/>
              </w:rPr>
              <w:t>5</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的，得1分；不满足前述条件的本小项不得分。本小项最高得4分。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.3</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安全负责人</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10</w:t>
            </w:r>
          </w:p>
        </w:tc>
        <w:tc>
          <w:tcPr>
            <w:tcW w:w="11471" w:type="dxa"/>
            <w:shd w:val="clear" w:color="auto" w:fill="auto"/>
            <w:noWrap w:val="0"/>
            <w:vAlign w:val="center"/>
          </w:tcPr>
          <w:p>
            <w:pPr>
              <w:numPr>
                <w:ilvl w:val="0"/>
                <w:numId w:val="2"/>
              </w:numPr>
              <w:rPr>
                <w:color w:val="auto"/>
                <w:highlight w:val="none"/>
              </w:rPr>
            </w:pPr>
            <w:r>
              <w:rPr>
                <w:color w:val="auto"/>
                <w:highlight w:val="none"/>
              </w:rPr>
              <w:t>安全负责人具备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color w:val="auto"/>
                <w:highlight w:val="none"/>
              </w:rPr>
              <w:t>相关专业高级工程师（或以上）职称的得</w:t>
            </w:r>
            <w:r>
              <w:rPr>
                <w:rFonts w:hint="eastAsia"/>
                <w:color w:val="auto"/>
                <w:highlight w:val="none"/>
                <w:lang w:val="en-US" w:eastAsia="zh-CN"/>
              </w:rPr>
              <w:t>4</w:t>
            </w:r>
            <w:r>
              <w:rPr>
                <w:color w:val="auto"/>
                <w:highlight w:val="none"/>
              </w:rPr>
              <w:t>分；具备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color w:val="auto"/>
                <w:highlight w:val="none"/>
              </w:rPr>
              <w:t>专业</w:t>
            </w:r>
            <w:r>
              <w:rPr>
                <w:rFonts w:hint="eastAsia"/>
                <w:color w:val="auto"/>
                <w:highlight w:val="none"/>
                <w:lang w:val="en-US" w:eastAsia="zh-CN"/>
              </w:rPr>
              <w:t>中级</w:t>
            </w:r>
            <w:r>
              <w:rPr>
                <w:color w:val="auto"/>
                <w:highlight w:val="none"/>
              </w:rPr>
              <w:t>工程师职称的得</w:t>
            </w:r>
            <w:r>
              <w:rPr>
                <w:rFonts w:hint="eastAsia"/>
                <w:color w:val="auto"/>
                <w:highlight w:val="none"/>
                <w:lang w:val="en-US" w:eastAsia="zh-CN"/>
              </w:rPr>
              <w:t>2</w:t>
            </w:r>
            <w:r>
              <w:rPr>
                <w:color w:val="auto"/>
                <w:highlight w:val="none"/>
              </w:rPr>
              <w:t>分；不满足前述条件的本小项不得分。本小项最高得</w:t>
            </w:r>
            <w:r>
              <w:rPr>
                <w:rFonts w:hint="eastAsia"/>
                <w:color w:val="auto"/>
                <w:highlight w:val="none"/>
                <w:lang w:val="en-US" w:eastAsia="zh-CN"/>
              </w:rPr>
              <w:t>4</w:t>
            </w:r>
            <w:r>
              <w:rPr>
                <w:color w:val="auto"/>
                <w:highlight w:val="none"/>
              </w:rPr>
              <w:t>分。</w:t>
            </w:r>
          </w:p>
          <w:p>
            <w:pPr>
              <w:pStyle w:val="9"/>
              <w:numPr>
                <w:ilvl w:val="0"/>
                <w:numId w:val="0"/>
              </w:numPr>
              <w:jc w:val="lef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安全负责人具备</w:t>
            </w:r>
            <w:r>
              <w:rPr>
                <w:rFonts w:hint="eastAsia"/>
                <w:color w:val="auto"/>
                <w:highlight w:val="none"/>
                <w:lang w:val="en-US" w:eastAsia="zh-CN"/>
              </w:rPr>
              <w:t>国家注册安全工程师中级或以上的，得2分，其余不得分。</w:t>
            </w:r>
            <w:r>
              <w:rPr>
                <w:color w:val="auto"/>
                <w:highlight w:val="none"/>
              </w:rPr>
              <w:t>本小项最高得</w:t>
            </w:r>
            <w:r>
              <w:rPr>
                <w:rFonts w:hint="eastAsia"/>
                <w:color w:val="auto"/>
                <w:highlight w:val="none"/>
                <w:lang w:val="en-US" w:eastAsia="zh-CN"/>
              </w:rPr>
              <w:t>2</w:t>
            </w:r>
            <w:r>
              <w:rPr>
                <w:color w:val="auto"/>
                <w:highlight w:val="none"/>
              </w:rPr>
              <w:t>分。</w:t>
            </w:r>
          </w:p>
          <w:p>
            <w:pPr>
              <w:rPr>
                <w:color w:val="auto"/>
                <w:highlight w:val="none"/>
              </w:rPr>
            </w:pPr>
            <w:r>
              <w:rPr>
                <w:color w:val="auto"/>
                <w:highlight w:val="none"/>
              </w:rPr>
              <w:t>（</w:t>
            </w:r>
            <w:r>
              <w:rPr>
                <w:rFonts w:hint="eastAsia"/>
                <w:color w:val="auto"/>
                <w:highlight w:val="none"/>
                <w:lang w:val="en-US" w:eastAsia="zh-CN"/>
              </w:rPr>
              <w:t>3</w:t>
            </w:r>
            <w:r>
              <w:rPr>
                <w:color w:val="auto"/>
                <w:highlight w:val="none"/>
              </w:rPr>
              <w:t>）安全负责人工作年限15年（或以上）</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的，得4分；10年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至1</w:t>
            </w:r>
            <w:r>
              <w:rPr>
                <w:rFonts w:hint="eastAsia"/>
                <w:color w:val="auto"/>
                <w:highlight w:val="none"/>
                <w:lang w:val="en-US" w:eastAsia="zh-CN"/>
              </w:rPr>
              <w:t>5</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的，得3分；5年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w:t>
            </w:r>
            <w:r>
              <w:rPr>
                <w:rFonts w:hint="eastAsia"/>
                <w:color w:val="auto"/>
                <w:highlight w:val="none"/>
                <w:lang w:val="en-US" w:eastAsia="zh-CN"/>
              </w:rPr>
              <w:t>10</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的，得2分；</w:t>
            </w:r>
            <w:r>
              <w:rPr>
                <w:rFonts w:hint="eastAsia"/>
                <w:color w:val="auto"/>
                <w:highlight w:val="none"/>
              </w:rPr>
              <w:t>1年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rFonts w:hint="eastAsia"/>
                <w:color w:val="auto"/>
                <w:highlight w:val="none"/>
              </w:rPr>
              <w:t>至</w:t>
            </w:r>
            <w:r>
              <w:rPr>
                <w:rFonts w:hint="eastAsia"/>
                <w:color w:val="auto"/>
                <w:highlight w:val="none"/>
                <w:lang w:val="en-US" w:eastAsia="zh-CN"/>
              </w:rPr>
              <w:t>5</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rFonts w:hint="eastAsia"/>
                <w:color w:val="auto"/>
                <w:highlight w:val="none"/>
              </w:rPr>
              <w:t>的</w:t>
            </w:r>
            <w:r>
              <w:rPr>
                <w:color w:val="auto"/>
                <w:highlight w:val="none"/>
              </w:rPr>
              <w:t>，得1分：不满足前述条件的本小项不得分。本小项最高得4分。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.4</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造价负责人</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10</w:t>
            </w:r>
          </w:p>
        </w:tc>
        <w:tc>
          <w:tcPr>
            <w:tcW w:w="11471" w:type="dxa"/>
            <w:shd w:val="clear" w:color="auto" w:fill="auto"/>
            <w:noWrap w:val="0"/>
            <w:vAlign w:val="center"/>
          </w:tcPr>
          <w:p>
            <w:pPr>
              <w:rPr>
                <w:color w:val="auto"/>
                <w:highlight w:val="none"/>
              </w:rPr>
            </w:pPr>
            <w:r>
              <w:rPr>
                <w:color w:val="auto"/>
                <w:highlight w:val="none"/>
              </w:rPr>
              <w:t>（1）造价负责人具备安装</w:t>
            </w:r>
            <w:r>
              <w:rPr>
                <w:rFonts w:hint="eastAsia"/>
                <w:color w:val="auto"/>
                <w:highlight w:val="none"/>
              </w:rPr>
              <w:t>工程</w:t>
            </w:r>
            <w:r>
              <w:rPr>
                <w:color w:val="auto"/>
                <w:highlight w:val="none"/>
              </w:rPr>
              <w:t>专业注册造价工程师或安装</w:t>
            </w:r>
            <w:r>
              <w:rPr>
                <w:rFonts w:hint="eastAsia"/>
                <w:color w:val="auto"/>
                <w:highlight w:val="none"/>
              </w:rPr>
              <w:t>工程</w:t>
            </w:r>
            <w:r>
              <w:rPr>
                <w:color w:val="auto"/>
                <w:highlight w:val="none"/>
              </w:rPr>
              <w:t>专业注册一级造价工程师资格，得3分；具备安装</w:t>
            </w:r>
            <w:r>
              <w:rPr>
                <w:rFonts w:hint="eastAsia"/>
                <w:color w:val="auto"/>
                <w:highlight w:val="none"/>
              </w:rPr>
              <w:t>工程</w:t>
            </w:r>
            <w:r>
              <w:rPr>
                <w:color w:val="auto"/>
                <w:highlight w:val="none"/>
              </w:rPr>
              <w:t>专业注册二级造价工程师资格，得1分；不满足前述条件的本小项不得分。本小项最高得3分。</w:t>
            </w:r>
          </w:p>
          <w:p>
            <w:pPr>
              <w:rPr>
                <w:color w:val="auto"/>
                <w:highlight w:val="none"/>
              </w:rPr>
            </w:pPr>
            <w:r>
              <w:rPr>
                <w:color w:val="auto"/>
                <w:highlight w:val="none"/>
              </w:rPr>
              <w:t>（2）造价负责人具备</w:t>
            </w:r>
            <w:r>
              <w:rPr>
                <w:rFonts w:hint="eastAsia"/>
                <w:color w:val="auto"/>
                <w:highlight w:val="none"/>
                <w:lang w:val="en-US" w:eastAsia="zh-CN"/>
              </w:rPr>
              <w:t>建筑工程造价</w:t>
            </w:r>
            <w:r>
              <w:rPr>
                <w:color w:val="auto"/>
                <w:highlight w:val="none"/>
              </w:rPr>
              <w:t>专业高级工程师（或以上）职称的，得3分；不满足前述条件的本小项不得分。本小项最高得3分。</w:t>
            </w:r>
          </w:p>
          <w:p>
            <w:pPr>
              <w:rPr>
                <w:color w:val="auto"/>
                <w:highlight w:val="none"/>
              </w:rPr>
            </w:pPr>
            <w:r>
              <w:rPr>
                <w:rFonts w:hint="eastAsia"/>
                <w:color w:val="auto"/>
                <w:highlight w:val="none"/>
              </w:rPr>
              <w:t>（</w:t>
            </w:r>
            <w:r>
              <w:rPr>
                <w:color w:val="auto"/>
                <w:highlight w:val="none"/>
              </w:rPr>
              <w:t>3）拟委派的造价负责人工作年限15年（或以上）</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的，得4分；10年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至1</w:t>
            </w:r>
            <w:r>
              <w:rPr>
                <w:rFonts w:hint="eastAsia"/>
                <w:color w:val="auto"/>
                <w:highlight w:val="none"/>
                <w:lang w:val="en-US" w:eastAsia="zh-CN"/>
              </w:rPr>
              <w:t>5</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的，得3分；5年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color w:val="auto"/>
                <w:highlight w:val="none"/>
              </w:rPr>
              <w:t>至</w:t>
            </w:r>
            <w:r>
              <w:rPr>
                <w:rFonts w:hint="eastAsia"/>
                <w:color w:val="auto"/>
                <w:highlight w:val="none"/>
                <w:lang w:val="en-US" w:eastAsia="zh-CN"/>
              </w:rPr>
              <w:t>10</w:t>
            </w:r>
            <w:r>
              <w:rPr>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color w:val="auto"/>
                <w:highlight w:val="none"/>
              </w:rPr>
              <w:t>的，得2分；</w:t>
            </w:r>
            <w:r>
              <w:rPr>
                <w:rFonts w:hint="eastAsia"/>
                <w:color w:val="auto"/>
                <w:highlight w:val="none"/>
              </w:rPr>
              <w:t>1年</w:t>
            </w:r>
            <w:r>
              <w:rPr>
                <w:rFonts w:hint="eastAsia"/>
                <w:color w:val="auto"/>
                <w:highlight w:val="none"/>
                <w:lang w:eastAsia="zh-CN"/>
              </w:rPr>
              <w:t>（</w:t>
            </w:r>
            <w:r>
              <w:rPr>
                <w:rFonts w:hint="eastAsia"/>
                <w:color w:val="auto"/>
                <w:highlight w:val="none"/>
                <w:lang w:val="en-US" w:eastAsia="zh-CN"/>
              </w:rPr>
              <w:t>含本数</w:t>
            </w:r>
            <w:r>
              <w:rPr>
                <w:rFonts w:hint="eastAsia"/>
                <w:color w:val="auto"/>
                <w:highlight w:val="none"/>
                <w:lang w:eastAsia="zh-CN"/>
              </w:rPr>
              <w:t>）</w:t>
            </w:r>
            <w:r>
              <w:rPr>
                <w:rFonts w:hint="eastAsia"/>
                <w:color w:val="auto"/>
                <w:highlight w:val="none"/>
              </w:rPr>
              <w:t>至</w:t>
            </w:r>
            <w:r>
              <w:rPr>
                <w:rFonts w:hint="eastAsia"/>
                <w:color w:val="auto"/>
                <w:highlight w:val="none"/>
                <w:lang w:val="en-US" w:eastAsia="zh-CN"/>
              </w:rPr>
              <w:t>5</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不含本数</w:t>
            </w:r>
            <w:r>
              <w:rPr>
                <w:rFonts w:hint="eastAsia"/>
                <w:color w:val="auto"/>
                <w:highlight w:val="none"/>
                <w:lang w:eastAsia="zh-CN"/>
              </w:rPr>
              <w:t>）</w:t>
            </w:r>
            <w:r>
              <w:rPr>
                <w:rFonts w:hint="eastAsia"/>
                <w:color w:val="auto"/>
                <w:highlight w:val="none"/>
              </w:rPr>
              <w:t>的</w:t>
            </w:r>
            <w:r>
              <w:rPr>
                <w:color w:val="auto"/>
                <w:highlight w:val="none"/>
              </w:rPr>
              <w:t>，得1分；不满足前述条件的本小项不得分。本小项最高得4分。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.5</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专业人员</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20</w:t>
            </w:r>
          </w:p>
        </w:tc>
        <w:tc>
          <w:tcPr>
            <w:tcW w:w="11471" w:type="dxa"/>
            <w:shd w:val="clear" w:color="auto" w:fill="auto"/>
            <w:noWrap w:val="0"/>
            <w:vAlign w:val="center"/>
          </w:tcPr>
          <w:p>
            <w:pPr>
              <w:rPr>
                <w:color w:val="auto"/>
                <w:highlight w:val="none"/>
              </w:rPr>
            </w:pPr>
            <w:r>
              <w:rPr>
                <w:rFonts w:hint="eastAsia"/>
                <w:color w:val="auto"/>
                <w:highlight w:val="none"/>
              </w:rPr>
              <w:t>拟投入本项目的各专业人员，人员配备全部满足招标文件《项目管理部组成人员配备要求表》要求的，得</w:t>
            </w:r>
            <w:r>
              <w:rPr>
                <w:color w:val="auto"/>
                <w:highlight w:val="none"/>
              </w:rPr>
              <w:t>10</w:t>
            </w:r>
            <w:r>
              <w:rPr>
                <w:rFonts w:hint="eastAsia"/>
                <w:color w:val="auto"/>
                <w:highlight w:val="none"/>
              </w:rPr>
              <w:t>分；</w:t>
            </w:r>
          </w:p>
          <w:p>
            <w:pPr>
              <w:rPr>
                <w:color w:val="auto"/>
                <w:highlight w:val="none"/>
              </w:rPr>
            </w:pPr>
            <w:r>
              <w:rPr>
                <w:rFonts w:hint="eastAsia"/>
                <w:color w:val="auto"/>
                <w:highlight w:val="none"/>
              </w:rPr>
              <w:t>拟投入本项目的各专业人员（除项目负责人、技术负责人、质量负责人、安全负责人、造价负责人外）配备在满足《项目管理部组成人员配备要求表》要求基础上，拟派人员中具备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类相关专业高级工程师或以上职称，每人加2分，最多加10分。</w:t>
            </w:r>
          </w:p>
          <w:p>
            <w:pPr>
              <w:pStyle w:val="9"/>
              <w:ind w:left="0" w:leftChars="0" w:firstLine="0" w:firstLineChars="0"/>
              <w:rPr>
                <w:rFonts w:hint="eastAsia"/>
                <w:color w:val="auto"/>
                <w:highlight w:val="none"/>
              </w:rPr>
            </w:pPr>
            <w:r>
              <w:rPr>
                <w:rFonts w:hint="eastAsia"/>
                <w:color w:val="auto"/>
                <w:kern w:val="2"/>
                <w:sz w:val="21"/>
                <w:szCs w:val="22"/>
                <w:highlight w:val="none"/>
              </w:rPr>
              <w:t>注：须提供岗位证（或培训证）、工作年限证明及职称证等扫描件，工作年限以大专（或以上）学历毕业证书的毕业时间为准，否则不得分。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二</w:t>
            </w:r>
          </w:p>
        </w:tc>
        <w:tc>
          <w:tcPr>
            <w:tcW w:w="1672" w:type="dxa"/>
            <w:shd w:val="clear" w:color="auto" w:fill="auto"/>
            <w:noWrap w:val="0"/>
            <w:vAlign w:val="center"/>
          </w:tcPr>
          <w:p>
            <w:pPr>
              <w:widowControl/>
              <w:jc w:val="center"/>
              <w:textAlignment w:val="center"/>
              <w:rPr>
                <w:rFonts w:hint="eastAsia" w:ascii="宋体" w:hAnsi="宋体" w:cs="宋体"/>
                <w:color w:val="auto"/>
                <w:kern w:val="0"/>
                <w:szCs w:val="20"/>
                <w:highlight w:val="none"/>
                <w:lang w:bidi="ar"/>
              </w:rPr>
            </w:pPr>
            <w:r>
              <w:rPr>
                <w:rFonts w:hint="eastAsia" w:ascii="宋体" w:hAnsi="宋体" w:cs="宋体"/>
                <w:b/>
                <w:color w:val="auto"/>
                <w:kern w:val="0"/>
                <w:szCs w:val="18"/>
                <w:highlight w:val="none"/>
                <w:lang w:bidi="ar"/>
              </w:rPr>
              <w:t>企业资信</w:t>
            </w:r>
          </w:p>
        </w:tc>
        <w:tc>
          <w:tcPr>
            <w:tcW w:w="720" w:type="dxa"/>
            <w:shd w:val="clear" w:color="auto" w:fill="auto"/>
            <w:noWrap w:val="0"/>
            <w:vAlign w:val="center"/>
          </w:tcPr>
          <w:p>
            <w:pPr>
              <w:widowControl/>
              <w:jc w:val="center"/>
              <w:textAlignment w:val="center"/>
              <w:rPr>
                <w:rFonts w:hint="eastAsia" w:ascii="宋体" w:hAnsi="宋体" w:cs="宋体"/>
                <w:color w:val="auto"/>
                <w:kern w:val="0"/>
                <w:szCs w:val="20"/>
                <w:highlight w:val="none"/>
                <w:lang w:bidi="ar"/>
              </w:rPr>
            </w:pPr>
            <w:r>
              <w:rPr>
                <w:rFonts w:hint="eastAsia" w:ascii="宋体" w:hAnsi="宋体" w:cs="宋体"/>
                <w:b/>
                <w:color w:val="auto"/>
                <w:kern w:val="0"/>
                <w:szCs w:val="18"/>
                <w:highlight w:val="none"/>
                <w:lang w:bidi="ar"/>
              </w:rPr>
              <w:t>30</w:t>
            </w:r>
          </w:p>
        </w:tc>
        <w:tc>
          <w:tcPr>
            <w:tcW w:w="11471" w:type="dxa"/>
            <w:shd w:val="clear" w:color="auto" w:fill="auto"/>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.1</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企业业绩</w:t>
            </w:r>
          </w:p>
        </w:tc>
        <w:tc>
          <w:tcPr>
            <w:tcW w:w="720" w:type="dxa"/>
            <w:shd w:val="clear" w:color="auto" w:fill="auto"/>
            <w:noWrap w:val="0"/>
            <w:vAlign w:val="center"/>
          </w:tcPr>
          <w:p>
            <w:pPr>
              <w:widowControl/>
              <w:jc w:val="center"/>
              <w:textAlignment w:val="center"/>
              <w:rPr>
                <w:color w:val="auto"/>
                <w:highlight w:val="none"/>
              </w:rPr>
            </w:pPr>
            <w:r>
              <w:rPr>
                <w:rFonts w:ascii="宋体" w:hAnsi="宋体" w:cs="宋体"/>
                <w:color w:val="auto"/>
                <w:kern w:val="0"/>
                <w:sz w:val="20"/>
                <w:szCs w:val="20"/>
                <w:highlight w:val="none"/>
                <w:lang w:bidi="ar"/>
              </w:rPr>
              <w:t>6</w:t>
            </w:r>
          </w:p>
        </w:tc>
        <w:tc>
          <w:tcPr>
            <w:tcW w:w="11471" w:type="dxa"/>
            <w:shd w:val="clear" w:color="auto" w:fill="auto"/>
            <w:noWrap w:val="0"/>
            <w:vAlign w:val="center"/>
          </w:tcPr>
          <w:p>
            <w:pPr>
              <w:rPr>
                <w:color w:val="auto"/>
                <w:highlight w:val="none"/>
              </w:rPr>
            </w:pPr>
            <w:r>
              <w:rPr>
                <w:color w:val="auto"/>
                <w:highlight w:val="none"/>
              </w:rPr>
              <w:t>投标人2019年1月1日至今完成过质量合格的类似工程业绩，每项得1分，最多得6分。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.2</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工程奖项</w:t>
            </w:r>
          </w:p>
        </w:tc>
        <w:tc>
          <w:tcPr>
            <w:tcW w:w="720" w:type="dxa"/>
            <w:shd w:val="clear" w:color="auto" w:fill="auto"/>
            <w:noWrap w:val="0"/>
            <w:vAlign w:val="center"/>
          </w:tcPr>
          <w:p>
            <w:pPr>
              <w:widowControl/>
              <w:jc w:val="center"/>
              <w:textAlignment w:val="center"/>
              <w:rPr>
                <w:color w:val="auto"/>
                <w:highlight w:val="none"/>
              </w:rPr>
            </w:pPr>
            <w:r>
              <w:rPr>
                <w:rFonts w:ascii="宋体" w:hAnsi="宋体" w:cs="宋体"/>
                <w:color w:val="auto"/>
                <w:kern w:val="0"/>
                <w:sz w:val="20"/>
                <w:szCs w:val="20"/>
                <w:highlight w:val="none"/>
                <w:lang w:bidi="ar"/>
              </w:rPr>
              <w:t>14</w:t>
            </w:r>
          </w:p>
        </w:tc>
        <w:tc>
          <w:tcPr>
            <w:tcW w:w="11471" w:type="dxa"/>
            <w:shd w:val="clear" w:color="auto" w:fill="auto"/>
            <w:noWrap w:val="0"/>
            <w:vAlign w:val="top"/>
          </w:tcPr>
          <w:p>
            <w:pPr>
              <w:rPr>
                <w:rFonts w:hint="eastAsia" w:eastAsia="宋体"/>
                <w:color w:val="auto"/>
                <w:highlight w:val="none"/>
                <w:lang w:eastAsia="zh-CN"/>
              </w:rPr>
            </w:pPr>
            <w:r>
              <w:rPr>
                <w:color w:val="auto"/>
                <w:highlight w:val="none"/>
              </w:rPr>
              <w:t>2019年1月1日至今</w:t>
            </w:r>
            <w:r>
              <w:rPr>
                <w:rFonts w:hint="eastAsia" w:ascii="宋体" w:hAnsi="宋体" w:eastAsia="宋体" w:cs="Times New Roman"/>
                <w:b w:val="0"/>
                <w:color w:val="auto"/>
                <w:kern w:val="2"/>
                <w:sz w:val="21"/>
                <w:szCs w:val="21"/>
                <w:highlight w:val="none"/>
                <w:lang w:val="en-US" w:eastAsia="zh-CN" w:bidi="ar-SA"/>
              </w:rPr>
              <w:t>投标人已完成的质量合格且</w:t>
            </w:r>
            <w:r>
              <w:rPr>
                <w:color w:val="auto"/>
                <w:highlight w:val="none"/>
              </w:rPr>
              <w:t>工程造价大于或等于</w:t>
            </w:r>
            <w:r>
              <w:rPr>
                <w:color w:val="auto"/>
                <w:highlight w:val="none"/>
                <w:u w:val="single"/>
              </w:rPr>
              <w:t>1000</w:t>
            </w:r>
            <w:r>
              <w:rPr>
                <w:color w:val="auto"/>
                <w:highlight w:val="none"/>
              </w:rPr>
              <w:t>万元的10KV或以上电力工程业绩</w:t>
            </w:r>
            <w:r>
              <w:rPr>
                <w:rFonts w:hint="eastAsia" w:cs="Times New Roman"/>
                <w:b w:val="0"/>
                <w:color w:val="auto"/>
                <w:kern w:val="2"/>
                <w:sz w:val="21"/>
                <w:szCs w:val="21"/>
                <w:highlight w:val="none"/>
                <w:lang w:val="en-US" w:eastAsia="zh-CN" w:bidi="ar-SA"/>
              </w:rPr>
              <w:t>，</w:t>
            </w:r>
            <w:r>
              <w:rPr>
                <w:color w:val="auto"/>
                <w:highlight w:val="none"/>
              </w:rPr>
              <w:t>获得过工程质量方面奖项证书，国家级每项得2分，省级每项得1分，市级每项得0.5 分，最多得14分</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.3</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I</w:t>
            </w:r>
            <w:r>
              <w:rPr>
                <w:rFonts w:ascii="宋体" w:hAnsi="宋体" w:cs="宋体"/>
                <w:color w:val="auto"/>
                <w:kern w:val="0"/>
                <w:sz w:val="20"/>
                <w:szCs w:val="20"/>
                <w:highlight w:val="none"/>
                <w:lang w:bidi="ar"/>
              </w:rPr>
              <w:t>SO</w:t>
            </w:r>
            <w:r>
              <w:rPr>
                <w:rFonts w:hint="eastAsia" w:ascii="宋体" w:hAnsi="宋体" w:cs="宋体"/>
                <w:color w:val="auto"/>
                <w:kern w:val="0"/>
                <w:sz w:val="20"/>
                <w:szCs w:val="20"/>
                <w:highlight w:val="none"/>
                <w:lang w:bidi="ar"/>
              </w:rPr>
              <w:t>认证</w:t>
            </w:r>
          </w:p>
        </w:tc>
        <w:tc>
          <w:tcPr>
            <w:tcW w:w="720" w:type="dxa"/>
            <w:shd w:val="clear" w:color="auto" w:fill="auto"/>
            <w:noWrap w:val="0"/>
            <w:vAlign w:val="center"/>
          </w:tcPr>
          <w:p>
            <w:pPr>
              <w:widowControl/>
              <w:jc w:val="center"/>
              <w:textAlignment w:val="center"/>
              <w:rPr>
                <w:color w:val="auto"/>
                <w:highlight w:val="none"/>
              </w:rPr>
            </w:pPr>
            <w:r>
              <w:rPr>
                <w:rFonts w:ascii="宋体" w:hAnsi="宋体" w:cs="宋体"/>
                <w:color w:val="auto"/>
                <w:kern w:val="0"/>
                <w:sz w:val="20"/>
                <w:szCs w:val="20"/>
                <w:highlight w:val="none"/>
                <w:lang w:bidi="ar"/>
              </w:rPr>
              <w:t>6</w:t>
            </w:r>
          </w:p>
        </w:tc>
        <w:tc>
          <w:tcPr>
            <w:tcW w:w="11471" w:type="dxa"/>
            <w:shd w:val="clear" w:color="auto" w:fill="auto"/>
            <w:noWrap w:val="0"/>
            <w:vAlign w:val="top"/>
          </w:tcPr>
          <w:p>
            <w:pPr>
              <w:rPr>
                <w:color w:val="auto"/>
                <w:highlight w:val="none"/>
              </w:rPr>
            </w:pPr>
            <w:r>
              <w:rPr>
                <w:rFonts w:hint="eastAsia"/>
                <w:color w:val="auto"/>
                <w:highlight w:val="none"/>
              </w:rPr>
              <w:t>投标人同时具有质量管理体系、环境管理体系、职业健康安全管理体系、知识产权管理体系认证及企业诚信管理体系认证证书且在有效期内的得</w:t>
            </w:r>
            <w:r>
              <w:rPr>
                <w:color w:val="auto"/>
                <w:highlight w:val="none"/>
              </w:rPr>
              <w:t>6</w:t>
            </w:r>
            <w:r>
              <w:rPr>
                <w:rFonts w:hint="eastAsia"/>
                <w:color w:val="auto"/>
                <w:highlight w:val="none"/>
              </w:rPr>
              <w:t>分；同时具有其中四项认证证书且在有效期内的得</w:t>
            </w:r>
            <w:r>
              <w:rPr>
                <w:color w:val="auto"/>
                <w:highlight w:val="none"/>
              </w:rPr>
              <w:t>3</w:t>
            </w:r>
            <w:r>
              <w:rPr>
                <w:rFonts w:hint="eastAsia"/>
                <w:color w:val="auto"/>
                <w:highlight w:val="none"/>
              </w:rPr>
              <w:t>分；同时具有其中</w:t>
            </w:r>
            <w:r>
              <w:rPr>
                <w:rFonts w:hint="eastAsia"/>
                <w:color w:val="auto"/>
                <w:highlight w:val="none"/>
                <w:lang w:val="en-US" w:eastAsia="zh-CN"/>
              </w:rPr>
              <w:t>三项或以下</w:t>
            </w:r>
            <w:r>
              <w:rPr>
                <w:rFonts w:hint="eastAsia"/>
                <w:color w:val="auto"/>
                <w:highlight w:val="none"/>
              </w:rPr>
              <w:t>认证证书且在有效期内的得</w:t>
            </w:r>
            <w:r>
              <w:rPr>
                <w:color w:val="auto"/>
                <w:highlight w:val="none"/>
              </w:rPr>
              <w:t>1</w:t>
            </w:r>
            <w:r>
              <w:rPr>
                <w:rFonts w:hint="eastAsia"/>
                <w:color w:val="auto"/>
                <w:highlight w:val="none"/>
              </w:rPr>
              <w:t>分，</w:t>
            </w:r>
            <w:r>
              <w:rPr>
                <w:rFonts w:hint="eastAsia"/>
                <w:color w:val="auto"/>
                <w:highlight w:val="none"/>
                <w:lang w:val="en-US" w:eastAsia="zh-CN"/>
              </w:rPr>
              <w:t>不具有其中任何一项认证证书的</w:t>
            </w:r>
            <w:r>
              <w:rPr>
                <w:rFonts w:hint="eastAsia"/>
                <w:color w:val="auto"/>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r>
              <w:rPr>
                <w:rFonts w:ascii="宋体" w:hAnsi="宋体" w:cs="宋体"/>
                <w:color w:val="auto"/>
                <w:kern w:val="0"/>
                <w:sz w:val="20"/>
                <w:szCs w:val="20"/>
                <w:highlight w:val="none"/>
                <w:lang w:bidi="ar"/>
              </w:rPr>
              <w:t>.4</w:t>
            </w:r>
          </w:p>
        </w:tc>
        <w:tc>
          <w:tcPr>
            <w:tcW w:w="1672"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企业研发能力</w:t>
            </w:r>
          </w:p>
        </w:tc>
        <w:tc>
          <w:tcPr>
            <w:tcW w:w="720" w:type="dxa"/>
            <w:shd w:val="clear" w:color="auto" w:fill="auto"/>
            <w:noWrap w:val="0"/>
            <w:vAlign w:val="center"/>
          </w:tcPr>
          <w:p>
            <w:pPr>
              <w:widowControl/>
              <w:jc w:val="center"/>
              <w:textAlignment w:val="center"/>
              <w:rPr>
                <w:color w:val="auto"/>
                <w:highlight w:val="none"/>
              </w:rPr>
            </w:pPr>
            <w:r>
              <w:rPr>
                <w:rFonts w:hint="eastAsia" w:ascii="宋体" w:hAnsi="宋体" w:cs="宋体"/>
                <w:color w:val="auto"/>
                <w:kern w:val="0"/>
                <w:sz w:val="20"/>
                <w:szCs w:val="20"/>
                <w:highlight w:val="none"/>
                <w:lang w:bidi="ar"/>
              </w:rPr>
              <w:t>4</w:t>
            </w:r>
          </w:p>
        </w:tc>
        <w:tc>
          <w:tcPr>
            <w:tcW w:w="11471" w:type="dxa"/>
            <w:shd w:val="clear" w:color="auto" w:fill="auto"/>
            <w:noWrap w:val="0"/>
            <w:vAlign w:val="center"/>
          </w:tcPr>
          <w:p>
            <w:pPr>
              <w:rPr>
                <w:color w:val="auto"/>
                <w:highlight w:val="none"/>
              </w:rPr>
            </w:pPr>
            <w:r>
              <w:rPr>
                <w:rFonts w:ascii="宋体" w:hAnsi="宋体"/>
                <w:color w:val="auto"/>
                <w:szCs w:val="21"/>
                <w:highlight w:val="none"/>
              </w:rPr>
              <w:t>2019</w:t>
            </w:r>
            <w:r>
              <w:rPr>
                <w:rFonts w:hint="eastAsia" w:ascii="宋体" w:hAnsi="宋体"/>
                <w:color w:val="auto"/>
                <w:szCs w:val="21"/>
                <w:highlight w:val="none"/>
              </w:rPr>
              <w:t>年</w:t>
            </w:r>
            <w:r>
              <w:rPr>
                <w:rFonts w:ascii="宋体" w:hAnsi="宋体"/>
                <w:color w:val="auto"/>
                <w:szCs w:val="21"/>
                <w:highlight w:val="none"/>
              </w:rPr>
              <w:t>1</w:t>
            </w:r>
            <w:r>
              <w:rPr>
                <w:rFonts w:hint="eastAsia" w:ascii="宋体" w:hAnsi="宋体"/>
                <w:color w:val="auto"/>
                <w:szCs w:val="21"/>
                <w:highlight w:val="none"/>
              </w:rPr>
              <w:t>月</w:t>
            </w:r>
            <w:r>
              <w:rPr>
                <w:rFonts w:ascii="宋体" w:hAnsi="宋体"/>
                <w:color w:val="auto"/>
                <w:szCs w:val="21"/>
                <w:highlight w:val="none"/>
              </w:rPr>
              <w:t>1</w:t>
            </w:r>
            <w:r>
              <w:rPr>
                <w:rFonts w:hint="eastAsia" w:ascii="宋体" w:hAnsi="宋体"/>
                <w:color w:val="auto"/>
                <w:szCs w:val="21"/>
                <w:highlight w:val="none"/>
              </w:rPr>
              <w:t>日至今，投标人作为完成单位获得过省级或以上各类工法证书奖项，每项得</w:t>
            </w:r>
            <w:r>
              <w:rPr>
                <w:rFonts w:ascii="宋体" w:hAnsi="宋体"/>
                <w:color w:val="auto"/>
                <w:szCs w:val="21"/>
                <w:highlight w:val="none"/>
              </w:rPr>
              <w:t>1</w:t>
            </w:r>
            <w:r>
              <w:rPr>
                <w:rFonts w:hint="eastAsia" w:ascii="宋体" w:hAnsi="宋体"/>
                <w:color w:val="auto"/>
                <w:szCs w:val="21"/>
                <w:highlight w:val="none"/>
              </w:rPr>
              <w:t>分，最高得</w:t>
            </w:r>
            <w:r>
              <w:rPr>
                <w:rFonts w:ascii="宋体" w:hAnsi="宋体"/>
                <w:color w:val="auto"/>
                <w:szCs w:val="21"/>
                <w:highlight w:val="none"/>
              </w:rPr>
              <w:t>4</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shd w:val="clear" w:color="auto" w:fill="auto"/>
            <w:noWrap w:val="0"/>
            <w:vAlign w:val="center"/>
          </w:tcPr>
          <w:p>
            <w:pPr>
              <w:widowControl/>
              <w:jc w:val="center"/>
              <w:textAlignment w:val="center"/>
              <w:rPr>
                <w:rFonts w:hint="eastAsia" w:ascii="宋体" w:hAnsi="宋体" w:cs="宋体"/>
                <w:color w:val="auto"/>
                <w:kern w:val="0"/>
                <w:sz w:val="20"/>
                <w:szCs w:val="20"/>
                <w:highlight w:val="none"/>
                <w:lang w:bidi="ar"/>
              </w:rPr>
            </w:pPr>
          </w:p>
        </w:tc>
        <w:tc>
          <w:tcPr>
            <w:tcW w:w="1672" w:type="dxa"/>
            <w:shd w:val="clear" w:color="auto" w:fill="auto"/>
            <w:noWrap w:val="0"/>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总分</w:t>
            </w:r>
          </w:p>
        </w:tc>
        <w:tc>
          <w:tcPr>
            <w:tcW w:w="720" w:type="dxa"/>
            <w:shd w:val="clear" w:color="auto" w:fill="auto"/>
            <w:noWrap w:val="0"/>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100</w:t>
            </w:r>
          </w:p>
        </w:tc>
        <w:tc>
          <w:tcPr>
            <w:tcW w:w="11471" w:type="dxa"/>
            <w:shd w:val="clear" w:color="auto" w:fill="auto"/>
            <w:noWrap w:val="0"/>
            <w:vAlign w:val="top"/>
          </w:tcPr>
          <w:p>
            <w:pPr>
              <w:rPr>
                <w:color w:val="auto"/>
                <w:highlight w:val="none"/>
              </w:rPr>
            </w:pPr>
          </w:p>
        </w:tc>
      </w:tr>
    </w:tbl>
    <w:p>
      <w:pPr>
        <w:rPr>
          <w:color w:val="auto"/>
          <w:highlight w:val="none"/>
        </w:rPr>
      </w:pPr>
      <w:r>
        <w:rPr>
          <w:color w:val="auto"/>
          <w:highlight w:val="none"/>
        </w:rPr>
        <w:t>备注：1、项目管理机构能力</w:t>
      </w:r>
    </w:p>
    <w:p>
      <w:pPr>
        <w:ind w:firstLine="424" w:firstLineChars="202"/>
        <w:rPr>
          <w:color w:val="auto"/>
          <w:highlight w:val="none"/>
        </w:rPr>
      </w:pPr>
      <w:r>
        <w:rPr>
          <w:color w:val="auto"/>
          <w:highlight w:val="none"/>
        </w:rPr>
        <w:t>（1）技术负责人：须提供职称证书扫描件，</w:t>
      </w:r>
      <w:r>
        <w:rPr>
          <w:rFonts w:hint="eastAsia"/>
          <w:color w:val="auto"/>
          <w:highlight w:val="none"/>
        </w:rPr>
        <w:t>工作年限以大专（或以上）学历毕业证书的毕业时间为准</w:t>
      </w:r>
      <w:r>
        <w:rPr>
          <w:color w:val="auto"/>
          <w:highlight w:val="none"/>
        </w:rPr>
        <w:t>，须提供毕业证书扫描件，未提供或提供资料不全的不得分。</w:t>
      </w:r>
    </w:p>
    <w:p>
      <w:pPr>
        <w:ind w:firstLine="424" w:firstLineChars="202"/>
        <w:rPr>
          <w:color w:val="auto"/>
          <w:highlight w:val="none"/>
        </w:rPr>
      </w:pPr>
      <w:r>
        <w:rPr>
          <w:color w:val="auto"/>
          <w:highlight w:val="none"/>
        </w:rPr>
        <w:t>（2）质量负责人：①须提供职称证书扫描件，否则不得分。②</w:t>
      </w:r>
      <w:r>
        <w:rPr>
          <w:rFonts w:hint="eastAsia"/>
          <w:color w:val="auto"/>
          <w:highlight w:val="none"/>
        </w:rPr>
        <w:t>工作年限以大专（或以上）学历毕业证书的毕业时间为准</w:t>
      </w:r>
      <w:r>
        <w:rPr>
          <w:color w:val="auto"/>
          <w:highlight w:val="none"/>
        </w:rPr>
        <w:t>，须提供毕业证书扫描件，否则不得分。</w:t>
      </w:r>
    </w:p>
    <w:p>
      <w:pPr>
        <w:ind w:firstLine="424" w:firstLineChars="202"/>
        <w:rPr>
          <w:color w:val="auto"/>
          <w:highlight w:val="none"/>
        </w:rPr>
      </w:pPr>
      <w:r>
        <w:rPr>
          <w:color w:val="auto"/>
          <w:highlight w:val="none"/>
        </w:rPr>
        <w:t>（3）安全负责人：①须提供职称证书扫描件，否则不得分。安全负责人与专职安全员不能为同一人</w:t>
      </w:r>
      <w:r>
        <w:rPr>
          <w:rFonts w:hint="eastAsia"/>
          <w:color w:val="auto"/>
          <w:highlight w:val="none"/>
        </w:rPr>
        <w:t>。</w:t>
      </w:r>
      <w:r>
        <w:rPr>
          <w:color w:val="auto"/>
          <w:highlight w:val="none"/>
        </w:rPr>
        <w:t>②</w:t>
      </w:r>
      <w:r>
        <w:rPr>
          <w:rFonts w:hint="eastAsia"/>
          <w:color w:val="auto"/>
          <w:highlight w:val="none"/>
        </w:rPr>
        <w:t>工作年限以大专（或以上）学历毕业证书的毕业时间为准</w:t>
      </w:r>
      <w:r>
        <w:rPr>
          <w:color w:val="auto"/>
          <w:highlight w:val="none"/>
        </w:rPr>
        <w:t>，须提供毕业证书扫描件，否则不得分。</w:t>
      </w:r>
    </w:p>
    <w:p>
      <w:pPr>
        <w:ind w:firstLine="424" w:firstLineChars="202"/>
        <w:rPr>
          <w:color w:val="auto"/>
          <w:highlight w:val="none"/>
        </w:rPr>
      </w:pPr>
      <w:r>
        <w:rPr>
          <w:color w:val="auto"/>
          <w:highlight w:val="none"/>
        </w:rPr>
        <w:t>（4）造价负责人：①有效的注册造价工程师指根据原人事部、原建设部发布的《造价工程师执业资格制度暂行规定》（人发（1996）77号）取得的造价工程师执业资格，并经注册且在有效期内；有效的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须提供造价工程师证书、资格证书及职称证书扫描件、注册造价工程师注册信息查询网站（http:/zaojiasys.jianshe99.com/cecaopsys/queryAndSearch/wiew.do?op＝queryUiserInfoInit）查询结果网页信息截图，否则不得分。②</w:t>
      </w:r>
      <w:r>
        <w:rPr>
          <w:rFonts w:hint="eastAsia"/>
          <w:color w:val="auto"/>
          <w:highlight w:val="none"/>
        </w:rPr>
        <w:t>工作年限以大专（或以上）学历毕业证书的毕业时间为准</w:t>
      </w:r>
      <w:r>
        <w:rPr>
          <w:color w:val="auto"/>
          <w:highlight w:val="none"/>
        </w:rPr>
        <w:t>，须提供毕业证书扫描件，否则不得分。</w:t>
      </w:r>
    </w:p>
    <w:p>
      <w:pPr>
        <w:ind w:firstLine="424" w:firstLineChars="202"/>
        <w:rPr>
          <w:color w:val="auto"/>
          <w:highlight w:val="none"/>
        </w:rPr>
      </w:pPr>
      <w:r>
        <w:rPr>
          <w:color w:val="auto"/>
          <w:highlight w:val="none"/>
        </w:rPr>
        <w:t>（5）专业负责人：提供上述人员</w:t>
      </w:r>
      <w:r>
        <w:rPr>
          <w:rFonts w:hint="eastAsia"/>
          <w:color w:val="auto"/>
          <w:highlight w:val="none"/>
        </w:rPr>
        <w:t>的岗位证（或培训证）、工作年限证明及职称证，</w:t>
      </w:r>
      <w:r>
        <w:rPr>
          <w:color w:val="auto"/>
          <w:highlight w:val="none"/>
        </w:rPr>
        <w:t>并加盖投标单位电子印章</w:t>
      </w:r>
      <w:r>
        <w:rPr>
          <w:rFonts w:hint="eastAsia"/>
          <w:color w:val="auto"/>
          <w:highlight w:val="none"/>
        </w:rPr>
        <w:t>。工作年限以大专（或以上）学历毕业证书的毕业时间为准</w:t>
      </w:r>
      <w:r>
        <w:rPr>
          <w:color w:val="auto"/>
          <w:highlight w:val="none"/>
        </w:rPr>
        <w:t>。</w:t>
      </w:r>
    </w:p>
    <w:p>
      <w:pPr>
        <w:ind w:firstLine="424" w:firstLineChars="202"/>
        <w:rPr>
          <w:color w:val="auto"/>
          <w:highlight w:val="none"/>
        </w:rPr>
      </w:pPr>
      <w:r>
        <w:rPr>
          <w:color w:val="auto"/>
          <w:highlight w:val="none"/>
        </w:rPr>
        <w:t>（6）项目管理机构所有人员应为投标人自身人员，需按相应要求提供注册证、职称证、</w:t>
      </w:r>
      <w:r>
        <w:rPr>
          <w:rFonts w:hint="eastAsia"/>
          <w:color w:val="auto"/>
          <w:highlight w:val="none"/>
        </w:rPr>
        <w:t>上岗证（或培训证）、</w:t>
      </w:r>
      <w:r>
        <w:rPr>
          <w:color w:val="auto"/>
          <w:highlight w:val="none"/>
        </w:rPr>
        <w:t>毕业证等相关证明材料，并提供</w:t>
      </w:r>
      <w:r>
        <w:rPr>
          <w:rFonts w:hint="eastAsia"/>
          <w:color w:val="auto"/>
          <w:highlight w:val="none"/>
        </w:rPr>
        <w:t>近一个月（扣除发布招标公告当月往前顺推1个月，即2023年</w:t>
      </w:r>
      <w:r>
        <w:rPr>
          <w:color w:val="auto"/>
          <w:highlight w:val="none"/>
        </w:rPr>
        <w:t xml:space="preserve">  </w:t>
      </w:r>
      <w:r>
        <w:rPr>
          <w:rFonts w:hint="eastAsia"/>
          <w:color w:val="auto"/>
          <w:highlight w:val="none"/>
        </w:rPr>
        <w:t>月）</w:t>
      </w:r>
      <w:r>
        <w:rPr>
          <w:color w:val="auto"/>
          <w:highlight w:val="none"/>
        </w:rPr>
        <w:t>社保证明资料扫描件加盖投标单位电子印章；注册类人员必须为注册在本公司人员，并在相关网站查询中查证已登记在本公司名册内。证明资料不提供或提供不齐全不得分。</w:t>
      </w:r>
    </w:p>
    <w:p>
      <w:pPr>
        <w:ind w:firstLine="424" w:firstLineChars="202"/>
        <w:rPr>
          <w:color w:val="auto"/>
          <w:highlight w:val="none"/>
        </w:rPr>
      </w:pPr>
      <w:r>
        <w:rPr>
          <w:color w:val="auto"/>
          <w:highlight w:val="none"/>
        </w:rPr>
        <w:t>3、企业业绩：（1）类似工程业绩指的是投标人以本招标公告的资质要求承接的工程造价大于或等于</w:t>
      </w:r>
      <w:r>
        <w:rPr>
          <w:color w:val="auto"/>
          <w:highlight w:val="none"/>
          <w:u w:val="single"/>
        </w:rPr>
        <w:t>1000</w:t>
      </w:r>
      <w:r>
        <w:rPr>
          <w:color w:val="auto"/>
          <w:highlight w:val="none"/>
        </w:rPr>
        <w:t>万元的10KV或以上电力工程业绩。</w:t>
      </w:r>
    </w:p>
    <w:p>
      <w:pPr>
        <w:ind w:firstLine="424" w:firstLineChars="202"/>
        <w:rPr>
          <w:color w:val="auto"/>
          <w:highlight w:val="none"/>
        </w:rPr>
      </w:pPr>
      <w:r>
        <w:rPr>
          <w:color w:val="auto"/>
          <w:highlight w:val="none"/>
        </w:rPr>
        <w:t>（2）单独发包的电力工程业绩，需同时提供中标通知书或免招标的相关证明、施工合同、竣工验收报告或竣工验收证明（至少具有建设单位、设计、施工和监理单位盖章）扫描件。由总承包单位依法分包的专业工程业绩，需同时提供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完成时间以竣工验收时间为准；</w:t>
      </w:r>
    </w:p>
    <w:p>
      <w:pPr>
        <w:ind w:firstLine="424" w:firstLineChars="202"/>
        <w:rPr>
          <w:color w:val="auto"/>
          <w:highlight w:val="none"/>
        </w:rPr>
      </w:pPr>
      <w:r>
        <w:rPr>
          <w:color w:val="auto"/>
          <w:highlight w:val="none"/>
        </w:rPr>
        <w:t>业绩金额按以下方式认定：单独发包的电力工程的业绩金额以中标通知书为准，中标通知书上没有金额或免招标的，以施工合同（不含补充合同）为准。如中标通知书未能体现对应的电力工程金额，则以施工合同（不含补充合同）载明的对应的电力工程金额为准，如中标通知书与施工合同（不含补充合同）均不能单独体现对应电力工程金额，则以建设单位提供的证明资料中载明的对应专业金额为准。由总承包单位依法分包的专业工程业绩其金额以分包合同中约定的合同金额（不含补充合同）为准。投标单位提供的施工合同（分包合同）扫描件证明材料，可提供合同关键页，但应至少包括合同封面、合同指标金额规模页、合同盖章页。</w:t>
      </w:r>
    </w:p>
    <w:p>
      <w:pPr>
        <w:ind w:firstLine="424" w:firstLineChars="202"/>
        <w:rPr>
          <w:color w:val="auto"/>
          <w:highlight w:val="none"/>
        </w:rPr>
      </w:pPr>
      <w:r>
        <w:rPr>
          <w:color w:val="auto"/>
          <w:highlight w:val="none"/>
        </w:rPr>
        <w:t>4、工程奖项：</w:t>
      </w:r>
      <w:r>
        <w:rPr>
          <w:rFonts w:hint="eastAsia"/>
          <w:color w:val="auto"/>
          <w:highlight w:val="none"/>
        </w:rPr>
        <w:t>国家级奖项包括：中国建设工程鲁班奖、国家优质工程金质奖、国家优质工程奖、中国土木工程詹天佑奖、中国电力工程优质奖。省级奖项是指由省级建设行政主管部门或行业协会颁发（行业协会须在民政部门备案）的质量奖项。市级奖项是指由市级建设行政主管部门或行业协会颁发（行业协会须在民政部门备案）的质量奖项。证书在中标候选人公示时一并上网公示。如核实投标人存在弄虚作假，将按规定列入“失信人名单”</w:t>
      </w:r>
      <w:r>
        <w:rPr>
          <w:color w:val="auto"/>
          <w:highlight w:val="none"/>
        </w:rPr>
        <w:t>。同一项目只按最高奖项计算一次得分，不得重复计算：获奖时间以获奖证书为准，投标人须提交证书扫描件，不符合上述条件或未提供上述资料的不得分。</w:t>
      </w:r>
    </w:p>
    <w:p>
      <w:pPr>
        <w:ind w:firstLine="424" w:firstLineChars="202"/>
        <w:rPr>
          <w:color w:val="auto"/>
          <w:highlight w:val="none"/>
        </w:rPr>
      </w:pPr>
      <w:r>
        <w:rPr>
          <w:color w:val="auto"/>
          <w:highlight w:val="none"/>
        </w:rPr>
        <w:t>5、</w:t>
      </w:r>
      <w:r>
        <w:rPr>
          <w:rFonts w:hint="eastAsia"/>
          <w:color w:val="auto"/>
          <w:highlight w:val="none"/>
        </w:rPr>
        <w:t>I</w:t>
      </w:r>
      <w:r>
        <w:rPr>
          <w:color w:val="auto"/>
          <w:highlight w:val="none"/>
        </w:rPr>
        <w:t>SO</w:t>
      </w:r>
      <w:r>
        <w:rPr>
          <w:rFonts w:hint="eastAsia"/>
          <w:color w:val="auto"/>
          <w:highlight w:val="none"/>
        </w:rPr>
        <w:t>认证</w:t>
      </w:r>
      <w:r>
        <w:rPr>
          <w:color w:val="auto"/>
          <w:highlight w:val="none"/>
        </w:rPr>
        <w:t>：</w:t>
      </w:r>
      <w:r>
        <w:rPr>
          <w:rFonts w:hint="eastAsia"/>
          <w:color w:val="auto"/>
          <w:highlight w:val="none"/>
        </w:rPr>
        <w:t>体系认证提供证书扫描件并加盖投标人公章，及全国认证平台相关查询网页打印件，未提供的不得分</w:t>
      </w:r>
      <w:r>
        <w:rPr>
          <w:color w:val="auto"/>
          <w:highlight w:val="none"/>
        </w:rPr>
        <w:t>。</w:t>
      </w:r>
    </w:p>
    <w:p>
      <w:pPr>
        <w:ind w:firstLine="424" w:firstLineChars="202"/>
        <w:rPr>
          <w:rFonts w:hint="eastAsia"/>
          <w:color w:val="auto"/>
          <w:highlight w:val="none"/>
        </w:rPr>
      </w:pPr>
      <w:r>
        <w:rPr>
          <w:color w:val="auto"/>
          <w:highlight w:val="none"/>
        </w:rPr>
        <w:t>6、企业研发能力：</w:t>
      </w:r>
      <w:r>
        <w:rPr>
          <w:rFonts w:hint="eastAsia"/>
          <w:color w:val="auto"/>
          <w:highlight w:val="none"/>
        </w:rPr>
        <w:t>工法获奖须同时提供工法证书扫描件及科技成果鉴定报告扫描件并加盖公章。时间以证书颁发日期为准，获得单位须与投标人单位一致，不含子公司和分公司。材料不齐不得分。</w:t>
      </w:r>
    </w:p>
    <w:p>
      <w:pPr>
        <w:ind w:firstLine="424" w:firstLineChars="202"/>
        <w:rPr>
          <w:color w:val="auto"/>
          <w:highlight w:val="none"/>
        </w:rPr>
      </w:pPr>
      <w:r>
        <w:rPr>
          <w:color w:val="auto"/>
          <w:highlight w:val="none"/>
        </w:rPr>
        <w:t>7</w:t>
      </w:r>
      <w:r>
        <w:rPr>
          <w:rFonts w:hint="eastAsia"/>
          <w:color w:val="auto"/>
          <w:highlight w:val="none"/>
        </w:rPr>
        <w:t>、本表按百分制评分，所有评委每个分项的分数汇总后去掉一个最高分和一个最低分的算术平均值为投标人的最终得分。分数出现小数点，保留小数点后二位小数，第三位小数四舍五入。</w:t>
      </w:r>
    </w:p>
    <w:p>
      <w:pPr>
        <w:rPr>
          <w:color w:val="auto"/>
          <w:highlight w:val="none"/>
        </w:rPr>
      </w:pPr>
    </w:p>
    <w:p>
      <w:pPr>
        <w:pStyle w:val="5"/>
        <w:jc w:val="left"/>
        <w:rPr>
          <w:rFonts w:cs="仿宋"/>
          <w:b/>
          <w:color w:val="auto"/>
          <w:sz w:val="28"/>
          <w:szCs w:val="28"/>
          <w:highlight w:val="none"/>
        </w:rPr>
      </w:pPr>
      <w:r>
        <w:rPr>
          <w:rFonts w:hint="eastAsia" w:asciiTheme="minorEastAsia" w:hAnsiTheme="minorEastAsia" w:eastAsiaTheme="minorEastAsia" w:cstheme="minorEastAsia"/>
          <w:color w:val="auto"/>
          <w:sz w:val="21"/>
          <w:szCs w:val="21"/>
          <w:highlight w:val="none"/>
        </w:rPr>
        <w:t>评委签名：</w:t>
      </w:r>
    </w:p>
    <w:p>
      <w:pPr>
        <w:spacing w:beforeLines="0" w:afterLines="0" w:line="360" w:lineRule="auto"/>
        <w:rPr>
          <w:rFonts w:hint="eastAsia"/>
          <w:b/>
          <w:color w:val="auto"/>
          <w:sz w:val="24"/>
          <w:szCs w:val="24"/>
          <w:highlight w:val="none"/>
        </w:rPr>
        <w:sectPr>
          <w:headerReference r:id="rId12" w:type="first"/>
          <w:footerReference r:id="rId14" w:type="first"/>
          <w:headerReference r:id="rId11" w:type="default"/>
          <w:footerReference r:id="rId13" w:type="default"/>
          <w:pgSz w:w="16838" w:h="11905" w:orient="landscape"/>
          <w:pgMar w:top="1304" w:right="1440" w:bottom="1304" w:left="1440" w:header="850" w:footer="907" w:gutter="0"/>
          <w:pgNumType w:fmt="decimal"/>
          <w:cols w:space="0" w:num="1"/>
          <w:titlePg/>
          <w:docGrid w:type="lines" w:linePitch="319" w:charSpace="0"/>
        </w:sectPr>
      </w:pPr>
    </w:p>
    <w:p>
      <w:pPr>
        <w:spacing w:beforeLines="0" w:afterLines="0" w:line="360" w:lineRule="auto"/>
        <w:rPr>
          <w:rFonts w:hint="eastAsia"/>
          <w:b/>
          <w:color w:val="auto"/>
          <w:sz w:val="24"/>
          <w:szCs w:val="24"/>
          <w:highlight w:val="none"/>
        </w:rPr>
      </w:pPr>
      <w:bookmarkStart w:id="60" w:name="_GoBack"/>
      <w:bookmarkEnd w:id="60"/>
      <w:r>
        <w:rPr>
          <w:rFonts w:hint="eastAsia"/>
          <w:b/>
          <w:color w:val="auto"/>
          <w:sz w:val="24"/>
          <w:szCs w:val="24"/>
          <w:highlight w:val="none"/>
        </w:rPr>
        <w:t>附件1《项目管理机构人员要求汇总表》</w:t>
      </w:r>
    </w:p>
    <w:tbl>
      <w:tblPr>
        <w:tblStyle w:val="2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813"/>
        <w:gridCol w:w="889"/>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人员数量</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项目负责人（项目经理）</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质量负责人</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rFonts w:hint="eastAsia" w:ascii="宋体" w:hAnsi="宋体" w:eastAsia="宋体" w:cs="宋体"/>
                <w:color w:val="auto"/>
                <w:sz w:val="21"/>
                <w:szCs w:val="21"/>
                <w:highlight w:val="none"/>
              </w:rPr>
              <w:t>相关专业中级或以上技术职称。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安全负责人</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rFonts w:hint="eastAsia" w:ascii="宋体" w:hAnsi="宋体" w:eastAsia="宋体" w:cs="宋体"/>
                <w:color w:val="auto"/>
                <w:kern w:val="0"/>
                <w:sz w:val="21"/>
                <w:szCs w:val="21"/>
                <w:highlight w:val="none"/>
              </w:rPr>
              <w:t>相关专业中级或以上技术职称，具有注册安全工程师资格。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rPr>
              <w:t>造价负责人</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具备工程造价相关专业的中级或以上技术职称。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rPr>
              <w:t>电气工程师</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rPr>
              <w:t>材料管理工程师</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具备</w:t>
            </w:r>
            <w:r>
              <w:rPr>
                <w:rFonts w:hint="eastAsia"/>
                <w:color w:val="auto"/>
                <w:highlight w:val="none"/>
                <w:lang w:val="en-US" w:eastAsia="zh-CN"/>
              </w:rPr>
              <w:t>电力</w:t>
            </w:r>
            <w:r>
              <w:rPr>
                <w:rFonts w:hint="eastAsia"/>
                <w:color w:val="auto"/>
                <w:highlight w:val="none"/>
              </w:rPr>
              <w:t>或电气</w:t>
            </w:r>
            <w:r>
              <w:rPr>
                <w:rFonts w:hint="eastAsia"/>
                <w:color w:val="auto"/>
                <w:highlight w:val="none"/>
                <w:lang w:val="en-US" w:eastAsia="zh-CN"/>
              </w:rPr>
              <w:t>或机电</w:t>
            </w:r>
            <w:r>
              <w:rPr>
                <w:rFonts w:hint="eastAsia"/>
                <w:color w:val="auto"/>
                <w:highlight w:val="none"/>
              </w:rPr>
              <w:t>类</w:t>
            </w:r>
            <w:r>
              <w:rPr>
                <w:rFonts w:hint="eastAsia" w:ascii="宋体" w:hAnsi="宋体" w:eastAsia="宋体" w:cs="宋体"/>
                <w:color w:val="auto"/>
                <w:sz w:val="21"/>
                <w:szCs w:val="21"/>
                <w:highlight w:val="none"/>
              </w:rPr>
              <w:t>相关专业相关专业助理级或以上技术职称。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default" w:eastAsia="宋体"/>
                <w:color w:val="auto"/>
                <w:highlight w:val="none"/>
                <w:lang w:val="en-US" w:eastAsia="zh-CN"/>
              </w:rPr>
            </w:pPr>
            <w:r>
              <w:rPr>
                <w:rFonts w:hint="eastAsia" w:cs="宋体"/>
                <w:strike w:val="0"/>
                <w:dstrike w:val="0"/>
                <w:color w:val="auto"/>
                <w:sz w:val="21"/>
                <w:szCs w:val="21"/>
                <w:highlight w:val="none"/>
                <w:lang w:val="en-US" w:eastAsia="zh-CN"/>
              </w:rPr>
              <w:t>质量工程师</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75" w:type="dxa"/>
            <w:noWrap w:val="0"/>
            <w:vAlign w:val="center"/>
          </w:tcPr>
          <w:p>
            <w:pPr>
              <w:pStyle w:val="9"/>
              <w:ind w:left="0" w:leftChars="0" w:firstLine="0" w:firstLineChars="0"/>
              <w:rPr>
                <w:rFonts w:hint="eastAsia" w:eastAsia="宋体"/>
                <w:color w:val="auto"/>
                <w:highlight w:val="none"/>
                <w:lang w:eastAsia="zh-CN"/>
              </w:rPr>
            </w:pPr>
            <w:r>
              <w:rPr>
                <w:rFonts w:hint="eastAsia"/>
                <w:color w:val="auto"/>
                <w:highlight w:val="none"/>
              </w:rPr>
              <w:t>具备中级或以上技术职称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资料员</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具有资料员证或培训证。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施工员</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具有施工员证</w:t>
            </w:r>
            <w:r>
              <w:rPr>
                <w:rFonts w:hint="eastAsia" w:ascii="宋体" w:hAnsi="宋体" w:eastAsia="宋体" w:cs="宋体"/>
                <w:color w:val="auto"/>
                <w:kern w:val="0"/>
                <w:sz w:val="21"/>
                <w:szCs w:val="21"/>
                <w:highlight w:val="none"/>
              </w:rPr>
              <w:t>或培训证</w:t>
            </w:r>
            <w:r>
              <w:rPr>
                <w:rFonts w:hint="eastAsia"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2</w:t>
            </w: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ind w:right="-61" w:rightChars="-29"/>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后勤管理人员</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p>
        </w:tc>
        <w:tc>
          <w:tcPr>
            <w:tcW w:w="181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6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65" w:beforeLines="20" w:after="65" w:afterLines="20"/>
              <w:jc w:val="center"/>
              <w:textAlignment w:val="auto"/>
              <w:rPr>
                <w:rFonts w:hint="eastAsia" w:ascii="宋体" w:hAnsi="宋体" w:eastAsia="宋体" w:cs="宋体"/>
                <w:color w:val="auto"/>
                <w:sz w:val="21"/>
                <w:szCs w:val="21"/>
                <w:highlight w:val="none"/>
              </w:rPr>
            </w:pPr>
          </w:p>
        </w:tc>
      </w:tr>
    </w:tbl>
    <w:p>
      <w:pPr>
        <w:pStyle w:val="36"/>
        <w:adjustRightInd w:val="0"/>
        <w:snapToGrid w:val="0"/>
        <w:spacing w:line="360" w:lineRule="auto"/>
        <w:ind w:firstLine="283" w:firstLineChars="135"/>
        <w:rPr>
          <w:rFonts w:hint="eastAsia" w:eastAsia="宋体"/>
          <w:snapToGrid w:val="0"/>
          <w:color w:val="auto"/>
          <w:kern w:val="0"/>
          <w:highlight w:val="none"/>
          <w:lang w:val="en-US" w:eastAsia="zh-CN"/>
        </w:rPr>
      </w:pPr>
      <w:r>
        <w:rPr>
          <w:rFonts w:hint="eastAsia"/>
          <w:snapToGrid w:val="0"/>
          <w:color w:val="auto"/>
          <w:kern w:val="0"/>
          <w:highlight w:val="none"/>
        </w:rPr>
        <w:t>注：</w:t>
      </w:r>
    </w:p>
    <w:p>
      <w:pPr>
        <w:pStyle w:val="36"/>
        <w:adjustRightInd w:val="0"/>
        <w:snapToGrid w:val="0"/>
        <w:spacing w:line="360" w:lineRule="auto"/>
        <w:ind w:firstLine="424" w:firstLineChars="202"/>
        <w:jc w:val="both"/>
        <w:rPr>
          <w:snapToGrid w:val="0"/>
          <w:color w:val="auto"/>
          <w:kern w:val="0"/>
          <w:highlight w:val="none"/>
        </w:rPr>
      </w:pPr>
      <w:r>
        <w:rPr>
          <w:rFonts w:hint="eastAsia"/>
          <w:snapToGrid w:val="0"/>
          <w:color w:val="auto"/>
          <w:kern w:val="0"/>
          <w:highlight w:val="none"/>
          <w:lang w:val="en-US" w:eastAsia="zh-CN"/>
        </w:rPr>
        <w:t>1、</w:t>
      </w:r>
      <w:r>
        <w:rPr>
          <w:rFonts w:hint="eastAsia"/>
          <w:snapToGrid w:val="0"/>
          <w:color w:val="auto"/>
          <w:kern w:val="0"/>
          <w:highlight w:val="none"/>
        </w:rPr>
        <w:t>（1）上表人员均要求为投标单位正式职工，须提供投标截止时间前近1个月（即2023年  月）在投标人企业（不含投标人的子公司，但包括投标人企业非独立法人的分支机构）缴纳的有效社保证明文件。除注明外，各岗位人员不得相互兼职。</w:t>
      </w:r>
    </w:p>
    <w:p>
      <w:pPr>
        <w:pStyle w:val="36"/>
        <w:adjustRightInd w:val="0"/>
        <w:snapToGrid w:val="0"/>
        <w:spacing w:line="360" w:lineRule="auto"/>
        <w:ind w:firstLine="424" w:firstLineChars="202"/>
        <w:jc w:val="both"/>
        <w:rPr>
          <w:color w:val="auto"/>
          <w:highlight w:val="none"/>
        </w:rPr>
      </w:pPr>
      <w:r>
        <w:rPr>
          <w:rFonts w:hint="eastAsia"/>
          <w:color w:val="auto"/>
          <w:highlight w:val="none"/>
        </w:rPr>
        <w:t>（2）拟投入的项目部人员，中标后不得更换，否则按合同约定承担违约责任。</w:t>
      </w:r>
    </w:p>
    <w:p>
      <w:pPr>
        <w:pStyle w:val="36"/>
        <w:adjustRightInd w:val="0"/>
        <w:snapToGrid w:val="0"/>
        <w:spacing w:line="360" w:lineRule="auto"/>
        <w:ind w:firstLine="424" w:firstLineChars="202"/>
        <w:jc w:val="both"/>
        <w:rPr>
          <w:color w:val="auto"/>
          <w:highlight w:val="none"/>
        </w:rPr>
      </w:pPr>
      <w:r>
        <w:rPr>
          <w:rFonts w:hint="eastAsia"/>
          <w:color w:val="auto"/>
          <w:highlight w:val="none"/>
        </w:rPr>
        <w:t>（3）对</w:t>
      </w:r>
      <w:r>
        <w:rPr>
          <w:color w:val="auto"/>
          <w:highlight w:val="none"/>
        </w:rPr>
        <w:t>任何被调离或离职的技术或管理人员，</w:t>
      </w:r>
      <w:r>
        <w:rPr>
          <w:rFonts w:hint="eastAsia"/>
          <w:color w:val="auto"/>
          <w:highlight w:val="none"/>
        </w:rPr>
        <w:t>承包人</w:t>
      </w:r>
      <w:r>
        <w:rPr>
          <w:color w:val="auto"/>
          <w:highlight w:val="none"/>
        </w:rPr>
        <w:t>必须立即</w:t>
      </w:r>
      <w:r>
        <w:rPr>
          <w:rFonts w:hint="eastAsia"/>
          <w:color w:val="auto"/>
          <w:highlight w:val="none"/>
        </w:rPr>
        <w:t>重新</w:t>
      </w:r>
      <w:r>
        <w:rPr>
          <w:color w:val="auto"/>
          <w:highlight w:val="none"/>
        </w:rPr>
        <w:t>调派有</w:t>
      </w:r>
      <w:r>
        <w:rPr>
          <w:rFonts w:hint="eastAsia"/>
          <w:color w:val="auto"/>
          <w:highlight w:val="none"/>
        </w:rPr>
        <w:t>资深</w:t>
      </w:r>
      <w:r>
        <w:rPr>
          <w:color w:val="auto"/>
          <w:highlight w:val="none"/>
        </w:rPr>
        <w:t>技术和经验的人员填补其职位空缺，并必须取得发包人的认可。</w:t>
      </w:r>
    </w:p>
    <w:p>
      <w:pPr>
        <w:pStyle w:val="36"/>
        <w:adjustRightInd w:val="0"/>
        <w:snapToGrid w:val="0"/>
        <w:spacing w:line="360" w:lineRule="auto"/>
        <w:ind w:firstLine="424" w:firstLineChars="202"/>
        <w:jc w:val="both"/>
        <w:rPr>
          <w:rFonts w:hint="eastAsia"/>
          <w:snapToGrid w:val="0"/>
          <w:color w:val="auto"/>
          <w:kern w:val="0"/>
          <w:highlight w:val="none"/>
        </w:rPr>
      </w:pPr>
      <w:r>
        <w:rPr>
          <w:rFonts w:hint="eastAsia"/>
          <w:snapToGrid w:val="0"/>
          <w:color w:val="auto"/>
          <w:kern w:val="0"/>
          <w:highlight w:val="none"/>
        </w:rPr>
        <w:t>2、现场组织实施管理费以月为单位，进行计量支付。现场组织实施管理费的支付及费用标准按合同规定执行。</w:t>
      </w:r>
    </w:p>
    <w:p>
      <w:pPr>
        <w:pStyle w:val="36"/>
        <w:adjustRightInd w:val="0"/>
        <w:snapToGrid w:val="0"/>
        <w:spacing w:line="360" w:lineRule="auto"/>
        <w:ind w:firstLine="424" w:firstLineChars="202"/>
        <w:jc w:val="both"/>
        <w:rPr>
          <w:rFonts w:hint="eastAsia"/>
          <w:snapToGrid w:val="0"/>
          <w:color w:val="auto"/>
          <w:kern w:val="0"/>
          <w:highlight w:val="none"/>
        </w:rPr>
      </w:pPr>
      <w:r>
        <w:rPr>
          <w:rFonts w:hint="eastAsia"/>
          <w:snapToGrid w:val="0"/>
          <w:color w:val="auto"/>
          <w:kern w:val="0"/>
          <w:highlight w:val="none"/>
        </w:rPr>
        <w:t>3、现场管理机构各部主要组织管理人员在开工前必须全部到位，并接受总监理工程师和发包人代表的查验。承包人委派的现场管理机构各部主要组织管理人员不得有兼职情况存在，并接受监理单位的监督。</w:t>
      </w:r>
    </w:p>
    <w:p>
      <w:pPr>
        <w:pStyle w:val="36"/>
        <w:adjustRightInd w:val="0"/>
        <w:snapToGrid w:val="0"/>
        <w:spacing w:line="360" w:lineRule="auto"/>
        <w:ind w:firstLine="424" w:firstLineChars="202"/>
        <w:jc w:val="both"/>
        <w:rPr>
          <w:rFonts w:hint="eastAsia"/>
          <w:snapToGrid w:val="0"/>
          <w:color w:val="auto"/>
          <w:kern w:val="0"/>
          <w:highlight w:val="none"/>
        </w:rPr>
      </w:pPr>
      <w:r>
        <w:rPr>
          <w:rFonts w:hint="eastAsia"/>
          <w:snapToGrid w:val="0"/>
          <w:color w:val="auto"/>
          <w:kern w:val="0"/>
          <w:highlight w:val="none"/>
        </w:rPr>
        <w:t>4、经发包人或总监理工程师考核，承包人投入的现场组织管理人员不能满足本工程建设要求的，承包人必须无条件按发包人的要求更换，直至满足本工程建设要求为止。而且，不满足本工程建设要求的现场组织管理人员必须在发包人指令期限内撤场，所更换的人必须在期限内上岗。如承包人不能及时安排相关人员进场，则在此期间的现场组织实施管理费扣除。</w:t>
      </w:r>
    </w:p>
    <w:p>
      <w:pPr>
        <w:pStyle w:val="7"/>
        <w:rPr>
          <w:color w:val="auto"/>
          <w:highlight w:val="none"/>
        </w:rPr>
      </w:pPr>
    </w:p>
    <w:p>
      <w:pPr>
        <w:rPr>
          <w:color w:val="auto"/>
          <w:highlight w:val="none"/>
        </w:rPr>
      </w:pPr>
    </w:p>
    <w:p>
      <w:pPr>
        <w:pStyle w:val="9"/>
        <w:rPr>
          <w:color w:val="auto"/>
          <w:highlight w:val="none"/>
        </w:rPr>
        <w:sectPr>
          <w:pgSz w:w="11905" w:h="16838"/>
          <w:pgMar w:top="1440" w:right="1304" w:bottom="1440" w:left="1304" w:header="850" w:footer="907" w:gutter="0"/>
          <w:pgNumType w:fmt="decimal"/>
          <w:cols w:space="0" w:num="1"/>
          <w:titlePg/>
          <w:docGrid w:type="lines" w:linePitch="319" w:charSpace="0"/>
        </w:sectPr>
      </w:pP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投标报价</w:t>
            </w:r>
            <w:r>
              <w:rPr>
                <w:color w:val="auto"/>
                <w:szCs w:val="21"/>
                <w:highlight w:val="none"/>
              </w:rPr>
              <w:t>PT</w:t>
            </w:r>
            <w:r>
              <w:rPr>
                <w:rFonts w:hint="eastAsia"/>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报价权</w:t>
            </w:r>
            <w:r>
              <w:rPr>
                <w:rFonts w:hint="eastAsia"/>
                <w:color w:val="auto"/>
                <w:sz w:val="18"/>
                <w:szCs w:val="18"/>
                <w:highlight w:val="none"/>
              </w:rPr>
              <w:t>重</w:t>
            </w:r>
          </w:p>
        </w:tc>
        <w:tc>
          <w:tcPr>
            <w:tcW w:w="1009"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偏差（（</w:t>
            </w:r>
            <w:r>
              <w:rPr>
                <w:color w:val="auto"/>
                <w:szCs w:val="21"/>
                <w:highlight w:val="none"/>
              </w:rPr>
              <w:t>PT-PC</w:t>
            </w:r>
            <w:r>
              <w:rPr>
                <w:rFonts w:hint="eastAsia"/>
                <w:color w:val="auto"/>
                <w:szCs w:val="21"/>
                <w:highlight w:val="none"/>
              </w:rPr>
              <w:t>）</w:t>
            </w:r>
            <w:r>
              <w:rPr>
                <w:color w:val="auto"/>
                <w:szCs w:val="21"/>
                <w:highlight w:val="none"/>
              </w:rPr>
              <w:t>/PC</w:t>
            </w:r>
            <w:r>
              <w:rPr>
                <w:rFonts w:hint="eastAsia"/>
                <w:color w:val="auto"/>
                <w:szCs w:val="21"/>
                <w:highlight w:val="none"/>
              </w:rPr>
              <w:t>）（</w:t>
            </w:r>
            <w:r>
              <w:rPr>
                <w:color w:val="auto"/>
                <w:szCs w:val="21"/>
                <w:highlight w:val="none"/>
              </w:rPr>
              <w:t>%</w:t>
            </w:r>
            <w:r>
              <w:rPr>
                <w:rFonts w:hint="eastAsia"/>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减分（</w:t>
            </w:r>
            <w:r>
              <w:rPr>
                <w:color w:val="auto"/>
                <w:szCs w:val="21"/>
                <w:highlight w:val="none"/>
              </w:rPr>
              <w:t>A</w:t>
            </w:r>
            <w:r>
              <w:rPr>
                <w:rFonts w:hint="eastAsia"/>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得分</w:t>
            </w:r>
            <w:r>
              <w:rPr>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bl>
    <w:p>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hint="eastAsia"/>
          <w:color w:val="auto"/>
          <w:kern w:val="0"/>
          <w:szCs w:val="21"/>
          <w:highlight w:val="none"/>
        </w:rPr>
        <w:t>投标人</w:t>
      </w:r>
      <w:r>
        <w:rPr>
          <w:color w:val="auto"/>
          <w:kern w:val="0"/>
          <w:szCs w:val="21"/>
          <w:highlight w:val="none"/>
        </w:rPr>
        <w:t xml:space="preserve">:                                                  </w:t>
      </w:r>
      <w:r>
        <w:rPr>
          <w:rFonts w:hint="eastAsia"/>
          <w:color w:val="auto"/>
          <w:kern w:val="0"/>
          <w:szCs w:val="21"/>
          <w:highlight w:val="none"/>
        </w:rPr>
        <w:t>单位：元</w:t>
      </w:r>
    </w:p>
    <w:tbl>
      <w:tblPr>
        <w:tblStyle w:val="24"/>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修正前投标</w:t>
            </w:r>
          </w:p>
          <w:p>
            <w:pPr>
              <w:rPr>
                <w:color w:val="auto"/>
                <w:kern w:val="0"/>
                <w:szCs w:val="21"/>
                <w:highlight w:val="none"/>
              </w:rPr>
            </w:pPr>
            <w:r>
              <w:rPr>
                <w:rFonts w:hint="eastAsia"/>
                <w:color w:val="auto"/>
                <w:kern w:val="0"/>
                <w:szCs w:val="21"/>
                <w:highlight w:val="none"/>
              </w:rPr>
              <w:t>报价</w:t>
            </w:r>
            <w:r>
              <w:rPr>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修正后投标</w:t>
            </w:r>
          </w:p>
          <w:p>
            <w:pPr>
              <w:rPr>
                <w:color w:val="auto"/>
                <w:kern w:val="0"/>
                <w:szCs w:val="21"/>
                <w:highlight w:val="none"/>
              </w:rPr>
            </w:pPr>
            <w:r>
              <w:rPr>
                <w:rFonts w:hint="eastAsia"/>
                <w:color w:val="auto"/>
                <w:kern w:val="0"/>
                <w:szCs w:val="21"/>
                <w:highlight w:val="none"/>
              </w:rPr>
              <w:t>报价</w:t>
            </w:r>
            <w:r>
              <w:rPr>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修正率</w:t>
            </w:r>
          </w:p>
          <w:p>
            <w:pPr>
              <w:rPr>
                <w:color w:val="auto"/>
                <w:kern w:val="0"/>
                <w:szCs w:val="21"/>
                <w:highlight w:val="none"/>
              </w:rPr>
            </w:pPr>
            <w:r>
              <w:rPr>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当</w:t>
            </w:r>
            <w:r>
              <w:rPr>
                <w:color w:val="auto"/>
                <w:kern w:val="0"/>
                <w:szCs w:val="21"/>
                <w:highlight w:val="none"/>
              </w:rPr>
              <w:t>B&gt;A</w:t>
            </w:r>
            <w:r>
              <w:rPr>
                <w:rFonts w:hint="eastAsia"/>
                <w:color w:val="auto"/>
                <w:kern w:val="0"/>
                <w:szCs w:val="21"/>
                <w:highlight w:val="none"/>
              </w:rPr>
              <w:t>时，修正后报价与原报价的差额；当</w:t>
            </w:r>
            <w:r>
              <w:rPr>
                <w:color w:val="auto"/>
                <w:kern w:val="0"/>
                <w:szCs w:val="21"/>
                <w:highlight w:val="none"/>
              </w:rPr>
              <w:t>B</w:t>
            </w:r>
            <w:r>
              <w:rPr>
                <w:rFonts w:hint="eastAsia"/>
                <w:color w:val="auto"/>
                <w:kern w:val="0"/>
                <w:szCs w:val="21"/>
                <w:highlight w:val="none"/>
              </w:rPr>
              <w:t>≤</w:t>
            </w:r>
            <w:r>
              <w:rPr>
                <w:color w:val="auto"/>
                <w:kern w:val="0"/>
                <w:szCs w:val="21"/>
                <w:highlight w:val="none"/>
              </w:rPr>
              <w:t>A</w:t>
            </w:r>
            <w:r>
              <w:rPr>
                <w:rFonts w:hint="eastAsia"/>
                <w:color w:val="auto"/>
                <w:kern w:val="0"/>
                <w:szCs w:val="21"/>
                <w:highlight w:val="none"/>
              </w:rPr>
              <w:t>时</w:t>
            </w:r>
            <w:r>
              <w:rPr>
                <w:color w:val="auto"/>
                <w:kern w:val="0"/>
                <w:szCs w:val="21"/>
                <w:highlight w:val="none"/>
              </w:rPr>
              <w:t>,R=0</w:t>
            </w: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r>
              <w:rPr>
                <w:color w:val="auto"/>
                <w:kern w:val="0"/>
                <w:szCs w:val="21"/>
                <w:highlight w:val="none"/>
              </w:rPr>
              <w:t>A=A</w:t>
            </w:r>
            <w:r>
              <w:rPr>
                <w:color w:val="auto"/>
                <w:kern w:val="0"/>
                <w:szCs w:val="21"/>
                <w:highlight w:val="none"/>
                <w:vertAlign w:val="subscript"/>
              </w:rPr>
              <w:t>1</w:t>
            </w:r>
            <w:r>
              <w:rPr>
                <w:color w:val="auto"/>
                <w:kern w:val="0"/>
                <w:szCs w:val="21"/>
                <w:highlight w:val="none"/>
              </w:rPr>
              <w:t>+A</w:t>
            </w:r>
            <w:r>
              <w:rPr>
                <w:color w:val="auto"/>
                <w:kern w:val="0"/>
                <w:szCs w:val="21"/>
                <w:highlight w:val="none"/>
                <w:vertAlign w:val="subscript"/>
              </w:rPr>
              <w:t>2</w:t>
            </w:r>
            <w:r>
              <w:rPr>
                <w:color w:val="auto"/>
                <w:kern w:val="0"/>
                <w:szCs w:val="21"/>
                <w:highlight w:val="none"/>
              </w:rPr>
              <w:t>+</w:t>
            </w:r>
            <w:r>
              <w:rPr>
                <w:rFonts w:hint="eastAsia"/>
                <w:color w:val="auto"/>
                <w:kern w:val="0"/>
                <w:szCs w:val="21"/>
                <w:highlight w:val="none"/>
              </w:rPr>
              <w:t>…</w:t>
            </w:r>
            <w:r>
              <w:rPr>
                <w:color w:val="auto"/>
                <w:kern w:val="0"/>
                <w:szCs w:val="21"/>
                <w:highlight w:val="none"/>
              </w:rPr>
              <w:t>An</w:t>
            </w:r>
            <w:r>
              <w:rPr>
                <w:rFonts w:hint="eastAsia"/>
                <w:color w:val="auto"/>
                <w:kern w:val="0"/>
                <w:szCs w:val="21"/>
                <w:highlight w:val="none"/>
              </w:rPr>
              <w:t>；∑</w:t>
            </w:r>
            <w:r>
              <w:rPr>
                <w:color w:val="auto"/>
                <w:kern w:val="0"/>
                <w:szCs w:val="21"/>
                <w:highlight w:val="none"/>
              </w:rPr>
              <w:t>B=B</w:t>
            </w:r>
            <w:r>
              <w:rPr>
                <w:color w:val="auto"/>
                <w:kern w:val="0"/>
                <w:szCs w:val="21"/>
                <w:highlight w:val="none"/>
                <w:vertAlign w:val="subscript"/>
              </w:rPr>
              <w:t>1</w:t>
            </w:r>
            <w:r>
              <w:rPr>
                <w:color w:val="auto"/>
                <w:kern w:val="0"/>
                <w:szCs w:val="21"/>
                <w:highlight w:val="none"/>
              </w:rPr>
              <w:t>+B</w:t>
            </w:r>
            <w:r>
              <w:rPr>
                <w:color w:val="auto"/>
                <w:kern w:val="0"/>
                <w:szCs w:val="21"/>
                <w:highlight w:val="none"/>
                <w:vertAlign w:val="subscript"/>
              </w:rPr>
              <w:t>2</w:t>
            </w:r>
            <w:r>
              <w:rPr>
                <w:color w:val="auto"/>
                <w:kern w:val="0"/>
                <w:szCs w:val="21"/>
                <w:highlight w:val="none"/>
              </w:rPr>
              <w:t>+</w:t>
            </w:r>
            <w:r>
              <w:rPr>
                <w:rFonts w:hint="eastAsia"/>
                <w:color w:val="auto"/>
                <w:kern w:val="0"/>
                <w:szCs w:val="21"/>
                <w:highlight w:val="none"/>
              </w:rPr>
              <w:t>…</w:t>
            </w:r>
            <w:r>
              <w:rPr>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eastAsia="仿宋_GB2312"/>
          <w:color w:val="auto"/>
          <w:szCs w:val="21"/>
          <w:highlight w:val="none"/>
        </w:rPr>
        <w:sectPr>
          <w:headerReference r:id="rId17" w:type="first"/>
          <w:footerReference r:id="rId20" w:type="first"/>
          <w:headerReference r:id="rId15" w:type="default"/>
          <w:footerReference r:id="rId18" w:type="default"/>
          <w:headerReference r:id="rId16" w:type="even"/>
          <w:footerReference r:id="rId19" w:type="even"/>
          <w:endnotePr>
            <w:numFmt w:val="decimal"/>
          </w:endnotePr>
          <w:pgSz w:w="16838" w:h="11905" w:orient="landscape"/>
          <w:pgMar w:top="1803" w:right="1440" w:bottom="1803" w:left="1440" w:header="850" w:footer="907" w:gutter="0"/>
          <w:pgNumType w:fmt="decimal"/>
          <w:cols w:space="0" w:num="1"/>
          <w:titlePg/>
          <w:docGrid w:type="lines" w:linePitch="331" w:charSpace="0"/>
        </w:sectPr>
      </w:pPr>
    </w:p>
    <w:p>
      <w:pPr>
        <w:pStyle w:val="3"/>
        <w:jc w:val="center"/>
        <w:rPr>
          <w:rFonts w:hint="default"/>
          <w:color w:val="auto"/>
          <w:highlight w:val="none"/>
        </w:rPr>
      </w:pPr>
      <w:bookmarkStart w:id="17" w:name="_Toc18664072"/>
      <w:r>
        <w:rPr>
          <w:color w:val="auto"/>
          <w:highlight w:val="none"/>
        </w:rPr>
        <w:t>第三章  合同条款</w:t>
      </w:r>
      <w:bookmarkEnd w:id="17"/>
    </w:p>
    <w:p>
      <w:pPr>
        <w:rPr>
          <w:b/>
          <w:color w:val="auto"/>
          <w:sz w:val="24"/>
          <w:szCs w:val="24"/>
          <w:highlight w:val="none"/>
        </w:rPr>
      </w:pPr>
      <w:r>
        <w:rPr>
          <w:rFonts w:hint="eastAsia"/>
          <w:color w:val="auto"/>
          <w:sz w:val="24"/>
          <w:szCs w:val="24"/>
          <w:highlight w:val="none"/>
        </w:rPr>
        <w:t>注：另册。</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jc w:val="center"/>
        <w:rPr>
          <w:rFonts w:hint="default"/>
          <w:color w:val="auto"/>
          <w:highlight w:val="none"/>
        </w:rPr>
      </w:pPr>
      <w:bookmarkStart w:id="18" w:name="_Toc18664073"/>
      <w:r>
        <w:rPr>
          <w:color w:val="auto"/>
          <w:highlight w:val="none"/>
        </w:rPr>
        <w:t>第四章  投标文件格式</w:t>
      </w:r>
      <w:bookmarkEnd w:id="18"/>
    </w:p>
    <w:p>
      <w:pPr>
        <w:pStyle w:val="31"/>
        <w:spacing w:before="162" w:line="360" w:lineRule="auto"/>
        <w:outlineLvl w:val="0"/>
        <w:rPr>
          <w:rFonts w:eastAsia="宋体"/>
          <w:color w:val="auto"/>
          <w:highlight w:val="none"/>
        </w:rPr>
      </w:pPr>
      <w:bookmarkStart w:id="19" w:name="_Toc8084"/>
      <w:bookmarkStart w:id="20" w:name="_Toc7019446"/>
      <w:r>
        <w:rPr>
          <w:rFonts w:hint="eastAsia" w:eastAsia="宋体"/>
          <w:color w:val="auto"/>
          <w:highlight w:val="none"/>
        </w:rPr>
        <w:t>一、技术标投标文件格式</w:t>
      </w:r>
      <w:bookmarkEnd w:id="19"/>
      <w:bookmarkEnd w:id="20"/>
      <w:bookmarkStart w:id="21" w:name="_Toc60070621"/>
      <w:bookmarkStart w:id="22" w:name="_Toc61541786"/>
      <w:bookmarkStart w:id="23" w:name="_Toc18664074"/>
    </w:p>
    <w:p>
      <w:pPr>
        <w:pStyle w:val="8"/>
        <w:rPr>
          <w:color w:val="auto"/>
          <w:highlight w:val="none"/>
        </w:rPr>
      </w:pPr>
      <w:r>
        <w:rPr>
          <w:rFonts w:hint="eastAsia"/>
          <w:color w:val="auto"/>
          <w:highlight w:val="none"/>
        </w:rPr>
        <w:t>格式一：</w:t>
      </w:r>
      <w:bookmarkEnd w:id="21"/>
      <w:bookmarkEnd w:id="22"/>
    </w:p>
    <w:p>
      <w:pPr>
        <w:jc w:val="center"/>
        <w:rPr>
          <w:rFonts w:cs="宋体"/>
          <w:b/>
          <w:color w:val="auto"/>
          <w:sz w:val="36"/>
          <w:szCs w:val="36"/>
          <w:highlight w:val="none"/>
        </w:rPr>
      </w:pPr>
      <w:bookmarkStart w:id="24" w:name="_Toc58838587"/>
      <w:r>
        <w:rPr>
          <w:rFonts w:hint="eastAsia" w:cs="宋体"/>
          <w:b/>
          <w:color w:val="auto"/>
          <w:sz w:val="36"/>
          <w:szCs w:val="36"/>
          <w:highlight w:val="none"/>
        </w:rPr>
        <w:t>广州建设工程施工招标投标书（技术标）</w:t>
      </w:r>
      <w:bookmarkEnd w:id="24"/>
    </w:p>
    <w:tbl>
      <w:tblPr>
        <w:tblStyle w:val="2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4"/>
                <w:szCs w:val="24"/>
                <w:highlight w:val="none"/>
                <w:lang w:val="zh-CN"/>
              </w:rPr>
            </w:pPr>
            <w:r>
              <w:rPr>
                <w:rFonts w:hint="eastAsia"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highlight w:val="none"/>
              </w:rPr>
            </w:pPr>
            <w:r>
              <w:rPr>
                <w:rFonts w:hint="eastAsia"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highlight w:val="none"/>
              </w:rPr>
            </w:pPr>
            <w:r>
              <w:rPr>
                <w:rFonts w:hint="eastAsia"/>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bl>
    <w:p>
      <w:pPr>
        <w:autoSpaceDE w:val="0"/>
        <w:autoSpaceDN w:val="0"/>
        <w:adjustRightInd w:val="0"/>
        <w:spacing w:line="360" w:lineRule="auto"/>
        <w:rPr>
          <w:rFonts w:cs="宋体"/>
          <w:color w:val="auto"/>
          <w:sz w:val="24"/>
          <w:szCs w:val="24"/>
          <w:highlight w:val="none"/>
        </w:rPr>
      </w:pPr>
      <w:r>
        <w:rPr>
          <w:b/>
          <w:color w:val="auto"/>
          <w:highlight w:val="none"/>
        </w:rPr>
        <w:br w:type="page"/>
      </w:r>
    </w:p>
    <w:bookmarkEnd w:id="23"/>
    <w:p>
      <w:pPr>
        <w:pStyle w:val="8"/>
        <w:spacing w:before="0" w:beforeAutospacing="0" w:after="0" w:afterAutospacing="0"/>
        <w:rPr>
          <w:color w:val="auto"/>
          <w:highlight w:val="none"/>
        </w:rPr>
      </w:pPr>
      <w:bookmarkStart w:id="25" w:name="_Toc61541787"/>
      <w:bookmarkStart w:id="26" w:name="_Toc60070622"/>
      <w:r>
        <w:rPr>
          <w:rFonts w:hint="eastAsia"/>
          <w:color w:val="auto"/>
          <w:highlight w:val="none"/>
        </w:rPr>
        <w:t>格式二：</w:t>
      </w:r>
      <w:bookmarkEnd w:id="25"/>
      <w:bookmarkEnd w:id="26"/>
    </w:p>
    <w:p>
      <w:pPr>
        <w:jc w:val="center"/>
        <w:rPr>
          <w:rFonts w:cs="宋体"/>
          <w:b/>
          <w:color w:val="auto"/>
          <w:sz w:val="36"/>
          <w:szCs w:val="36"/>
          <w:highlight w:val="none"/>
        </w:rPr>
      </w:pPr>
      <w:r>
        <w:rPr>
          <w:rFonts w:hint="eastAsia" w:cs="宋体"/>
          <w:b/>
          <w:color w:val="auto"/>
          <w:sz w:val="36"/>
          <w:szCs w:val="36"/>
          <w:highlight w:val="none"/>
        </w:rPr>
        <w:t>投标函</w:t>
      </w:r>
    </w:p>
    <w:p>
      <w:pPr>
        <w:topLinePunct/>
        <w:adjustRightInd w:val="0"/>
        <w:snapToGrid w:val="0"/>
        <w:spacing w:line="440" w:lineRule="exact"/>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致：</w:t>
      </w:r>
      <w:r>
        <w:rPr>
          <w:rFonts w:hint="eastAsia" w:cs="宋体"/>
          <w:snapToGrid w:val="0"/>
          <w:color w:val="auto"/>
          <w:spacing w:val="4"/>
          <w:kern w:val="0"/>
          <w:sz w:val="24"/>
          <w:szCs w:val="24"/>
          <w:highlight w:val="none"/>
          <w:u w:val="single"/>
        </w:rPr>
        <w:t xml:space="preserve"> （招标人名称） </w:t>
      </w:r>
    </w:p>
    <w:p>
      <w:pPr>
        <w:spacing w:line="440" w:lineRule="exact"/>
        <w:ind w:firstLine="480" w:firstLineChars="200"/>
        <w:rPr>
          <w:rFonts w:cs="宋体"/>
          <w:color w:val="auto"/>
          <w:sz w:val="24"/>
          <w:szCs w:val="24"/>
          <w:highlight w:val="none"/>
        </w:rPr>
      </w:pPr>
      <w:r>
        <w:rPr>
          <w:rFonts w:hint="eastAsia" w:cs="宋体"/>
          <w:color w:val="auto"/>
          <w:sz w:val="24"/>
          <w:szCs w:val="24"/>
          <w:highlight w:val="none"/>
        </w:rPr>
        <w:t>1.根据已收到贵方的项目编号为</w:t>
      </w:r>
      <w:r>
        <w:rPr>
          <w:rFonts w:hint="eastAsia" w:cs="宋体"/>
          <w:color w:val="auto"/>
          <w:sz w:val="24"/>
          <w:szCs w:val="24"/>
          <w:highlight w:val="none"/>
          <w:u w:val="single"/>
        </w:rPr>
        <w:t xml:space="preserve">      </w:t>
      </w:r>
      <w:r>
        <w:rPr>
          <w:rFonts w:hint="eastAsia" w:cs="宋体"/>
          <w:color w:val="auto"/>
          <w:sz w:val="24"/>
          <w:szCs w:val="24"/>
          <w:highlight w:val="none"/>
        </w:rPr>
        <w:t>的</w:t>
      </w:r>
      <w:r>
        <w:rPr>
          <w:rFonts w:hint="eastAsia" w:cs="宋体"/>
          <w:color w:val="auto"/>
          <w:sz w:val="24"/>
          <w:szCs w:val="24"/>
          <w:highlight w:val="none"/>
          <w:u w:val="single"/>
        </w:rPr>
        <w:t xml:space="preserve">       </w:t>
      </w:r>
      <w:r>
        <w:rPr>
          <w:rFonts w:hint="eastAsia" w:cs="宋体"/>
          <w:color w:val="auto"/>
          <w:sz w:val="24"/>
          <w:szCs w:val="24"/>
          <w:highlight w:val="none"/>
        </w:rPr>
        <w:t>项目的招标文件，并已详细审核了全部招标文件及有关附件。</w:t>
      </w:r>
    </w:p>
    <w:p>
      <w:pPr>
        <w:snapToGrid w:val="0"/>
        <w:spacing w:line="440" w:lineRule="exact"/>
        <w:ind w:firstLine="523" w:firstLineChars="218"/>
        <w:rPr>
          <w:rFonts w:cs="宋体"/>
          <w:color w:val="auto"/>
          <w:sz w:val="24"/>
          <w:szCs w:val="24"/>
          <w:highlight w:val="none"/>
        </w:rPr>
      </w:pPr>
      <w:r>
        <w:rPr>
          <w:rFonts w:hint="eastAsia"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40" w:lineRule="exact"/>
        <w:ind w:firstLine="480" w:firstLineChars="200"/>
        <w:rPr>
          <w:rFonts w:cs="宋体"/>
          <w:color w:val="auto"/>
          <w:sz w:val="24"/>
          <w:szCs w:val="24"/>
          <w:highlight w:val="none"/>
        </w:rPr>
      </w:pPr>
      <w:r>
        <w:rPr>
          <w:rFonts w:hint="eastAsia" w:cs="宋体"/>
          <w:color w:val="auto"/>
          <w:sz w:val="24"/>
          <w:szCs w:val="24"/>
          <w:highlight w:val="none"/>
        </w:rPr>
        <w:t>愿以经济标中的投标报价并按上述合同条款、标准和技术规范、图纸、工程量清单等的要求承包上述工程的施工、竣工并修补其任何缺陷。</w:t>
      </w:r>
    </w:p>
    <w:p>
      <w:pPr>
        <w:spacing w:line="440" w:lineRule="exact"/>
        <w:rPr>
          <w:rFonts w:cs="宋体"/>
          <w:color w:val="auto"/>
          <w:sz w:val="24"/>
          <w:szCs w:val="24"/>
          <w:highlight w:val="none"/>
        </w:rPr>
      </w:pPr>
      <w:r>
        <w:rPr>
          <w:rFonts w:hint="eastAsia"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440" w:lineRule="exact"/>
        <w:rPr>
          <w:rFonts w:cs="宋体"/>
          <w:color w:val="auto"/>
          <w:sz w:val="24"/>
          <w:szCs w:val="24"/>
          <w:highlight w:val="none"/>
        </w:rPr>
      </w:pPr>
      <w:r>
        <w:rPr>
          <w:rFonts w:hint="eastAsia" w:cs="宋体"/>
          <w:color w:val="auto"/>
          <w:sz w:val="24"/>
          <w:szCs w:val="24"/>
          <w:highlight w:val="none"/>
        </w:rPr>
        <w:t xml:space="preserve">    4.我方理解贵方将不受必须接受你们所收到的最低标价或其它任何投标文件的约束。</w:t>
      </w:r>
    </w:p>
    <w:p>
      <w:pPr>
        <w:spacing w:line="440" w:lineRule="exact"/>
        <w:ind w:firstLine="480" w:firstLineChars="200"/>
        <w:rPr>
          <w:rFonts w:cs="宋体"/>
          <w:color w:val="auto"/>
          <w:sz w:val="24"/>
          <w:szCs w:val="24"/>
          <w:highlight w:val="none"/>
        </w:rPr>
      </w:pPr>
      <w:r>
        <w:rPr>
          <w:rFonts w:hint="eastAsia" w:cs="宋体"/>
          <w:color w:val="auto"/>
          <w:sz w:val="24"/>
          <w:szCs w:val="24"/>
          <w:highlight w:val="none"/>
        </w:rPr>
        <w:t>5.如果我方中标，我方保证按招标文件中规定的工期，在</w:t>
      </w:r>
      <w:r>
        <w:rPr>
          <w:rFonts w:hint="eastAsia" w:cs="宋体"/>
          <w:color w:val="auto"/>
          <w:sz w:val="24"/>
          <w:szCs w:val="24"/>
          <w:highlight w:val="none"/>
          <w:u w:val="single"/>
        </w:rPr>
        <w:t xml:space="preserve">      </w:t>
      </w:r>
      <w:r>
        <w:rPr>
          <w:rFonts w:hint="eastAsia" w:cs="宋体"/>
          <w:color w:val="auto"/>
          <w:sz w:val="24"/>
          <w:szCs w:val="24"/>
          <w:highlight w:val="none"/>
        </w:rPr>
        <w:t>日历天内完成并移交本工程，质量标准达到招标文件中的要求。</w:t>
      </w:r>
    </w:p>
    <w:p>
      <w:pPr>
        <w:spacing w:line="440" w:lineRule="exact"/>
        <w:ind w:firstLine="480" w:firstLineChars="200"/>
        <w:rPr>
          <w:rFonts w:cs="宋体"/>
          <w:color w:val="auto"/>
          <w:sz w:val="24"/>
          <w:szCs w:val="24"/>
          <w:highlight w:val="none"/>
        </w:rPr>
      </w:pPr>
      <w:r>
        <w:rPr>
          <w:rFonts w:hint="eastAsia" w:cs="宋体"/>
          <w:color w:val="auto"/>
          <w:sz w:val="24"/>
          <w:szCs w:val="24"/>
          <w:highlight w:val="none"/>
        </w:rPr>
        <w:t>6.如果我方中标，我方将按照规定递交由招标人认可，并在招标文件中规定金额的履约保函。</w:t>
      </w:r>
    </w:p>
    <w:p>
      <w:pPr>
        <w:spacing w:line="440" w:lineRule="exact"/>
        <w:ind w:firstLine="480"/>
        <w:rPr>
          <w:rFonts w:cs="宋体"/>
          <w:color w:val="auto"/>
          <w:sz w:val="24"/>
          <w:szCs w:val="24"/>
          <w:highlight w:val="none"/>
        </w:rPr>
      </w:pPr>
      <w:r>
        <w:rPr>
          <w:rFonts w:hint="eastAsia" w:cs="宋体"/>
          <w:color w:val="auto"/>
          <w:sz w:val="24"/>
          <w:szCs w:val="24"/>
          <w:highlight w:val="none"/>
        </w:rPr>
        <w:t>7.除非另外达成协议并生效，贵方的中标通知书和本投标文件将成为约束双方的合同文件的组成部分。</w:t>
      </w:r>
    </w:p>
    <w:p>
      <w:pPr>
        <w:spacing w:line="440" w:lineRule="exact"/>
        <w:ind w:firstLine="480"/>
        <w:rPr>
          <w:rFonts w:cs="宋体"/>
          <w:color w:val="auto"/>
          <w:sz w:val="24"/>
          <w:szCs w:val="24"/>
          <w:highlight w:val="none"/>
        </w:rPr>
      </w:pPr>
      <w:r>
        <w:rPr>
          <w:rFonts w:hint="eastAsia"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topLinePunct/>
        <w:adjustRightInd w:val="0"/>
        <w:snapToGrid w:val="0"/>
        <w:spacing w:line="440" w:lineRule="exact"/>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    （盖章）</w:t>
      </w:r>
    </w:p>
    <w:p>
      <w:pPr>
        <w:topLinePunct/>
        <w:adjustRightInd w:val="0"/>
        <w:snapToGrid w:val="0"/>
        <w:spacing w:line="440" w:lineRule="exact"/>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pPr>
        <w:spacing w:line="440" w:lineRule="exact"/>
        <w:ind w:firstLine="691" w:firstLineChars="279"/>
        <w:jc w:val="left"/>
        <w:rPr>
          <w:rFonts w:cs="宋体"/>
          <w:color w:val="auto"/>
          <w:sz w:val="24"/>
          <w:szCs w:val="20"/>
          <w:highlight w:val="none"/>
        </w:rPr>
      </w:pPr>
      <w:r>
        <w:rPr>
          <w:rFonts w:hint="eastAsia" w:cs="宋体"/>
          <w:snapToGrid w:val="0"/>
          <w:color w:val="auto"/>
          <w:spacing w:val="4"/>
          <w:kern w:val="0"/>
          <w:sz w:val="24"/>
          <w:szCs w:val="24"/>
          <w:highlight w:val="none"/>
        </w:rPr>
        <w:t>日    期：    年    月    日</w:t>
      </w:r>
    </w:p>
    <w:p>
      <w:pPr>
        <w:autoSpaceDN w:val="0"/>
        <w:jc w:val="center"/>
        <w:rPr>
          <w:rFonts w:cs="宋体"/>
          <w:color w:val="auto"/>
          <w:szCs w:val="20"/>
          <w:highlight w:val="none"/>
        </w:rPr>
      </w:pPr>
      <w:r>
        <w:rPr>
          <w:rFonts w:hint="eastAsia" w:cs="宋体"/>
          <w:color w:val="auto"/>
          <w:szCs w:val="20"/>
          <w:highlight w:val="none"/>
        </w:rPr>
        <w:br w:type="page"/>
      </w:r>
    </w:p>
    <w:p>
      <w:pPr>
        <w:pStyle w:val="8"/>
        <w:rPr>
          <w:snapToGrid w:val="0"/>
          <w:color w:val="auto"/>
          <w:spacing w:val="4"/>
          <w:highlight w:val="none"/>
        </w:rPr>
      </w:pPr>
      <w:bookmarkStart w:id="27" w:name="_Toc61541788"/>
      <w:bookmarkStart w:id="28" w:name="_Toc60070623"/>
      <w:r>
        <w:rPr>
          <w:rFonts w:hint="eastAsia"/>
          <w:color w:val="auto"/>
          <w:highlight w:val="none"/>
        </w:rPr>
        <w:t>格式三：</w:t>
      </w:r>
      <w:bookmarkEnd w:id="27"/>
      <w:bookmarkEnd w:id="28"/>
    </w:p>
    <w:p>
      <w:pPr>
        <w:jc w:val="center"/>
        <w:rPr>
          <w:b/>
          <w:color w:val="auto"/>
          <w:sz w:val="36"/>
          <w:szCs w:val="36"/>
          <w:highlight w:val="none"/>
        </w:rPr>
      </w:pPr>
      <w:r>
        <w:rPr>
          <w:rFonts w:hint="eastAsia"/>
          <w:b/>
          <w:color w:val="auto"/>
          <w:sz w:val="36"/>
          <w:szCs w:val="36"/>
          <w:highlight w:val="none"/>
        </w:rPr>
        <w:t>标函承诺书</w:t>
      </w:r>
    </w:p>
    <w:p>
      <w:pPr>
        <w:pStyle w:val="43"/>
        <w:spacing w:after="0" w:line="440" w:lineRule="exact"/>
        <w:ind w:left="339" w:leftChars="101" w:hanging="127" w:hangingChars="53"/>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致：（招标人名称）</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如果在本招标工程中我司中标，我司将积极响应贵单位提出的合同条件及招标文件的要求，并做出如下承诺：</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1、若我公司中标，我公司承诺按时交纳履约保证金。</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2、在本工程施工期间，拟投入的人力不少于下表中的人数</w:t>
      </w:r>
    </w:p>
    <w:tbl>
      <w:tblPr>
        <w:tblStyle w:val="24"/>
        <w:tblW w:w="7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44"/>
              <w:tabs>
                <w:tab w:val="left" w:pos="0"/>
                <w:tab w:val="left" w:pos="210"/>
              </w:tabs>
              <w:spacing w:line="440" w:lineRule="exact"/>
              <w:ind w:left="17" w:leftChars="8" w:firstLine="348" w:firstLineChars="166"/>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r>
              <w:rPr>
                <w:rFonts w:hint="eastAsia"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tabs>
                <w:tab w:val="left" w:pos="0"/>
                <w:tab w:val="left" w:pos="210"/>
              </w:tabs>
              <w:spacing w:line="440" w:lineRule="exact"/>
              <w:ind w:left="17" w:leftChars="8" w:firstLine="348" w:firstLineChars="166"/>
              <w:jc w:val="center"/>
              <w:rPr>
                <w:rFonts w:cs="宋体"/>
                <w:color w:val="auto"/>
                <w:kern w:val="0"/>
                <w:szCs w:val="21"/>
                <w:highlight w:val="none"/>
                <w:u w:val="single"/>
              </w:rPr>
            </w:pPr>
          </w:p>
        </w:tc>
      </w:tr>
    </w:tbl>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3、在工程施工期间，拟投入的主要机械设备按按投标文件所附的《拟投入本工程施工的主要机械设备配备表》。</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4、所选用的主要材料品牌符合招标文件的要求。</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5、拟投入到本工程的主要技术人员、经济和管理人员按按投标文件所附的《施工项目管理团队人员信息表》。</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6、我公司保证拟派项目负责人应符合《广州市住房和城乡建设局关于加强建筑工程项目负责人管理的通知》（穗建规字【2020】32号）文，将严格按照招标文件要求，自签订合同之日起至工程竣工验收将常驻现场，严格按照有关工程项目管理的要求进行项目管理，如果不能够按照此要求实施，我方自愿接受贵中心的制裁措施。</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7、本工程施工过程中，我司将严格按照国家、省、市有关施工及验收规范、标准进行施工，确保本工程质量达到        等级。</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8、在确保工程质量的前提下，我司严格控制工程工期，确保工程在       天内完成。</w:t>
      </w:r>
    </w:p>
    <w:p>
      <w:pPr>
        <w:pStyle w:val="43"/>
        <w:tabs>
          <w:tab w:val="left" w:pos="0"/>
          <w:tab w:val="left" w:pos="210"/>
        </w:tabs>
        <w:spacing w:after="0" w:line="440" w:lineRule="exact"/>
        <w:ind w:left="17" w:leftChars="8" w:firstLine="398" w:firstLineChars="166"/>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9、严格按照国家、省、市有关安全生产、文明施工要求，积极制定安全生产、文明施工措施，并严格执行，确保施工中符合安全生产、文明施工要求。</w:t>
      </w:r>
    </w:p>
    <w:p>
      <w:pPr>
        <w:pStyle w:val="45"/>
        <w:tabs>
          <w:tab w:val="left" w:pos="420"/>
        </w:tabs>
        <w:spacing w:line="440" w:lineRule="exact"/>
        <w:ind w:left="17" w:leftChars="8" w:firstLine="460" w:firstLineChars="192"/>
        <w:rPr>
          <w:rFonts w:ascii="宋体" w:hAnsi="宋体"/>
          <w:snapToGrid/>
          <w:color w:val="auto"/>
          <w:kern w:val="2"/>
          <w:sz w:val="24"/>
          <w:szCs w:val="24"/>
          <w:highlight w:val="none"/>
          <w:u w:val="single"/>
        </w:rPr>
      </w:pPr>
      <w:r>
        <w:rPr>
          <w:rFonts w:hint="eastAsia" w:ascii="宋体" w:hAnsi="宋体"/>
          <w:snapToGrid/>
          <w:color w:val="auto"/>
          <w:kern w:val="2"/>
          <w:sz w:val="24"/>
          <w:szCs w:val="24"/>
          <w:highlight w:val="none"/>
          <w:u w:val="single"/>
        </w:rPr>
        <w:t>1</w:t>
      </w:r>
      <w:r>
        <w:rPr>
          <w:rFonts w:hint="eastAsia" w:ascii="宋体" w:hAnsi="宋体"/>
          <w:snapToGrid/>
          <w:color w:val="auto"/>
          <w:kern w:val="2"/>
          <w:sz w:val="24"/>
          <w:szCs w:val="24"/>
          <w:highlight w:val="none"/>
          <w:u w:val="single"/>
          <w:lang w:val="en-US" w:eastAsia="zh-CN"/>
        </w:rPr>
        <w:t>0</w:t>
      </w:r>
      <w:r>
        <w:rPr>
          <w:rFonts w:hint="eastAsia" w:ascii="宋体" w:hAnsi="宋体"/>
          <w:snapToGrid/>
          <w:color w:val="auto"/>
          <w:kern w:val="2"/>
          <w:sz w:val="24"/>
          <w:szCs w:val="24"/>
          <w:highlight w:val="none"/>
          <w:u w:val="single"/>
        </w:rPr>
        <w:t>、我司保证在中标后，严格按照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pStyle w:val="45"/>
        <w:spacing w:line="440" w:lineRule="exact"/>
        <w:ind w:firstLine="480" w:firstLineChars="200"/>
        <w:rPr>
          <w:rFonts w:ascii="宋体" w:hAnsi="宋体"/>
          <w:snapToGrid/>
          <w:color w:val="auto"/>
          <w:kern w:val="2"/>
          <w:sz w:val="24"/>
          <w:szCs w:val="24"/>
          <w:highlight w:val="none"/>
          <w:u w:val="single"/>
        </w:rPr>
      </w:pPr>
      <w:r>
        <w:rPr>
          <w:rFonts w:hint="eastAsia" w:ascii="宋体" w:hAnsi="宋体"/>
          <w:snapToGrid/>
          <w:color w:val="auto"/>
          <w:kern w:val="2"/>
          <w:sz w:val="24"/>
          <w:szCs w:val="24"/>
          <w:highlight w:val="none"/>
          <w:u w:val="single"/>
        </w:rPr>
        <w:t>1</w:t>
      </w:r>
      <w:r>
        <w:rPr>
          <w:rFonts w:hint="eastAsia" w:ascii="宋体" w:hAnsi="宋体"/>
          <w:snapToGrid/>
          <w:color w:val="auto"/>
          <w:kern w:val="2"/>
          <w:sz w:val="24"/>
          <w:szCs w:val="24"/>
          <w:highlight w:val="none"/>
          <w:u w:val="single"/>
          <w:lang w:val="en-US" w:eastAsia="zh-CN"/>
        </w:rPr>
        <w:t>1</w:t>
      </w:r>
      <w:r>
        <w:rPr>
          <w:rFonts w:hint="eastAsia" w:ascii="宋体" w:hAnsi="宋体"/>
          <w:snapToGrid/>
          <w:color w:val="auto"/>
          <w:kern w:val="2"/>
          <w:sz w:val="24"/>
          <w:szCs w:val="24"/>
          <w:highlight w:val="none"/>
          <w:u w:val="single"/>
        </w:rPr>
        <w:t>、我司保证在中标后，根据工程特点，编制本工程详细的施工组织设计和施工方案，并报监理和发包人审核批准，并严格按审批的意见和要求组织施工。</w:t>
      </w:r>
    </w:p>
    <w:p>
      <w:pPr>
        <w:pStyle w:val="45"/>
        <w:spacing w:line="440" w:lineRule="exact"/>
        <w:ind w:firstLine="480" w:firstLineChars="200"/>
        <w:rPr>
          <w:rFonts w:ascii="宋体" w:hAnsi="宋体"/>
          <w:snapToGrid/>
          <w:color w:val="auto"/>
          <w:kern w:val="2"/>
          <w:sz w:val="24"/>
          <w:szCs w:val="24"/>
          <w:highlight w:val="none"/>
          <w:u w:val="single"/>
        </w:rPr>
      </w:pPr>
      <w:r>
        <w:rPr>
          <w:rFonts w:hint="eastAsia" w:ascii="宋体" w:hAnsi="宋体"/>
          <w:snapToGrid/>
          <w:color w:val="auto"/>
          <w:kern w:val="2"/>
          <w:sz w:val="24"/>
          <w:szCs w:val="24"/>
          <w:highlight w:val="none"/>
          <w:u w:val="single"/>
        </w:rPr>
        <w:t>1</w:t>
      </w:r>
      <w:r>
        <w:rPr>
          <w:rFonts w:hint="eastAsia" w:ascii="宋体" w:hAnsi="宋体"/>
          <w:snapToGrid/>
          <w:color w:val="auto"/>
          <w:kern w:val="2"/>
          <w:sz w:val="24"/>
          <w:szCs w:val="24"/>
          <w:highlight w:val="none"/>
          <w:u w:val="single"/>
          <w:lang w:val="en-US" w:eastAsia="zh-CN"/>
        </w:rPr>
        <w:t>2</w:t>
      </w:r>
      <w:r>
        <w:rPr>
          <w:rFonts w:hint="eastAsia" w:ascii="宋体" w:hAnsi="宋体"/>
          <w:snapToGrid/>
          <w:color w:val="auto"/>
          <w:kern w:val="2"/>
          <w:sz w:val="24"/>
          <w:szCs w:val="24"/>
          <w:highlight w:val="none"/>
          <w:u w:val="single"/>
        </w:rPr>
        <w:t>、我司承诺积极响应并接受招标文件中合同专用专款关于合同价款的调整办法。</w:t>
      </w:r>
    </w:p>
    <w:p>
      <w:pPr>
        <w:pStyle w:val="45"/>
        <w:spacing w:line="440" w:lineRule="exact"/>
        <w:ind w:firstLine="480" w:firstLineChars="200"/>
        <w:rPr>
          <w:rFonts w:ascii="宋体" w:hAnsi="宋体"/>
          <w:strike w:val="0"/>
          <w:color w:val="auto"/>
          <w:sz w:val="24"/>
          <w:szCs w:val="24"/>
          <w:highlight w:val="none"/>
          <w:u w:val="single"/>
        </w:rPr>
      </w:pPr>
      <w:r>
        <w:rPr>
          <w:rFonts w:hint="eastAsia" w:ascii="宋体" w:hAnsi="宋体"/>
          <w:strike w:val="0"/>
          <w:dstrike w:val="0"/>
          <w:snapToGrid/>
          <w:color w:val="auto"/>
          <w:kern w:val="2"/>
          <w:sz w:val="24"/>
          <w:szCs w:val="24"/>
          <w:highlight w:val="none"/>
          <w:u w:val="single"/>
        </w:rPr>
        <w:t>1</w:t>
      </w:r>
      <w:r>
        <w:rPr>
          <w:rFonts w:hint="eastAsia" w:ascii="宋体" w:hAnsi="宋体"/>
          <w:strike w:val="0"/>
          <w:dstrike w:val="0"/>
          <w:snapToGrid/>
          <w:color w:val="auto"/>
          <w:kern w:val="2"/>
          <w:sz w:val="24"/>
          <w:szCs w:val="24"/>
          <w:highlight w:val="none"/>
          <w:u w:val="single"/>
          <w:lang w:val="en-US" w:eastAsia="zh-CN"/>
        </w:rPr>
        <w:t>3</w:t>
      </w:r>
      <w:r>
        <w:rPr>
          <w:rFonts w:hint="eastAsia" w:ascii="宋体" w:hAnsi="宋体"/>
          <w:strike w:val="0"/>
          <w:dstrike w:val="0"/>
          <w:snapToGrid/>
          <w:color w:val="auto"/>
          <w:kern w:val="2"/>
          <w:sz w:val="24"/>
          <w:szCs w:val="24"/>
          <w:highlight w:val="none"/>
          <w:u w:val="single"/>
        </w:rPr>
        <w:t>、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[2008]1008号）、广州市住房和城乡建设委员会关于《广州市建设工程绿色施工围蔽指导图集(V2.0试行版 )》(穂建质〔2020〕1号)、《关于进一步落实我区市政建设项目施工围蔽提升工作的通知》（穗埔建[2019]123号）、穗开建知发[2018]14号、广州开发区建设和交通局《关于在全区建设项目推广使用封闭式外脚手架金属防护网的通知》（房建工程及桥梁工程要求使用）及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spacing w:line="440" w:lineRule="exact"/>
        <w:ind w:left="318"/>
        <w:rPr>
          <w:rFonts w:cs="宋体"/>
          <w:color w:val="auto"/>
          <w:sz w:val="24"/>
          <w:szCs w:val="24"/>
          <w:highlight w:val="none"/>
          <w:u w:val="single"/>
        </w:rPr>
      </w:pPr>
    </w:p>
    <w:p>
      <w:pPr>
        <w:spacing w:line="440" w:lineRule="exact"/>
        <w:ind w:left="315"/>
        <w:rPr>
          <w:rFonts w:cs="宋体"/>
          <w:color w:val="auto"/>
          <w:sz w:val="24"/>
          <w:szCs w:val="24"/>
          <w:highlight w:val="none"/>
          <w:u w:val="single"/>
        </w:rPr>
      </w:pPr>
    </w:p>
    <w:p>
      <w:pPr>
        <w:pStyle w:val="43"/>
        <w:spacing w:after="0" w:line="440" w:lineRule="exact"/>
        <w:ind w:firstLine="5040" w:firstLineChars="2100"/>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投标人：（公章）</w:t>
      </w:r>
    </w:p>
    <w:p>
      <w:pPr>
        <w:pStyle w:val="43"/>
        <w:spacing w:after="0" w:line="440" w:lineRule="exact"/>
        <w:jc w:val="righ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法人代表或其授权代理人：（签名或盖章）</w:t>
      </w:r>
    </w:p>
    <w:p>
      <w:pPr>
        <w:pStyle w:val="43"/>
        <w:spacing w:after="0" w:line="440" w:lineRule="exact"/>
        <w:ind w:right="560" w:firstLine="5040" w:firstLineChars="2100"/>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 xml:space="preserve">        年  月  日</w:t>
      </w:r>
    </w:p>
    <w:p>
      <w:pPr>
        <w:tabs>
          <w:tab w:val="left" w:pos="720"/>
        </w:tabs>
        <w:snapToGrid w:val="0"/>
        <w:spacing w:line="440" w:lineRule="exact"/>
        <w:rPr>
          <w:rFonts w:cs="宋体"/>
          <w:color w:val="auto"/>
          <w:sz w:val="24"/>
          <w:szCs w:val="24"/>
          <w:highlight w:val="none"/>
          <w:u w:val="single"/>
        </w:rPr>
      </w:pPr>
      <w:r>
        <w:rPr>
          <w:rFonts w:hint="eastAsia" w:cs="宋体"/>
          <w:color w:val="auto"/>
          <w:sz w:val="24"/>
          <w:szCs w:val="24"/>
          <w:highlight w:val="none"/>
          <w:u w:val="singl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pStyle w:val="8"/>
        <w:spacing w:before="0" w:beforeAutospacing="0" w:after="0" w:afterAutospacing="0"/>
        <w:rPr>
          <w:color w:val="auto"/>
          <w:highlight w:val="none"/>
        </w:rPr>
      </w:pPr>
      <w:bookmarkStart w:id="29" w:name="_Toc60070624"/>
      <w:bookmarkStart w:id="30" w:name="_Toc61541789"/>
    </w:p>
    <w:p>
      <w:pPr>
        <w:rPr>
          <w:rFonts w:hint="eastAsia"/>
          <w:color w:val="auto"/>
          <w:highlight w:val="none"/>
        </w:rPr>
      </w:pPr>
      <w:r>
        <w:rPr>
          <w:rFonts w:hint="eastAsia"/>
          <w:color w:val="auto"/>
          <w:highlight w:val="none"/>
        </w:rPr>
        <w:br w:type="page"/>
      </w:r>
    </w:p>
    <w:p>
      <w:pPr>
        <w:pStyle w:val="8"/>
        <w:spacing w:before="0" w:beforeAutospacing="0" w:after="0" w:afterAutospacing="0"/>
        <w:rPr>
          <w:color w:val="auto"/>
          <w:highlight w:val="none"/>
        </w:rPr>
      </w:pPr>
      <w:r>
        <w:rPr>
          <w:rFonts w:hint="eastAsia"/>
          <w:color w:val="auto"/>
          <w:highlight w:val="none"/>
        </w:rPr>
        <w:t>格式四</w:t>
      </w:r>
      <w:r>
        <w:rPr>
          <w:rFonts w:hint="eastAsia"/>
          <w:snapToGrid w:val="0"/>
          <w:color w:val="auto"/>
          <w:spacing w:val="4"/>
          <w:highlight w:val="none"/>
        </w:rPr>
        <w:t>：</w:t>
      </w:r>
      <w:bookmarkEnd w:id="29"/>
      <w:bookmarkEnd w:id="30"/>
    </w:p>
    <w:p>
      <w:pPr>
        <w:jc w:val="center"/>
        <w:rPr>
          <w:b/>
          <w:color w:val="auto"/>
          <w:sz w:val="36"/>
          <w:szCs w:val="36"/>
          <w:highlight w:val="none"/>
        </w:rPr>
      </w:pPr>
      <w:r>
        <w:rPr>
          <w:rFonts w:hint="eastAsia"/>
          <w:b/>
          <w:color w:val="auto"/>
          <w:sz w:val="36"/>
          <w:szCs w:val="36"/>
          <w:highlight w:val="none"/>
        </w:rPr>
        <w:t>项目负责人驻场承诺书</w:t>
      </w:r>
    </w:p>
    <w:p>
      <w:pPr>
        <w:pStyle w:val="5"/>
        <w:spacing w:after="0" w:line="336" w:lineRule="auto"/>
        <w:ind w:left="-2" w:leftChars="-1" w:firstLineChars="175"/>
        <w:jc w:val="center"/>
        <w:rPr>
          <w:rFonts w:ascii="宋体" w:hAnsi="宋体" w:cs="宋体"/>
          <w:color w:val="auto"/>
          <w:sz w:val="24"/>
          <w:szCs w:val="24"/>
          <w:highlight w:val="none"/>
          <w:u w:val="single"/>
        </w:rPr>
      </w:pPr>
    </w:p>
    <w:p>
      <w:pPr>
        <w:spacing w:line="400" w:lineRule="exact"/>
        <w:rPr>
          <w:rFonts w:cs="宋体"/>
          <w:color w:val="auto"/>
          <w:sz w:val="24"/>
          <w:szCs w:val="24"/>
          <w:highlight w:val="none"/>
          <w:u w:val="single"/>
        </w:rPr>
      </w:pPr>
      <w:r>
        <w:rPr>
          <w:rFonts w:hint="eastAsia" w:cs="宋体"/>
          <w:color w:val="auto"/>
          <w:sz w:val="24"/>
          <w:szCs w:val="24"/>
          <w:highlight w:val="none"/>
          <w:u w:val="single"/>
        </w:rPr>
        <w:t>致（业主）                                           ：</w:t>
      </w:r>
    </w:p>
    <w:p>
      <w:pPr>
        <w:spacing w:line="400" w:lineRule="exact"/>
        <w:rPr>
          <w:rFonts w:cs="宋体"/>
          <w:color w:val="auto"/>
          <w:sz w:val="24"/>
          <w:szCs w:val="24"/>
          <w:highlight w:val="none"/>
          <w:u w:val="single"/>
        </w:rPr>
      </w:pPr>
    </w:p>
    <w:p>
      <w:pPr>
        <w:spacing w:line="400" w:lineRule="exact"/>
        <w:ind w:firstLine="523" w:firstLineChars="218"/>
        <w:jc w:val="left"/>
        <w:rPr>
          <w:rFonts w:cs="宋体"/>
          <w:color w:val="auto"/>
          <w:sz w:val="24"/>
          <w:szCs w:val="24"/>
          <w:highlight w:val="none"/>
          <w:u w:val="single"/>
        </w:rPr>
      </w:pPr>
      <w:r>
        <w:rPr>
          <w:rFonts w:hint="eastAsia" w:cs="宋体"/>
          <w:color w:val="auto"/>
          <w:sz w:val="24"/>
          <w:szCs w:val="24"/>
          <w:highlight w:val="none"/>
          <w:u w:val="single"/>
        </w:rPr>
        <w:t xml:space="preserve">本人（姓名）              ，项目负责人证书注册编号：                       </w:t>
      </w:r>
    </w:p>
    <w:p>
      <w:pPr>
        <w:spacing w:line="400" w:lineRule="exact"/>
        <w:ind w:left="1"/>
        <w:jc w:val="left"/>
        <w:rPr>
          <w:rFonts w:cs="宋体"/>
          <w:color w:val="auto"/>
          <w:sz w:val="24"/>
          <w:szCs w:val="24"/>
          <w:highlight w:val="none"/>
          <w:u w:val="single"/>
        </w:rPr>
      </w:pPr>
      <w:r>
        <w:rPr>
          <w:rFonts w:hint="eastAsia"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400" w:lineRule="exact"/>
        <w:ind w:firstLine="480" w:firstLineChars="200"/>
        <w:rPr>
          <w:rFonts w:cs="宋体"/>
          <w:color w:val="auto"/>
          <w:sz w:val="24"/>
          <w:szCs w:val="24"/>
          <w:highlight w:val="none"/>
          <w:u w:val="single"/>
        </w:rPr>
      </w:pPr>
      <w:r>
        <w:rPr>
          <w:rFonts w:hint="eastAsia"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400" w:lineRule="exact"/>
        <w:ind w:firstLine="480" w:firstLineChars="200"/>
        <w:rPr>
          <w:rFonts w:cs="宋体"/>
          <w:color w:val="auto"/>
          <w:sz w:val="24"/>
          <w:szCs w:val="24"/>
          <w:highlight w:val="none"/>
          <w:u w:val="single"/>
        </w:rPr>
      </w:pPr>
      <w:r>
        <w:rPr>
          <w:rFonts w:hint="eastAsia" w:cs="宋体"/>
          <w:color w:val="auto"/>
          <w:sz w:val="24"/>
          <w:szCs w:val="24"/>
          <w:highlight w:val="none"/>
          <w:u w:val="single"/>
        </w:rPr>
        <w:t>2．如果本招标工程我公司中标，我本人保证在工程签订合同之日起至工程竣工验收完成期间只担任此工程的项目经理，不参加其他任何工程的报名和任何工作，不在其他任何工程担任本职务。</w:t>
      </w:r>
    </w:p>
    <w:p>
      <w:pPr>
        <w:spacing w:line="400" w:lineRule="exact"/>
        <w:ind w:firstLine="480" w:firstLineChars="200"/>
        <w:rPr>
          <w:rFonts w:cs="宋体"/>
          <w:color w:val="auto"/>
          <w:sz w:val="24"/>
          <w:szCs w:val="24"/>
          <w:highlight w:val="none"/>
          <w:u w:val="single"/>
        </w:rPr>
      </w:pPr>
      <w:r>
        <w:rPr>
          <w:rFonts w:hint="eastAsia"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住房和城乡建设局等有关部门并接受上述部门给予的通报和相关职能部门给予的扣证等处罚。</w:t>
      </w:r>
    </w:p>
    <w:p>
      <w:pPr>
        <w:spacing w:line="400" w:lineRule="exact"/>
        <w:ind w:firstLine="480" w:firstLineChars="200"/>
        <w:rPr>
          <w:rFonts w:cs="宋体"/>
          <w:color w:val="auto"/>
          <w:sz w:val="24"/>
          <w:szCs w:val="24"/>
          <w:highlight w:val="none"/>
          <w:u w:val="single"/>
        </w:rPr>
      </w:pPr>
      <w:r>
        <w:rPr>
          <w:rFonts w:hint="eastAsia" w:cs="宋体"/>
          <w:color w:val="auto"/>
          <w:sz w:val="24"/>
          <w:szCs w:val="24"/>
          <w:highlight w:val="none"/>
          <w:u w:val="single"/>
        </w:rPr>
        <w:t>4．项目负责人本人身份证扫描件和两寸相片：</w:t>
      </w:r>
    </w:p>
    <w:p>
      <w:pPr>
        <w:spacing w:line="400" w:lineRule="exact"/>
        <w:rPr>
          <w:rFonts w:cs="宋体"/>
          <w:color w:val="auto"/>
          <w:sz w:val="24"/>
          <w:szCs w:val="24"/>
          <w:highlight w:val="none"/>
          <w:u w:val="single"/>
        </w:rPr>
      </w:pPr>
    </w:p>
    <w:tbl>
      <w:tblPr>
        <w:tblStyle w:val="2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tcPr>
          <w:p>
            <w:pPr>
              <w:pStyle w:val="9"/>
              <w:ind w:firstLine="0" w:firstLineChars="0"/>
              <w:rPr>
                <w:color w:val="auto"/>
                <w:highlight w:val="none"/>
              </w:rPr>
            </w:pPr>
          </w:p>
          <w:p>
            <w:pPr>
              <w:spacing w:line="400" w:lineRule="exact"/>
              <w:jc w:val="center"/>
              <w:rPr>
                <w:rFonts w:cs="宋体"/>
                <w:color w:val="auto"/>
                <w:szCs w:val="21"/>
                <w:highlight w:val="none"/>
                <w:u w:val="single"/>
              </w:rPr>
            </w:pPr>
            <w:r>
              <w:rPr>
                <w:rFonts w:hint="eastAsia" w:cs="宋体"/>
                <w:color w:val="auto"/>
                <w:szCs w:val="21"/>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tcPr>
          <w:p>
            <w:pPr>
              <w:spacing w:line="400" w:lineRule="exact"/>
              <w:rPr>
                <w:rFonts w:cs="宋体"/>
                <w:color w:val="auto"/>
                <w:szCs w:val="21"/>
                <w:highlight w:val="none"/>
                <w:u w:val="single"/>
              </w:rPr>
            </w:pPr>
          </w:p>
          <w:p>
            <w:pPr>
              <w:spacing w:line="400" w:lineRule="exact"/>
              <w:jc w:val="center"/>
              <w:rPr>
                <w:rFonts w:cs="宋体"/>
                <w:color w:val="auto"/>
                <w:szCs w:val="21"/>
                <w:highlight w:val="none"/>
                <w:u w:val="single"/>
              </w:rPr>
            </w:pPr>
            <w:r>
              <w:rPr>
                <w:rFonts w:hint="eastAsia" w:cs="宋体"/>
                <w:color w:val="auto"/>
                <w:szCs w:val="21"/>
                <w:highlight w:val="none"/>
                <w:u w:val="single"/>
              </w:rPr>
              <w:t>相片</w:t>
            </w:r>
          </w:p>
        </w:tc>
      </w:tr>
    </w:tbl>
    <w:p>
      <w:pPr>
        <w:spacing w:line="400" w:lineRule="exact"/>
        <w:rPr>
          <w:rFonts w:cs="宋体"/>
          <w:color w:val="auto"/>
          <w:sz w:val="24"/>
          <w:szCs w:val="24"/>
          <w:highlight w:val="none"/>
          <w:u w:val="single"/>
        </w:rPr>
      </w:pPr>
    </w:p>
    <w:p>
      <w:pPr>
        <w:spacing w:line="400" w:lineRule="exact"/>
        <w:ind w:firstLine="3840" w:firstLineChars="1600"/>
        <w:rPr>
          <w:rFonts w:cs="宋体"/>
          <w:color w:val="auto"/>
          <w:sz w:val="24"/>
          <w:szCs w:val="24"/>
          <w:highlight w:val="none"/>
          <w:u w:val="single"/>
        </w:rPr>
      </w:pPr>
      <w:r>
        <w:rPr>
          <w:rFonts w:hint="eastAsia" w:cs="宋体"/>
          <w:color w:val="auto"/>
          <w:sz w:val="24"/>
          <w:szCs w:val="24"/>
          <w:highlight w:val="none"/>
          <w:u w:val="single"/>
        </w:rPr>
        <w:t>投标人：（盖章）</w:t>
      </w:r>
    </w:p>
    <w:p>
      <w:pPr>
        <w:spacing w:line="400" w:lineRule="exact"/>
        <w:ind w:firstLine="3840" w:firstLineChars="1600"/>
        <w:rPr>
          <w:rFonts w:cs="宋体"/>
          <w:color w:val="auto"/>
          <w:sz w:val="24"/>
          <w:szCs w:val="24"/>
          <w:highlight w:val="none"/>
          <w:u w:val="single"/>
        </w:rPr>
      </w:pPr>
      <w:r>
        <w:rPr>
          <w:rFonts w:hint="eastAsia" w:cs="宋体"/>
          <w:color w:val="auto"/>
          <w:sz w:val="24"/>
          <w:szCs w:val="24"/>
          <w:highlight w:val="none"/>
          <w:u w:val="single"/>
        </w:rPr>
        <w:t xml:space="preserve">项目负责人签名：                 </w:t>
      </w:r>
    </w:p>
    <w:p>
      <w:pPr>
        <w:tabs>
          <w:tab w:val="left" w:pos="720"/>
        </w:tabs>
        <w:snapToGrid w:val="0"/>
        <w:spacing w:line="400" w:lineRule="exact"/>
        <w:jc w:val="right"/>
        <w:rPr>
          <w:rFonts w:cs="宋体"/>
          <w:color w:val="auto"/>
          <w:sz w:val="24"/>
          <w:szCs w:val="24"/>
          <w:highlight w:val="none"/>
          <w:u w:val="single"/>
        </w:rPr>
      </w:pPr>
      <w:r>
        <w:rPr>
          <w:rFonts w:hint="eastAsia" w:cs="宋体"/>
          <w:color w:val="auto"/>
          <w:sz w:val="24"/>
          <w:szCs w:val="24"/>
          <w:highlight w:val="none"/>
          <w:u w:val="single"/>
        </w:rPr>
        <w:t xml:space="preserve">     年   月    日</w:t>
      </w:r>
    </w:p>
    <w:p>
      <w:pPr>
        <w:pStyle w:val="8"/>
        <w:spacing w:before="0" w:beforeAutospacing="0" w:after="0" w:afterAutospacing="0"/>
        <w:rPr>
          <w:color w:val="auto"/>
          <w:highlight w:val="none"/>
        </w:rPr>
      </w:pPr>
      <w:bookmarkStart w:id="31" w:name="_Toc61541790"/>
      <w:bookmarkStart w:id="32" w:name="_Toc60070625"/>
    </w:p>
    <w:p>
      <w:pPr>
        <w:pStyle w:val="8"/>
        <w:spacing w:before="0" w:beforeAutospacing="0" w:after="0" w:afterAutospacing="0"/>
        <w:rPr>
          <w:color w:val="auto"/>
          <w:highlight w:val="none"/>
        </w:rPr>
      </w:pPr>
      <w:r>
        <w:rPr>
          <w:rFonts w:hint="eastAsia"/>
          <w:color w:val="auto"/>
          <w:highlight w:val="none"/>
        </w:rPr>
        <w:t>格式五：</w:t>
      </w:r>
      <w:bookmarkEnd w:id="31"/>
      <w:bookmarkEnd w:id="32"/>
    </w:p>
    <w:p>
      <w:pPr>
        <w:widowControl/>
        <w:shd w:val="clear" w:color="auto" w:fill="FFFFFF"/>
        <w:spacing w:line="480" w:lineRule="exact"/>
        <w:ind w:firstLine="643" w:firstLineChars="200"/>
        <w:jc w:val="center"/>
        <w:rPr>
          <w:rFonts w:cs="宋体"/>
          <w:b/>
          <w:color w:val="auto"/>
          <w:kern w:val="0"/>
          <w:sz w:val="32"/>
          <w:szCs w:val="32"/>
          <w:highlight w:val="none"/>
          <w:lang w:bidi="ar"/>
        </w:rPr>
      </w:pPr>
      <w:r>
        <w:rPr>
          <w:rFonts w:hint="eastAsia" w:cs="宋体"/>
          <w:b/>
          <w:color w:val="auto"/>
          <w:kern w:val="0"/>
          <w:sz w:val="32"/>
          <w:szCs w:val="32"/>
          <w:highlight w:val="none"/>
          <w:lang w:bidi="ar"/>
        </w:rPr>
        <w:t>施工项目管理团队人员信息表</w:t>
      </w:r>
    </w:p>
    <w:p>
      <w:pPr>
        <w:widowControl/>
        <w:shd w:val="clear" w:color="auto" w:fill="FFFFFF"/>
        <w:ind w:firstLine="201" w:firstLineChars="200"/>
        <w:jc w:val="center"/>
        <w:rPr>
          <w:rFonts w:cs="宋体"/>
          <w:b/>
          <w:color w:val="auto"/>
          <w:kern w:val="0"/>
          <w:sz w:val="10"/>
          <w:szCs w:val="10"/>
          <w:highlight w:val="none"/>
          <w:lang w:bidi="ar"/>
        </w:rPr>
      </w:pPr>
    </w:p>
    <w:tbl>
      <w:tblPr>
        <w:tblStyle w:val="24"/>
        <w:tblW w:w="9038" w:type="dxa"/>
        <w:jc w:val="center"/>
        <w:tblLayout w:type="fixed"/>
        <w:tblCellMar>
          <w:top w:w="0" w:type="dxa"/>
          <w:left w:w="0" w:type="dxa"/>
          <w:bottom w:w="0" w:type="dxa"/>
          <w:right w:w="0" w:type="dxa"/>
        </w:tblCellMar>
      </w:tblPr>
      <w:tblGrid>
        <w:gridCol w:w="635"/>
        <w:gridCol w:w="1642"/>
        <w:gridCol w:w="2284"/>
        <w:gridCol w:w="1800"/>
        <w:gridCol w:w="2677"/>
      </w:tblGrid>
      <w:tr>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序号</w:t>
            </w:r>
          </w:p>
        </w:tc>
        <w:tc>
          <w:tcPr>
            <w:tcW w:w="1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姓名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岗位</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职称</w:t>
            </w:r>
          </w:p>
        </w:tc>
        <w:tc>
          <w:tcPr>
            <w:tcW w:w="2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职称证书或资格证书编号</w:t>
            </w: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1</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2</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3</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4</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5</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6</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6"/>
              <w:jc w:val="center"/>
              <w:rPr>
                <w:rFonts w:ascii="宋体" w:hAnsi="宋体" w:cs="宋体"/>
                <w:color w:val="auto"/>
                <w:kern w:val="2"/>
                <w:sz w:val="21"/>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7</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r>
              <w:rPr>
                <w:rFonts w:hint="eastAsia" w:cs="宋体"/>
                <w:color w:val="auto"/>
                <w:szCs w:val="21"/>
                <w:highlight w:val="none"/>
              </w:rPr>
              <w:t>8</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r>
              <w:rPr>
                <w:rFonts w:hint="eastAsia" w:cs="宋体"/>
                <w:color w:val="auto"/>
                <w:kern w:val="0"/>
                <w:szCs w:val="21"/>
                <w:highlight w:val="none"/>
                <w:lang w:bidi="ar"/>
              </w:rPr>
              <w:t>……</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3644" w:hRule="atLeast"/>
          <w:jc w:val="center"/>
        </w:trPr>
        <w:tc>
          <w:tcPr>
            <w:tcW w:w="90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6"/>
                <w:rFonts w:hint="eastAsia" w:ascii="宋体" w:hAnsi="宋体" w:eastAsia="宋体" w:cs="宋体"/>
                <w:color w:val="auto"/>
                <w:sz w:val="21"/>
                <w:szCs w:val="21"/>
                <w:highlight w:val="none"/>
                <w:lang w:eastAsia="zh-CN" w:bidi="ar"/>
              </w:rPr>
            </w:pPr>
            <w:r>
              <w:rPr>
                <w:rStyle w:val="46"/>
                <w:rFonts w:hint="default" w:ascii="宋体" w:hAnsi="宋体" w:eastAsia="宋体" w:cs="宋体"/>
                <w:color w:val="auto"/>
                <w:sz w:val="21"/>
                <w:szCs w:val="21"/>
                <w:highlight w:val="none"/>
                <w:lang w:bidi="ar"/>
              </w:rPr>
              <w:t>备注：</w:t>
            </w:r>
          </w:p>
          <w:p>
            <w:pPr>
              <w:widowControl/>
              <w:jc w:val="left"/>
              <w:textAlignment w:val="center"/>
              <w:rPr>
                <w:rStyle w:val="46"/>
                <w:rFonts w:hint="eastAsia" w:ascii="宋体" w:hAnsi="宋体" w:eastAsia="宋体" w:cs="宋体"/>
                <w:color w:val="auto"/>
                <w:sz w:val="21"/>
                <w:szCs w:val="21"/>
                <w:highlight w:val="none"/>
                <w:lang w:eastAsia="zh-CN" w:bidi="ar"/>
              </w:rPr>
            </w:pPr>
            <w:r>
              <w:rPr>
                <w:rStyle w:val="46"/>
                <w:rFonts w:hint="default" w:ascii="宋体" w:hAnsi="宋体" w:eastAsia="宋体" w:cs="宋体"/>
                <w:color w:val="auto"/>
                <w:sz w:val="21"/>
                <w:szCs w:val="21"/>
                <w:highlight w:val="none"/>
                <w:lang w:bidi="ar"/>
              </w:rPr>
              <w:t>1、“岗位”要求</w:t>
            </w:r>
            <w:r>
              <w:rPr>
                <w:rStyle w:val="47"/>
                <w:rFonts w:hint="default" w:cs="宋体"/>
                <w:color w:val="auto"/>
                <w:sz w:val="21"/>
                <w:szCs w:val="21"/>
                <w:highlight w:val="none"/>
                <w:lang w:bidi="ar"/>
              </w:rPr>
              <w:t>（除项目负责人和专职安全员外）</w:t>
            </w:r>
            <w:r>
              <w:rPr>
                <w:rStyle w:val="46"/>
                <w:rFonts w:hint="default" w:ascii="宋体" w:hAnsi="宋体" w:eastAsia="宋体" w:cs="宋体"/>
                <w:color w:val="auto"/>
                <w:sz w:val="21"/>
                <w:szCs w:val="21"/>
                <w:highlight w:val="none"/>
                <w:lang w:bidi="ar"/>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46"/>
                <w:rFonts w:hint="eastAsia" w:ascii="宋体" w:hAnsi="宋体" w:eastAsia="宋体" w:cs="宋体"/>
                <w:color w:val="auto"/>
                <w:sz w:val="21"/>
                <w:szCs w:val="21"/>
                <w:highlight w:val="none"/>
                <w:lang w:eastAsia="zh-CN" w:bidi="ar"/>
              </w:rPr>
            </w:pPr>
            <w:r>
              <w:rPr>
                <w:rStyle w:val="46"/>
                <w:rFonts w:hint="default"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cs="宋体"/>
                <w:color w:val="auto"/>
                <w:szCs w:val="21"/>
                <w:highlight w:val="none"/>
              </w:rPr>
            </w:pPr>
            <w:r>
              <w:rPr>
                <w:rStyle w:val="46"/>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30"/>
        <w:ind w:firstLine="3161" w:firstLineChars="1450"/>
        <w:rPr>
          <w:rFonts w:hint="default" w:cs="宋体"/>
          <w:color w:val="auto"/>
          <w:sz w:val="21"/>
          <w:szCs w:val="21"/>
          <w:highlight w:val="none"/>
        </w:rPr>
      </w:pPr>
      <w:r>
        <w:rPr>
          <w:rFonts w:cs="宋体"/>
          <w:color w:val="auto"/>
          <w:sz w:val="21"/>
          <w:szCs w:val="21"/>
          <w:highlight w:val="none"/>
        </w:rPr>
        <w:t>投标人：　　（盖章）</w:t>
      </w:r>
    </w:p>
    <w:p>
      <w:pPr>
        <w:pStyle w:val="30"/>
        <w:ind w:firstLine="3161" w:firstLineChars="1450"/>
        <w:rPr>
          <w:rFonts w:hint="default" w:cs="宋体"/>
          <w:color w:val="auto"/>
          <w:sz w:val="21"/>
          <w:szCs w:val="21"/>
          <w:highlight w:val="none"/>
        </w:rPr>
      </w:pPr>
      <w:r>
        <w:rPr>
          <w:rFonts w:cs="宋体"/>
          <w:color w:val="auto"/>
          <w:sz w:val="21"/>
          <w:szCs w:val="21"/>
          <w:highlight w:val="none"/>
        </w:rPr>
        <w:t>法定代表人或授权代理人（签字或盖章）：</w:t>
      </w:r>
    </w:p>
    <w:p>
      <w:pPr>
        <w:ind w:right="42" w:rightChars="20" w:firstLine="3150" w:firstLineChars="1500"/>
        <w:jc w:val="left"/>
        <w:rPr>
          <w:rFonts w:cs="宋体"/>
          <w:bCs/>
          <w:color w:val="auto"/>
          <w:szCs w:val="24"/>
          <w:highlight w:val="none"/>
        </w:rPr>
      </w:pPr>
      <w:r>
        <w:rPr>
          <w:rFonts w:hint="eastAsia" w:cs="宋体"/>
          <w:color w:val="auto"/>
          <w:szCs w:val="21"/>
          <w:highlight w:val="none"/>
        </w:rPr>
        <w:t>日   期：    年    月    日</w:t>
      </w:r>
    </w:p>
    <w:p>
      <w:pPr>
        <w:widowControl/>
        <w:jc w:val="left"/>
        <w:rPr>
          <w:color w:val="auto"/>
          <w:kern w:val="0"/>
          <w:sz w:val="27"/>
          <w:szCs w:val="27"/>
          <w:highlight w:val="none"/>
        </w:rPr>
      </w:pPr>
      <w:bookmarkStart w:id="33" w:name="_Toc61541791"/>
      <w:bookmarkStart w:id="34" w:name="_Toc60070626"/>
      <w:r>
        <w:rPr>
          <w:color w:val="auto"/>
          <w:highlight w:val="none"/>
        </w:rPr>
        <w:br w:type="page"/>
      </w:r>
    </w:p>
    <w:p>
      <w:pPr>
        <w:pStyle w:val="8"/>
        <w:rPr>
          <w:color w:val="auto"/>
          <w:highlight w:val="none"/>
        </w:rPr>
      </w:pPr>
      <w:r>
        <w:rPr>
          <w:rFonts w:hint="eastAsia"/>
          <w:color w:val="auto"/>
          <w:highlight w:val="none"/>
        </w:rPr>
        <w:t>格式六：</w:t>
      </w:r>
      <w:bookmarkEnd w:id="33"/>
      <w:bookmarkEnd w:id="34"/>
    </w:p>
    <w:p>
      <w:pPr>
        <w:jc w:val="center"/>
        <w:rPr>
          <w:rFonts w:cs="宋体"/>
          <w:color w:val="auto"/>
          <w:sz w:val="36"/>
          <w:szCs w:val="36"/>
          <w:highlight w:val="none"/>
        </w:rPr>
      </w:pPr>
      <w:r>
        <w:rPr>
          <w:rFonts w:hint="eastAsia" w:cs="宋体"/>
          <w:b/>
          <w:color w:val="auto"/>
          <w:sz w:val="36"/>
          <w:szCs w:val="36"/>
          <w:highlight w:val="none"/>
        </w:rPr>
        <w:t>企业业绩信息表</w:t>
      </w:r>
    </w:p>
    <w:p>
      <w:pPr>
        <w:rPr>
          <w:color w:val="auto"/>
          <w:sz w:val="24"/>
          <w:szCs w:val="24"/>
          <w:highlight w:val="none"/>
        </w:rPr>
      </w:pPr>
    </w:p>
    <w:tbl>
      <w:tblPr>
        <w:tblStyle w:val="24"/>
        <w:tblpPr w:leftFromText="180" w:rightFromText="180" w:vertAnchor="text" w:horzAnchor="margin" w:tblpXSpec="center" w:tblpY="-21"/>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753"/>
        <w:gridCol w:w="1814"/>
        <w:gridCol w:w="2911"/>
        <w:gridCol w:w="1701"/>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restart"/>
            <w:tcBorders>
              <w:top w:val="single" w:color="auto" w:sz="4" w:space="0"/>
              <w:left w:val="single" w:color="auto" w:sz="4" w:space="0"/>
              <w:right w:val="single" w:color="auto" w:sz="4" w:space="0"/>
            </w:tcBorders>
            <w:vAlign w:val="center"/>
          </w:tcPr>
          <w:p>
            <w:pPr>
              <w:widowControl/>
              <w:jc w:val="center"/>
              <w:rPr>
                <w:rFonts w:cs="宋体"/>
                <w:bCs/>
                <w:color w:val="auto"/>
                <w:sz w:val="24"/>
                <w:szCs w:val="24"/>
                <w:highlight w:val="none"/>
                <w:lang w:val="zh-CN"/>
              </w:rPr>
            </w:pPr>
            <w:r>
              <w:rPr>
                <w:rFonts w:hint="eastAsia" w:cs="宋体"/>
                <w:bCs/>
                <w:color w:val="auto"/>
                <w:sz w:val="24"/>
                <w:szCs w:val="24"/>
                <w:highlight w:val="none"/>
                <w:lang w:val="zh-CN"/>
              </w:rPr>
              <w:t>类似工程业绩</w:t>
            </w:r>
          </w:p>
        </w:tc>
        <w:tc>
          <w:tcPr>
            <w:tcW w:w="753" w:type="dxa"/>
            <w:tcBorders>
              <w:top w:val="single" w:color="auto" w:sz="4" w:space="0"/>
              <w:left w:val="single" w:color="auto" w:sz="4" w:space="0"/>
              <w:right w:val="single" w:color="auto" w:sz="4" w:space="0"/>
            </w:tcBorders>
            <w:vAlign w:val="center"/>
          </w:tcPr>
          <w:p>
            <w:pPr>
              <w:autoSpaceDE w:val="0"/>
              <w:autoSpaceDN w:val="0"/>
              <w:adjustRightInd w:val="0"/>
              <w:jc w:val="center"/>
              <w:rPr>
                <w:color w:val="auto"/>
                <w:sz w:val="24"/>
                <w:szCs w:val="24"/>
                <w:highlight w:val="none"/>
              </w:rPr>
            </w:pPr>
            <w:r>
              <w:rPr>
                <w:rFonts w:hint="eastAsia"/>
                <w:color w:val="auto"/>
                <w:sz w:val="24"/>
                <w:szCs w:val="24"/>
                <w:highlight w:val="none"/>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r>
              <w:rPr>
                <w:rFonts w:hint="eastAsia"/>
                <w:color w:val="auto"/>
                <w:sz w:val="24"/>
                <w:szCs w:val="24"/>
                <w:highlight w:val="none"/>
              </w:rPr>
              <w:t>项目编号</w:t>
            </w:r>
          </w:p>
        </w:tc>
        <w:tc>
          <w:tcPr>
            <w:tcW w:w="2911" w:type="dxa"/>
            <w:tcBorders>
              <w:top w:val="single" w:color="auto" w:sz="4" w:space="0"/>
              <w:left w:val="single" w:color="auto" w:sz="4" w:space="0"/>
              <w:right w:val="single" w:color="auto" w:sz="4" w:space="0"/>
            </w:tcBorders>
            <w:vAlign w:val="center"/>
          </w:tcPr>
          <w:p>
            <w:pPr>
              <w:autoSpaceDE w:val="0"/>
              <w:autoSpaceDN w:val="0"/>
              <w:adjustRightInd w:val="0"/>
              <w:jc w:val="center"/>
              <w:rPr>
                <w:color w:val="auto"/>
                <w:sz w:val="24"/>
                <w:szCs w:val="24"/>
                <w:highlight w:val="none"/>
              </w:rPr>
            </w:pPr>
            <w:r>
              <w:rPr>
                <w:rFonts w:hint="eastAsia"/>
                <w:color w:val="auto"/>
                <w:sz w:val="24"/>
                <w:szCs w:val="24"/>
                <w:highlight w:val="none"/>
              </w:rPr>
              <w:t>项目名称</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 xml:space="preserve"> 金额</w:t>
            </w:r>
          </w:p>
        </w:tc>
        <w:tc>
          <w:tcPr>
            <w:tcW w:w="1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rPr>
            </w:pPr>
            <w:r>
              <w:rPr>
                <w:rFonts w:hint="eastAsia" w:cs="宋体"/>
                <w:bCs/>
                <w:color w:val="auto"/>
                <w:sz w:val="24"/>
                <w:szCs w:val="24"/>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tcBorders>
              <w:left w:val="single" w:color="auto" w:sz="4" w:space="0"/>
              <w:right w:val="single" w:color="auto" w:sz="4" w:space="0"/>
            </w:tcBorders>
            <w:vAlign w:val="center"/>
          </w:tcPr>
          <w:p>
            <w:pPr>
              <w:widowControl/>
              <w:jc w:val="center"/>
              <w:rPr>
                <w:rFonts w:cs="宋体"/>
                <w:bCs/>
                <w:color w:val="auto"/>
                <w:sz w:val="24"/>
                <w:szCs w:val="24"/>
                <w:highlight w:val="none"/>
                <w:lang w:val="zh-CN"/>
              </w:rPr>
            </w:pPr>
          </w:p>
        </w:tc>
        <w:tc>
          <w:tcPr>
            <w:tcW w:w="753"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p>
        </w:tc>
        <w:tc>
          <w:tcPr>
            <w:tcW w:w="2911"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tcBorders>
              <w:left w:val="single" w:color="auto" w:sz="4" w:space="0"/>
              <w:right w:val="single" w:color="auto" w:sz="4" w:space="0"/>
            </w:tcBorders>
            <w:vAlign w:val="center"/>
          </w:tcPr>
          <w:p>
            <w:pPr>
              <w:widowControl/>
              <w:jc w:val="center"/>
              <w:rPr>
                <w:rFonts w:cs="宋体"/>
                <w:bCs/>
                <w:color w:val="auto"/>
                <w:sz w:val="24"/>
                <w:szCs w:val="24"/>
                <w:highlight w:val="none"/>
                <w:lang w:val="zh-CN"/>
              </w:rPr>
            </w:pPr>
          </w:p>
        </w:tc>
        <w:tc>
          <w:tcPr>
            <w:tcW w:w="753"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p>
        </w:tc>
        <w:tc>
          <w:tcPr>
            <w:tcW w:w="2911"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restart"/>
            <w:tcBorders>
              <w:left w:val="single" w:color="auto" w:sz="4" w:space="0"/>
              <w:right w:val="single" w:color="auto" w:sz="4" w:space="0"/>
            </w:tcBorders>
            <w:vAlign w:val="center"/>
          </w:tcPr>
          <w:p>
            <w:pPr>
              <w:widowControl/>
              <w:jc w:val="center"/>
              <w:rPr>
                <w:rFonts w:cs="宋体"/>
                <w:bCs/>
                <w:color w:val="auto"/>
                <w:sz w:val="24"/>
                <w:szCs w:val="24"/>
                <w:highlight w:val="none"/>
                <w:lang w:val="zh-CN"/>
              </w:rPr>
            </w:pPr>
            <w:r>
              <w:rPr>
                <w:rFonts w:hint="eastAsia" w:cs="宋体"/>
                <w:bCs/>
                <w:color w:val="auto"/>
                <w:sz w:val="24"/>
                <w:szCs w:val="24"/>
                <w:highlight w:val="none"/>
                <w:lang w:val="zh-CN"/>
              </w:rPr>
              <w:t>工程获奖</w:t>
            </w:r>
          </w:p>
        </w:tc>
        <w:tc>
          <w:tcPr>
            <w:tcW w:w="753" w:type="dxa"/>
            <w:tcBorders>
              <w:left w:val="single" w:color="auto" w:sz="4" w:space="0"/>
              <w:right w:val="single" w:color="auto" w:sz="4" w:space="0"/>
            </w:tcBorders>
            <w:vAlign w:val="center"/>
          </w:tcPr>
          <w:p>
            <w:pPr>
              <w:autoSpaceDE w:val="0"/>
              <w:autoSpaceDN w:val="0"/>
              <w:adjustRightInd w:val="0"/>
              <w:jc w:val="center"/>
              <w:rPr>
                <w:color w:val="auto"/>
                <w:sz w:val="24"/>
                <w:szCs w:val="24"/>
                <w:highlight w:val="none"/>
              </w:rPr>
            </w:pPr>
            <w:r>
              <w:rPr>
                <w:rFonts w:hint="eastAsia"/>
                <w:color w:val="auto"/>
                <w:sz w:val="24"/>
                <w:szCs w:val="24"/>
                <w:highlight w:val="none"/>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r>
              <w:rPr>
                <w:rFonts w:hint="eastAsia"/>
                <w:color w:val="auto"/>
                <w:sz w:val="24"/>
                <w:szCs w:val="24"/>
                <w:highlight w:val="none"/>
              </w:rPr>
              <w:t>项目编号</w:t>
            </w:r>
          </w:p>
        </w:tc>
        <w:tc>
          <w:tcPr>
            <w:tcW w:w="2911" w:type="dxa"/>
            <w:tcBorders>
              <w:left w:val="single" w:color="auto" w:sz="4" w:space="0"/>
              <w:right w:val="single" w:color="auto" w:sz="4" w:space="0"/>
            </w:tcBorders>
            <w:vAlign w:val="center"/>
          </w:tcPr>
          <w:p>
            <w:pPr>
              <w:autoSpaceDE w:val="0"/>
              <w:autoSpaceDN w:val="0"/>
              <w:adjustRightInd w:val="0"/>
              <w:jc w:val="center"/>
              <w:rPr>
                <w:color w:val="auto"/>
                <w:sz w:val="24"/>
                <w:szCs w:val="24"/>
                <w:highlight w:val="none"/>
              </w:rPr>
            </w:pPr>
            <w:r>
              <w:rPr>
                <w:rFonts w:hint="eastAsia"/>
                <w:color w:val="auto"/>
                <w:sz w:val="24"/>
                <w:szCs w:val="24"/>
                <w:highlight w:val="none"/>
              </w:rPr>
              <w:t>项目名称</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所获奖项</w:t>
            </w:r>
          </w:p>
        </w:tc>
        <w:tc>
          <w:tcPr>
            <w:tcW w:w="1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rPr>
            </w:pPr>
            <w:r>
              <w:rPr>
                <w:rFonts w:hint="eastAsia" w:cs="宋体"/>
                <w:bCs/>
                <w:color w:val="auto"/>
                <w:sz w:val="24"/>
                <w:szCs w:val="24"/>
                <w:highlight w:val="none"/>
              </w:rPr>
              <w:t>获奖日期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tcBorders>
              <w:left w:val="single" w:color="auto" w:sz="4" w:space="0"/>
              <w:right w:val="single" w:color="auto" w:sz="4" w:space="0"/>
            </w:tcBorders>
            <w:vAlign w:val="center"/>
          </w:tcPr>
          <w:p>
            <w:pPr>
              <w:widowControl/>
              <w:jc w:val="center"/>
              <w:rPr>
                <w:rFonts w:cs="宋体"/>
                <w:bCs/>
                <w:color w:val="auto"/>
                <w:sz w:val="24"/>
                <w:szCs w:val="24"/>
                <w:highlight w:val="none"/>
                <w:lang w:val="zh-CN"/>
              </w:rPr>
            </w:pPr>
          </w:p>
        </w:tc>
        <w:tc>
          <w:tcPr>
            <w:tcW w:w="753"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p>
        </w:tc>
        <w:tc>
          <w:tcPr>
            <w:tcW w:w="2911"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tcBorders>
              <w:left w:val="single" w:color="auto" w:sz="4" w:space="0"/>
              <w:right w:val="single" w:color="auto" w:sz="4" w:space="0"/>
            </w:tcBorders>
            <w:vAlign w:val="center"/>
          </w:tcPr>
          <w:p>
            <w:pPr>
              <w:widowControl/>
              <w:jc w:val="center"/>
              <w:rPr>
                <w:rFonts w:cs="宋体"/>
                <w:bCs/>
                <w:color w:val="auto"/>
                <w:sz w:val="24"/>
                <w:szCs w:val="24"/>
                <w:highlight w:val="none"/>
                <w:lang w:val="zh-CN"/>
              </w:rPr>
            </w:pPr>
          </w:p>
        </w:tc>
        <w:tc>
          <w:tcPr>
            <w:tcW w:w="753"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8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highlight w:val="none"/>
              </w:rPr>
            </w:pPr>
          </w:p>
        </w:tc>
        <w:tc>
          <w:tcPr>
            <w:tcW w:w="2911" w:type="dxa"/>
            <w:tcBorders>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c>
          <w:tcPr>
            <w:tcW w:w="1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p>
        </w:tc>
      </w:tr>
    </w:tbl>
    <w:p>
      <w:pPr>
        <w:spacing w:line="360" w:lineRule="auto"/>
        <w:jc w:val="left"/>
        <w:rPr>
          <w:rFonts w:cs="宋体"/>
          <w:bCs/>
          <w:color w:val="auto"/>
          <w:szCs w:val="24"/>
          <w:highlight w:val="none"/>
        </w:rPr>
      </w:pPr>
      <w:r>
        <w:rPr>
          <w:rFonts w:hint="eastAsia" w:cs="宋体"/>
          <w:bCs/>
          <w:color w:val="auto"/>
          <w:szCs w:val="24"/>
          <w:highlight w:val="none"/>
        </w:rPr>
        <w:t>按评标表后附相关证明资料。</w:t>
      </w:r>
    </w:p>
    <w:p>
      <w:pPr>
        <w:autoSpaceDE w:val="0"/>
        <w:autoSpaceDN w:val="0"/>
        <w:adjustRightInd w:val="0"/>
        <w:spacing w:line="360" w:lineRule="auto"/>
        <w:rPr>
          <w:rFonts w:cs="宋体"/>
          <w:color w:val="auto"/>
          <w:sz w:val="24"/>
          <w:szCs w:val="24"/>
          <w:highlight w:val="none"/>
        </w:rPr>
      </w:pPr>
    </w:p>
    <w:p>
      <w:pPr>
        <w:pStyle w:val="8"/>
        <w:rPr>
          <w:color w:val="auto"/>
          <w:highlight w:val="none"/>
        </w:rPr>
      </w:pPr>
      <w:r>
        <w:rPr>
          <w:rFonts w:hint="eastAsia"/>
          <w:color w:val="auto"/>
          <w:highlight w:val="none"/>
        </w:rPr>
        <w:br w:type="page"/>
      </w:r>
    </w:p>
    <w:p>
      <w:pPr>
        <w:pStyle w:val="8"/>
        <w:rPr>
          <w:bCs/>
          <w:color w:val="auto"/>
          <w:highlight w:val="none"/>
          <w:lang w:val="zh-CN"/>
        </w:rPr>
      </w:pPr>
      <w:bookmarkStart w:id="35" w:name="_Toc60070629"/>
      <w:bookmarkStart w:id="36" w:name="_Toc61541792"/>
      <w:r>
        <w:rPr>
          <w:rFonts w:hint="eastAsia"/>
          <w:color w:val="auto"/>
          <w:highlight w:val="none"/>
        </w:rPr>
        <w:t>格式七：</w:t>
      </w:r>
      <w:bookmarkEnd w:id="35"/>
      <w:bookmarkEnd w:id="36"/>
    </w:p>
    <w:p>
      <w:pPr>
        <w:autoSpaceDE w:val="0"/>
        <w:autoSpaceDN w:val="0"/>
        <w:adjustRightInd w:val="0"/>
        <w:spacing w:line="360" w:lineRule="auto"/>
        <w:jc w:val="center"/>
        <w:rPr>
          <w:rFonts w:cs="宋体"/>
          <w:b/>
          <w:color w:val="auto"/>
          <w:sz w:val="36"/>
          <w:szCs w:val="36"/>
          <w:highlight w:val="none"/>
        </w:rPr>
      </w:pPr>
      <w:r>
        <w:rPr>
          <w:rFonts w:hint="eastAsia" w:cs="宋体"/>
          <w:b/>
          <w:color w:val="auto"/>
          <w:sz w:val="36"/>
          <w:szCs w:val="36"/>
          <w:highlight w:val="none"/>
        </w:rPr>
        <w:t>拟投入本工程施工的主要机械设备配备表</w:t>
      </w:r>
    </w:p>
    <w:tbl>
      <w:tblPr>
        <w:tblStyle w:val="24"/>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r>
              <w:rPr>
                <w:rFonts w:hint="eastAsia" w:cs="宋体"/>
                <w:color w:val="auto"/>
                <w:szCs w:val="21"/>
                <w:highlight w:val="none"/>
              </w:rPr>
              <w:t>序</w:t>
            </w:r>
          </w:p>
          <w:p>
            <w:pPr>
              <w:spacing w:line="240" w:lineRule="exact"/>
              <w:jc w:val="center"/>
              <w:textAlignment w:val="center"/>
              <w:rPr>
                <w:rFonts w:cs="宋体"/>
                <w:color w:val="auto"/>
                <w:szCs w:val="21"/>
                <w:highlight w:val="none"/>
              </w:rPr>
            </w:pPr>
            <w:r>
              <w:rPr>
                <w:rFonts w:hint="eastAsia"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r>
              <w:rPr>
                <w:rFonts w:hint="eastAsia"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r>
              <w:rPr>
                <w:rFonts w:hint="eastAsia"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r>
              <w:rPr>
                <w:rFonts w:hint="eastAsia" w:cs="宋体"/>
                <w:color w:val="auto"/>
                <w:szCs w:val="21"/>
                <w:highlight w:val="none"/>
              </w:rPr>
              <w:t>来源</w:t>
            </w:r>
          </w:p>
          <w:p>
            <w:pPr>
              <w:spacing w:line="240" w:lineRule="exact"/>
              <w:jc w:val="center"/>
              <w:textAlignment w:val="center"/>
              <w:rPr>
                <w:rFonts w:cs="宋体"/>
                <w:color w:val="auto"/>
                <w:szCs w:val="21"/>
                <w:highlight w:val="none"/>
              </w:rPr>
            </w:pPr>
            <w:r>
              <w:rPr>
                <w:rFonts w:hint="eastAsia" w:cs="宋体"/>
                <w:color w:val="auto"/>
                <w:szCs w:val="21"/>
                <w:highlight w:val="none"/>
              </w:rPr>
              <w:t>(自有/</w:t>
            </w:r>
          </w:p>
          <w:p>
            <w:pPr>
              <w:spacing w:line="240" w:lineRule="exact"/>
              <w:jc w:val="center"/>
              <w:textAlignment w:val="center"/>
              <w:rPr>
                <w:rFonts w:cs="宋体"/>
                <w:color w:val="auto"/>
                <w:szCs w:val="21"/>
                <w:highlight w:val="none"/>
              </w:rPr>
            </w:pPr>
            <w:r>
              <w:rPr>
                <w:rFonts w:hint="eastAsia"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r>
              <w:rPr>
                <w:rFonts w:hint="eastAsia"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cs="宋体"/>
                <w:color w:val="auto"/>
                <w:szCs w:val="21"/>
                <w:highlight w:val="none"/>
              </w:rPr>
            </w:pPr>
          </w:p>
        </w:tc>
      </w:tr>
    </w:tbl>
    <w:p>
      <w:pPr>
        <w:tabs>
          <w:tab w:val="left" w:pos="720"/>
        </w:tabs>
        <w:snapToGrid w:val="0"/>
        <w:spacing w:line="360" w:lineRule="auto"/>
        <w:rPr>
          <w:color w:val="auto"/>
          <w:highlight w:val="none"/>
        </w:rPr>
      </w:pPr>
    </w:p>
    <w:p>
      <w:pPr>
        <w:tabs>
          <w:tab w:val="left" w:pos="720"/>
        </w:tabs>
        <w:snapToGrid w:val="0"/>
        <w:spacing w:line="360" w:lineRule="auto"/>
        <w:rPr>
          <w:rFonts w:cs="宋体"/>
          <w:b/>
          <w:color w:val="auto"/>
          <w:szCs w:val="21"/>
          <w:highlight w:val="none"/>
        </w:rPr>
      </w:pPr>
      <w:r>
        <w:rPr>
          <w:rFonts w:hint="eastAsia"/>
          <w:color w:val="auto"/>
          <w:highlight w:val="none"/>
        </w:rPr>
        <w:t>注：设备名称及要求数量由投标人视本工程具体情况结合招标人对本工程的具体要求自行配备。</w:t>
      </w:r>
    </w:p>
    <w:p>
      <w:pPr>
        <w:ind w:right="-130" w:rightChars="-62"/>
        <w:rPr>
          <w:color w:val="auto"/>
          <w:highlight w:val="none"/>
        </w:rPr>
      </w:pPr>
    </w:p>
    <w:p>
      <w:pPr>
        <w:topLinePunct/>
        <w:adjustRightInd w:val="0"/>
        <w:snapToGrid w:val="0"/>
        <w:spacing w:line="360" w:lineRule="auto"/>
        <w:ind w:firstLine="3161" w:firstLineChars="1450"/>
        <w:rPr>
          <w:snapToGrid w:val="0"/>
          <w:color w:val="auto"/>
          <w:spacing w:val="4"/>
          <w:kern w:val="0"/>
          <w:szCs w:val="21"/>
          <w:highlight w:val="none"/>
        </w:rPr>
      </w:pPr>
    </w:p>
    <w:p>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jc w:val="left"/>
        <w:rPr>
          <w:snapToGrid w:val="0"/>
          <w:color w:val="auto"/>
          <w:spacing w:val="4"/>
          <w:kern w:val="0"/>
          <w:szCs w:val="21"/>
          <w:highlight w:val="none"/>
        </w:rPr>
      </w:pPr>
      <w:r>
        <w:rPr>
          <w:rFonts w:hint="eastAsia" w:cs="宋体"/>
          <w:snapToGrid w:val="0"/>
          <w:color w:val="auto"/>
          <w:spacing w:val="4"/>
          <w:kern w:val="0"/>
          <w:sz w:val="24"/>
          <w:szCs w:val="24"/>
          <w:highlight w:val="none"/>
        </w:rPr>
        <w:t>日    期：    年    月    日</w:t>
      </w:r>
    </w:p>
    <w:p>
      <w:pPr>
        <w:rPr>
          <w:color w:val="auto"/>
          <w:highlight w:val="none"/>
        </w:rPr>
      </w:pPr>
    </w:p>
    <w:p>
      <w:pPr>
        <w:widowControl/>
        <w:jc w:val="left"/>
        <w:rPr>
          <w:color w:val="auto"/>
          <w:highlight w:val="none"/>
        </w:rPr>
      </w:pPr>
      <w:r>
        <w:rPr>
          <w:color w:val="auto"/>
          <w:highlight w:val="none"/>
        </w:rPr>
        <w:br w:type="page"/>
      </w:r>
    </w:p>
    <w:p>
      <w:pPr>
        <w:pStyle w:val="8"/>
        <w:rPr>
          <w:color w:val="auto"/>
          <w:highlight w:val="none"/>
        </w:rPr>
      </w:pPr>
      <w:bookmarkStart w:id="37" w:name="_Toc60070630"/>
      <w:bookmarkStart w:id="38" w:name="_Toc61541793"/>
      <w:bookmarkStart w:id="39" w:name="_Toc58838602"/>
      <w:r>
        <w:rPr>
          <w:rFonts w:hint="eastAsia"/>
          <w:color w:val="auto"/>
          <w:highlight w:val="none"/>
        </w:rPr>
        <w:t>格式八：</w:t>
      </w:r>
      <w:bookmarkEnd w:id="37"/>
      <w:bookmarkEnd w:id="38"/>
    </w:p>
    <w:bookmarkEnd w:id="39"/>
    <w:p>
      <w:pPr>
        <w:jc w:val="center"/>
        <w:rPr>
          <w:b/>
          <w:color w:val="auto"/>
          <w:sz w:val="36"/>
          <w:szCs w:val="36"/>
          <w:highlight w:val="none"/>
        </w:rPr>
      </w:pPr>
      <w:r>
        <w:rPr>
          <w:rFonts w:hint="eastAsia"/>
          <w:b/>
          <w:color w:val="auto"/>
          <w:sz w:val="36"/>
          <w:szCs w:val="36"/>
          <w:highlight w:val="none"/>
        </w:rPr>
        <w:t>危险性较大的分部分项工程安全管理措施</w:t>
      </w:r>
    </w:p>
    <w:p>
      <w:pPr>
        <w:numPr>
          <w:ilvl w:val="0"/>
          <w:numId w:val="3"/>
        </w:numPr>
        <w:autoSpaceDE w:val="0"/>
        <w:autoSpaceDN w:val="0"/>
        <w:adjustRightInd w:val="0"/>
        <w:spacing w:line="360" w:lineRule="auto"/>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3"/>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pPr>
        <w:numPr>
          <w:ilvl w:val="0"/>
          <w:numId w:val="4"/>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pPr>
        <w:numPr>
          <w:ilvl w:val="0"/>
          <w:numId w:val="4"/>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pPr>
        <w:numPr>
          <w:ilvl w:val="0"/>
          <w:numId w:val="4"/>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pPr>
        <w:numPr>
          <w:ilvl w:val="0"/>
          <w:numId w:val="3"/>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pPr>
        <w:numPr>
          <w:ilvl w:val="0"/>
          <w:numId w:val="3"/>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2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建设单位</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投标单位</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一、基坑支护</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ascii="Times New Roman" w:hAnsi="Times New Roman"/>
                <w:b/>
                <w:bCs/>
                <w:color w:val="auto"/>
                <w:highlight w:val="none"/>
                <w:lang w:val="en-US" w:eastAsia="zh-CN"/>
              </w:rPr>
              <w:t xml:space="preserve">  </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b/>
                <w:bCs/>
                <w:color w:val="auto"/>
                <w:sz w:val="24"/>
                <w:szCs w:val="36"/>
                <w:highlight w:val="none"/>
              </w:rPr>
              <w:t>√</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3" w:lineRule="auto"/>
              <w:jc w:val="left"/>
              <w:rPr>
                <w:rFonts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3" w:lineRule="auto"/>
              <w:jc w:val="left"/>
              <w:rPr>
                <w:rFonts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3" w:lineRule="auto"/>
              <w:jc w:val="left"/>
              <w:rPr>
                <w:rFonts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ascii="Times New Roman" w:hAnsi="Times New Roman"/>
                <w:b/>
                <w:bCs/>
                <w:color w:val="auto"/>
                <w:highlight w:val="none"/>
                <w:lang w:val="en-US" w:eastAsia="zh-CN"/>
              </w:rPr>
              <w:t xml:space="preserve">  </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b/>
                <w:bCs/>
                <w:color w:val="auto"/>
                <w:sz w:val="24"/>
                <w:szCs w:val="36"/>
                <w:highlight w:val="none"/>
              </w:rPr>
              <w:t>√</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b/>
                <w:bCs/>
                <w:color w:val="auto"/>
                <w:sz w:val="24"/>
                <w:szCs w:val="36"/>
                <w:highlight w:val="none"/>
              </w:rPr>
              <w:t>√</w:t>
            </w:r>
            <w:r>
              <w:rPr>
                <w:rFonts w:hint="eastAsia" w:ascii="Times New Roman" w:hAnsi="Times New Roman"/>
                <w:b/>
                <w:bCs/>
                <w:color w:val="auto"/>
                <w:highlight w:val="none"/>
                <w:lang w:val="en-US" w:eastAsia="zh-CN"/>
              </w:rPr>
              <w:t xml:space="preserve"> </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b/>
                <w:bCs/>
                <w:color w:val="auto"/>
                <w:sz w:val="24"/>
                <w:szCs w:val="36"/>
                <w:highlight w:val="none"/>
              </w:rPr>
              <w:t>√</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六、暗挖工程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b/>
                <w:bCs/>
                <w:color w:val="auto"/>
                <w:sz w:val="24"/>
                <w:szCs w:val="36"/>
                <w:highlight w:val="none"/>
              </w:rPr>
              <w:t>√</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spacing w:line="273" w:lineRule="auto"/>
              <w:rPr>
                <w:rFonts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一、深基坑工程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ascii="Times New Roman" w:hAnsi="Times New Roman"/>
                <w:b/>
                <w:bCs/>
                <w:color w:val="auto"/>
                <w:highlight w:val="none"/>
                <w:lang w:val="en-US" w:eastAsia="zh-CN"/>
              </w:rPr>
              <w:t xml:space="preserve"> </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ind w:firstLine="48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Times New Roman" w:hAnsi="Times New Roman"/>
                <w:color w:val="auto"/>
                <w:highlight w:val="none"/>
              </w:rPr>
            </w:pPr>
            <w:r>
              <w:rPr>
                <w:rFonts w:hint="eastAsia" w:ascii="Times New Roman" w:hAnsi="Times New Roman"/>
                <w:color w:val="auto"/>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ind w:firstLine="48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ind w:firstLine="48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六、暗挖工程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xml:space="preserve">(   </w:t>
            </w:r>
            <w:r>
              <w:rPr>
                <w:rFonts w:hint="eastAsia"/>
                <w:b/>
                <w:bCs/>
                <w:color w:val="auto"/>
                <w:sz w:val="24"/>
                <w:szCs w:val="36"/>
                <w:highlight w:val="none"/>
              </w:rPr>
              <w:t>√</w:t>
            </w:r>
            <w:r>
              <w:rPr>
                <w:rFonts w:hint="eastAsia" w:ascii="Times New Roman" w:hAnsi="Times New Roman"/>
                <w:b/>
                <w:bCs/>
                <w:color w:val="auto"/>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b/>
                <w:bCs/>
                <w:color w:val="auto"/>
                <w:highlight w:val="none"/>
              </w:rPr>
            </w:pPr>
            <w:r>
              <w:rPr>
                <w:rFonts w:hint="eastAsia" w:ascii="Times New Roman" w:hAnsi="Times New Roman"/>
                <w:b/>
                <w:bCs/>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r>
              <w:rPr>
                <w:rFonts w:hint="eastAsia" w:ascii="Times New Roman" w:hAnsi="Times New Roman"/>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color w:val="auto"/>
                <w:highlight w:val="none"/>
              </w:rPr>
            </w:pPr>
          </w:p>
        </w:tc>
      </w:tr>
    </w:tbl>
    <w:p>
      <w:pPr>
        <w:autoSpaceDE w:val="0"/>
        <w:autoSpaceDN w:val="0"/>
        <w:adjustRightInd w:val="0"/>
        <w:spacing w:line="360" w:lineRule="auto"/>
        <w:jc w:val="left"/>
        <w:rPr>
          <w:color w:val="auto"/>
          <w:sz w:val="24"/>
          <w:szCs w:val="28"/>
          <w:highlight w:val="none"/>
        </w:rPr>
      </w:pPr>
    </w:p>
    <w:p>
      <w:pPr>
        <w:topLinePunct/>
        <w:adjustRightInd w:val="0"/>
        <w:snapToGrid w:val="0"/>
        <w:spacing w:line="360" w:lineRule="auto"/>
        <w:ind w:firstLine="496" w:firstLineChars="200"/>
        <w:rPr>
          <w:color w:val="auto"/>
          <w:spacing w:val="4"/>
          <w:kern w:val="0"/>
          <w:sz w:val="24"/>
          <w:szCs w:val="24"/>
          <w:highlight w:val="none"/>
        </w:rPr>
      </w:pPr>
    </w:p>
    <w:p>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pPr>
        <w:autoSpaceDE w:val="0"/>
        <w:autoSpaceDN w:val="0"/>
        <w:adjustRightInd w:val="0"/>
        <w:spacing w:line="360" w:lineRule="auto"/>
        <w:ind w:firstLine="691" w:firstLineChars="279"/>
        <w:rPr>
          <w:rFonts w:cs="宋体"/>
          <w:bCs/>
          <w:color w:val="auto"/>
          <w:sz w:val="24"/>
          <w:szCs w:val="24"/>
          <w:highlight w:val="none"/>
        </w:rPr>
      </w:pPr>
      <w:r>
        <w:rPr>
          <w:rFonts w:hint="eastAsia" w:cs="宋体"/>
          <w:snapToGrid w:val="0"/>
          <w:color w:val="auto"/>
          <w:spacing w:val="4"/>
          <w:kern w:val="0"/>
          <w:sz w:val="24"/>
          <w:szCs w:val="24"/>
          <w:highlight w:val="none"/>
        </w:rPr>
        <w:t>日    期：    年    月    日</w:t>
      </w:r>
    </w:p>
    <w:p>
      <w:pPr>
        <w:ind w:right="-130" w:rightChars="-62"/>
        <w:rPr>
          <w:color w:val="auto"/>
          <w:highlight w:val="none"/>
        </w:rPr>
      </w:pPr>
    </w:p>
    <w:p>
      <w:pPr>
        <w:widowControl/>
        <w:jc w:val="left"/>
        <w:rPr>
          <w:color w:val="auto"/>
          <w:highlight w:val="none"/>
        </w:rPr>
      </w:pPr>
      <w:r>
        <w:rPr>
          <w:color w:val="auto"/>
          <w:highlight w:val="none"/>
        </w:rPr>
        <w:br w:type="page"/>
      </w:r>
    </w:p>
    <w:p>
      <w:pPr>
        <w:pStyle w:val="8"/>
        <w:rPr>
          <w:color w:val="auto"/>
          <w:highlight w:val="none"/>
        </w:rPr>
      </w:pPr>
      <w:bookmarkStart w:id="40" w:name="_Toc60070631"/>
      <w:bookmarkStart w:id="41" w:name="_Toc61541795"/>
      <w:bookmarkStart w:id="42" w:name="_Toc58838603"/>
      <w:r>
        <w:rPr>
          <w:rFonts w:hint="eastAsia"/>
          <w:color w:val="auto"/>
          <w:highlight w:val="none"/>
        </w:rPr>
        <w:t>格式九：</w:t>
      </w:r>
      <w:bookmarkEnd w:id="40"/>
      <w:bookmarkEnd w:id="41"/>
      <w:bookmarkEnd w:id="42"/>
    </w:p>
    <w:p>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bl>
    <w:p>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pPr>
        <w:rPr>
          <w:color w:val="auto"/>
          <w:highlight w:val="none"/>
        </w:rPr>
      </w:pPr>
    </w:p>
    <w:p>
      <w:pPr>
        <w:widowControl/>
        <w:jc w:val="left"/>
        <w:rPr>
          <w:color w:val="auto"/>
          <w:highlight w:val="none"/>
        </w:rPr>
      </w:pPr>
      <w:r>
        <w:rPr>
          <w:color w:val="auto"/>
          <w:highlight w:val="none"/>
        </w:rPr>
        <w:br w:type="page"/>
      </w:r>
    </w:p>
    <w:p>
      <w:pPr>
        <w:pStyle w:val="7"/>
        <w:rPr>
          <w:bCs/>
          <w:color w:val="auto"/>
          <w:highlight w:val="none"/>
        </w:rPr>
      </w:pPr>
      <w:bookmarkStart w:id="43" w:name="_Toc61541796"/>
      <w:bookmarkStart w:id="44" w:name="_Toc58838604"/>
      <w:r>
        <w:rPr>
          <w:rFonts w:hint="eastAsia"/>
          <w:color w:val="auto"/>
          <w:highlight w:val="none"/>
        </w:rPr>
        <w:t>二、经济标投标文件格式</w:t>
      </w:r>
      <w:bookmarkEnd w:id="43"/>
      <w:bookmarkEnd w:id="44"/>
    </w:p>
    <w:p>
      <w:pPr>
        <w:pStyle w:val="8"/>
        <w:rPr>
          <w:rFonts w:cs="宋体"/>
          <w:b/>
          <w:bCs/>
          <w:color w:val="auto"/>
          <w:sz w:val="44"/>
          <w:szCs w:val="44"/>
          <w:highlight w:val="none"/>
          <w:lang w:val="zh-CN"/>
        </w:rPr>
      </w:pPr>
      <w:bookmarkStart w:id="45" w:name="_Toc6493862"/>
      <w:bookmarkStart w:id="46" w:name="_Toc58838605"/>
      <w:bookmarkStart w:id="47" w:name="_Toc60070633"/>
      <w:bookmarkStart w:id="48" w:name="_Toc61541797"/>
      <w:r>
        <w:rPr>
          <w:rFonts w:hint="eastAsia"/>
          <w:snapToGrid w:val="0"/>
          <w:color w:val="auto"/>
          <w:highlight w:val="none"/>
        </w:rPr>
        <w:t>格式十</w:t>
      </w:r>
      <w:bookmarkEnd w:id="45"/>
      <w:bookmarkEnd w:id="46"/>
      <w:r>
        <w:rPr>
          <w:rFonts w:hint="eastAsia"/>
          <w:snapToGrid w:val="0"/>
          <w:color w:val="auto"/>
          <w:highlight w:val="none"/>
        </w:rPr>
        <w:t>：</w:t>
      </w:r>
      <w:bookmarkEnd w:id="47"/>
      <w:bookmarkEnd w:id="48"/>
    </w:p>
    <w:p>
      <w:pPr>
        <w:jc w:val="center"/>
        <w:rPr>
          <w:b/>
          <w:color w:val="auto"/>
          <w:sz w:val="36"/>
          <w:szCs w:val="36"/>
          <w:highlight w:val="none"/>
        </w:rPr>
      </w:pPr>
      <w:bookmarkStart w:id="49" w:name="_Toc58838606"/>
      <w:r>
        <w:rPr>
          <w:rFonts w:hint="eastAsia"/>
          <w:b/>
          <w:color w:val="auto"/>
          <w:sz w:val="36"/>
          <w:szCs w:val="36"/>
          <w:highlight w:val="none"/>
        </w:rPr>
        <w:t>广州建设工程施工招标投标书（经济标）</w:t>
      </w:r>
      <w:bookmarkEnd w:id="49"/>
    </w:p>
    <w:tbl>
      <w:tblPr>
        <w:tblStyle w:val="2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cs="宋体"/>
                <w:bCs/>
                <w:color w:val="auto"/>
                <w:sz w:val="24"/>
                <w:szCs w:val="24"/>
                <w:highlight w:val="none"/>
                <w:lang w:val="zh-CN"/>
              </w:rPr>
            </w:pPr>
            <w:r>
              <w:rPr>
                <w:rFonts w:hint="eastAsia" w:cs="宋体"/>
                <w:bCs/>
                <w:color w:val="auto"/>
                <w:sz w:val="24"/>
                <w:szCs w:val="24"/>
                <w:highlight w:val="none"/>
                <w:lang w:val="zh-CN"/>
              </w:rPr>
              <w:t>其中： 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bl>
    <w:p>
      <w:pPr>
        <w:autoSpaceDE w:val="0"/>
        <w:autoSpaceDN w:val="0"/>
        <w:adjustRightInd w:val="0"/>
        <w:jc w:val="left"/>
        <w:rPr>
          <w:rFonts w:cs="宋体"/>
          <w:b/>
          <w:color w:val="auto"/>
          <w:sz w:val="24"/>
          <w:szCs w:val="24"/>
          <w:highlight w:val="none"/>
          <w:lang w:val="zh-CN"/>
        </w:rPr>
      </w:pPr>
      <w:r>
        <w:rPr>
          <w:color w:val="auto"/>
          <w:highlight w:val="none"/>
        </w:rPr>
        <w:br w:type="page"/>
      </w:r>
      <w:bookmarkStart w:id="50" w:name="_Toc6493863"/>
      <w:bookmarkStart w:id="51" w:name="_Toc58838607"/>
      <w:bookmarkStart w:id="52" w:name="_Toc60070634"/>
      <w:bookmarkStart w:id="53" w:name="_Toc61541798"/>
    </w:p>
    <w:p>
      <w:pPr>
        <w:pStyle w:val="8"/>
        <w:rPr>
          <w:bCs/>
          <w:color w:val="auto"/>
          <w:highlight w:val="none"/>
        </w:rPr>
      </w:pPr>
      <w:r>
        <w:rPr>
          <w:rFonts w:hint="eastAsia"/>
          <w:snapToGrid w:val="0"/>
          <w:color w:val="auto"/>
          <w:highlight w:val="none"/>
        </w:rPr>
        <w:t>格式十</w:t>
      </w:r>
      <w:bookmarkEnd w:id="50"/>
      <w:bookmarkEnd w:id="51"/>
      <w:r>
        <w:rPr>
          <w:rFonts w:hint="eastAsia"/>
          <w:snapToGrid w:val="0"/>
          <w:color w:val="auto"/>
          <w:highlight w:val="none"/>
        </w:rPr>
        <w:t>一：</w:t>
      </w:r>
      <w:bookmarkEnd w:id="52"/>
      <w:bookmarkEnd w:id="53"/>
    </w:p>
    <w:p>
      <w:pPr>
        <w:jc w:val="center"/>
        <w:rPr>
          <w:b/>
          <w:color w:val="auto"/>
          <w:sz w:val="36"/>
          <w:szCs w:val="36"/>
          <w:highlight w:val="none"/>
        </w:rPr>
      </w:pPr>
      <w:bookmarkStart w:id="54" w:name="_Toc58838608"/>
      <w:r>
        <w:rPr>
          <w:rFonts w:hint="eastAsia"/>
          <w:b/>
          <w:color w:val="auto"/>
          <w:sz w:val="36"/>
          <w:szCs w:val="36"/>
          <w:highlight w:val="none"/>
        </w:rPr>
        <w:t>参与编制经济标投标文件人员名单</w:t>
      </w:r>
      <w:bookmarkEnd w:id="54"/>
    </w:p>
    <w:tbl>
      <w:tblPr>
        <w:tblStyle w:val="24"/>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姓名</w:t>
            </w:r>
          </w:p>
        </w:tc>
        <w:tc>
          <w:tcPr>
            <w:tcW w:w="1441"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职务</w:t>
            </w:r>
          </w:p>
        </w:tc>
        <w:tc>
          <w:tcPr>
            <w:tcW w:w="2461"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所承担工作</w:t>
            </w:r>
          </w:p>
        </w:tc>
        <w:tc>
          <w:tcPr>
            <w:tcW w:w="2359"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身份证号码</w:t>
            </w:r>
          </w:p>
        </w:tc>
        <w:tc>
          <w:tcPr>
            <w:tcW w:w="1419"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bl>
    <w:p>
      <w:pPr>
        <w:tabs>
          <w:tab w:val="left" w:pos="720"/>
        </w:tabs>
        <w:snapToGrid w:val="0"/>
        <w:spacing w:line="360" w:lineRule="auto"/>
        <w:rPr>
          <w:color w:val="auto"/>
          <w:sz w:val="24"/>
          <w:szCs w:val="24"/>
          <w:highlight w:val="none"/>
        </w:rPr>
      </w:pPr>
    </w:p>
    <w:p>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widowControl/>
        <w:jc w:val="left"/>
        <w:rPr>
          <w:rFonts w:cs="宋体"/>
          <w:b/>
          <w:color w:val="auto"/>
          <w:kern w:val="0"/>
          <w:sz w:val="24"/>
          <w:szCs w:val="24"/>
          <w:highlight w:val="none"/>
        </w:rPr>
      </w:pPr>
      <w:r>
        <w:rPr>
          <w:color w:val="auto"/>
          <w:highlight w:val="none"/>
        </w:rPr>
        <w:br w:type="page"/>
      </w:r>
    </w:p>
    <w:p>
      <w:pPr>
        <w:pStyle w:val="8"/>
        <w:rPr>
          <w:color w:val="auto"/>
          <w:highlight w:val="none"/>
        </w:rPr>
      </w:pPr>
      <w:bookmarkStart w:id="55" w:name="_Toc61541799"/>
      <w:bookmarkStart w:id="56" w:name="_Toc60070635"/>
      <w:r>
        <w:rPr>
          <w:rFonts w:hint="eastAsia"/>
          <w:color w:val="auto"/>
          <w:highlight w:val="none"/>
        </w:rPr>
        <w:t>格式</w:t>
      </w:r>
      <w:r>
        <w:rPr>
          <w:rFonts w:hint="eastAsia"/>
          <w:snapToGrid w:val="0"/>
          <w:color w:val="auto"/>
          <w:highlight w:val="none"/>
        </w:rPr>
        <w:t>十二</w:t>
      </w:r>
      <w:r>
        <w:rPr>
          <w:rFonts w:hint="eastAsia"/>
          <w:color w:val="auto"/>
          <w:kern w:val="2"/>
          <w:highlight w:val="none"/>
        </w:rPr>
        <w:t>：</w:t>
      </w:r>
      <w:bookmarkEnd w:id="55"/>
      <w:bookmarkEnd w:id="56"/>
    </w:p>
    <w:p>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color w:val="auto"/>
          <w:sz w:val="24"/>
          <w:szCs w:val="24"/>
          <w:highlight w:val="none"/>
        </w:rPr>
      </w:pP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cs="宋体"/>
          <w:color w:val="auto"/>
          <w:sz w:val="24"/>
          <w:szCs w:val="24"/>
          <w:highlight w:val="none"/>
        </w:rPr>
      </w:pPr>
      <w:r>
        <w:rPr>
          <w:rFonts w:hint="eastAsia" w:cs="宋体"/>
          <w:color w:val="auto"/>
          <w:sz w:val="24"/>
          <w:szCs w:val="24"/>
          <w:highlight w:val="none"/>
        </w:rPr>
        <w:t>投 标 人：    （盖章）</w:t>
      </w:r>
    </w:p>
    <w:p>
      <w:pPr>
        <w:spacing w:line="360" w:lineRule="auto"/>
        <w:ind w:right="90" w:firstLine="3240" w:firstLineChars="1350"/>
        <w:rPr>
          <w:rFonts w:cs="宋体"/>
          <w:color w:val="auto"/>
          <w:sz w:val="24"/>
          <w:szCs w:val="24"/>
          <w:highlight w:val="none"/>
        </w:rPr>
      </w:pPr>
      <w:r>
        <w:rPr>
          <w:rFonts w:hint="eastAsia" w:cs="宋体"/>
          <w:color w:val="auto"/>
          <w:sz w:val="24"/>
          <w:szCs w:val="24"/>
          <w:highlight w:val="none"/>
        </w:rPr>
        <w:t>法定代表人或授权代理人（签字或盖章）：</w:t>
      </w:r>
    </w:p>
    <w:p>
      <w:pPr>
        <w:spacing w:line="360" w:lineRule="auto"/>
        <w:ind w:right="90" w:firstLine="3240" w:firstLineChars="1350"/>
        <w:rPr>
          <w:rFonts w:cs="宋体"/>
          <w:color w:val="auto"/>
          <w:sz w:val="24"/>
          <w:szCs w:val="24"/>
          <w:highlight w:val="none"/>
        </w:rPr>
      </w:pPr>
      <w:r>
        <w:rPr>
          <w:rFonts w:hint="eastAsia" w:cs="宋体"/>
          <w:color w:val="auto"/>
          <w:sz w:val="24"/>
          <w:szCs w:val="24"/>
          <w:highlight w:val="none"/>
        </w:rPr>
        <w:t>日    期：    年    月    日</w:t>
      </w:r>
    </w:p>
    <w:p>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pPr>
        <w:pStyle w:val="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4"/>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  自有    □      外包    □   其他    □</w:t>
            </w:r>
          </w:p>
          <w:p>
            <w:pPr>
              <w:pStyle w:val="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pPr>
              <w:pStyle w:val="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pPr>
              <w:pStyle w:val="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        （如××市××区(县) ××街（路）××号××大厦××房）</w:t>
            </w:r>
          </w:p>
        </w:tc>
      </w:tr>
    </w:tbl>
    <w:p>
      <w:pPr>
        <w:tabs>
          <w:tab w:val="left" w:pos="720"/>
        </w:tabs>
        <w:snapToGrid w:val="0"/>
        <w:spacing w:line="360" w:lineRule="auto"/>
        <w:outlineLvl w:val="0"/>
        <w:rPr>
          <w:rFonts w:cs="宋体"/>
          <w:color w:val="auto"/>
          <w:szCs w:val="21"/>
          <w:highlight w:val="none"/>
        </w:rPr>
      </w:pPr>
    </w:p>
    <w:p>
      <w:pPr>
        <w:tabs>
          <w:tab w:val="left" w:pos="720"/>
        </w:tabs>
        <w:snapToGrid w:val="0"/>
        <w:spacing w:line="360" w:lineRule="auto"/>
        <w:ind w:firstLine="482" w:firstLineChars="100"/>
        <w:jc w:val="left"/>
        <w:outlineLvl w:val="0"/>
        <w:rPr>
          <w:rStyle w:val="38"/>
          <w:rFonts w:hint="default"/>
          <w:color w:val="auto"/>
          <w:highlight w:val="none"/>
        </w:rPr>
      </w:pPr>
      <w:r>
        <w:rPr>
          <w:rStyle w:val="38"/>
          <w:rFonts w:hint="default"/>
          <w:color w:val="auto"/>
          <w:highlight w:val="none"/>
        </w:rPr>
        <w:t>第五章  技术条件（工程建设标准）</w:t>
      </w:r>
    </w:p>
    <w:p>
      <w:pPr>
        <w:spacing w:line="276" w:lineRule="auto"/>
        <w:rPr>
          <w:rFonts w:cs="宋体"/>
          <w:b/>
          <w:color w:val="auto"/>
          <w:sz w:val="24"/>
          <w:szCs w:val="24"/>
          <w:highlight w:val="none"/>
        </w:rPr>
      </w:pPr>
      <w:r>
        <w:rPr>
          <w:rFonts w:hint="eastAsia" w:cs="宋体"/>
          <w:b/>
          <w:color w:val="auto"/>
          <w:sz w:val="24"/>
          <w:szCs w:val="24"/>
          <w:highlight w:val="none"/>
        </w:rPr>
        <w:t>一、标准</w:t>
      </w:r>
    </w:p>
    <w:p>
      <w:pPr>
        <w:spacing w:line="276" w:lineRule="auto"/>
        <w:ind w:firstLine="240" w:firstLineChars="100"/>
        <w:rPr>
          <w:rFonts w:cs="宋体"/>
          <w:color w:val="auto"/>
          <w:sz w:val="24"/>
          <w:szCs w:val="24"/>
          <w:highlight w:val="none"/>
        </w:rPr>
      </w:pPr>
      <w:r>
        <w:rPr>
          <w:rFonts w:hint="eastAsia" w:cs="宋体"/>
          <w:color w:val="auto"/>
          <w:sz w:val="24"/>
          <w:szCs w:val="24"/>
          <w:highlight w:val="none"/>
        </w:rPr>
        <w:t>以现行的中华人民共和国及有关部委颁布的标准、规范、和规程。若施工时期建设主管部门颁布新的规范、标准，则按照新的规范、标准执行。</w:t>
      </w:r>
    </w:p>
    <w:p>
      <w:pPr>
        <w:spacing w:line="276" w:lineRule="auto"/>
        <w:rPr>
          <w:rFonts w:cs="宋体"/>
          <w:color w:val="auto"/>
          <w:sz w:val="24"/>
          <w:szCs w:val="24"/>
          <w:highlight w:val="none"/>
        </w:rPr>
      </w:pPr>
    </w:p>
    <w:p>
      <w:pPr>
        <w:spacing w:line="276" w:lineRule="auto"/>
        <w:rPr>
          <w:rFonts w:cs="宋体"/>
          <w:b/>
          <w:color w:val="auto"/>
          <w:sz w:val="24"/>
          <w:szCs w:val="24"/>
          <w:highlight w:val="none"/>
        </w:rPr>
      </w:pPr>
      <w:r>
        <w:rPr>
          <w:rFonts w:hint="eastAsia" w:cs="宋体"/>
          <w:b/>
          <w:color w:val="auto"/>
          <w:sz w:val="24"/>
          <w:szCs w:val="24"/>
          <w:highlight w:val="none"/>
        </w:rPr>
        <w:t>二、施工组织设计要点</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（一）工程概况及特点</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1.1 工程概况</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工程简述，工程规模，工程承包范围，地质及地貌状况，自然环境，交通情况等。</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1.2 工程特点</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设计特点、工程特点、影响施工的主要和特殊环节分析等。</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（二）施工现场组织机构</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2.1 组织机构关系图</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2.2 工程主要负责人简介。</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（三）施工现场总平面布置图</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3.1 施工现场平面布置图</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（四）施工方案</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4.1 施工准备</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简要叙述施工技术资料、材料、通讯、施工场地的准备，施工机械、施工力量的配置，以及生活设施等的准备情况。主要施工机械设备表。</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4.2 施工工序总体安排</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4.3 主要工序和特殊工序的施工方法和施工效率估计，潜在问题的分析。</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4.4 工程成本的控制措施为控制成本，提高效益，拟采取的措施。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（五）工期及施工进度计划</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5.1 工期规划及要求</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用横道图反映各主要施工过程的计划进度，深度达到全面、准确、清楚的描述工程实施过程，从中可衍生出各种施工资源计划及其过程管理信息。</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5.2 施工进度计划网络图</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施工网络图应明确工程开工、竣工日期，工程施工的关键路线，并针对关键工序，提出确保工期拟采取的措施。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5.3 施工资源（人力、材料、机具、场地及进场道路、公共关系）计划</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5.4 施工进度计划分析</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计划潜在问题，计划中的潜力及其开发途径等。</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5.5 计划控制</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程序、方法及制度等。</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（六）质量目标、质量保证体系及技术组织措施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6.1 质量目标</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本工程要求的质量目标：分部工程验收合格率100%，项目所涉及的政府专项验收全部通过，本工程一次竣工验收合格。</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用单位工程和分项工程合格率、优良品率表示，欲达到的工程质量等级。</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6.2 质量管理组织机构及主要职责</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用框图表示质量管理组织机构，并简要叙述各质量管理部门的主要职责。</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6.3 质量管理的措施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简要叙述质量管理的措施和关键工序的质量控制。</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6.4 质量管理及检验的标准</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执行的主要质量标准、规范。</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6.5 质量保证技术措施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针对本工程特点，分析质量薄弱环节，拟将采取的技术措施。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（七）安全目标、安全保证体系及技术组织措施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7.1 安全管理目标</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7.2 安全管理组织机构及主要职责</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用框图表示安全管理组织机构，并简要叙述各安全管理部门及人员的主要职责。</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7.3 安全管理制度及办法</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7.4 安全组织技术措施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针对本工程特点，分析安全薄弱环节，拟将采取的技术措施。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7.5 重要施工方案和特殊施工工序的安全过程控制</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安全生产目标：杜绝本项目施工人员重大伤亡事故。</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文明施工目标：标准化管理。</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（八）环境保护及文明施工</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8.1 环境保护</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分析因施工可能引起的环境保护方面的问题。</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8.2 加强施工管理、严格保护环境</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提出环境保护的目标及采取的具体措施。</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8.3 文明施工的目标、组织机构和实施方案</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8.4 文明施工考核、管理办法</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（九）计划、统计和信息管理</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9.1 计划、统计报表的编制与传递；</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9.2 信息管理</w:t>
      </w:r>
    </w:p>
    <w:p>
      <w:pPr>
        <w:spacing w:line="276" w:lineRule="auto"/>
        <w:ind w:firstLine="424" w:firstLineChars="177"/>
        <w:rPr>
          <w:rFonts w:cs="宋体"/>
          <w:color w:val="auto"/>
          <w:sz w:val="24"/>
          <w:szCs w:val="24"/>
          <w:highlight w:val="none"/>
        </w:rPr>
      </w:pPr>
      <w:r>
        <w:rPr>
          <w:rFonts w:hint="eastAsia" w:cs="宋体"/>
          <w:color w:val="auto"/>
          <w:sz w:val="24"/>
          <w:szCs w:val="24"/>
          <w:highlight w:val="none"/>
        </w:rPr>
        <w:t>提出信息管理的目标及拟将采取的措施。</w:t>
      </w: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rPr>
          <w:rFonts w:cs="宋体"/>
          <w:color w:val="auto"/>
          <w:sz w:val="24"/>
          <w:szCs w:val="24"/>
          <w:highlight w:val="none"/>
        </w:rPr>
      </w:pPr>
    </w:p>
    <w:p>
      <w:pPr>
        <w:pStyle w:val="9"/>
        <w:ind w:firstLine="480"/>
        <w:rPr>
          <w:rFonts w:cs="宋体"/>
          <w:color w:val="auto"/>
          <w:sz w:val="24"/>
          <w:szCs w:val="24"/>
          <w:highlight w:val="none"/>
        </w:rPr>
      </w:pPr>
    </w:p>
    <w:p>
      <w:pPr>
        <w:pStyle w:val="8"/>
        <w:spacing w:before="156" w:after="120"/>
        <w:rPr>
          <w:snapToGrid w:val="0"/>
          <w:color w:val="auto"/>
          <w:spacing w:val="4"/>
          <w:highlight w:val="none"/>
        </w:rPr>
      </w:pPr>
    </w:p>
    <w:p>
      <w:pPr>
        <w:pStyle w:val="8"/>
        <w:spacing w:before="156" w:after="120"/>
        <w:rPr>
          <w:snapToGrid w:val="0"/>
          <w:color w:val="auto"/>
          <w:spacing w:val="4"/>
          <w:highlight w:val="none"/>
        </w:rPr>
      </w:pPr>
    </w:p>
    <w:p>
      <w:pPr>
        <w:pStyle w:val="30"/>
        <w:tabs>
          <w:tab w:val="left" w:pos="1260"/>
        </w:tabs>
        <w:ind w:firstLine="476" w:firstLineChars="192"/>
        <w:rPr>
          <w:rFonts w:hint="default"/>
          <w:color w:val="auto"/>
          <w:highlight w:val="none"/>
        </w:rPr>
      </w:pPr>
    </w:p>
    <w:p>
      <w:pPr>
        <w:pStyle w:val="3"/>
        <w:jc w:val="center"/>
        <w:rPr>
          <w:rFonts w:hint="default"/>
          <w:color w:val="auto"/>
          <w:highlight w:val="none"/>
        </w:rPr>
      </w:pPr>
      <w:bookmarkStart w:id="57" w:name="_Toc18664075"/>
      <w:r>
        <w:rPr>
          <w:color w:val="auto"/>
          <w:highlight w:val="none"/>
        </w:rPr>
        <w:t>第六章  图纸及勘察资料</w:t>
      </w:r>
      <w:bookmarkEnd w:id="57"/>
    </w:p>
    <w:p>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招标图纸（另册）。</w:t>
      </w:r>
    </w:p>
    <w:p>
      <w:pPr>
        <w:topLinePunct/>
        <w:adjustRightInd w:val="0"/>
        <w:snapToGrid w:val="0"/>
        <w:spacing w:line="360" w:lineRule="auto"/>
        <w:ind w:firstLine="496" w:firstLineChars="200"/>
        <w:rPr>
          <w:rFonts w:cs="宋体"/>
          <w:snapToGrid w:val="0"/>
          <w:color w:val="auto"/>
          <w:spacing w:val="4"/>
          <w:kern w:val="0"/>
          <w:sz w:val="24"/>
          <w:szCs w:val="24"/>
          <w:highlight w:val="none"/>
        </w:rPr>
      </w:pPr>
    </w:p>
    <w:p>
      <w:pPr>
        <w:topLinePunct/>
        <w:adjustRightInd w:val="0"/>
        <w:snapToGrid w:val="0"/>
        <w:spacing w:before="156" w:after="156" w:line="360" w:lineRule="auto"/>
        <w:ind w:firstLine="496" w:firstLineChars="200"/>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注：本项目所有招标图纸、资料知识产权属招标人所有，不得用于除本次招标项目外其它用途，否则应承担由此所引起的全部法律责任。</w:t>
      </w:r>
    </w:p>
    <w:p>
      <w:pPr>
        <w:jc w:val="center"/>
        <w:rPr>
          <w:rFonts w:cs="宋体"/>
          <w:b/>
          <w:bCs/>
          <w:color w:val="auto"/>
          <w:sz w:val="28"/>
          <w:szCs w:val="28"/>
          <w:highlight w:val="none"/>
        </w:rPr>
      </w:pPr>
    </w:p>
    <w:p>
      <w:pPr>
        <w:pStyle w:val="3"/>
        <w:jc w:val="center"/>
        <w:rPr>
          <w:rFonts w:hint="default"/>
          <w:color w:val="auto"/>
          <w:highlight w:val="none"/>
        </w:rPr>
      </w:pPr>
      <w:r>
        <w:rPr>
          <w:color w:val="auto"/>
          <w:sz w:val="24"/>
          <w:szCs w:val="24"/>
          <w:highlight w:val="none"/>
        </w:rPr>
        <w:br w:type="page"/>
      </w:r>
      <w:bookmarkStart w:id="58" w:name="_Toc18664076"/>
      <w:r>
        <w:rPr>
          <w:color w:val="auto"/>
          <w:highlight w:val="none"/>
        </w:rPr>
        <w:t>第七章  工程量清单</w:t>
      </w:r>
      <w:bookmarkEnd w:id="58"/>
    </w:p>
    <w:p>
      <w:pPr>
        <w:rPr>
          <w:b/>
          <w:color w:val="auto"/>
          <w:sz w:val="24"/>
          <w:szCs w:val="24"/>
          <w:highlight w:val="none"/>
        </w:rPr>
      </w:pPr>
      <w:r>
        <w:rPr>
          <w:rFonts w:hint="eastAsia"/>
          <w:color w:val="auto"/>
          <w:sz w:val="24"/>
          <w:szCs w:val="24"/>
          <w:highlight w:val="none"/>
        </w:rPr>
        <w:t>注：另册。</w:t>
      </w:r>
    </w:p>
    <w:p>
      <w:pPr>
        <w:pStyle w:val="5"/>
        <w:spacing w:after="0" w:line="360" w:lineRule="auto"/>
        <w:ind w:left="-2" w:leftChars="-1" w:firstLine="960" w:firstLineChars="400"/>
        <w:rPr>
          <w:rFonts w:ascii="宋体"/>
          <w:color w:val="auto"/>
          <w:sz w:val="24"/>
          <w:highlight w:val="none"/>
        </w:rPr>
      </w:pPr>
    </w:p>
    <w:p>
      <w:pPr>
        <w:pStyle w:val="3"/>
        <w:rPr>
          <w:rFonts w:hint="default"/>
          <w:color w:val="auto"/>
          <w:highlight w:val="none"/>
        </w:rPr>
      </w:pPr>
    </w:p>
    <w:p>
      <w:pPr>
        <w:pStyle w:val="3"/>
        <w:jc w:val="center"/>
        <w:rPr>
          <w:rFonts w:hint="default"/>
          <w:color w:val="auto"/>
          <w:highlight w:val="none"/>
        </w:rPr>
      </w:pPr>
      <w:r>
        <w:rPr>
          <w:color w:val="auto"/>
          <w:sz w:val="24"/>
          <w:szCs w:val="24"/>
          <w:highlight w:val="none"/>
        </w:rPr>
        <w:br w:type="page"/>
      </w:r>
      <w:bookmarkStart w:id="59" w:name="_Toc18664077"/>
      <w:r>
        <w:rPr>
          <w:color w:val="auto"/>
          <w:highlight w:val="none"/>
        </w:rPr>
        <w:t>第八章  最高投标限价</w:t>
      </w:r>
      <w:bookmarkEnd w:id="59"/>
    </w:p>
    <w:p>
      <w:pPr>
        <w:spacing w:line="360" w:lineRule="auto"/>
        <w:ind w:firstLine="480"/>
        <w:rPr>
          <w:color w:val="auto"/>
          <w:sz w:val="24"/>
          <w:szCs w:val="24"/>
          <w:highlight w:val="none"/>
        </w:rPr>
      </w:pPr>
      <w:r>
        <w:rPr>
          <w:rFonts w:hint="eastAsia"/>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rPr>
          <w:color w:val="auto"/>
          <w:sz w:val="24"/>
          <w:szCs w:val="24"/>
          <w:highlight w:val="none"/>
        </w:rPr>
      </w:pPr>
      <w:r>
        <w:rPr>
          <w:rFonts w:hint="eastAsia"/>
          <w:color w:val="auto"/>
          <w:sz w:val="24"/>
          <w:szCs w:val="24"/>
          <w:highlight w:val="none"/>
        </w:rPr>
        <w:t>详见《最高投标限价公布函》</w:t>
      </w:r>
    </w:p>
    <w:p>
      <w:pPr>
        <w:rPr>
          <w:color w:val="auto"/>
          <w:highlight w:val="none"/>
        </w:rPr>
      </w:pPr>
    </w:p>
    <w:p>
      <w:pPr>
        <w:rPr>
          <w:color w:val="auto"/>
          <w:highlight w:val="none"/>
        </w:rPr>
      </w:pPr>
    </w:p>
    <w:sectPr>
      <w:headerReference r:id="rId22" w:type="first"/>
      <w:footerReference r:id="rId24" w:type="first"/>
      <w:headerReference r:id="rId21" w:type="default"/>
      <w:footerReference r:id="rId23" w:type="default"/>
      <w:pgSz w:w="11905" w:h="16838"/>
      <w:pgMar w:top="1440" w:right="1803" w:bottom="1440" w:left="1803" w:header="850" w:footer="907" w:gutter="0"/>
      <w:pgNumType w:fmt="decimal"/>
      <w:cols w:space="0" w:num="1"/>
      <w:titlePg/>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jc w:val="right"/>
      <w:rPr>
        <w:rStyle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26"/>
      </w:rPr>
    </w:pPr>
    <w:r>
      <w:fldChar w:fldCharType="begin"/>
    </w:r>
    <w:r>
      <w:rPr>
        <w:rStyle w:val="26"/>
      </w:rPr>
      <w:instrText xml:space="preserve">PAGE  </w:instrText>
    </w:r>
    <w:r>
      <w:fldChar w:fldCharType="separate"/>
    </w:r>
    <w:r>
      <w:rPr>
        <w:rStyle w:val="26"/>
        <w:rFonts w:hint="eastAsia"/>
      </w:rPr>
      <w:t>一</w:t>
    </w:r>
    <w:r>
      <w:rPr>
        <w:rStyle w:val="26"/>
      </w:rPr>
      <w:t>–2</w:t>
    </w:r>
    <w:r>
      <w:fldChar w:fldCharType="end"/>
    </w:r>
  </w:p>
  <w:p>
    <w:pPr>
      <w:pStyle w:val="1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jc w:val="right"/>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fldChar w:fldCharType="begin"/>
    </w:r>
    <w:r>
      <w:rPr>
        <w:rStyle w:val="26"/>
      </w:rPr>
      <w:instrText xml:space="preserve">PAGE  </w:instrText>
    </w:r>
    <w:r>
      <w:fldChar w:fldCharType="separate"/>
    </w:r>
    <w:r>
      <w:rPr>
        <w:rStyle w:val="26"/>
        <w:rFonts w:hint="eastAsia"/>
      </w:rPr>
      <w:t>一</w:t>
    </w:r>
    <w:r>
      <w:rPr>
        <w:rStyle w:val="26"/>
      </w:rPr>
      <w:t>–2</w:t>
    </w:r>
    <w:r>
      <w:fldChar w:fldCharType="end"/>
    </w:r>
  </w:p>
  <w:p>
    <w:pPr>
      <w:pStyle w:val="16"/>
      <w:ind w:right="360" w:firstLine="360"/>
      <w:jc w:val="center"/>
    </w:pP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i/>
        <w:iCs/>
      </w:rPr>
    </w:pPr>
    <w:r>
      <w:rPr>
        <w:rFonts w:hint="eastAsia"/>
        <w:i/>
        <w:iCs/>
      </w:rPr>
      <w:t>横枝岗路道路排水改造工程招标文件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i/>
        <w:iC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FF9B5"/>
    <w:multiLevelType w:val="singleLevel"/>
    <w:tmpl w:val="9EEFF9B5"/>
    <w:lvl w:ilvl="0" w:tentative="0">
      <w:start w:val="1"/>
      <w:numFmt w:val="decimal"/>
      <w:suff w:val="nothing"/>
      <w:lvlText w:val="（%1）"/>
      <w:lvlJc w:val="left"/>
    </w:lvl>
  </w:abstractNum>
  <w:abstractNum w:abstractNumId="1">
    <w:nsid w:val="CAD54D9E"/>
    <w:multiLevelType w:val="singleLevel"/>
    <w:tmpl w:val="CAD54D9E"/>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jczZjJiNjBiMTZmN2YzNTAyNGM3MTI2NzU5NjAifQ=="/>
  </w:docVars>
  <w:rsids>
    <w:rsidRoot w:val="18691B45"/>
    <w:rsid w:val="00012143"/>
    <w:rsid w:val="0012367E"/>
    <w:rsid w:val="001A07DA"/>
    <w:rsid w:val="003B49AE"/>
    <w:rsid w:val="006D1F01"/>
    <w:rsid w:val="007742EC"/>
    <w:rsid w:val="00825D35"/>
    <w:rsid w:val="00833D65"/>
    <w:rsid w:val="00900B41"/>
    <w:rsid w:val="00A55C49"/>
    <w:rsid w:val="00B43058"/>
    <w:rsid w:val="00C00249"/>
    <w:rsid w:val="00C558E9"/>
    <w:rsid w:val="00C64F76"/>
    <w:rsid w:val="00D022D0"/>
    <w:rsid w:val="00D3263A"/>
    <w:rsid w:val="00D36F05"/>
    <w:rsid w:val="00D52326"/>
    <w:rsid w:val="00E23DEF"/>
    <w:rsid w:val="00E32D5A"/>
    <w:rsid w:val="00EB7AAD"/>
    <w:rsid w:val="014545C7"/>
    <w:rsid w:val="01B77A9C"/>
    <w:rsid w:val="01D60B10"/>
    <w:rsid w:val="01E4388B"/>
    <w:rsid w:val="02BC1AB4"/>
    <w:rsid w:val="03394EB3"/>
    <w:rsid w:val="037E4FBC"/>
    <w:rsid w:val="03B31109"/>
    <w:rsid w:val="03B56C10"/>
    <w:rsid w:val="04F03C97"/>
    <w:rsid w:val="054E7C7B"/>
    <w:rsid w:val="05544226"/>
    <w:rsid w:val="06962B24"/>
    <w:rsid w:val="07856F69"/>
    <w:rsid w:val="078761D7"/>
    <w:rsid w:val="07895A92"/>
    <w:rsid w:val="078D3A1F"/>
    <w:rsid w:val="0857253A"/>
    <w:rsid w:val="087D0F8E"/>
    <w:rsid w:val="08BB45BC"/>
    <w:rsid w:val="0922463B"/>
    <w:rsid w:val="09364906"/>
    <w:rsid w:val="098736D2"/>
    <w:rsid w:val="09C94AB7"/>
    <w:rsid w:val="0A253C0E"/>
    <w:rsid w:val="0A2763AD"/>
    <w:rsid w:val="0A395D69"/>
    <w:rsid w:val="0A6054E6"/>
    <w:rsid w:val="0A962484"/>
    <w:rsid w:val="0AAB6D55"/>
    <w:rsid w:val="0ACF434F"/>
    <w:rsid w:val="0AE20526"/>
    <w:rsid w:val="0AFD0EBC"/>
    <w:rsid w:val="0B683CDE"/>
    <w:rsid w:val="0DE6032D"/>
    <w:rsid w:val="0DFF4F4B"/>
    <w:rsid w:val="0E372FB8"/>
    <w:rsid w:val="0E4312DC"/>
    <w:rsid w:val="0EFA4D2B"/>
    <w:rsid w:val="0F5660FF"/>
    <w:rsid w:val="105A72EE"/>
    <w:rsid w:val="10790FE5"/>
    <w:rsid w:val="10C4382B"/>
    <w:rsid w:val="10E568E6"/>
    <w:rsid w:val="10F95BF0"/>
    <w:rsid w:val="125A4C9C"/>
    <w:rsid w:val="12795B13"/>
    <w:rsid w:val="12974E77"/>
    <w:rsid w:val="13D945CE"/>
    <w:rsid w:val="155D11DB"/>
    <w:rsid w:val="1626576B"/>
    <w:rsid w:val="16797F90"/>
    <w:rsid w:val="16E702C2"/>
    <w:rsid w:val="170D168C"/>
    <w:rsid w:val="178A2E0D"/>
    <w:rsid w:val="18431A11"/>
    <w:rsid w:val="186146C9"/>
    <w:rsid w:val="18691B45"/>
    <w:rsid w:val="187F5606"/>
    <w:rsid w:val="18820C52"/>
    <w:rsid w:val="19157D18"/>
    <w:rsid w:val="19FC5A1C"/>
    <w:rsid w:val="1A4667C4"/>
    <w:rsid w:val="1A9A04D5"/>
    <w:rsid w:val="1AAC0209"/>
    <w:rsid w:val="1B010022"/>
    <w:rsid w:val="1BF04C9D"/>
    <w:rsid w:val="1C252021"/>
    <w:rsid w:val="1C44694B"/>
    <w:rsid w:val="1CC50728"/>
    <w:rsid w:val="1D3D13F5"/>
    <w:rsid w:val="1DB65EEF"/>
    <w:rsid w:val="1DD957B9"/>
    <w:rsid w:val="1DFF2796"/>
    <w:rsid w:val="1F4B7FF0"/>
    <w:rsid w:val="1F6F425A"/>
    <w:rsid w:val="208C08C0"/>
    <w:rsid w:val="20955606"/>
    <w:rsid w:val="20AD0C79"/>
    <w:rsid w:val="21020B82"/>
    <w:rsid w:val="211508B6"/>
    <w:rsid w:val="217239D6"/>
    <w:rsid w:val="219043E0"/>
    <w:rsid w:val="21F515F0"/>
    <w:rsid w:val="2246751B"/>
    <w:rsid w:val="226450B8"/>
    <w:rsid w:val="226A4C31"/>
    <w:rsid w:val="22A91AE4"/>
    <w:rsid w:val="22AC349C"/>
    <w:rsid w:val="242330D3"/>
    <w:rsid w:val="245711E5"/>
    <w:rsid w:val="24772334"/>
    <w:rsid w:val="24A7221B"/>
    <w:rsid w:val="255D282B"/>
    <w:rsid w:val="257D2CD6"/>
    <w:rsid w:val="25AA68F3"/>
    <w:rsid w:val="26155209"/>
    <w:rsid w:val="27041BFB"/>
    <w:rsid w:val="27537CF7"/>
    <w:rsid w:val="27E47234"/>
    <w:rsid w:val="28344D9D"/>
    <w:rsid w:val="283F26BC"/>
    <w:rsid w:val="28C20802"/>
    <w:rsid w:val="28CD24DA"/>
    <w:rsid w:val="298962E5"/>
    <w:rsid w:val="298F4365"/>
    <w:rsid w:val="2A587A65"/>
    <w:rsid w:val="2A706CFE"/>
    <w:rsid w:val="2BDB26FC"/>
    <w:rsid w:val="2BE5357A"/>
    <w:rsid w:val="2BF3045D"/>
    <w:rsid w:val="2CC05E49"/>
    <w:rsid w:val="2D6C39C1"/>
    <w:rsid w:val="2DF61A6F"/>
    <w:rsid w:val="2E312AA7"/>
    <w:rsid w:val="2E7A591C"/>
    <w:rsid w:val="2E8E1CA7"/>
    <w:rsid w:val="2F5702EB"/>
    <w:rsid w:val="2F950CA4"/>
    <w:rsid w:val="30A9726C"/>
    <w:rsid w:val="30FA7AC8"/>
    <w:rsid w:val="316310AA"/>
    <w:rsid w:val="318F7A31"/>
    <w:rsid w:val="329D7A22"/>
    <w:rsid w:val="33105381"/>
    <w:rsid w:val="337A6C9E"/>
    <w:rsid w:val="339935C8"/>
    <w:rsid w:val="33D25BF5"/>
    <w:rsid w:val="33FF347A"/>
    <w:rsid w:val="34B61CCD"/>
    <w:rsid w:val="35531BEF"/>
    <w:rsid w:val="35773495"/>
    <w:rsid w:val="36266C69"/>
    <w:rsid w:val="36453593"/>
    <w:rsid w:val="36492E0E"/>
    <w:rsid w:val="37B87D95"/>
    <w:rsid w:val="37CD4B53"/>
    <w:rsid w:val="38084878"/>
    <w:rsid w:val="384A1526"/>
    <w:rsid w:val="38EF4FB6"/>
    <w:rsid w:val="3929719C"/>
    <w:rsid w:val="394538AA"/>
    <w:rsid w:val="39DC01CA"/>
    <w:rsid w:val="3A053765"/>
    <w:rsid w:val="3A1A31C9"/>
    <w:rsid w:val="3A43428E"/>
    <w:rsid w:val="3A6D553E"/>
    <w:rsid w:val="3AC86541"/>
    <w:rsid w:val="3B095BAB"/>
    <w:rsid w:val="3B147FDE"/>
    <w:rsid w:val="3B1C1E0B"/>
    <w:rsid w:val="3B5E5525"/>
    <w:rsid w:val="3BDE289D"/>
    <w:rsid w:val="3C851070"/>
    <w:rsid w:val="3CA414C6"/>
    <w:rsid w:val="3D6915E8"/>
    <w:rsid w:val="3D6F6D49"/>
    <w:rsid w:val="3DCB6A74"/>
    <w:rsid w:val="3E926BAB"/>
    <w:rsid w:val="3EBA1C33"/>
    <w:rsid w:val="3EFC4A0B"/>
    <w:rsid w:val="3F6D76B7"/>
    <w:rsid w:val="3FD046A9"/>
    <w:rsid w:val="40182376"/>
    <w:rsid w:val="40420E03"/>
    <w:rsid w:val="4176520B"/>
    <w:rsid w:val="41AA4043"/>
    <w:rsid w:val="427C1DBE"/>
    <w:rsid w:val="42BD226D"/>
    <w:rsid w:val="42D737C5"/>
    <w:rsid w:val="42E46002"/>
    <w:rsid w:val="430B16C1"/>
    <w:rsid w:val="438352B1"/>
    <w:rsid w:val="43C024AB"/>
    <w:rsid w:val="43D9356D"/>
    <w:rsid w:val="44125A4F"/>
    <w:rsid w:val="441C6812"/>
    <w:rsid w:val="447D039C"/>
    <w:rsid w:val="4497636C"/>
    <w:rsid w:val="451279AE"/>
    <w:rsid w:val="45617644"/>
    <w:rsid w:val="4574179F"/>
    <w:rsid w:val="458F0387"/>
    <w:rsid w:val="459E681C"/>
    <w:rsid w:val="45A772E9"/>
    <w:rsid w:val="45ED3300"/>
    <w:rsid w:val="46337B3B"/>
    <w:rsid w:val="466B6926"/>
    <w:rsid w:val="4692697E"/>
    <w:rsid w:val="472F66E6"/>
    <w:rsid w:val="473A2575"/>
    <w:rsid w:val="475C7312"/>
    <w:rsid w:val="477F442B"/>
    <w:rsid w:val="47904FA0"/>
    <w:rsid w:val="47CF53B3"/>
    <w:rsid w:val="47D817FE"/>
    <w:rsid w:val="47FF698D"/>
    <w:rsid w:val="49323023"/>
    <w:rsid w:val="49CB5186"/>
    <w:rsid w:val="49F337AF"/>
    <w:rsid w:val="4A3714EF"/>
    <w:rsid w:val="4A4A0D21"/>
    <w:rsid w:val="4AB87029"/>
    <w:rsid w:val="4ADB30B3"/>
    <w:rsid w:val="4AF96F69"/>
    <w:rsid w:val="4B7F482B"/>
    <w:rsid w:val="4BB24DCF"/>
    <w:rsid w:val="4BCD7E5B"/>
    <w:rsid w:val="4CC76658"/>
    <w:rsid w:val="4CEF5BAF"/>
    <w:rsid w:val="4DFD6A74"/>
    <w:rsid w:val="4E3C7E1F"/>
    <w:rsid w:val="4E7740AE"/>
    <w:rsid w:val="5019541D"/>
    <w:rsid w:val="506F7733"/>
    <w:rsid w:val="50E377D9"/>
    <w:rsid w:val="50E7551B"/>
    <w:rsid w:val="51C57DE7"/>
    <w:rsid w:val="51FF0643"/>
    <w:rsid w:val="52114183"/>
    <w:rsid w:val="52194C6B"/>
    <w:rsid w:val="52632790"/>
    <w:rsid w:val="526F3A1A"/>
    <w:rsid w:val="532C6CD6"/>
    <w:rsid w:val="54041F40"/>
    <w:rsid w:val="5440577E"/>
    <w:rsid w:val="55BD226A"/>
    <w:rsid w:val="55E464CD"/>
    <w:rsid w:val="55FD4A17"/>
    <w:rsid w:val="55FF08D9"/>
    <w:rsid w:val="562C39D0"/>
    <w:rsid w:val="564F3020"/>
    <w:rsid w:val="588072FF"/>
    <w:rsid w:val="58D36385"/>
    <w:rsid w:val="59DD74BB"/>
    <w:rsid w:val="59E41C3D"/>
    <w:rsid w:val="5A111301"/>
    <w:rsid w:val="5A57530F"/>
    <w:rsid w:val="5B1B531B"/>
    <w:rsid w:val="5B5C4D58"/>
    <w:rsid w:val="5B68187B"/>
    <w:rsid w:val="5B745BFD"/>
    <w:rsid w:val="5BB274F1"/>
    <w:rsid w:val="5BF605B4"/>
    <w:rsid w:val="5C2C2067"/>
    <w:rsid w:val="5CB52971"/>
    <w:rsid w:val="5CFF3025"/>
    <w:rsid w:val="5E421FE3"/>
    <w:rsid w:val="5F0A29BB"/>
    <w:rsid w:val="5F0B6879"/>
    <w:rsid w:val="5F8E1258"/>
    <w:rsid w:val="60991EE6"/>
    <w:rsid w:val="60BD381C"/>
    <w:rsid w:val="61051185"/>
    <w:rsid w:val="613F7CC2"/>
    <w:rsid w:val="614E1F68"/>
    <w:rsid w:val="61A30FEA"/>
    <w:rsid w:val="61A93345"/>
    <w:rsid w:val="61E41603"/>
    <w:rsid w:val="62337A9A"/>
    <w:rsid w:val="629C7683"/>
    <w:rsid w:val="631D73DF"/>
    <w:rsid w:val="637F7835"/>
    <w:rsid w:val="63E87188"/>
    <w:rsid w:val="65037FF2"/>
    <w:rsid w:val="65565F58"/>
    <w:rsid w:val="65590BCD"/>
    <w:rsid w:val="65834337"/>
    <w:rsid w:val="65C9123C"/>
    <w:rsid w:val="66862C89"/>
    <w:rsid w:val="66882EA5"/>
    <w:rsid w:val="66AE2D81"/>
    <w:rsid w:val="67705E13"/>
    <w:rsid w:val="679B09B6"/>
    <w:rsid w:val="67BA0E3C"/>
    <w:rsid w:val="685F66EA"/>
    <w:rsid w:val="688B5792"/>
    <w:rsid w:val="69196036"/>
    <w:rsid w:val="6A171EE2"/>
    <w:rsid w:val="6A2139A4"/>
    <w:rsid w:val="6B1765A5"/>
    <w:rsid w:val="6B347157"/>
    <w:rsid w:val="6B856D63"/>
    <w:rsid w:val="6B9320D0"/>
    <w:rsid w:val="6C2B2308"/>
    <w:rsid w:val="6C6C46CF"/>
    <w:rsid w:val="6D934AB3"/>
    <w:rsid w:val="6E0C7F17"/>
    <w:rsid w:val="6E641B01"/>
    <w:rsid w:val="6E894432"/>
    <w:rsid w:val="6EA2087C"/>
    <w:rsid w:val="6EA26388"/>
    <w:rsid w:val="6F0C2ABA"/>
    <w:rsid w:val="6F226E6A"/>
    <w:rsid w:val="6FB128CF"/>
    <w:rsid w:val="701D01BA"/>
    <w:rsid w:val="704A3915"/>
    <w:rsid w:val="715230D0"/>
    <w:rsid w:val="71B25DFA"/>
    <w:rsid w:val="71C43FD8"/>
    <w:rsid w:val="71D85554"/>
    <w:rsid w:val="724C37F3"/>
    <w:rsid w:val="731C29AB"/>
    <w:rsid w:val="73441F01"/>
    <w:rsid w:val="737248AC"/>
    <w:rsid w:val="738357A3"/>
    <w:rsid w:val="74FF2584"/>
    <w:rsid w:val="75163BBF"/>
    <w:rsid w:val="761F23DC"/>
    <w:rsid w:val="776B1AEE"/>
    <w:rsid w:val="77BF424C"/>
    <w:rsid w:val="78281DF2"/>
    <w:rsid w:val="7862793A"/>
    <w:rsid w:val="793D48A8"/>
    <w:rsid w:val="794744F9"/>
    <w:rsid w:val="795135CA"/>
    <w:rsid w:val="7A721A4A"/>
    <w:rsid w:val="7A8E3854"/>
    <w:rsid w:val="7B803A8A"/>
    <w:rsid w:val="7C66698D"/>
    <w:rsid w:val="7CAB2FF1"/>
    <w:rsid w:val="7DC11F98"/>
    <w:rsid w:val="7E24305B"/>
    <w:rsid w:val="7EAD12A3"/>
    <w:rsid w:val="7EE0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4"/>
    <w:next w:val="5"/>
    <w:link w:val="48"/>
    <w:qFormat/>
    <w:uiPriority w:val="0"/>
    <w:pPr>
      <w:spacing w:before="100" w:beforeAutospacing="1" w:after="100" w:afterAutospacing="1"/>
      <w:jc w:val="left"/>
      <w:outlineLvl w:val="0"/>
    </w:pPr>
    <w:rPr>
      <w:rFonts w:hint="eastAsia"/>
      <w:kern w:val="44"/>
      <w:sz w:val="48"/>
      <w:szCs w:val="4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Ansi="Courier New"/>
      <w:kern w:val="0"/>
      <w:sz w:val="20"/>
      <w:szCs w:val="20"/>
    </w:rPr>
  </w:style>
  <w:style w:type="paragraph" w:styleId="4">
    <w:name w:val="Title"/>
    <w:basedOn w:val="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rPr>
      <w:rFonts w:ascii="Times New Roman" w:hAnsi="Times New Roman"/>
    </w:rPr>
  </w:style>
  <w:style w:type="paragraph" w:styleId="6">
    <w:name w:val="Body Text"/>
    <w:basedOn w:val="1"/>
    <w:next w:val="1"/>
    <w:unhideWhenUsed/>
    <w:qFormat/>
    <w:uiPriority w:val="99"/>
    <w:pPr>
      <w:spacing w:after="120"/>
    </w:pPr>
    <w:rPr>
      <w:rFonts w:ascii="Calibri" w:hAnsi="Calibri"/>
      <w:kern w:val="0"/>
      <w:sz w:val="20"/>
      <w:szCs w:val="20"/>
    </w:rPr>
  </w:style>
  <w:style w:type="paragraph" w:styleId="9">
    <w:name w:val="Normal Indent"/>
    <w:basedOn w:val="1"/>
    <w:next w:val="1"/>
    <w:qFormat/>
    <w:uiPriority w:val="0"/>
    <w:pPr>
      <w:ind w:firstLine="420" w:firstLineChars="200"/>
    </w:pPr>
  </w:style>
  <w:style w:type="paragraph" w:styleId="10">
    <w:name w:val="annotation text"/>
    <w:basedOn w:val="1"/>
    <w:link w:val="49"/>
    <w:unhideWhenUsed/>
    <w:qFormat/>
    <w:uiPriority w:val="99"/>
    <w:pPr>
      <w:jc w:val="left"/>
    </w:pPr>
    <w:rPr>
      <w:rFonts w:ascii="Calibri" w:hAnsi="Calibri"/>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szCs w:val="24"/>
    </w:rPr>
  </w:style>
  <w:style w:type="paragraph" w:styleId="13">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4">
    <w:name w:val="Date"/>
    <w:basedOn w:val="1"/>
    <w:next w:val="1"/>
    <w:qFormat/>
    <w:uiPriority w:val="0"/>
    <w:rPr>
      <w:rFonts w:ascii="Times New Roman" w:hAnsi="Times New Roman"/>
      <w:kern w:val="0"/>
      <w:sz w:val="20"/>
      <w:szCs w:val="20"/>
    </w:rPr>
  </w:style>
  <w:style w:type="paragraph" w:styleId="15">
    <w:name w:val="Balloon Text"/>
    <w:basedOn w:val="1"/>
    <w:link w:val="51"/>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0">
    <w:name w:val="Body Text 2"/>
    <w:basedOn w:val="1"/>
    <w:qFormat/>
    <w:uiPriority w:val="0"/>
    <w:rPr>
      <w:kern w:val="0"/>
      <w:sz w:val="20"/>
      <w:szCs w:val="24"/>
      <w:u w:val="single"/>
    </w:rPr>
  </w:style>
  <w:style w:type="paragraph" w:styleId="21">
    <w:name w:val="index 1"/>
    <w:basedOn w:val="1"/>
    <w:next w:val="1"/>
    <w:qFormat/>
    <w:uiPriority w:val="0"/>
    <w:rPr>
      <w:rFonts w:ascii="Times New Roman" w:hAnsi="Times New Roman" w:eastAsia="仿宋_GB2312"/>
      <w:sz w:val="28"/>
      <w:szCs w:val="20"/>
    </w:rPr>
  </w:style>
  <w:style w:type="paragraph" w:styleId="22">
    <w:name w:val="annotation subject"/>
    <w:basedOn w:val="10"/>
    <w:next w:val="10"/>
    <w:link w:val="50"/>
    <w:qFormat/>
    <w:uiPriority w:val="0"/>
    <w:rPr>
      <w:rFonts w:ascii="宋体" w:hAnsi="宋体"/>
      <w:b/>
      <w:bCs/>
    </w:rPr>
  </w:style>
  <w:style w:type="paragraph" w:styleId="23">
    <w:name w:val="Body Text First Indent 2"/>
    <w:basedOn w:val="11"/>
    <w:qFormat/>
    <w:uiPriority w:val="0"/>
    <w:pPr>
      <w:ind w:firstLine="420" w:firstLineChars="200"/>
    </w:pPr>
  </w:style>
  <w:style w:type="character" w:styleId="26">
    <w:name w:val="page number"/>
    <w:qFormat/>
    <w:uiPriority w:val="0"/>
    <w:rPr>
      <w:rFonts w:cs="Times New Roman"/>
    </w:rPr>
  </w:style>
  <w:style w:type="character" w:styleId="27">
    <w:name w:val="Hyperlink"/>
    <w:unhideWhenUsed/>
    <w:qFormat/>
    <w:uiPriority w:val="99"/>
    <w:rPr>
      <w:color w:val="000000"/>
      <w:u w:val="none"/>
    </w:rPr>
  </w:style>
  <w:style w:type="character" w:styleId="28">
    <w:name w:val="annotation reference"/>
    <w:basedOn w:val="25"/>
    <w:qFormat/>
    <w:uiPriority w:val="0"/>
    <w:rPr>
      <w:sz w:val="21"/>
      <w:szCs w:val="21"/>
    </w:rPr>
  </w:style>
  <w:style w:type="character" w:customStyle="1" w:styleId="29">
    <w:name w:val="font51"/>
    <w:qFormat/>
    <w:uiPriority w:val="0"/>
    <w:rPr>
      <w:rFonts w:hint="eastAsia" w:ascii="宋体" w:hAnsi="宋体" w:eastAsia="宋体" w:cs="宋体"/>
      <w:color w:val="000000"/>
      <w:sz w:val="20"/>
      <w:szCs w:val="20"/>
      <w:u w:val="none"/>
    </w:rPr>
  </w:style>
  <w:style w:type="paragraph" w:customStyle="1" w:styleId="30">
    <w:name w:val="文一"/>
    <w:basedOn w:val="1"/>
    <w:qFormat/>
    <w:uiPriority w:val="0"/>
    <w:pPr>
      <w:topLinePunct/>
      <w:adjustRightInd w:val="0"/>
      <w:snapToGrid w:val="0"/>
      <w:spacing w:line="360" w:lineRule="auto"/>
      <w:ind w:firstLine="200" w:firstLineChars="200"/>
    </w:pPr>
    <w:rPr>
      <w:rFonts w:hint="eastAsia"/>
      <w:snapToGrid w:val="0"/>
      <w:spacing w:val="4"/>
      <w:kern w:val="0"/>
      <w:sz w:val="24"/>
      <w:szCs w:val="24"/>
    </w:rPr>
  </w:style>
  <w:style w:type="paragraph" w:customStyle="1" w:styleId="31">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32">
    <w:name w:val="封二"/>
    <w:basedOn w:val="30"/>
    <w:next w:val="30"/>
    <w:qFormat/>
    <w:uiPriority w:val="0"/>
    <w:pPr>
      <w:ind w:firstLine="0" w:firstLineChars="0"/>
      <w:jc w:val="center"/>
    </w:pPr>
    <w:rPr>
      <w:rFonts w:ascii="Times New Roman" w:hAnsi="Times New Roman" w:eastAsia="黑体"/>
      <w:b/>
      <w:sz w:val="36"/>
      <w:szCs w:val="36"/>
    </w:rPr>
  </w:style>
  <w:style w:type="paragraph" w:customStyle="1" w:styleId="33">
    <w:name w:val="封一"/>
    <w:basedOn w:val="30"/>
    <w:next w:val="30"/>
    <w:qFormat/>
    <w:uiPriority w:val="0"/>
    <w:pPr>
      <w:ind w:firstLine="0" w:firstLineChars="0"/>
      <w:jc w:val="center"/>
    </w:pPr>
    <w:rPr>
      <w:rFonts w:ascii="Times New Roman" w:hAnsi="Times New Roman" w:eastAsia="黑体"/>
      <w:b/>
      <w:sz w:val="84"/>
      <w:szCs w:val="84"/>
    </w:rPr>
  </w:style>
  <w:style w:type="paragraph" w:customStyle="1" w:styleId="34">
    <w:name w:val="封四"/>
    <w:basedOn w:val="30"/>
    <w:next w:val="30"/>
    <w:qFormat/>
    <w:uiPriority w:val="0"/>
    <w:pPr>
      <w:jc w:val="left"/>
    </w:pPr>
    <w:rPr>
      <w:rFonts w:ascii="Times New Roman" w:hAnsi="Times New Roman"/>
      <w:sz w:val="30"/>
      <w:szCs w:val="30"/>
    </w:rPr>
  </w:style>
  <w:style w:type="paragraph" w:customStyle="1" w:styleId="35">
    <w:name w:val="正题"/>
    <w:basedOn w:val="30"/>
    <w:next w:val="30"/>
    <w:qFormat/>
    <w:uiPriority w:val="0"/>
    <w:pPr>
      <w:ind w:firstLine="0" w:firstLineChars="0"/>
      <w:jc w:val="center"/>
    </w:pPr>
    <w:rPr>
      <w:rFonts w:eastAsia="黑体"/>
      <w:b/>
      <w:sz w:val="36"/>
      <w:szCs w:val="36"/>
    </w:rPr>
  </w:style>
  <w:style w:type="paragraph" w:customStyle="1" w:styleId="36">
    <w:name w:val="文二"/>
    <w:basedOn w:val="1"/>
    <w:qFormat/>
    <w:uiPriority w:val="0"/>
    <w:pPr>
      <w:jc w:val="left"/>
    </w:pPr>
    <w:rPr>
      <w:szCs w:val="21"/>
    </w:rPr>
  </w:style>
  <w:style w:type="paragraph" w:customStyle="1" w:styleId="37">
    <w:name w:val="Char Char Char Char"/>
    <w:basedOn w:val="1"/>
    <w:qFormat/>
    <w:uiPriority w:val="0"/>
    <w:rPr>
      <w:rFonts w:ascii="Times New Roman" w:hAnsi="Times New Roman"/>
      <w:sz w:val="30"/>
      <w:szCs w:val="24"/>
    </w:rPr>
  </w:style>
  <w:style w:type="character" w:customStyle="1" w:styleId="38">
    <w:name w:val="标题 1 字符"/>
    <w:qFormat/>
    <w:uiPriority w:val="0"/>
    <w:rPr>
      <w:rFonts w:hint="eastAsia"/>
      <w:b/>
      <w:kern w:val="44"/>
      <w:sz w:val="48"/>
      <w:szCs w:val="48"/>
    </w:rPr>
  </w:style>
  <w:style w:type="paragraph" w:styleId="39">
    <w:name w:val="List Paragraph"/>
    <w:basedOn w:val="1"/>
    <w:qFormat/>
    <w:uiPriority w:val="0"/>
    <w:pPr>
      <w:ind w:firstLine="420" w:firstLineChars="200"/>
    </w:pPr>
    <w:rPr>
      <w:rFonts w:ascii="Times New Roman" w:hAnsi="Times New Roman"/>
      <w:szCs w:val="20"/>
    </w:rPr>
  </w:style>
  <w:style w:type="paragraph" w:customStyle="1" w:styleId="40">
    <w:name w:val="文提"/>
    <w:basedOn w:val="30"/>
    <w:qFormat/>
    <w:uiPriority w:val="0"/>
    <w:pPr>
      <w:ind w:firstLine="0" w:firstLineChars="0"/>
    </w:pPr>
    <w:rPr>
      <w:rFonts w:ascii="Times New Roman" w:hAnsi="Times New Roman" w:eastAsia="黑体" w:cs="宋体"/>
      <w:b/>
    </w:rPr>
  </w:style>
  <w:style w:type="character" w:customStyle="1" w:styleId="41">
    <w:name w:val="font71"/>
    <w:qFormat/>
    <w:uiPriority w:val="0"/>
    <w:rPr>
      <w:rFonts w:hint="eastAsia" w:ascii="宋体" w:hAnsi="宋体" w:eastAsia="宋体" w:cs="宋体"/>
      <w:color w:val="000000"/>
      <w:sz w:val="20"/>
      <w:szCs w:val="20"/>
      <w:u w:val="none"/>
    </w:rPr>
  </w:style>
  <w:style w:type="paragraph" w:customStyle="1" w:styleId="42">
    <w:name w:val="正文5"/>
    <w:qFormat/>
    <w:uiPriority w:val="0"/>
    <w:pPr>
      <w:jc w:val="both"/>
    </w:pPr>
    <w:rPr>
      <w:rFonts w:ascii="Calibri" w:hAnsi="Calibri" w:eastAsia="宋体" w:cs="宋体"/>
      <w:kern w:val="2"/>
      <w:sz w:val="21"/>
      <w:szCs w:val="21"/>
      <w:lang w:val="en-US" w:eastAsia="zh-CN" w:bidi="ar-SA"/>
    </w:rPr>
  </w:style>
  <w:style w:type="paragraph" w:customStyle="1" w:styleId="43">
    <w:name w:val="正文文本缩进 New New"/>
    <w:basedOn w:val="1"/>
    <w:qFormat/>
    <w:uiPriority w:val="0"/>
    <w:pPr>
      <w:spacing w:after="120"/>
      <w:ind w:left="420" w:leftChars="200"/>
    </w:pPr>
    <w:rPr>
      <w:rFonts w:ascii="Times New Roman" w:eastAsia="楷体_GB2312"/>
      <w:szCs w:val="20"/>
    </w:rPr>
  </w:style>
  <w:style w:type="paragraph" w:customStyle="1" w:styleId="44">
    <w:name w:val="表头"/>
    <w:basedOn w:val="1"/>
    <w:qFormat/>
    <w:uiPriority w:val="0"/>
    <w:pPr>
      <w:spacing w:line="360" w:lineRule="auto"/>
      <w:jc w:val="center"/>
    </w:pPr>
    <w:rPr>
      <w:rFonts w:ascii="黑体" w:hAnsi="Times New Roman" w:eastAsia="黑体"/>
      <w:kern w:val="0"/>
      <w:sz w:val="24"/>
      <w:szCs w:val="20"/>
    </w:rPr>
  </w:style>
  <w:style w:type="paragraph" w:customStyle="1" w:styleId="4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character" w:customStyle="1" w:styleId="46">
    <w:name w:val="font01"/>
    <w:qFormat/>
    <w:uiPriority w:val="0"/>
    <w:rPr>
      <w:rFonts w:hint="eastAsia" w:ascii="仿宋" w:hAnsi="仿宋" w:eastAsia="仿宋" w:cs="仿宋"/>
      <w:color w:val="000000"/>
      <w:sz w:val="28"/>
      <w:szCs w:val="28"/>
      <w:u w:val="none"/>
    </w:rPr>
  </w:style>
  <w:style w:type="character" w:customStyle="1" w:styleId="47">
    <w:name w:val="font11"/>
    <w:qFormat/>
    <w:uiPriority w:val="0"/>
    <w:rPr>
      <w:rFonts w:hint="eastAsia" w:ascii="宋体" w:hAnsi="宋体" w:eastAsia="宋体"/>
      <w:color w:val="000000"/>
      <w:sz w:val="24"/>
      <w:szCs w:val="24"/>
      <w:u w:val="single"/>
    </w:rPr>
  </w:style>
  <w:style w:type="character" w:customStyle="1" w:styleId="48">
    <w:name w:val="标题 1 字符1"/>
    <w:link w:val="3"/>
    <w:qFormat/>
    <w:uiPriority w:val="0"/>
    <w:rPr>
      <w:rFonts w:ascii="宋体" w:hAnsi="宋体" w:eastAsia="宋体" w:cs="宋体"/>
      <w:b/>
      <w:kern w:val="44"/>
      <w:sz w:val="28"/>
      <w:szCs w:val="28"/>
    </w:rPr>
  </w:style>
  <w:style w:type="character" w:customStyle="1" w:styleId="49">
    <w:name w:val="批注文字 字符"/>
    <w:basedOn w:val="25"/>
    <w:link w:val="10"/>
    <w:qFormat/>
    <w:uiPriority w:val="99"/>
    <w:rPr>
      <w:kern w:val="2"/>
      <w:sz w:val="21"/>
      <w:szCs w:val="22"/>
    </w:rPr>
  </w:style>
  <w:style w:type="character" w:customStyle="1" w:styleId="50">
    <w:name w:val="批注主题 字符"/>
    <w:basedOn w:val="49"/>
    <w:link w:val="22"/>
    <w:qFormat/>
    <w:uiPriority w:val="0"/>
    <w:rPr>
      <w:rFonts w:ascii="宋体" w:hAnsi="宋体"/>
      <w:b/>
      <w:bCs/>
      <w:kern w:val="2"/>
      <w:sz w:val="21"/>
      <w:szCs w:val="22"/>
    </w:rPr>
  </w:style>
  <w:style w:type="character" w:customStyle="1" w:styleId="51">
    <w:name w:val="批注框文本 字符"/>
    <w:basedOn w:val="25"/>
    <w:link w:val="15"/>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86</Pages>
  <Words>51771</Words>
  <Characters>54792</Characters>
  <Lines>436</Lines>
  <Paragraphs>122</Paragraphs>
  <TotalTime>13</TotalTime>
  <ScaleCrop>false</ScaleCrop>
  <LinksUpToDate>false</LinksUpToDate>
  <CharactersWithSpaces>57919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2021-07-16T06:16:00Z</dcterms:created>
  <dc:creator>GX</dc:creator>
  <cp:lastModifiedBy>zho～</cp:lastModifiedBy>
  <cp:lastPrinted>2023-07-27T08:51:06Z</cp:lastPrinted>
  <dcterms:modified xsi:type="dcterms:W3CDTF">2023-07-27T08:51:43Z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FBC4AEFC89AF41DFA00F712F1FDAFD4C_13</vt:lpwstr>
  </property>
</Properties>
</file>