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76"/>
        </w:tabs>
        <w:rPr>
          <w:rFonts w:hint="eastAsia"/>
          <w:b/>
          <w:sz w:val="48"/>
          <w:szCs w:val="48"/>
          <w:highlight w:val="none"/>
          <w:u w:val="none"/>
        </w:rPr>
      </w:pPr>
      <w:r>
        <w:rPr>
          <w:rFonts w:hint="eastAsia" w:ascii="宋体" w:hAnsi="宋体" w:cs="宋体"/>
          <w:color w:val="auto"/>
          <w:highlight w:val="none"/>
          <w:lang w:eastAsia="zh-CN"/>
        </w:rPr>
        <w:tab/>
      </w:r>
    </w:p>
    <w:p>
      <w:pPr>
        <w:spacing w:line="360" w:lineRule="auto"/>
        <w:jc w:val="center"/>
        <w:rPr>
          <w:rFonts w:hint="eastAsia" w:ascii="宋体" w:hAnsi="宋体"/>
          <w:b/>
          <w:bCs/>
          <w:sz w:val="48"/>
          <w:szCs w:val="48"/>
          <w:highlight w:val="none"/>
          <w:u w:val="none"/>
        </w:rPr>
      </w:pPr>
      <w:r>
        <w:rPr>
          <w:rFonts w:hint="eastAsia" w:ascii="宋体" w:hAnsi="宋体"/>
          <w:b/>
          <w:bCs/>
          <w:sz w:val="56"/>
          <w:szCs w:val="56"/>
          <w:highlight w:val="none"/>
          <w:u w:val="none"/>
        </w:rPr>
        <w:t>小虎岛人民公社礼堂旧址修缮工程</w:t>
      </w:r>
    </w:p>
    <w:p>
      <w:pPr>
        <w:spacing w:line="360" w:lineRule="auto"/>
        <w:jc w:val="center"/>
        <w:rPr>
          <w:rFonts w:ascii="宋体" w:hAnsi="宋体"/>
          <w:b/>
          <w:bCs/>
          <w:sz w:val="36"/>
          <w:szCs w:val="36"/>
          <w:highlight w:val="none"/>
          <w:u w:val="single"/>
        </w:rPr>
      </w:pPr>
    </w:p>
    <w:p>
      <w:pPr>
        <w:spacing w:line="360" w:lineRule="auto"/>
        <w:jc w:val="center"/>
        <w:rPr>
          <w:rFonts w:hint="eastAsia" w:ascii="宋体" w:hAnsi="宋体" w:cs="宋体"/>
          <w:b/>
          <w:bCs/>
          <w:spacing w:val="26"/>
          <w:sz w:val="110"/>
          <w:szCs w:val="110"/>
          <w:highlight w:val="none"/>
          <w14:shadow w14:blurRad="50800" w14:dist="38100" w14:dir="2700000" w14:sx="100000" w14:sy="100000" w14:kx="0" w14:ky="0" w14:algn="tl">
            <w14:srgbClr w14:val="000000">
              <w14:alpha w14:val="60000"/>
            </w14:srgbClr>
          </w14:shadow>
        </w:rPr>
      </w:pPr>
    </w:p>
    <w:p>
      <w:pPr>
        <w:spacing w:line="360" w:lineRule="auto"/>
        <w:jc w:val="center"/>
        <w:rPr>
          <w:rFonts w:hint="eastAsia" w:ascii="宋体" w:hAnsi="宋体" w:cs="宋体"/>
          <w:b/>
          <w:bCs/>
          <w:spacing w:val="26"/>
          <w:sz w:val="110"/>
          <w:szCs w:val="110"/>
          <w:highlight w:val="none"/>
          <w14:shadow w14:blurRad="50800" w14:dist="38100" w14:dir="2700000" w14:sx="100000" w14:sy="100000" w14:kx="0" w14:ky="0" w14:algn="tl">
            <w14:srgbClr w14:val="000000">
              <w14:alpha w14:val="60000"/>
            </w14:srgbClr>
          </w14:shadow>
        </w:rPr>
      </w:pPr>
    </w:p>
    <w:p>
      <w:pPr>
        <w:spacing w:line="360" w:lineRule="auto"/>
        <w:jc w:val="center"/>
        <w:rPr>
          <w:rFonts w:hint="eastAsia" w:ascii="宋体" w:hAnsi="宋体" w:eastAsia="宋体" w:cs="宋体"/>
          <w:b/>
          <w:bCs/>
          <w:spacing w:val="26"/>
          <w:sz w:val="110"/>
          <w:szCs w:val="110"/>
          <w:highlight w:val="none"/>
          <w:lang w:eastAsia="zh-CN"/>
          <w14:shadow w14:blurRad="50800" w14:dist="38100" w14:dir="2700000" w14:sx="100000" w14:sy="100000" w14:kx="0" w14:ky="0" w14:algn="tl">
            <w14:srgbClr w14:val="000000">
              <w14:alpha w14:val="60000"/>
            </w14:srgbClr>
          </w14:shadow>
        </w:rPr>
      </w:pPr>
      <w:r>
        <w:rPr>
          <w:rFonts w:hint="eastAsia" w:ascii="宋体" w:hAnsi="宋体" w:cs="宋体"/>
          <w:b/>
          <w:bCs/>
          <w:spacing w:val="26"/>
          <w:sz w:val="110"/>
          <w:szCs w:val="110"/>
          <w:highlight w:val="none"/>
          <w14:shadow w14:blurRad="50800" w14:dist="38100" w14:dir="2700000" w14:sx="100000" w14:sy="100000" w14:kx="0" w14:ky="0" w14:algn="tl">
            <w14:srgbClr w14:val="000000">
              <w14:alpha w14:val="60000"/>
            </w14:srgbClr>
          </w14:shadow>
        </w:rPr>
        <w:t>招标</w:t>
      </w:r>
      <w:r>
        <w:rPr>
          <w:rFonts w:hint="eastAsia" w:ascii="宋体" w:hAnsi="宋体" w:cs="宋体"/>
          <w:b/>
          <w:bCs/>
          <w:spacing w:val="26"/>
          <w:sz w:val="110"/>
          <w:szCs w:val="110"/>
          <w:highlight w:val="none"/>
          <w:lang w:val="en-US" w:eastAsia="zh-CN"/>
          <w14:shadow w14:blurRad="50800" w14:dist="38100" w14:dir="2700000" w14:sx="100000" w14:sy="100000" w14:kx="0" w14:ky="0" w14:algn="tl">
            <w14:srgbClr w14:val="000000">
              <w14:alpha w14:val="60000"/>
            </w14:srgbClr>
          </w14:shadow>
        </w:rPr>
        <w:t>文件</w:t>
      </w:r>
    </w:p>
    <w:p>
      <w:pPr>
        <w:spacing w:line="360" w:lineRule="auto"/>
        <w:jc w:val="center"/>
        <w:rPr>
          <w:rFonts w:ascii="宋体" w:hAnsi="宋体"/>
          <w:b/>
          <w:bCs/>
          <w:sz w:val="32"/>
          <w:szCs w:val="32"/>
          <w:highlight w:val="none"/>
        </w:rPr>
      </w:pPr>
    </w:p>
    <w:p>
      <w:pPr>
        <w:spacing w:line="360" w:lineRule="auto"/>
        <w:ind w:firstLine="2570" w:firstLineChars="800"/>
        <w:rPr>
          <w:rFonts w:hint="eastAsia" w:ascii="宋体" w:hAnsi="宋体"/>
          <w:b/>
          <w:bCs/>
          <w:sz w:val="32"/>
          <w:szCs w:val="32"/>
          <w:highlight w:val="none"/>
        </w:rPr>
      </w:pPr>
    </w:p>
    <w:p>
      <w:pPr>
        <w:spacing w:line="360" w:lineRule="auto"/>
        <w:ind w:firstLine="2570" w:firstLineChars="800"/>
        <w:rPr>
          <w:rFonts w:ascii="宋体" w:hAnsi="宋体"/>
          <w:b/>
          <w:bCs/>
          <w:sz w:val="32"/>
          <w:szCs w:val="32"/>
          <w:highlight w:val="none"/>
        </w:rPr>
      </w:pPr>
    </w:p>
    <w:p>
      <w:pPr>
        <w:spacing w:line="360" w:lineRule="auto"/>
        <w:rPr>
          <w:rFonts w:hint="eastAsia" w:ascii="宋体" w:hAnsi="宋体"/>
          <w:b/>
          <w:bCs/>
          <w:sz w:val="30"/>
          <w:szCs w:val="30"/>
          <w:highlight w:val="none"/>
        </w:rPr>
      </w:pPr>
    </w:p>
    <w:p>
      <w:pPr>
        <w:spacing w:line="360" w:lineRule="auto"/>
        <w:ind w:firstLine="1205" w:firstLineChars="400"/>
        <w:rPr>
          <w:rFonts w:hint="eastAsia" w:ascii="宋体" w:hAnsi="宋体"/>
          <w:b/>
          <w:bCs/>
          <w:sz w:val="30"/>
          <w:szCs w:val="30"/>
          <w:highlight w:val="none"/>
        </w:rPr>
      </w:pPr>
    </w:p>
    <w:p>
      <w:pPr>
        <w:spacing w:line="360" w:lineRule="auto"/>
        <w:rPr>
          <w:rFonts w:hint="eastAsia" w:ascii="宋体" w:hAnsi="宋体"/>
          <w:b/>
          <w:bCs/>
          <w:sz w:val="30"/>
          <w:szCs w:val="30"/>
          <w:highlight w:val="none"/>
        </w:rPr>
      </w:pPr>
    </w:p>
    <w:p>
      <w:pPr>
        <w:spacing w:line="360" w:lineRule="auto"/>
        <w:ind w:firstLine="1205" w:firstLineChars="400"/>
        <w:rPr>
          <w:rFonts w:ascii="宋体" w:hAnsi="宋体"/>
          <w:b/>
          <w:bCs/>
          <w:sz w:val="30"/>
          <w:szCs w:val="30"/>
          <w:highlight w:val="none"/>
        </w:rPr>
      </w:pPr>
    </w:p>
    <w:p>
      <w:pPr>
        <w:spacing w:line="360" w:lineRule="auto"/>
        <w:ind w:firstLine="1205" w:firstLineChars="400"/>
        <w:rPr>
          <w:rFonts w:hint="eastAsia"/>
          <w:b/>
          <w:bCs/>
          <w:color w:val="000000"/>
          <w:sz w:val="28"/>
          <w:highlight w:val="none"/>
          <w:u w:val="single"/>
        </w:rPr>
      </w:pPr>
      <w:bookmarkStart w:id="105" w:name="_GoBack"/>
      <w:r>
        <w:rPr>
          <w:rFonts w:hint="eastAsia" w:ascii="宋体" w:hAnsi="宋体" w:cs="宋体"/>
          <w:b/>
          <w:bCs/>
          <w:sz w:val="30"/>
          <w:szCs w:val="30"/>
          <w:highlight w:val="none"/>
        </w:rPr>
        <w:t>招标单位：</w:t>
      </w:r>
      <w:r>
        <w:rPr>
          <w:rFonts w:hint="eastAsia" w:ascii="宋体" w:hAnsi="宋体" w:eastAsia="宋体" w:cs="宋体"/>
          <w:b/>
          <w:bCs/>
          <w:sz w:val="30"/>
          <w:szCs w:val="30"/>
          <w:highlight w:val="none"/>
        </w:rPr>
        <w:t>广州市南沙区黄阁镇人民政府</w:t>
      </w:r>
    </w:p>
    <w:p>
      <w:pPr>
        <w:spacing w:line="360" w:lineRule="auto"/>
        <w:ind w:firstLine="1205" w:firstLineChars="400"/>
        <w:rPr>
          <w:rFonts w:ascii="宋体" w:hAnsi="宋体" w:cs="宋体"/>
          <w:b/>
          <w:bCs/>
          <w:sz w:val="30"/>
          <w:szCs w:val="30"/>
          <w:highlight w:val="none"/>
        </w:rPr>
      </w:pPr>
      <w:r>
        <w:rPr>
          <w:rFonts w:hint="eastAsia" w:ascii="宋体" w:hAnsi="宋体" w:cs="宋体"/>
          <w:b/>
          <w:bCs/>
          <w:sz w:val="30"/>
          <w:szCs w:val="30"/>
          <w:highlight w:val="none"/>
        </w:rPr>
        <w:t>招标代理单位：</w:t>
      </w:r>
      <w:r>
        <w:rPr>
          <w:rFonts w:hint="eastAsia" w:ascii="宋体" w:hAnsi="宋体" w:eastAsia="宋体" w:cs="宋体"/>
          <w:b/>
          <w:bCs/>
          <w:sz w:val="30"/>
          <w:szCs w:val="30"/>
          <w:highlight w:val="none"/>
        </w:rPr>
        <w:t>广东穗芳智慧建设科技有限公司</w:t>
      </w:r>
    </w:p>
    <w:bookmarkEnd w:id="105"/>
    <w:p>
      <w:pPr>
        <w:spacing w:line="360" w:lineRule="auto"/>
        <w:ind w:firstLine="1205" w:firstLineChars="400"/>
        <w:rPr>
          <w:rFonts w:hint="eastAsia" w:ascii="宋体" w:hAnsi="宋体" w:cs="宋体"/>
          <w:b/>
          <w:bCs/>
          <w:sz w:val="30"/>
          <w:szCs w:val="30"/>
          <w:highlight w:val="none"/>
        </w:rPr>
      </w:pPr>
      <w:r>
        <w:rPr>
          <w:rFonts w:hint="eastAsia" w:ascii="宋体" w:hAnsi="宋体" w:cs="宋体"/>
          <w:b/>
          <w:bCs/>
          <w:sz w:val="30"/>
          <w:szCs w:val="30"/>
          <w:highlight w:val="none"/>
        </w:rPr>
        <w:t>日   期：202</w:t>
      </w:r>
      <w:r>
        <w:rPr>
          <w:rFonts w:ascii="宋体" w:hAnsi="宋体" w:cs="宋体"/>
          <w:b/>
          <w:bCs/>
          <w:sz w:val="30"/>
          <w:szCs w:val="30"/>
          <w:highlight w:val="none"/>
        </w:rPr>
        <w:t>3</w:t>
      </w:r>
      <w:r>
        <w:rPr>
          <w:rFonts w:hint="eastAsia" w:ascii="宋体" w:hAnsi="宋体" w:cs="宋体"/>
          <w:b/>
          <w:bCs/>
          <w:sz w:val="30"/>
          <w:szCs w:val="30"/>
          <w:highlight w:val="none"/>
        </w:rPr>
        <w:t>年</w:t>
      </w:r>
      <w:r>
        <w:rPr>
          <w:rFonts w:hint="eastAsia" w:ascii="宋体" w:hAnsi="宋体" w:cs="宋体"/>
          <w:b/>
          <w:bCs/>
          <w:sz w:val="30"/>
          <w:szCs w:val="30"/>
          <w:highlight w:val="none"/>
          <w:lang w:val="en-US" w:eastAsia="zh-CN"/>
        </w:rPr>
        <w:t>7</w:t>
      </w:r>
      <w:r>
        <w:rPr>
          <w:rFonts w:hint="eastAsia" w:ascii="宋体" w:hAnsi="宋体" w:cs="宋体"/>
          <w:b/>
          <w:bCs/>
          <w:sz w:val="30"/>
          <w:szCs w:val="30"/>
          <w:highlight w:val="none"/>
        </w:rPr>
        <w:t>月</w:t>
      </w:r>
    </w:p>
    <w:p>
      <w:pPr>
        <w:rPr>
          <w:rStyle w:val="60"/>
          <w:rFonts w:hint="eastAsia" w:ascii="宋体" w:hAnsi="宋体" w:cs="宋体"/>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40" w:right="1440" w:bottom="1440" w:left="1440" w:header="851" w:footer="907" w:gutter="0"/>
          <w:pgBorders>
            <w:top w:val="none" w:sz="0" w:space="0"/>
            <w:left w:val="none" w:sz="0" w:space="0"/>
            <w:bottom w:val="none" w:sz="0" w:space="0"/>
            <w:right w:val="none" w:sz="0" w:space="0"/>
          </w:pgBorders>
          <w:cols w:space="720" w:num="1"/>
          <w:titlePg/>
          <w:docGrid w:type="lines" w:linePitch="312" w:charSpace="0"/>
        </w:sectPr>
      </w:pPr>
    </w:p>
    <w:p>
      <w:pPr>
        <w:jc w:val="center"/>
        <w:rPr>
          <w:rFonts w:hint="eastAsia" w:ascii="宋体" w:hAnsi="宋体" w:cs="宋体"/>
          <w:b/>
          <w:caps/>
          <w:color w:val="auto"/>
          <w:kern w:val="0"/>
          <w:highlight w:val="none"/>
        </w:rPr>
      </w:pPr>
      <w:r>
        <w:rPr>
          <w:rStyle w:val="60"/>
          <w:rFonts w:hint="eastAsia" w:ascii="宋体" w:hAnsi="宋体" w:cs="宋体"/>
          <w:b/>
          <w:bCs/>
          <w:color w:val="auto"/>
          <w:sz w:val="28"/>
          <w:szCs w:val="28"/>
          <w:highlight w:val="none"/>
          <w:u w:val="none"/>
        </w:rPr>
        <w:t>目录</w:t>
      </w:r>
    </w:p>
    <w:p>
      <w:pPr>
        <w:pStyle w:val="35"/>
        <w:tabs>
          <w:tab w:val="right" w:leader="dot" w:pos="8844"/>
          <w:tab w:val="clear" w:pos="9060"/>
        </w:tabs>
        <w:rPr>
          <w:highlight w:val="none"/>
        </w:rPr>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rFonts w:hint="eastAsia"/>
          <w:color w:val="auto"/>
          <w:highlight w:val="none"/>
        </w:rPr>
        <w:fldChar w:fldCharType="begin"/>
      </w:r>
      <w:r>
        <w:rPr>
          <w:rFonts w:hint="eastAsia"/>
          <w:highlight w:val="none"/>
        </w:rPr>
        <w:instrText xml:space="preserve"> HYPERLINK \l _Toc12523 </w:instrText>
      </w:r>
      <w:r>
        <w:rPr>
          <w:rFonts w:hint="eastAsia"/>
          <w:highlight w:val="none"/>
        </w:rPr>
        <w:fldChar w:fldCharType="separate"/>
      </w:r>
      <w:r>
        <w:rPr>
          <w:rFonts w:hint="eastAsia" w:ascii="宋体" w:hAnsi="宋体" w:cs="宋体"/>
          <w:bCs/>
          <w:highlight w:val="none"/>
        </w:rPr>
        <w:t>第一章  投标须知</w:t>
      </w:r>
      <w:r>
        <w:rPr>
          <w:highlight w:val="none"/>
        </w:rPr>
        <w:tab/>
      </w:r>
      <w:r>
        <w:rPr>
          <w:highlight w:val="none"/>
        </w:rPr>
        <w:fldChar w:fldCharType="begin"/>
      </w:r>
      <w:r>
        <w:rPr>
          <w:highlight w:val="none"/>
        </w:rPr>
        <w:instrText xml:space="preserve"> PAGEREF _Toc12523 \h </w:instrText>
      </w:r>
      <w:r>
        <w:rPr>
          <w:highlight w:val="none"/>
        </w:rPr>
        <w:fldChar w:fldCharType="separate"/>
      </w:r>
      <w:r>
        <w:rPr>
          <w:highlight w:val="none"/>
        </w:rPr>
        <w:t>1</w:t>
      </w:r>
      <w:r>
        <w:rPr>
          <w:highlight w:val="none"/>
        </w:rPr>
        <w:fldChar w:fldCharType="end"/>
      </w:r>
      <w:r>
        <w:rPr>
          <w:rFonts w:hint="eastAsia"/>
          <w:color w:val="auto"/>
          <w:highlight w:val="none"/>
        </w:rPr>
        <w:fldChar w:fldCharType="end"/>
      </w:r>
    </w:p>
    <w:p>
      <w:pPr>
        <w:pStyle w:val="42"/>
        <w:tabs>
          <w:tab w:val="right" w:leader="dot" w:pos="8844"/>
          <w:tab w:val="clear" w:pos="9060"/>
        </w:tabs>
        <w:rPr>
          <w:highlight w:val="none"/>
        </w:rPr>
      </w:pPr>
      <w:r>
        <w:rPr>
          <w:rFonts w:hint="eastAsia"/>
          <w:color w:val="auto"/>
          <w:highlight w:val="none"/>
        </w:rPr>
        <w:fldChar w:fldCharType="begin"/>
      </w:r>
      <w:r>
        <w:rPr>
          <w:rFonts w:hint="eastAsia"/>
          <w:highlight w:val="none"/>
        </w:rPr>
        <w:instrText xml:space="preserve"> HYPERLINK \l _Toc21356 </w:instrText>
      </w:r>
      <w:r>
        <w:rPr>
          <w:rFonts w:hint="eastAsia"/>
          <w:highlight w:val="none"/>
        </w:rPr>
        <w:fldChar w:fldCharType="separate"/>
      </w:r>
      <w:r>
        <w:rPr>
          <w:rFonts w:hint="eastAsia" w:ascii="宋体" w:hAnsi="宋体" w:cs="宋体"/>
          <w:highlight w:val="none"/>
        </w:rPr>
        <w:t>一、投标须知前附表</w:t>
      </w:r>
      <w:r>
        <w:rPr>
          <w:highlight w:val="none"/>
        </w:rPr>
        <w:tab/>
      </w:r>
      <w:r>
        <w:rPr>
          <w:highlight w:val="none"/>
        </w:rPr>
        <w:fldChar w:fldCharType="begin"/>
      </w:r>
      <w:r>
        <w:rPr>
          <w:highlight w:val="none"/>
        </w:rPr>
        <w:instrText xml:space="preserve"> PAGEREF _Toc21356 \h </w:instrText>
      </w:r>
      <w:r>
        <w:rPr>
          <w:highlight w:val="none"/>
        </w:rPr>
        <w:fldChar w:fldCharType="separate"/>
      </w:r>
      <w:r>
        <w:rPr>
          <w:highlight w:val="none"/>
        </w:rPr>
        <w:t>1</w:t>
      </w:r>
      <w:r>
        <w:rPr>
          <w:highlight w:val="none"/>
        </w:rPr>
        <w:fldChar w:fldCharType="end"/>
      </w:r>
      <w:r>
        <w:rPr>
          <w:rFonts w:hint="eastAsia"/>
          <w:color w:val="auto"/>
          <w:highlight w:val="none"/>
        </w:rPr>
        <w:fldChar w:fldCharType="end"/>
      </w:r>
    </w:p>
    <w:p>
      <w:pPr>
        <w:pStyle w:val="42"/>
        <w:tabs>
          <w:tab w:val="right" w:leader="dot" w:pos="8844"/>
          <w:tab w:val="clear" w:pos="9060"/>
        </w:tabs>
        <w:rPr>
          <w:highlight w:val="none"/>
        </w:rPr>
      </w:pPr>
      <w:r>
        <w:rPr>
          <w:rFonts w:hint="eastAsia"/>
          <w:color w:val="auto"/>
          <w:highlight w:val="none"/>
        </w:rPr>
        <w:fldChar w:fldCharType="begin"/>
      </w:r>
      <w:r>
        <w:rPr>
          <w:rFonts w:hint="eastAsia"/>
          <w:highlight w:val="none"/>
        </w:rPr>
        <w:instrText xml:space="preserve"> HYPERLINK \l _Toc13346 </w:instrText>
      </w:r>
      <w:r>
        <w:rPr>
          <w:rFonts w:hint="eastAsia"/>
          <w:highlight w:val="none"/>
        </w:rPr>
        <w:fldChar w:fldCharType="separate"/>
      </w:r>
      <w:r>
        <w:rPr>
          <w:rFonts w:hint="eastAsia" w:ascii="宋体" w:hAnsi="宋体" w:cs="宋体"/>
          <w:highlight w:val="none"/>
        </w:rPr>
        <w:t>二、投标须知修改表</w:t>
      </w:r>
      <w:r>
        <w:rPr>
          <w:highlight w:val="none"/>
        </w:rPr>
        <w:tab/>
      </w:r>
      <w:r>
        <w:rPr>
          <w:highlight w:val="none"/>
        </w:rPr>
        <w:fldChar w:fldCharType="begin"/>
      </w:r>
      <w:r>
        <w:rPr>
          <w:highlight w:val="none"/>
        </w:rPr>
        <w:instrText xml:space="preserve"> PAGEREF _Toc13346 \h </w:instrText>
      </w:r>
      <w:r>
        <w:rPr>
          <w:highlight w:val="none"/>
        </w:rPr>
        <w:fldChar w:fldCharType="separate"/>
      </w:r>
      <w:r>
        <w:rPr>
          <w:highlight w:val="none"/>
        </w:rPr>
        <w:t>6</w:t>
      </w:r>
      <w:r>
        <w:rPr>
          <w:highlight w:val="none"/>
        </w:rPr>
        <w:fldChar w:fldCharType="end"/>
      </w:r>
      <w:r>
        <w:rPr>
          <w:rFonts w:hint="eastAsia"/>
          <w:color w:val="auto"/>
          <w:highlight w:val="none"/>
        </w:rPr>
        <w:fldChar w:fldCharType="end"/>
      </w:r>
    </w:p>
    <w:p>
      <w:pPr>
        <w:pStyle w:val="42"/>
        <w:tabs>
          <w:tab w:val="right" w:leader="dot" w:pos="8844"/>
          <w:tab w:val="clear" w:pos="9060"/>
        </w:tabs>
        <w:rPr>
          <w:highlight w:val="none"/>
        </w:rPr>
      </w:pPr>
      <w:r>
        <w:rPr>
          <w:rFonts w:hint="eastAsia"/>
          <w:color w:val="auto"/>
          <w:highlight w:val="none"/>
        </w:rPr>
        <w:fldChar w:fldCharType="begin"/>
      </w:r>
      <w:r>
        <w:rPr>
          <w:rFonts w:hint="eastAsia"/>
          <w:highlight w:val="none"/>
        </w:rPr>
        <w:instrText xml:space="preserve"> HYPERLINK \l _Toc7173 </w:instrText>
      </w:r>
      <w:r>
        <w:rPr>
          <w:rFonts w:hint="eastAsia"/>
          <w:highlight w:val="none"/>
        </w:rPr>
        <w:fldChar w:fldCharType="separate"/>
      </w:r>
      <w:r>
        <w:rPr>
          <w:rFonts w:hint="eastAsia" w:ascii="宋体" w:hAnsi="宋体" w:cs="宋体"/>
          <w:highlight w:val="none"/>
        </w:rPr>
        <w:t>三、投标须知通用条款</w:t>
      </w:r>
      <w:r>
        <w:rPr>
          <w:highlight w:val="none"/>
        </w:rPr>
        <w:tab/>
      </w:r>
      <w:r>
        <w:rPr>
          <w:highlight w:val="none"/>
        </w:rPr>
        <w:fldChar w:fldCharType="begin"/>
      </w:r>
      <w:r>
        <w:rPr>
          <w:highlight w:val="none"/>
        </w:rPr>
        <w:instrText xml:space="preserve"> PAGEREF _Toc7173 \h </w:instrText>
      </w:r>
      <w:r>
        <w:rPr>
          <w:highlight w:val="none"/>
        </w:rPr>
        <w:fldChar w:fldCharType="separate"/>
      </w:r>
      <w:r>
        <w:rPr>
          <w:highlight w:val="none"/>
        </w:rPr>
        <w:t>17</w:t>
      </w:r>
      <w:r>
        <w:rPr>
          <w:highlight w:val="none"/>
        </w:rPr>
        <w:fldChar w:fldCharType="end"/>
      </w:r>
      <w:r>
        <w:rPr>
          <w:rFonts w:hint="eastAsia"/>
          <w:color w:val="auto"/>
          <w:highlight w:val="none"/>
        </w:rPr>
        <w:fldChar w:fldCharType="end"/>
      </w:r>
    </w:p>
    <w:p>
      <w:pPr>
        <w:pStyle w:val="25"/>
        <w:tabs>
          <w:tab w:val="right" w:leader="dot" w:pos="8844"/>
        </w:tabs>
        <w:rPr>
          <w:highlight w:val="none"/>
        </w:rPr>
      </w:pPr>
      <w:r>
        <w:rPr>
          <w:rFonts w:hint="eastAsia"/>
          <w:color w:val="auto"/>
          <w:highlight w:val="none"/>
        </w:rPr>
        <w:fldChar w:fldCharType="begin"/>
      </w:r>
      <w:r>
        <w:rPr>
          <w:rFonts w:hint="eastAsia"/>
          <w:highlight w:val="none"/>
        </w:rPr>
        <w:instrText xml:space="preserve"> HYPERLINK \l _Toc24123 </w:instrText>
      </w:r>
      <w:r>
        <w:rPr>
          <w:rFonts w:hint="eastAsia"/>
          <w:highlight w:val="none"/>
        </w:rPr>
        <w:fldChar w:fldCharType="separate"/>
      </w:r>
      <w:r>
        <w:rPr>
          <w:rFonts w:hint="eastAsia" w:cs="宋体"/>
          <w:highlight w:val="none"/>
        </w:rPr>
        <w:t>（一）总则</w:t>
      </w:r>
      <w:r>
        <w:rPr>
          <w:highlight w:val="none"/>
        </w:rPr>
        <w:tab/>
      </w:r>
      <w:r>
        <w:rPr>
          <w:highlight w:val="none"/>
        </w:rPr>
        <w:fldChar w:fldCharType="begin"/>
      </w:r>
      <w:r>
        <w:rPr>
          <w:highlight w:val="none"/>
        </w:rPr>
        <w:instrText xml:space="preserve"> PAGEREF _Toc24123 \h </w:instrText>
      </w:r>
      <w:r>
        <w:rPr>
          <w:highlight w:val="none"/>
        </w:rPr>
        <w:fldChar w:fldCharType="separate"/>
      </w:r>
      <w:r>
        <w:rPr>
          <w:highlight w:val="none"/>
        </w:rPr>
        <w:t>17</w:t>
      </w:r>
      <w:r>
        <w:rPr>
          <w:highlight w:val="none"/>
        </w:rPr>
        <w:fldChar w:fldCharType="end"/>
      </w:r>
      <w:r>
        <w:rPr>
          <w:rFonts w:hint="eastAsia"/>
          <w:color w:val="auto"/>
          <w:highlight w:val="none"/>
        </w:rPr>
        <w:fldChar w:fldCharType="end"/>
      </w:r>
    </w:p>
    <w:p>
      <w:pPr>
        <w:pStyle w:val="25"/>
        <w:tabs>
          <w:tab w:val="right" w:leader="dot" w:pos="8844"/>
        </w:tabs>
        <w:rPr>
          <w:highlight w:val="none"/>
        </w:rPr>
      </w:pPr>
      <w:r>
        <w:rPr>
          <w:rFonts w:hint="eastAsia"/>
          <w:color w:val="auto"/>
          <w:highlight w:val="none"/>
        </w:rPr>
        <w:fldChar w:fldCharType="begin"/>
      </w:r>
      <w:r>
        <w:rPr>
          <w:rFonts w:hint="eastAsia"/>
          <w:highlight w:val="none"/>
        </w:rPr>
        <w:instrText xml:space="preserve"> HYPERLINK \l _Toc8745 </w:instrText>
      </w:r>
      <w:r>
        <w:rPr>
          <w:rFonts w:hint="eastAsia"/>
          <w:highlight w:val="none"/>
        </w:rPr>
        <w:fldChar w:fldCharType="separate"/>
      </w:r>
      <w:r>
        <w:rPr>
          <w:rFonts w:hint="eastAsia" w:cs="宋体"/>
          <w:highlight w:val="none"/>
        </w:rPr>
        <w:t>（二）招标文件</w:t>
      </w:r>
      <w:r>
        <w:rPr>
          <w:highlight w:val="none"/>
        </w:rPr>
        <w:tab/>
      </w:r>
      <w:r>
        <w:rPr>
          <w:highlight w:val="none"/>
        </w:rPr>
        <w:fldChar w:fldCharType="begin"/>
      </w:r>
      <w:r>
        <w:rPr>
          <w:highlight w:val="none"/>
        </w:rPr>
        <w:instrText xml:space="preserve"> PAGEREF _Toc8745 \h </w:instrText>
      </w:r>
      <w:r>
        <w:rPr>
          <w:highlight w:val="none"/>
        </w:rPr>
        <w:fldChar w:fldCharType="separate"/>
      </w:r>
      <w:r>
        <w:rPr>
          <w:highlight w:val="none"/>
        </w:rPr>
        <w:t>18</w:t>
      </w:r>
      <w:r>
        <w:rPr>
          <w:highlight w:val="none"/>
        </w:rPr>
        <w:fldChar w:fldCharType="end"/>
      </w:r>
      <w:r>
        <w:rPr>
          <w:rFonts w:hint="eastAsia"/>
          <w:color w:val="auto"/>
          <w:highlight w:val="none"/>
        </w:rPr>
        <w:fldChar w:fldCharType="end"/>
      </w:r>
    </w:p>
    <w:p>
      <w:pPr>
        <w:pStyle w:val="25"/>
        <w:tabs>
          <w:tab w:val="right" w:leader="dot" w:pos="8844"/>
        </w:tabs>
        <w:rPr>
          <w:highlight w:val="none"/>
        </w:rPr>
      </w:pPr>
      <w:r>
        <w:rPr>
          <w:rFonts w:hint="eastAsia"/>
          <w:color w:val="auto"/>
          <w:highlight w:val="none"/>
        </w:rPr>
        <w:fldChar w:fldCharType="begin"/>
      </w:r>
      <w:r>
        <w:rPr>
          <w:rFonts w:hint="eastAsia"/>
          <w:highlight w:val="none"/>
        </w:rPr>
        <w:instrText xml:space="preserve"> HYPERLINK \l _Toc3618 </w:instrText>
      </w:r>
      <w:r>
        <w:rPr>
          <w:rFonts w:hint="eastAsia"/>
          <w:highlight w:val="none"/>
        </w:rPr>
        <w:fldChar w:fldCharType="separate"/>
      </w:r>
      <w:r>
        <w:rPr>
          <w:rFonts w:hint="eastAsia" w:cs="宋体"/>
          <w:highlight w:val="none"/>
        </w:rPr>
        <w:t>（三）投标文件的编制</w:t>
      </w:r>
      <w:r>
        <w:rPr>
          <w:highlight w:val="none"/>
        </w:rPr>
        <w:tab/>
      </w:r>
      <w:r>
        <w:rPr>
          <w:highlight w:val="none"/>
        </w:rPr>
        <w:fldChar w:fldCharType="begin"/>
      </w:r>
      <w:r>
        <w:rPr>
          <w:highlight w:val="none"/>
        </w:rPr>
        <w:instrText xml:space="preserve"> PAGEREF _Toc3618 \h </w:instrText>
      </w:r>
      <w:r>
        <w:rPr>
          <w:highlight w:val="none"/>
        </w:rPr>
        <w:fldChar w:fldCharType="separate"/>
      </w:r>
      <w:r>
        <w:rPr>
          <w:highlight w:val="none"/>
        </w:rPr>
        <w:t>19</w:t>
      </w:r>
      <w:r>
        <w:rPr>
          <w:highlight w:val="none"/>
        </w:rPr>
        <w:fldChar w:fldCharType="end"/>
      </w:r>
      <w:r>
        <w:rPr>
          <w:rFonts w:hint="eastAsia"/>
          <w:color w:val="auto"/>
          <w:highlight w:val="none"/>
        </w:rPr>
        <w:fldChar w:fldCharType="end"/>
      </w:r>
    </w:p>
    <w:p>
      <w:pPr>
        <w:pStyle w:val="25"/>
        <w:tabs>
          <w:tab w:val="right" w:leader="dot" w:pos="8844"/>
        </w:tabs>
        <w:rPr>
          <w:highlight w:val="none"/>
        </w:rPr>
      </w:pPr>
      <w:r>
        <w:rPr>
          <w:rFonts w:hint="eastAsia"/>
          <w:color w:val="auto"/>
          <w:highlight w:val="none"/>
        </w:rPr>
        <w:fldChar w:fldCharType="begin"/>
      </w:r>
      <w:r>
        <w:rPr>
          <w:rFonts w:hint="eastAsia"/>
          <w:highlight w:val="none"/>
        </w:rPr>
        <w:instrText xml:space="preserve"> HYPERLINK \l _Toc23710 </w:instrText>
      </w:r>
      <w:r>
        <w:rPr>
          <w:rFonts w:hint="eastAsia"/>
          <w:highlight w:val="none"/>
        </w:rPr>
        <w:fldChar w:fldCharType="separate"/>
      </w:r>
      <w:r>
        <w:rPr>
          <w:rFonts w:hint="eastAsia" w:cs="宋体"/>
          <w:highlight w:val="none"/>
        </w:rPr>
        <w:t>（四）投标文件的提交</w:t>
      </w:r>
      <w:r>
        <w:rPr>
          <w:highlight w:val="none"/>
        </w:rPr>
        <w:tab/>
      </w:r>
      <w:r>
        <w:rPr>
          <w:highlight w:val="none"/>
        </w:rPr>
        <w:fldChar w:fldCharType="begin"/>
      </w:r>
      <w:r>
        <w:rPr>
          <w:highlight w:val="none"/>
        </w:rPr>
        <w:instrText xml:space="preserve"> PAGEREF _Toc23710 \h </w:instrText>
      </w:r>
      <w:r>
        <w:rPr>
          <w:highlight w:val="none"/>
        </w:rPr>
        <w:fldChar w:fldCharType="separate"/>
      </w:r>
      <w:r>
        <w:rPr>
          <w:highlight w:val="none"/>
        </w:rPr>
        <w:t>25</w:t>
      </w:r>
      <w:r>
        <w:rPr>
          <w:highlight w:val="none"/>
        </w:rPr>
        <w:fldChar w:fldCharType="end"/>
      </w:r>
      <w:r>
        <w:rPr>
          <w:rFonts w:hint="eastAsia"/>
          <w:color w:val="auto"/>
          <w:highlight w:val="none"/>
        </w:rPr>
        <w:fldChar w:fldCharType="end"/>
      </w:r>
    </w:p>
    <w:p>
      <w:pPr>
        <w:pStyle w:val="25"/>
        <w:tabs>
          <w:tab w:val="right" w:leader="dot" w:pos="8844"/>
        </w:tabs>
        <w:rPr>
          <w:highlight w:val="none"/>
        </w:rPr>
      </w:pPr>
      <w:r>
        <w:rPr>
          <w:rFonts w:hint="eastAsia"/>
          <w:color w:val="auto"/>
          <w:highlight w:val="none"/>
        </w:rPr>
        <w:fldChar w:fldCharType="begin"/>
      </w:r>
      <w:r>
        <w:rPr>
          <w:rFonts w:hint="eastAsia"/>
          <w:highlight w:val="none"/>
        </w:rPr>
        <w:instrText xml:space="preserve"> HYPERLINK \l _Toc19681 </w:instrText>
      </w:r>
      <w:r>
        <w:rPr>
          <w:rFonts w:hint="eastAsia"/>
          <w:highlight w:val="none"/>
        </w:rPr>
        <w:fldChar w:fldCharType="separate"/>
      </w:r>
      <w:r>
        <w:rPr>
          <w:rFonts w:hint="eastAsia" w:cs="宋体"/>
          <w:highlight w:val="none"/>
        </w:rPr>
        <w:t>（五）开标、评标、定标及合同签定</w:t>
      </w:r>
      <w:r>
        <w:rPr>
          <w:highlight w:val="none"/>
        </w:rPr>
        <w:tab/>
      </w:r>
      <w:r>
        <w:rPr>
          <w:highlight w:val="none"/>
        </w:rPr>
        <w:fldChar w:fldCharType="begin"/>
      </w:r>
      <w:r>
        <w:rPr>
          <w:highlight w:val="none"/>
        </w:rPr>
        <w:instrText xml:space="preserve"> PAGEREF _Toc19681 \h </w:instrText>
      </w:r>
      <w:r>
        <w:rPr>
          <w:highlight w:val="none"/>
        </w:rPr>
        <w:fldChar w:fldCharType="separate"/>
      </w:r>
      <w:r>
        <w:rPr>
          <w:highlight w:val="none"/>
        </w:rPr>
        <w:t>26</w:t>
      </w:r>
      <w:r>
        <w:rPr>
          <w:highlight w:val="none"/>
        </w:rPr>
        <w:fldChar w:fldCharType="end"/>
      </w:r>
      <w:r>
        <w:rPr>
          <w:rFonts w:hint="eastAsia"/>
          <w:color w:val="auto"/>
          <w:highlight w:val="none"/>
        </w:rPr>
        <w:fldChar w:fldCharType="end"/>
      </w:r>
    </w:p>
    <w:p>
      <w:pPr>
        <w:pStyle w:val="35"/>
        <w:tabs>
          <w:tab w:val="right" w:leader="dot" w:pos="8844"/>
          <w:tab w:val="clear" w:pos="9060"/>
        </w:tabs>
        <w:rPr>
          <w:highlight w:val="none"/>
        </w:rPr>
      </w:pPr>
      <w:r>
        <w:rPr>
          <w:rFonts w:hint="eastAsia"/>
          <w:color w:val="auto"/>
          <w:highlight w:val="none"/>
        </w:rPr>
        <w:fldChar w:fldCharType="begin"/>
      </w:r>
      <w:r>
        <w:rPr>
          <w:rFonts w:hint="eastAsia"/>
          <w:highlight w:val="none"/>
        </w:rPr>
        <w:instrText xml:space="preserve"> HYPERLINK \l _Toc28706 </w:instrText>
      </w:r>
      <w:r>
        <w:rPr>
          <w:rFonts w:hint="eastAsia"/>
          <w:highlight w:val="none"/>
        </w:rPr>
        <w:fldChar w:fldCharType="separate"/>
      </w:r>
      <w:r>
        <w:rPr>
          <w:rFonts w:hint="eastAsia" w:ascii="宋体" w:hAnsi="宋体" w:eastAsia="宋体" w:cs="宋体"/>
          <w:kern w:val="0"/>
          <w:szCs w:val="28"/>
          <w:highlight w:val="none"/>
          <w:lang w:val="en-US" w:eastAsia="zh-CN" w:bidi="ar-SA"/>
        </w:rPr>
        <w:t>第二章  开标、评标及定标办法</w:t>
      </w:r>
      <w:r>
        <w:rPr>
          <w:highlight w:val="none"/>
        </w:rPr>
        <w:tab/>
      </w:r>
      <w:r>
        <w:rPr>
          <w:highlight w:val="none"/>
        </w:rPr>
        <w:fldChar w:fldCharType="begin"/>
      </w:r>
      <w:r>
        <w:rPr>
          <w:highlight w:val="none"/>
        </w:rPr>
        <w:instrText xml:space="preserve"> PAGEREF _Toc28706 \h </w:instrText>
      </w:r>
      <w:r>
        <w:rPr>
          <w:highlight w:val="none"/>
        </w:rPr>
        <w:fldChar w:fldCharType="separate"/>
      </w:r>
      <w:r>
        <w:rPr>
          <w:highlight w:val="none"/>
        </w:rPr>
        <w:t>30</w:t>
      </w:r>
      <w:r>
        <w:rPr>
          <w:highlight w:val="none"/>
        </w:rPr>
        <w:fldChar w:fldCharType="end"/>
      </w:r>
      <w:r>
        <w:rPr>
          <w:rFonts w:hint="eastAsia"/>
          <w:color w:val="auto"/>
          <w:highlight w:val="none"/>
        </w:rPr>
        <w:fldChar w:fldCharType="end"/>
      </w:r>
    </w:p>
    <w:p>
      <w:pPr>
        <w:pStyle w:val="42"/>
        <w:tabs>
          <w:tab w:val="right" w:leader="dot" w:pos="8844"/>
          <w:tab w:val="clear" w:pos="9060"/>
        </w:tabs>
        <w:rPr>
          <w:highlight w:val="none"/>
        </w:rPr>
      </w:pPr>
      <w:r>
        <w:rPr>
          <w:rFonts w:hint="eastAsia"/>
          <w:color w:val="auto"/>
          <w:highlight w:val="none"/>
        </w:rPr>
        <w:fldChar w:fldCharType="begin"/>
      </w:r>
      <w:r>
        <w:rPr>
          <w:rFonts w:hint="eastAsia"/>
          <w:highlight w:val="none"/>
        </w:rPr>
        <w:instrText xml:space="preserve"> HYPERLINK \l _Toc21687 </w:instrText>
      </w:r>
      <w:r>
        <w:rPr>
          <w:rFonts w:hint="eastAsia"/>
          <w:highlight w:val="none"/>
        </w:rPr>
        <w:fldChar w:fldCharType="separate"/>
      </w:r>
      <w:r>
        <w:rPr>
          <w:rFonts w:hint="eastAsia" w:ascii="宋体" w:hAnsi="宋体" w:cs="宋体"/>
          <w:szCs w:val="28"/>
          <w:highlight w:val="none"/>
        </w:rPr>
        <w:t>一、</w:t>
      </w:r>
      <w:r>
        <w:rPr>
          <w:rFonts w:hint="eastAsia" w:ascii="宋体" w:hAnsi="宋体" w:cs="宋体"/>
          <w:highlight w:val="none"/>
        </w:rPr>
        <w:t>开标、评标及定标办法修改表</w:t>
      </w:r>
      <w:r>
        <w:rPr>
          <w:highlight w:val="none"/>
        </w:rPr>
        <w:tab/>
      </w:r>
      <w:r>
        <w:rPr>
          <w:highlight w:val="none"/>
        </w:rPr>
        <w:fldChar w:fldCharType="begin"/>
      </w:r>
      <w:r>
        <w:rPr>
          <w:highlight w:val="none"/>
        </w:rPr>
        <w:instrText xml:space="preserve"> PAGEREF _Toc21687 \h </w:instrText>
      </w:r>
      <w:r>
        <w:rPr>
          <w:highlight w:val="none"/>
        </w:rPr>
        <w:fldChar w:fldCharType="separate"/>
      </w:r>
      <w:r>
        <w:rPr>
          <w:highlight w:val="none"/>
        </w:rPr>
        <w:t>30</w:t>
      </w:r>
      <w:r>
        <w:rPr>
          <w:highlight w:val="none"/>
        </w:rPr>
        <w:fldChar w:fldCharType="end"/>
      </w:r>
      <w:r>
        <w:rPr>
          <w:rFonts w:hint="eastAsia"/>
          <w:color w:val="auto"/>
          <w:highlight w:val="none"/>
        </w:rPr>
        <w:fldChar w:fldCharType="end"/>
      </w:r>
    </w:p>
    <w:p>
      <w:pPr>
        <w:pStyle w:val="42"/>
        <w:tabs>
          <w:tab w:val="right" w:leader="dot" w:pos="8844"/>
          <w:tab w:val="clear" w:pos="9060"/>
        </w:tabs>
        <w:rPr>
          <w:highlight w:val="none"/>
        </w:rPr>
      </w:pPr>
      <w:r>
        <w:rPr>
          <w:rFonts w:hint="eastAsia"/>
          <w:color w:val="auto"/>
          <w:highlight w:val="none"/>
        </w:rPr>
        <w:fldChar w:fldCharType="begin"/>
      </w:r>
      <w:r>
        <w:rPr>
          <w:rFonts w:hint="eastAsia"/>
          <w:highlight w:val="none"/>
        </w:rPr>
        <w:instrText xml:space="preserve"> HYPERLINK \l _Toc31902 </w:instrText>
      </w:r>
      <w:r>
        <w:rPr>
          <w:rFonts w:hint="eastAsia"/>
          <w:highlight w:val="none"/>
        </w:rPr>
        <w:fldChar w:fldCharType="separate"/>
      </w:r>
      <w:r>
        <w:rPr>
          <w:rFonts w:hint="eastAsia" w:ascii="宋体" w:hAnsi="宋体" w:cs="宋体"/>
          <w:highlight w:val="none"/>
        </w:rPr>
        <w:t>二、开标、评标及定标办法</w:t>
      </w:r>
      <w:r>
        <w:rPr>
          <w:rFonts w:hint="eastAsia" w:ascii="宋体" w:hAnsi="宋体" w:cs="宋体"/>
          <w:szCs w:val="30"/>
          <w:highlight w:val="none"/>
        </w:rPr>
        <w:t>通用条款</w:t>
      </w:r>
      <w:r>
        <w:rPr>
          <w:highlight w:val="none"/>
        </w:rPr>
        <w:tab/>
      </w:r>
      <w:r>
        <w:rPr>
          <w:highlight w:val="none"/>
        </w:rPr>
        <w:fldChar w:fldCharType="begin"/>
      </w:r>
      <w:r>
        <w:rPr>
          <w:highlight w:val="none"/>
        </w:rPr>
        <w:instrText xml:space="preserve"> PAGEREF _Toc31902 \h </w:instrText>
      </w:r>
      <w:r>
        <w:rPr>
          <w:highlight w:val="none"/>
        </w:rPr>
        <w:fldChar w:fldCharType="separate"/>
      </w:r>
      <w:r>
        <w:rPr>
          <w:highlight w:val="none"/>
        </w:rPr>
        <w:t>36</w:t>
      </w:r>
      <w:r>
        <w:rPr>
          <w:highlight w:val="none"/>
        </w:rPr>
        <w:fldChar w:fldCharType="end"/>
      </w:r>
      <w:r>
        <w:rPr>
          <w:rFonts w:hint="eastAsia"/>
          <w:color w:val="auto"/>
          <w:highlight w:val="none"/>
        </w:rPr>
        <w:fldChar w:fldCharType="end"/>
      </w:r>
    </w:p>
    <w:p>
      <w:pPr>
        <w:pStyle w:val="25"/>
        <w:tabs>
          <w:tab w:val="right" w:leader="dot" w:pos="8844"/>
        </w:tabs>
        <w:rPr>
          <w:highlight w:val="none"/>
        </w:rPr>
      </w:pPr>
      <w:r>
        <w:rPr>
          <w:rFonts w:hint="eastAsia"/>
          <w:color w:val="auto"/>
          <w:highlight w:val="none"/>
        </w:rPr>
        <w:fldChar w:fldCharType="begin"/>
      </w:r>
      <w:r>
        <w:rPr>
          <w:rFonts w:hint="eastAsia"/>
          <w:highlight w:val="none"/>
        </w:rPr>
        <w:instrText xml:space="preserve"> HYPERLINK \l _Toc486 </w:instrText>
      </w:r>
      <w:r>
        <w:rPr>
          <w:rFonts w:hint="eastAsia"/>
          <w:highlight w:val="none"/>
        </w:rPr>
        <w:fldChar w:fldCharType="separate"/>
      </w:r>
      <w:r>
        <w:rPr>
          <w:rFonts w:hint="eastAsia" w:cs="宋体"/>
          <w:highlight w:val="none"/>
        </w:rPr>
        <w:t>（一）总则</w:t>
      </w:r>
      <w:r>
        <w:rPr>
          <w:highlight w:val="none"/>
        </w:rPr>
        <w:tab/>
      </w:r>
      <w:r>
        <w:rPr>
          <w:highlight w:val="none"/>
        </w:rPr>
        <w:fldChar w:fldCharType="begin"/>
      </w:r>
      <w:r>
        <w:rPr>
          <w:highlight w:val="none"/>
        </w:rPr>
        <w:instrText xml:space="preserve"> PAGEREF _Toc486 \h </w:instrText>
      </w:r>
      <w:r>
        <w:rPr>
          <w:highlight w:val="none"/>
        </w:rPr>
        <w:fldChar w:fldCharType="separate"/>
      </w:r>
      <w:r>
        <w:rPr>
          <w:highlight w:val="none"/>
        </w:rPr>
        <w:t>36</w:t>
      </w:r>
      <w:r>
        <w:rPr>
          <w:highlight w:val="none"/>
        </w:rPr>
        <w:fldChar w:fldCharType="end"/>
      </w:r>
      <w:r>
        <w:rPr>
          <w:rFonts w:hint="eastAsia"/>
          <w:color w:val="auto"/>
          <w:highlight w:val="none"/>
        </w:rPr>
        <w:fldChar w:fldCharType="end"/>
      </w:r>
    </w:p>
    <w:p>
      <w:pPr>
        <w:pStyle w:val="25"/>
        <w:tabs>
          <w:tab w:val="right" w:leader="dot" w:pos="8844"/>
        </w:tabs>
        <w:rPr>
          <w:highlight w:val="none"/>
        </w:rPr>
      </w:pPr>
      <w:r>
        <w:rPr>
          <w:rFonts w:hint="eastAsia"/>
          <w:color w:val="auto"/>
          <w:highlight w:val="none"/>
        </w:rPr>
        <w:fldChar w:fldCharType="begin"/>
      </w:r>
      <w:r>
        <w:rPr>
          <w:rFonts w:hint="eastAsia"/>
          <w:highlight w:val="none"/>
        </w:rPr>
        <w:instrText xml:space="preserve"> HYPERLINK \l _Toc16714 </w:instrText>
      </w:r>
      <w:r>
        <w:rPr>
          <w:rFonts w:hint="eastAsia"/>
          <w:highlight w:val="none"/>
        </w:rPr>
        <w:fldChar w:fldCharType="separate"/>
      </w:r>
      <w:r>
        <w:rPr>
          <w:rFonts w:hint="eastAsia" w:cs="宋体"/>
          <w:szCs w:val="27"/>
          <w:highlight w:val="none"/>
        </w:rPr>
        <w:t>（二）开标评标办法程序和细则</w:t>
      </w:r>
      <w:r>
        <w:rPr>
          <w:highlight w:val="none"/>
        </w:rPr>
        <w:tab/>
      </w:r>
      <w:r>
        <w:rPr>
          <w:highlight w:val="none"/>
        </w:rPr>
        <w:fldChar w:fldCharType="begin"/>
      </w:r>
      <w:r>
        <w:rPr>
          <w:highlight w:val="none"/>
        </w:rPr>
        <w:instrText xml:space="preserve"> PAGEREF _Toc16714 \h </w:instrText>
      </w:r>
      <w:r>
        <w:rPr>
          <w:highlight w:val="none"/>
        </w:rPr>
        <w:fldChar w:fldCharType="separate"/>
      </w:r>
      <w:r>
        <w:rPr>
          <w:highlight w:val="none"/>
        </w:rPr>
        <w:t>38</w:t>
      </w:r>
      <w:r>
        <w:rPr>
          <w:highlight w:val="none"/>
        </w:rPr>
        <w:fldChar w:fldCharType="end"/>
      </w:r>
      <w:r>
        <w:rPr>
          <w:rFonts w:hint="eastAsia"/>
          <w:color w:val="auto"/>
          <w:highlight w:val="none"/>
        </w:rPr>
        <w:fldChar w:fldCharType="end"/>
      </w:r>
    </w:p>
    <w:p>
      <w:pPr>
        <w:pStyle w:val="25"/>
        <w:tabs>
          <w:tab w:val="right" w:leader="dot" w:pos="8844"/>
        </w:tabs>
        <w:rPr>
          <w:highlight w:val="none"/>
        </w:rPr>
      </w:pPr>
      <w:r>
        <w:rPr>
          <w:rFonts w:hint="eastAsia"/>
          <w:color w:val="auto"/>
          <w:highlight w:val="none"/>
        </w:rPr>
        <w:fldChar w:fldCharType="begin"/>
      </w:r>
      <w:r>
        <w:rPr>
          <w:rFonts w:hint="eastAsia"/>
          <w:highlight w:val="none"/>
        </w:rPr>
        <w:instrText xml:space="preserve"> HYPERLINK \l _Toc727 </w:instrText>
      </w:r>
      <w:r>
        <w:rPr>
          <w:rFonts w:hint="eastAsia"/>
          <w:highlight w:val="none"/>
        </w:rPr>
        <w:fldChar w:fldCharType="separate"/>
      </w:r>
      <w:r>
        <w:rPr>
          <w:rFonts w:hint="eastAsia" w:cs="宋体"/>
          <w:highlight w:val="none"/>
        </w:rPr>
        <w:t>可选办法七（适合综合评分法四，技术标与经济标同时开启）</w:t>
      </w:r>
      <w:r>
        <w:rPr>
          <w:highlight w:val="none"/>
        </w:rPr>
        <w:tab/>
      </w:r>
      <w:r>
        <w:rPr>
          <w:highlight w:val="none"/>
        </w:rPr>
        <w:fldChar w:fldCharType="begin"/>
      </w:r>
      <w:r>
        <w:rPr>
          <w:highlight w:val="none"/>
        </w:rPr>
        <w:instrText xml:space="preserve"> PAGEREF _Toc727 \h </w:instrText>
      </w:r>
      <w:r>
        <w:rPr>
          <w:highlight w:val="none"/>
        </w:rPr>
        <w:fldChar w:fldCharType="separate"/>
      </w:r>
      <w:r>
        <w:rPr>
          <w:highlight w:val="none"/>
        </w:rPr>
        <w:t>38</w:t>
      </w:r>
      <w:r>
        <w:rPr>
          <w:highlight w:val="none"/>
        </w:rPr>
        <w:fldChar w:fldCharType="end"/>
      </w:r>
      <w:r>
        <w:rPr>
          <w:rFonts w:hint="eastAsia"/>
          <w:color w:val="auto"/>
          <w:highlight w:val="none"/>
        </w:rPr>
        <w:fldChar w:fldCharType="end"/>
      </w:r>
    </w:p>
    <w:p>
      <w:pPr>
        <w:pStyle w:val="35"/>
        <w:tabs>
          <w:tab w:val="right" w:leader="dot" w:pos="8844"/>
          <w:tab w:val="clear" w:pos="9060"/>
        </w:tabs>
        <w:rPr>
          <w:highlight w:val="none"/>
        </w:rPr>
      </w:pPr>
      <w:r>
        <w:rPr>
          <w:rFonts w:hint="eastAsia"/>
          <w:color w:val="auto"/>
          <w:highlight w:val="none"/>
        </w:rPr>
        <w:fldChar w:fldCharType="begin"/>
      </w:r>
      <w:r>
        <w:rPr>
          <w:rFonts w:hint="eastAsia"/>
          <w:highlight w:val="none"/>
        </w:rPr>
        <w:instrText xml:space="preserve"> HYPERLINK \l _Toc14002 </w:instrText>
      </w:r>
      <w:r>
        <w:rPr>
          <w:rFonts w:hint="eastAsia"/>
          <w:highlight w:val="none"/>
        </w:rPr>
        <w:fldChar w:fldCharType="separate"/>
      </w:r>
      <w:r>
        <w:rPr>
          <w:rFonts w:hint="eastAsia" w:ascii="宋体" w:hAnsi="宋体" w:cs="宋体"/>
          <w:bCs/>
          <w:highlight w:val="none"/>
        </w:rPr>
        <w:t>第三章  合同条款</w:t>
      </w:r>
      <w:r>
        <w:rPr>
          <w:highlight w:val="none"/>
        </w:rPr>
        <w:tab/>
      </w:r>
      <w:r>
        <w:rPr>
          <w:highlight w:val="none"/>
        </w:rPr>
        <w:fldChar w:fldCharType="begin"/>
      </w:r>
      <w:r>
        <w:rPr>
          <w:highlight w:val="none"/>
        </w:rPr>
        <w:instrText xml:space="preserve"> PAGEREF _Toc14002 \h </w:instrText>
      </w:r>
      <w:r>
        <w:rPr>
          <w:highlight w:val="none"/>
        </w:rPr>
        <w:fldChar w:fldCharType="separate"/>
      </w:r>
      <w:r>
        <w:rPr>
          <w:highlight w:val="none"/>
        </w:rPr>
        <w:t>54</w:t>
      </w:r>
      <w:r>
        <w:rPr>
          <w:highlight w:val="none"/>
        </w:rPr>
        <w:fldChar w:fldCharType="end"/>
      </w:r>
      <w:r>
        <w:rPr>
          <w:rFonts w:hint="eastAsia"/>
          <w:color w:val="auto"/>
          <w:highlight w:val="none"/>
        </w:rPr>
        <w:fldChar w:fldCharType="end"/>
      </w:r>
    </w:p>
    <w:p>
      <w:pPr>
        <w:pStyle w:val="35"/>
        <w:tabs>
          <w:tab w:val="right" w:leader="dot" w:pos="8844"/>
          <w:tab w:val="clear" w:pos="9060"/>
        </w:tabs>
        <w:rPr>
          <w:highlight w:val="none"/>
        </w:rPr>
      </w:pPr>
      <w:r>
        <w:rPr>
          <w:rFonts w:hint="eastAsia"/>
          <w:color w:val="auto"/>
          <w:highlight w:val="none"/>
        </w:rPr>
        <w:fldChar w:fldCharType="begin"/>
      </w:r>
      <w:r>
        <w:rPr>
          <w:rFonts w:hint="eastAsia"/>
          <w:highlight w:val="none"/>
        </w:rPr>
        <w:instrText xml:space="preserve"> HYPERLINK \l _Toc2701 </w:instrText>
      </w:r>
      <w:r>
        <w:rPr>
          <w:rFonts w:hint="eastAsia"/>
          <w:highlight w:val="none"/>
        </w:rPr>
        <w:fldChar w:fldCharType="separate"/>
      </w:r>
      <w:r>
        <w:rPr>
          <w:rFonts w:hint="eastAsia" w:ascii="宋体" w:hAnsi="宋体" w:eastAsia="宋体" w:cs="宋体"/>
          <w:bCs/>
          <w:kern w:val="44"/>
          <w:szCs w:val="28"/>
          <w:highlight w:val="none"/>
          <w:lang w:val="en-US" w:eastAsia="zh-CN" w:bidi="ar-SA"/>
        </w:rPr>
        <w:t>第四章  投标文件格式</w:t>
      </w:r>
      <w:r>
        <w:rPr>
          <w:highlight w:val="none"/>
        </w:rPr>
        <w:tab/>
      </w:r>
      <w:r>
        <w:rPr>
          <w:highlight w:val="none"/>
        </w:rPr>
        <w:fldChar w:fldCharType="begin"/>
      </w:r>
      <w:r>
        <w:rPr>
          <w:highlight w:val="none"/>
        </w:rPr>
        <w:instrText xml:space="preserve"> PAGEREF _Toc2701 \h </w:instrText>
      </w:r>
      <w:r>
        <w:rPr>
          <w:highlight w:val="none"/>
        </w:rPr>
        <w:fldChar w:fldCharType="separate"/>
      </w:r>
      <w:r>
        <w:rPr>
          <w:highlight w:val="none"/>
        </w:rPr>
        <w:t>55</w:t>
      </w:r>
      <w:r>
        <w:rPr>
          <w:highlight w:val="none"/>
        </w:rPr>
        <w:fldChar w:fldCharType="end"/>
      </w:r>
      <w:r>
        <w:rPr>
          <w:rFonts w:hint="eastAsia"/>
          <w:color w:val="auto"/>
          <w:highlight w:val="none"/>
        </w:rPr>
        <w:fldChar w:fldCharType="end"/>
      </w:r>
    </w:p>
    <w:p>
      <w:pPr>
        <w:pStyle w:val="35"/>
        <w:tabs>
          <w:tab w:val="right" w:leader="dot" w:pos="8844"/>
          <w:tab w:val="clear" w:pos="9060"/>
        </w:tabs>
        <w:rPr>
          <w:highlight w:val="none"/>
        </w:rPr>
      </w:pPr>
      <w:r>
        <w:rPr>
          <w:rFonts w:hint="eastAsia"/>
          <w:color w:val="auto"/>
          <w:highlight w:val="none"/>
        </w:rPr>
        <w:fldChar w:fldCharType="begin"/>
      </w:r>
      <w:r>
        <w:rPr>
          <w:rFonts w:hint="eastAsia"/>
          <w:highlight w:val="none"/>
        </w:rPr>
        <w:instrText xml:space="preserve"> HYPERLINK \l _Toc30186 </w:instrText>
      </w:r>
      <w:r>
        <w:rPr>
          <w:rFonts w:hint="eastAsia"/>
          <w:highlight w:val="none"/>
        </w:rPr>
        <w:fldChar w:fldCharType="separate"/>
      </w:r>
      <w:r>
        <w:rPr>
          <w:rFonts w:hint="eastAsia" w:ascii="宋体" w:hAnsi="宋体" w:cs="宋体"/>
          <w:bCs/>
          <w:highlight w:val="none"/>
        </w:rPr>
        <w:t>第五章  技术条件（工程建设标准）</w:t>
      </w:r>
      <w:r>
        <w:rPr>
          <w:highlight w:val="none"/>
        </w:rPr>
        <w:tab/>
      </w:r>
      <w:r>
        <w:rPr>
          <w:highlight w:val="none"/>
        </w:rPr>
        <w:fldChar w:fldCharType="begin"/>
      </w:r>
      <w:r>
        <w:rPr>
          <w:highlight w:val="none"/>
        </w:rPr>
        <w:instrText xml:space="preserve"> PAGEREF _Toc30186 \h </w:instrText>
      </w:r>
      <w:r>
        <w:rPr>
          <w:highlight w:val="none"/>
        </w:rPr>
        <w:fldChar w:fldCharType="separate"/>
      </w:r>
      <w:r>
        <w:rPr>
          <w:highlight w:val="none"/>
        </w:rPr>
        <w:t>62</w:t>
      </w:r>
      <w:r>
        <w:rPr>
          <w:highlight w:val="none"/>
        </w:rPr>
        <w:fldChar w:fldCharType="end"/>
      </w:r>
      <w:r>
        <w:rPr>
          <w:rFonts w:hint="eastAsia"/>
          <w:color w:val="auto"/>
          <w:highlight w:val="none"/>
        </w:rPr>
        <w:fldChar w:fldCharType="end"/>
      </w:r>
    </w:p>
    <w:p>
      <w:pPr>
        <w:pStyle w:val="35"/>
        <w:tabs>
          <w:tab w:val="right" w:leader="dot" w:pos="8844"/>
          <w:tab w:val="clear" w:pos="9060"/>
        </w:tabs>
        <w:rPr>
          <w:highlight w:val="none"/>
        </w:rPr>
      </w:pPr>
      <w:r>
        <w:rPr>
          <w:rFonts w:hint="eastAsia"/>
          <w:color w:val="auto"/>
          <w:highlight w:val="none"/>
        </w:rPr>
        <w:fldChar w:fldCharType="begin"/>
      </w:r>
      <w:r>
        <w:rPr>
          <w:rFonts w:hint="eastAsia"/>
          <w:highlight w:val="none"/>
        </w:rPr>
        <w:instrText xml:space="preserve"> HYPERLINK \l _Toc8058 </w:instrText>
      </w:r>
      <w:r>
        <w:rPr>
          <w:rFonts w:hint="eastAsia"/>
          <w:highlight w:val="none"/>
        </w:rPr>
        <w:fldChar w:fldCharType="separate"/>
      </w:r>
      <w:r>
        <w:rPr>
          <w:rFonts w:hint="eastAsia" w:ascii="宋体" w:hAnsi="宋体" w:cs="宋体"/>
          <w:bCs/>
          <w:highlight w:val="none"/>
        </w:rPr>
        <w:t>第六章  图纸及勘察资料</w:t>
      </w:r>
      <w:r>
        <w:rPr>
          <w:highlight w:val="none"/>
        </w:rPr>
        <w:tab/>
      </w:r>
      <w:r>
        <w:rPr>
          <w:highlight w:val="none"/>
        </w:rPr>
        <w:fldChar w:fldCharType="begin"/>
      </w:r>
      <w:r>
        <w:rPr>
          <w:highlight w:val="none"/>
        </w:rPr>
        <w:instrText xml:space="preserve"> PAGEREF _Toc8058 \h </w:instrText>
      </w:r>
      <w:r>
        <w:rPr>
          <w:highlight w:val="none"/>
        </w:rPr>
        <w:fldChar w:fldCharType="separate"/>
      </w:r>
      <w:r>
        <w:rPr>
          <w:highlight w:val="none"/>
        </w:rPr>
        <w:t>67</w:t>
      </w:r>
      <w:r>
        <w:rPr>
          <w:highlight w:val="none"/>
        </w:rPr>
        <w:fldChar w:fldCharType="end"/>
      </w:r>
      <w:r>
        <w:rPr>
          <w:rFonts w:hint="eastAsia"/>
          <w:color w:val="auto"/>
          <w:highlight w:val="none"/>
        </w:rPr>
        <w:fldChar w:fldCharType="end"/>
      </w:r>
    </w:p>
    <w:p>
      <w:pPr>
        <w:pStyle w:val="35"/>
        <w:tabs>
          <w:tab w:val="right" w:leader="dot" w:pos="8844"/>
          <w:tab w:val="clear" w:pos="9060"/>
        </w:tabs>
        <w:rPr>
          <w:highlight w:val="none"/>
        </w:rPr>
      </w:pPr>
      <w:r>
        <w:rPr>
          <w:rFonts w:hint="eastAsia"/>
          <w:color w:val="auto"/>
          <w:highlight w:val="none"/>
        </w:rPr>
        <w:fldChar w:fldCharType="begin"/>
      </w:r>
      <w:r>
        <w:rPr>
          <w:rFonts w:hint="eastAsia"/>
          <w:highlight w:val="none"/>
        </w:rPr>
        <w:instrText xml:space="preserve"> HYPERLINK \l _Toc16001 </w:instrText>
      </w:r>
      <w:r>
        <w:rPr>
          <w:rFonts w:hint="eastAsia"/>
          <w:highlight w:val="none"/>
        </w:rPr>
        <w:fldChar w:fldCharType="separate"/>
      </w:r>
      <w:r>
        <w:rPr>
          <w:rFonts w:hint="eastAsia" w:ascii="宋体" w:hAnsi="宋体" w:cs="宋体"/>
          <w:bCs/>
          <w:highlight w:val="none"/>
        </w:rPr>
        <w:t>第七章  工程量清单</w:t>
      </w:r>
      <w:r>
        <w:rPr>
          <w:highlight w:val="none"/>
        </w:rPr>
        <w:tab/>
      </w:r>
      <w:r>
        <w:rPr>
          <w:highlight w:val="none"/>
        </w:rPr>
        <w:fldChar w:fldCharType="begin"/>
      </w:r>
      <w:r>
        <w:rPr>
          <w:highlight w:val="none"/>
        </w:rPr>
        <w:instrText xml:space="preserve"> PAGEREF _Toc16001 \h </w:instrText>
      </w:r>
      <w:r>
        <w:rPr>
          <w:highlight w:val="none"/>
        </w:rPr>
        <w:fldChar w:fldCharType="separate"/>
      </w:r>
      <w:r>
        <w:rPr>
          <w:highlight w:val="none"/>
        </w:rPr>
        <w:t>68</w:t>
      </w:r>
      <w:r>
        <w:rPr>
          <w:highlight w:val="none"/>
        </w:rPr>
        <w:fldChar w:fldCharType="end"/>
      </w:r>
      <w:r>
        <w:rPr>
          <w:rFonts w:hint="eastAsia"/>
          <w:color w:val="auto"/>
          <w:highlight w:val="none"/>
        </w:rPr>
        <w:fldChar w:fldCharType="end"/>
      </w:r>
    </w:p>
    <w:p>
      <w:pPr>
        <w:pStyle w:val="35"/>
        <w:tabs>
          <w:tab w:val="right" w:leader="dot" w:pos="8844"/>
          <w:tab w:val="clear" w:pos="9060"/>
        </w:tabs>
        <w:rPr>
          <w:highlight w:val="none"/>
        </w:rPr>
      </w:pPr>
      <w:r>
        <w:rPr>
          <w:rFonts w:hint="eastAsia"/>
          <w:color w:val="auto"/>
          <w:highlight w:val="none"/>
        </w:rPr>
        <w:fldChar w:fldCharType="begin"/>
      </w:r>
      <w:r>
        <w:rPr>
          <w:rFonts w:hint="eastAsia"/>
          <w:highlight w:val="none"/>
        </w:rPr>
        <w:instrText xml:space="preserve"> HYPERLINK \l _Toc12854 </w:instrText>
      </w:r>
      <w:r>
        <w:rPr>
          <w:rFonts w:hint="eastAsia"/>
          <w:highlight w:val="none"/>
        </w:rPr>
        <w:fldChar w:fldCharType="separate"/>
      </w:r>
      <w:r>
        <w:rPr>
          <w:rFonts w:hint="eastAsia" w:ascii="宋体" w:hAnsi="宋体" w:cs="宋体"/>
          <w:bCs/>
          <w:highlight w:val="none"/>
        </w:rPr>
        <w:t>第八章  最高投标限价</w:t>
      </w:r>
      <w:r>
        <w:rPr>
          <w:highlight w:val="none"/>
        </w:rPr>
        <w:tab/>
      </w:r>
      <w:r>
        <w:rPr>
          <w:highlight w:val="none"/>
        </w:rPr>
        <w:fldChar w:fldCharType="begin"/>
      </w:r>
      <w:r>
        <w:rPr>
          <w:highlight w:val="none"/>
        </w:rPr>
        <w:instrText xml:space="preserve"> PAGEREF _Toc12854 \h </w:instrText>
      </w:r>
      <w:r>
        <w:rPr>
          <w:highlight w:val="none"/>
        </w:rPr>
        <w:fldChar w:fldCharType="separate"/>
      </w:r>
      <w:r>
        <w:rPr>
          <w:highlight w:val="none"/>
        </w:rPr>
        <w:t>69</w:t>
      </w:r>
      <w:r>
        <w:rPr>
          <w:highlight w:val="none"/>
        </w:rPr>
        <w:fldChar w:fldCharType="end"/>
      </w:r>
      <w:r>
        <w:rPr>
          <w:rFonts w:hint="eastAsia"/>
          <w:color w:val="auto"/>
          <w:highlight w:val="none"/>
        </w:rPr>
        <w:fldChar w:fldCharType="end"/>
      </w:r>
    </w:p>
    <w:p>
      <w:pPr>
        <w:bidi w:val="0"/>
        <w:rPr>
          <w:rFonts w:hint="eastAsia"/>
          <w:color w:val="auto"/>
          <w:highlight w:val="none"/>
        </w:rPr>
      </w:pPr>
      <w:r>
        <w:rPr>
          <w:rFonts w:hint="eastAsia"/>
          <w:color w:val="auto"/>
          <w:highlight w:val="none"/>
        </w:rPr>
        <w:fldChar w:fldCharType="end"/>
      </w:r>
    </w:p>
    <w:p>
      <w:pPr>
        <w:bidi w:val="0"/>
        <w:rPr>
          <w:rFonts w:hint="eastAsia"/>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3"/>
        <w:rPr>
          <w:rFonts w:hint="eastAsia" w:ascii="宋体" w:hAnsi="宋体" w:cs="宋体"/>
          <w:color w:val="auto"/>
          <w:highlight w:val="none"/>
        </w:rPr>
        <w:sectPr>
          <w:footerReference r:id="rId10" w:type="first"/>
          <w:footerReference r:id="rId9" w:type="default"/>
          <w:endnotePr>
            <w:numFmt w:val="decimal"/>
          </w:endnotePr>
          <w:pgSz w:w="11906" w:h="16838"/>
          <w:pgMar w:top="1304" w:right="1531" w:bottom="1304" w:left="1531" w:header="851" w:footer="907" w:gutter="0"/>
          <w:pgBorders>
            <w:top w:val="none" w:sz="0" w:space="0"/>
            <w:left w:val="none" w:sz="0" w:space="0"/>
            <w:bottom w:val="none" w:sz="0" w:space="0"/>
            <w:right w:val="none" w:sz="0" w:space="0"/>
          </w:pgBorders>
          <w:pgNumType w:start="1"/>
          <w:cols w:space="720" w:num="1"/>
          <w:titlePg/>
          <w:docGrid w:type="lines" w:linePitch="312" w:charSpace="0"/>
        </w:sectPr>
      </w:pPr>
    </w:p>
    <w:p>
      <w:pPr>
        <w:pStyle w:val="3"/>
        <w:jc w:val="center"/>
        <w:rPr>
          <w:rFonts w:hint="eastAsia" w:ascii="宋体" w:hAnsi="宋体" w:cs="宋体"/>
          <w:b/>
          <w:bCs/>
          <w:color w:val="auto"/>
          <w:highlight w:val="none"/>
        </w:rPr>
      </w:pPr>
      <w:bookmarkStart w:id="0" w:name="_Toc12523"/>
      <w:bookmarkStart w:id="1" w:name="_Toc19201"/>
      <w:bookmarkStart w:id="2" w:name="_Toc5634"/>
      <w:bookmarkStart w:id="3" w:name="_Toc26402"/>
      <w:bookmarkStart w:id="4" w:name="_Toc10285"/>
      <w:r>
        <w:rPr>
          <w:rFonts w:hint="eastAsia" w:ascii="宋体" w:hAnsi="宋体" w:cs="宋体"/>
          <w:b/>
          <w:bCs/>
          <w:color w:val="auto"/>
          <w:highlight w:val="none"/>
        </w:rPr>
        <w:t>第一章  投标须知</w:t>
      </w:r>
      <w:bookmarkEnd w:id="0"/>
      <w:bookmarkEnd w:id="1"/>
      <w:bookmarkEnd w:id="2"/>
      <w:bookmarkEnd w:id="3"/>
      <w:bookmarkEnd w:id="4"/>
    </w:p>
    <w:p>
      <w:pPr>
        <w:pStyle w:val="4"/>
        <w:rPr>
          <w:rFonts w:hint="eastAsia" w:ascii="宋体" w:hAnsi="宋体" w:cs="宋体"/>
          <w:color w:val="auto"/>
          <w:highlight w:val="none"/>
        </w:rPr>
      </w:pPr>
      <w:bookmarkStart w:id="5" w:name="_Toc4409"/>
      <w:bookmarkStart w:id="6" w:name="_Toc9529"/>
      <w:bookmarkStart w:id="7" w:name="_Toc21356"/>
      <w:bookmarkStart w:id="8" w:name="_Toc25858"/>
      <w:bookmarkStart w:id="9" w:name="_Toc7351"/>
      <w:r>
        <w:rPr>
          <w:rFonts w:hint="eastAsia" w:ascii="宋体" w:hAnsi="宋体" w:cs="宋体"/>
          <w:color w:val="auto"/>
          <w:highlight w:val="none"/>
        </w:rPr>
        <w:t>一、投标须知前附表</w:t>
      </w:r>
      <w:bookmarkEnd w:id="5"/>
      <w:bookmarkEnd w:id="6"/>
      <w:bookmarkEnd w:id="7"/>
      <w:bookmarkEnd w:id="8"/>
      <w:bookmarkEnd w:id="9"/>
    </w:p>
    <w:p>
      <w:pPr>
        <w:pStyle w:val="7"/>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52"/>
        <w:tblW w:w="98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70"/>
        <w:gridCol w:w="1746"/>
        <w:gridCol w:w="64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blHeader/>
          <w:jc w:val="center"/>
        </w:trPr>
        <w:tc>
          <w:tcPr>
            <w:tcW w:w="643" w:type="dxa"/>
            <w:tcBorders>
              <w:top w:val="doub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1070"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746" w:type="dxa"/>
            <w:tcBorders>
              <w:top w:val="double" w:color="auto" w:sz="4" w:space="0"/>
              <w:left w:val="single" w:color="auto" w:sz="4" w:space="0"/>
              <w:bottom w:val="single" w:color="auto" w:sz="4" w:space="0"/>
              <w:right w:val="single" w:color="auto" w:sz="4" w:space="0"/>
            </w:tcBorders>
            <w:noWrap w:val="0"/>
            <w:vAlign w:val="center"/>
          </w:tcPr>
          <w:p>
            <w:pPr>
              <w:ind w:firstLine="458"/>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c>
          <w:tcPr>
            <w:tcW w:w="6401" w:type="dxa"/>
            <w:tcBorders>
              <w:top w:val="double" w:color="auto" w:sz="4" w:space="0"/>
              <w:left w:val="single" w:color="auto" w:sz="4" w:space="0"/>
              <w:bottom w:val="single" w:color="auto" w:sz="4" w:space="0"/>
              <w:right w:val="double" w:color="auto" w:sz="4" w:space="0"/>
            </w:tcBorders>
            <w:noWrap w:val="0"/>
            <w:vAlign w:val="center"/>
          </w:tcPr>
          <w:p>
            <w:pPr>
              <w:pStyle w:val="28"/>
              <w:ind w:firstLine="458"/>
              <w:jc w:val="center"/>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定义</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non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广州市南沙区黄阁镇人民政府</w:t>
            </w:r>
            <w:r>
              <w:rPr>
                <w:rFonts w:hint="eastAsia" w:ascii="宋体" w:hAnsi="宋体" w:cs="宋体"/>
                <w:color w:val="auto"/>
                <w:szCs w:val="21"/>
                <w:highlight w:val="none"/>
                <w:u w:val="none"/>
              </w:rPr>
              <w:t xml:space="preserve"> </w:t>
            </w:r>
          </w:p>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none"/>
              </w:rPr>
              <w:t>项目建设管理单位：</w:t>
            </w:r>
            <w:r>
              <w:rPr>
                <w:rFonts w:hint="eastAsia" w:ascii="宋体" w:hAnsi="宋体" w:cs="宋体"/>
                <w:color w:val="auto"/>
                <w:szCs w:val="21"/>
                <w:highlight w:val="none"/>
                <w:u w:val="single"/>
              </w:rPr>
              <w:t>广州苏粤工程项目管理有限公司</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bidi="ar"/>
              </w:rPr>
              <w:t>广东穗芳智慧建设科技有限公司</w:t>
            </w:r>
          </w:p>
          <w:p>
            <w:pPr>
              <w:rPr>
                <w:rFonts w:hint="eastAsia" w:ascii="宋体" w:hAnsi="宋体" w:cs="宋体"/>
                <w:szCs w:val="21"/>
                <w:highlight w:val="none"/>
                <w:u w:val="single"/>
              </w:rPr>
            </w:pPr>
            <w:r>
              <w:rPr>
                <w:rFonts w:hint="eastAsia" w:ascii="宋体" w:hAnsi="宋体" w:cs="宋体"/>
                <w:color w:val="auto"/>
                <w:szCs w:val="21"/>
                <w:highlight w:val="none"/>
              </w:rPr>
              <w:t>设计单位：</w:t>
            </w:r>
            <w:r>
              <w:rPr>
                <w:rFonts w:hint="eastAsia" w:ascii="宋体" w:hAnsi="宋体" w:cs="宋体"/>
                <w:szCs w:val="21"/>
                <w:highlight w:val="none"/>
                <w:u w:val="single"/>
              </w:rPr>
              <w:t>广东思成古建筑设计工程有限公司</w:t>
            </w:r>
          </w:p>
          <w:p>
            <w:pPr>
              <w:ind w:firstLine="1050" w:firstLineChars="500"/>
              <w:rPr>
                <w:rFonts w:hint="eastAsia" w:ascii="宋体" w:hAnsi="宋体" w:cs="宋体"/>
                <w:color w:val="auto"/>
                <w:szCs w:val="21"/>
                <w:highlight w:val="none"/>
              </w:rPr>
            </w:pPr>
            <w:r>
              <w:rPr>
                <w:rFonts w:hint="eastAsia" w:ascii="宋体" w:hAnsi="宋体" w:cs="宋体"/>
                <w:szCs w:val="21"/>
                <w:highlight w:val="none"/>
                <w:u w:val="single"/>
              </w:rPr>
              <w:t>广州亚泰建筑设计院有限公司</w:t>
            </w:r>
          </w:p>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监理单位：</w:t>
            </w:r>
            <w:r>
              <w:rPr>
                <w:rFonts w:hint="eastAsia" w:ascii="宋体" w:hAnsi="宋体" w:cs="宋体"/>
                <w:szCs w:val="21"/>
                <w:highlight w:val="none"/>
                <w:u w:val="single"/>
              </w:rPr>
              <w:t>广东富信建设管理有限公司</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检测机构：</w:t>
            </w:r>
            <w:r>
              <w:rPr>
                <w:rFonts w:hint="eastAsia" w:ascii="宋体" w:hAnsi="宋体" w:cs="宋体"/>
                <w:szCs w:val="21"/>
                <w:highlight w:val="none"/>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lang w:eastAsia="zh-CN"/>
              </w:rPr>
              <w:t>小虎岛人民公社礼堂旧址修缮工程</w:t>
            </w:r>
            <w:r>
              <w:rPr>
                <w:rFonts w:hint="eastAsia" w:ascii="宋体" w:hAnsi="宋体" w:cs="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广州市南沙区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bCs/>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eastAsia="宋体" w:cs="宋体"/>
                <w:bCs/>
                <w:color w:val="auto"/>
                <w:kern w:val="2"/>
                <w:sz w:val="21"/>
                <w:szCs w:val="21"/>
                <w:highlight w:val="none"/>
                <w:u w:val="single"/>
                <w:lang w:val="en-US" w:eastAsia="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rPr>
              <w:t>工程质量符合现行《工程施工质量验收规范》合格标准。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工期要求</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开工日期具体时间以</w:t>
            </w:r>
            <w:r>
              <w:rPr>
                <w:rFonts w:hint="eastAsia" w:ascii="宋体" w:hAnsi="宋体" w:cs="宋体"/>
                <w:szCs w:val="21"/>
                <w:highlight w:val="none"/>
                <w:u w:val="single"/>
              </w:rPr>
              <w:t>总监理工程师发出开工令</w:t>
            </w:r>
            <w:r>
              <w:rPr>
                <w:rFonts w:hint="eastAsia" w:ascii="宋体" w:hAnsi="宋体" w:cs="宋体"/>
                <w:color w:val="auto"/>
                <w:szCs w:val="21"/>
                <w:highlight w:val="none"/>
                <w:u w:val="single"/>
              </w:rPr>
              <w:t>为准。</w:t>
            </w:r>
          </w:p>
          <w:p>
            <w:pPr>
              <w:rPr>
                <w:rFonts w:hint="eastAsia" w:ascii="宋体" w:hAnsi="宋体" w:cs="宋体"/>
                <w:color w:val="auto"/>
                <w:szCs w:val="21"/>
                <w:highlight w:val="none"/>
              </w:rPr>
            </w:pPr>
            <w:r>
              <w:rPr>
                <w:rFonts w:hint="eastAsia" w:ascii="宋体" w:hAnsi="宋体" w:cs="宋体"/>
                <w:color w:val="auto"/>
                <w:szCs w:val="21"/>
                <w:highlight w:val="none"/>
              </w:rPr>
              <w:t>施工</w:t>
            </w:r>
            <w:r>
              <w:rPr>
                <w:rFonts w:hint="eastAsia" w:ascii="宋体" w:hAnsi="宋体" w:cs="宋体"/>
                <w:color w:val="auto"/>
                <w:sz w:val="21"/>
                <w:szCs w:val="21"/>
                <w:highlight w:val="none"/>
              </w:rPr>
              <w:t>总</w:t>
            </w:r>
            <w:r>
              <w:rPr>
                <w:rFonts w:hint="eastAsia" w:ascii="宋体" w:hAnsi="宋体" w:cs="宋体"/>
                <w:color w:val="auto"/>
                <w:sz w:val="21"/>
                <w:szCs w:val="21"/>
                <w:highlight w:val="none"/>
                <w:lang w:val="en-US" w:eastAsia="zh-CN"/>
              </w:rPr>
              <w:t>工</w:t>
            </w:r>
            <w:r>
              <w:rPr>
                <w:rFonts w:hint="eastAsia" w:ascii="宋体" w:hAnsi="宋体" w:cs="宋体"/>
                <w:color w:val="auto"/>
                <w:sz w:val="21"/>
                <w:szCs w:val="21"/>
                <w:highlight w:val="none"/>
              </w:rPr>
              <w:t>期：</w:t>
            </w:r>
            <w:r>
              <w:rPr>
                <w:rFonts w:hint="eastAsia" w:ascii="宋体" w:hAnsi="宋体"/>
                <w:color w:val="auto"/>
                <w:sz w:val="21"/>
                <w:szCs w:val="21"/>
                <w:highlight w:val="none"/>
                <w:u w:val="single"/>
                <w:lang w:val="en-US" w:eastAsia="zh-CN"/>
              </w:rPr>
              <w:t>180</w:t>
            </w:r>
            <w:r>
              <w:rPr>
                <w:rFonts w:hint="eastAsia" w:ascii="宋体" w:hAnsi="宋体" w:cs="宋体"/>
                <w:color w:val="auto"/>
                <w:sz w:val="21"/>
                <w:szCs w:val="21"/>
                <w:highlight w:val="none"/>
              </w:rPr>
              <w:t>日</w:t>
            </w:r>
            <w:r>
              <w:rPr>
                <w:rFonts w:hint="eastAsia" w:ascii="宋体" w:hAnsi="宋体" w:cs="宋体"/>
                <w:color w:val="auto"/>
                <w:szCs w:val="21"/>
                <w:highlight w:val="none"/>
              </w:rPr>
              <w:t>历天</w:t>
            </w:r>
            <w:r>
              <w:rPr>
                <w:rFonts w:hint="eastAsia" w:ascii="宋体" w:hAnsi="宋体" w:cs="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ind w:firstLine="458"/>
              <w:jc w:val="center"/>
              <w:rPr>
                <w:rFonts w:hint="eastAsia" w:ascii="宋体" w:hAnsi="宋体" w:cs="宋体"/>
                <w:color w:val="auto"/>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资格审查方式</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120</w:t>
            </w:r>
            <w:r>
              <w:rPr>
                <w:rFonts w:hint="eastAsia" w:ascii="宋体" w:hAnsi="宋体" w:cs="宋体"/>
                <w:color w:val="auto"/>
                <w:szCs w:val="21"/>
                <w:highlight w:val="none"/>
                <w:u w:val="single"/>
              </w:rPr>
              <w:t>日历天。（从投标截止之日计起），如出现异议或投诉，则投标有效期自动延长至异议或投诉处理结束，确定中标人并发放中标通知书为止。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33"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16.1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overflowPunct/>
              <w:topLinePunct w:val="0"/>
              <w:autoSpaceDE/>
              <w:autoSpaceDN/>
              <w:bidi w:val="0"/>
              <w:adjustRightInd/>
              <w:snapToGrid/>
              <w:ind w:firstLine="420" w:firstLineChars="200"/>
              <w:textAlignment w:val="auto"/>
              <w:rPr>
                <w:rFonts w:hint="eastAsia"/>
                <w:highlight w:val="none"/>
                <w:lang w:val="zh-CN"/>
              </w:rPr>
            </w:pPr>
            <w:r>
              <w:rPr>
                <w:rFonts w:hint="eastAsia"/>
                <w:highlight w:val="none"/>
              </w:rPr>
              <w:t>1.</w:t>
            </w:r>
            <w:r>
              <w:rPr>
                <w:rFonts w:hint="eastAsia"/>
                <w:highlight w:val="none"/>
                <w:lang w:val="zh-CN"/>
              </w:rPr>
              <w:t>是否要求投标人递交投标保证金：</w:t>
            </w:r>
          </w:p>
          <w:p>
            <w:pPr>
              <w:keepNext w:val="0"/>
              <w:keepLines w:val="0"/>
              <w:pageBreakBefore w:val="0"/>
              <w:widowControl w:val="0"/>
              <w:kinsoku/>
              <w:overflowPunct/>
              <w:topLinePunct w:val="0"/>
              <w:autoSpaceDE/>
              <w:autoSpaceDN/>
              <w:bidi w:val="0"/>
              <w:adjustRightInd/>
              <w:snapToGrid/>
              <w:ind w:firstLine="420" w:firstLineChars="200"/>
              <w:textAlignment w:val="auto"/>
              <w:rPr>
                <w:rFonts w:hint="eastAsia"/>
                <w:highlight w:val="none"/>
                <w:lang w:val="zh-CN"/>
              </w:rPr>
            </w:pPr>
            <w:r>
              <w:rPr>
                <w:rFonts w:hint="eastAsia"/>
                <w:highlight w:val="none"/>
                <w:lang w:val="zh-CN"/>
              </w:rPr>
              <w:t>☑要求，投标保证金递交的形式：</w:t>
            </w:r>
          </w:p>
          <w:p>
            <w:pPr>
              <w:keepNext w:val="0"/>
              <w:keepLines w:val="0"/>
              <w:pageBreakBefore w:val="0"/>
              <w:widowControl w:val="0"/>
              <w:kinsoku/>
              <w:overflowPunct/>
              <w:topLinePunct w:val="0"/>
              <w:autoSpaceDE/>
              <w:autoSpaceDN/>
              <w:bidi w:val="0"/>
              <w:adjustRightInd/>
              <w:snapToGrid/>
              <w:ind w:firstLine="420" w:firstLineChars="200"/>
              <w:textAlignment w:val="auto"/>
              <w:rPr>
                <w:rFonts w:hint="eastAsia"/>
                <w:highlight w:val="none"/>
              </w:rPr>
            </w:pPr>
            <w:r>
              <w:rPr>
                <w:rFonts w:hint="eastAsia"/>
                <w:highlight w:val="none"/>
                <w:lang w:val="zh-CN"/>
              </w:rPr>
              <w:t>投标保证金的金额：</w:t>
            </w:r>
            <w:r>
              <w:rPr>
                <w:rFonts w:hint="eastAsia"/>
                <w:highlight w:val="none"/>
                <w:lang w:val="en-US" w:eastAsia="zh-CN"/>
              </w:rPr>
              <w:t>9</w:t>
            </w:r>
            <w:r>
              <w:rPr>
                <w:rFonts w:hint="eastAsia"/>
                <w:highlight w:val="none"/>
              </w:rPr>
              <w:t>万元；</w:t>
            </w:r>
          </w:p>
          <w:p>
            <w:pPr>
              <w:keepNext w:val="0"/>
              <w:keepLines w:val="0"/>
              <w:pageBreakBefore w:val="0"/>
              <w:widowControl w:val="0"/>
              <w:kinsoku/>
              <w:overflowPunct/>
              <w:topLinePunct w:val="0"/>
              <w:autoSpaceDE/>
              <w:autoSpaceDN/>
              <w:bidi w:val="0"/>
              <w:adjustRightInd/>
              <w:snapToGrid/>
              <w:ind w:firstLine="420" w:firstLineChars="200"/>
              <w:textAlignment w:val="auto"/>
              <w:rPr>
                <w:rFonts w:hint="eastAsia"/>
                <w:highlight w:val="none"/>
              </w:rPr>
            </w:pPr>
            <w:r>
              <w:rPr>
                <w:rFonts w:hint="eastAsia"/>
                <w:highlight w:val="none"/>
              </w:rPr>
              <w:t>投标保证金有效期：与投标有效期一致。</w:t>
            </w:r>
          </w:p>
          <w:p>
            <w:pPr>
              <w:keepNext w:val="0"/>
              <w:keepLines w:val="0"/>
              <w:pageBreakBefore w:val="0"/>
              <w:widowControl w:val="0"/>
              <w:kinsoku/>
              <w:overflowPunct/>
              <w:topLinePunct w:val="0"/>
              <w:autoSpaceDE/>
              <w:autoSpaceDN/>
              <w:bidi w:val="0"/>
              <w:adjustRightInd/>
              <w:snapToGrid/>
              <w:ind w:firstLine="420" w:firstLineChars="200"/>
              <w:textAlignment w:val="auto"/>
              <w:rPr>
                <w:rFonts w:hint="eastAsia"/>
                <w:highlight w:val="none"/>
                <w:lang w:val="zh-CN"/>
              </w:rPr>
            </w:pPr>
            <w:r>
              <w:rPr>
                <w:rFonts w:hint="eastAsia"/>
                <w:highlight w:val="none"/>
              </w:rPr>
              <w:t>投标保证金可采用现金、支票、投标保函、投标保证保险的形式，必须在递交投标文件截止时间前完成缴纳。</w:t>
            </w:r>
          </w:p>
          <w:p>
            <w:pPr>
              <w:keepNext w:val="0"/>
              <w:keepLines w:val="0"/>
              <w:pageBreakBefore w:val="0"/>
              <w:widowControl w:val="0"/>
              <w:numPr>
                <w:ilvl w:val="0"/>
                <w:numId w:val="6"/>
              </w:numPr>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Pr>
                <w:rFonts w:hint="eastAsia"/>
                <w:highlight w:val="none"/>
              </w:rPr>
              <w:br w:type="textWrapping"/>
            </w:r>
            <w:r>
              <w:rPr>
                <w:rFonts w:hint="eastAsia"/>
                <w:highlight w:val="none"/>
              </w:rPr>
              <w:t>投标人需在交易系统中将汇入投标保证金与投标项目进行绑定，绑定成功后才能被认定为完成缴交投标保证金义务。</w:t>
            </w:r>
            <w:r>
              <w:rPr>
                <w:rFonts w:hint="eastAsia"/>
                <w:highlight w:val="none"/>
              </w:rPr>
              <w:br w:type="textWrapping"/>
            </w:r>
            <w:r>
              <w:rPr>
                <w:rFonts w:hint="eastAsia"/>
                <w:highlight w:val="none"/>
              </w:rPr>
              <w:t>收款单位：广州交易集团有限公司，开户银行：中国建设银行广州天润路支行，银行账号：44001583404059333333； </w:t>
            </w:r>
          </w:p>
          <w:p>
            <w:pPr>
              <w:keepNext w:val="0"/>
              <w:keepLines w:val="0"/>
              <w:pageBreakBefore w:val="0"/>
              <w:widowControl w:val="0"/>
              <w:numPr>
                <w:ilvl w:val="0"/>
                <w:numId w:val="6"/>
              </w:numPr>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如采用非电子投标保函、投标保证保险或专业担保公司担保的形式提交投标保证金的，在开标前不强制要求提交相关文本原件，但投标人应在投标文件中提交投标保函、投标保证保险或专业担保公司担保的文本扫描件并加盖投标人电子印章。（中标候选人应在中标候选人公示前提交其办理的投标保函、投标保证保险或专业担保公司担保的原件以供招标人在网上予以公示。）如投标人选择在开标前提交纸质原件的，可在投标截止时间前单独密封递交至开标室（时间及地点同递交备用投标文件电子光盘的时间及地点）。</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highlight w:val="none"/>
              </w:rPr>
            </w:pPr>
            <w:r>
              <w:rPr>
                <w:rFonts w:hint="eastAsia"/>
                <w:highlight w:val="none"/>
              </w:rPr>
              <w:t>3、如采用电子投标保函方式提交投标保证金，具体操作详见广州公共资源交易中心电子保函操作指引（</w:t>
            </w:r>
            <w:r>
              <w:rPr>
                <w:rFonts w:hint="eastAsia"/>
                <w:highlight w:val="none"/>
              </w:rPr>
              <w:fldChar w:fldCharType="begin"/>
            </w:r>
            <w:r>
              <w:rPr>
                <w:rFonts w:hint="eastAsia"/>
                <w:highlight w:val="none"/>
              </w:rPr>
              <w:instrText xml:space="preserve"> HYPERLINK "qq://txfile/" </w:instrText>
            </w:r>
            <w:r>
              <w:rPr>
                <w:rFonts w:hint="eastAsia"/>
                <w:highlight w:val="none"/>
              </w:rPr>
              <w:fldChar w:fldCharType="separate"/>
            </w:r>
            <w:r>
              <w:rPr>
                <w:rFonts w:hint="eastAsia"/>
                <w:highlight w:val="none"/>
              </w:rPr>
              <w:t>http://ggzy.gz.gov.cn/fwznxtbzczsc/699986.jhtml</w:t>
            </w:r>
            <w:r>
              <w:rPr>
                <w:rFonts w:hint="eastAsia"/>
                <w:highlight w:val="none"/>
              </w:rPr>
              <w:fldChar w:fldCharType="end"/>
            </w:r>
            <w:r>
              <w:rPr>
                <w:rFonts w:hint="eastAsia"/>
                <w:highlight w:val="none"/>
              </w:rPr>
              <w:t>）。</w:t>
            </w:r>
          </w:p>
          <w:p>
            <w:pPr>
              <w:pStyle w:val="2"/>
              <w:keepNext w:val="0"/>
              <w:keepLines w:val="0"/>
              <w:pageBreakBefore w:val="0"/>
              <w:widowControl w:val="0"/>
              <w:kinsoku/>
              <w:overflowPunct/>
              <w:topLinePunct w:val="0"/>
              <w:autoSpaceDE/>
              <w:autoSpaceDN/>
              <w:bidi w:val="0"/>
              <w:adjustRightInd/>
              <w:snapToGrid/>
              <w:spacing w:after="0"/>
              <w:ind w:firstLine="400" w:firstLineChars="200"/>
              <w:textAlignment w:val="auto"/>
              <w:rPr>
                <w:rFonts w:hint="eastAsia"/>
                <w:highlight w:val="none"/>
                <w:lang w:val="en-US" w:eastAsia="zh-CN"/>
              </w:rPr>
            </w:pPr>
            <w:r>
              <w:rPr>
                <w:rFonts w:hint="eastAsia"/>
                <w:highlight w:val="none"/>
                <w:lang w:val="en-US" w:eastAsia="zh-CN"/>
              </w:rPr>
              <w:t>未按规定缴纳投标保证金的正式投标人将被视为自动放弃本工程的投标资格。</w:t>
            </w:r>
          </w:p>
          <w:p>
            <w:pPr>
              <w:pStyle w:val="51"/>
              <w:ind w:left="0" w:leftChars="0" w:firstLine="0" w:firstLineChars="0"/>
              <w:rPr>
                <w:rFonts w:hint="eastAsia"/>
                <w:highlight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88"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投标答疑</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形式及时间：</w:t>
            </w:r>
          </w:p>
          <w:p>
            <w:pPr>
              <w:rPr>
                <w:rFonts w:hint="eastAsia" w:ascii="宋体" w:hAnsi="宋体" w:cs="宋体"/>
                <w:color w:val="auto"/>
                <w:highlight w:val="none"/>
              </w:rPr>
            </w:pPr>
            <w:r>
              <w:rPr>
                <w:rFonts w:hint="eastAsia" w:ascii="宋体" w:hAnsi="宋体" w:cs="宋体"/>
                <w:color w:val="auto"/>
                <w:highlight w:val="none"/>
              </w:rPr>
              <w:t>招标答疑采用网上答疑方式进行。投标人若对招标文件有疑问的，可在规定的时间内通过广州公共资源交易中心数字交易平台提交。</w:t>
            </w:r>
          </w:p>
          <w:p>
            <w:pPr>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eastAsia="宋体" w:cs="宋体"/>
                <w:color w:val="auto"/>
                <w:highlight w:val="none"/>
              </w:rPr>
              <w:t>应在约定的时间内（以广州公共资源交易中心网站发布的时间为准）提</w:t>
            </w:r>
            <w:r>
              <w:rPr>
                <w:rFonts w:hint="eastAsia" w:ascii="宋体" w:hAnsi="宋体" w:cs="宋体"/>
                <w:color w:val="auto"/>
                <w:highlight w:val="none"/>
              </w:rPr>
              <w:t>出答疑问题。招标人应在投标截止时间15日前解答投标人对招标文件提出的疑问，形成答疑纪要，在广州公共资源交易中心网站发布。</w:t>
            </w:r>
          </w:p>
          <w:p>
            <w:pPr>
              <w:rPr>
                <w:rFonts w:hint="eastAsia" w:ascii="宋体" w:hAnsi="宋体" w:cs="宋体"/>
                <w:color w:val="auto"/>
                <w:szCs w:val="21"/>
                <w:highlight w:val="none"/>
              </w:rPr>
            </w:pPr>
            <w:r>
              <w:rPr>
                <w:rFonts w:hint="eastAsia" w:ascii="宋体" w:hAnsi="宋体" w:cs="宋体"/>
                <w:color w:val="auto"/>
                <w:highlight w:val="none"/>
              </w:rPr>
              <w:t>具体操作方法按照广州公共资源交易平台关于全流程电子化项目的相关指南进行操作，详见：广州公共资源交易中心网站发布的最新版操作指引。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pStyle w:val="2"/>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w:t>
            </w:r>
            <w:r>
              <w:rPr>
                <w:rFonts w:hint="eastAsia" w:ascii="宋体" w:hAnsi="宋体" w:eastAsia="宋体" w:cs="宋体"/>
                <w:color w:val="auto"/>
                <w:kern w:val="2"/>
                <w:sz w:val="21"/>
                <w:szCs w:val="21"/>
                <w:highlight w:val="none"/>
                <w:lang w:val="en-US" w:eastAsia="zh-CN" w:bidi="ar-SA"/>
              </w:rPr>
              <w:t>技术标和经济标同时开标）</w:t>
            </w:r>
          </w:p>
          <w:p>
            <w:pPr>
              <w:pStyle w:val="2"/>
              <w:numPr>
                <w:ilvl w:val="0"/>
                <w:numId w:val="7"/>
              </w:num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开标开始时间：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分（与投标截止时间为同一时间），投标人也可选择参加在线开标，具体按照交易平台相关指南进行操作。地点</w:t>
            </w:r>
            <w:r>
              <w:rPr>
                <w:rFonts w:hint="eastAsia" w:ascii="宋体" w:hAnsi="宋体" w:eastAsia="宋体" w:cs="宋体"/>
                <w:color w:val="auto"/>
                <w:kern w:val="2"/>
                <w:sz w:val="21"/>
                <w:szCs w:val="21"/>
                <w:highlight w:val="none"/>
                <w:u w:val="none"/>
                <w:lang w:val="en-US" w:eastAsia="zh-CN" w:bidi="ar-SA"/>
              </w:rPr>
              <w:t>：广州公共资源交易中心南沙交易部</w:t>
            </w:r>
            <w:r>
              <w:rPr>
                <w:rFonts w:hint="eastAsia" w:ascii="宋体" w:hAnsi="宋体" w:cs="宋体"/>
                <w:color w:val="auto"/>
                <w:kern w:val="2"/>
                <w:sz w:val="21"/>
                <w:szCs w:val="21"/>
                <w:highlight w:val="none"/>
                <w:u w:val="none"/>
                <w:lang w:val="en-US" w:eastAsia="zh-CN" w:bidi="ar-SA"/>
              </w:rPr>
              <w:t>开标</w:t>
            </w:r>
            <w:r>
              <w:rPr>
                <w:rFonts w:hint="eastAsia" w:ascii="宋体" w:hAnsi="宋体" w:eastAsia="宋体" w:cs="宋体"/>
                <w:color w:val="auto"/>
                <w:kern w:val="2"/>
                <w:sz w:val="21"/>
                <w:szCs w:val="21"/>
                <w:highlight w:val="none"/>
                <w:u w:val="none"/>
                <w:lang w:val="en-US" w:eastAsia="zh-CN" w:bidi="ar-SA"/>
              </w:rPr>
              <w:t>室</w:t>
            </w:r>
            <w:r>
              <w:rPr>
                <w:rFonts w:hint="eastAsia" w:ascii="宋体" w:hAnsi="宋体" w:eastAsia="宋体" w:cs="宋体"/>
                <w:color w:val="auto"/>
                <w:kern w:val="2"/>
                <w:sz w:val="21"/>
                <w:szCs w:val="21"/>
                <w:highlight w:val="none"/>
                <w:lang w:val="en-US" w:eastAsia="zh-CN" w:bidi="ar-SA"/>
              </w:rPr>
              <w:t>。</w:t>
            </w:r>
          </w:p>
          <w:p>
            <w:pPr>
              <w:pStyle w:val="2"/>
              <w:numPr>
                <w:ilvl w:val="0"/>
                <w:numId w:val="7"/>
              </w:num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注：投标文件解密问题。投标人只用执行一次解密，招标人执行解密次数根据招标文件开标次数确定。</w:t>
            </w:r>
          </w:p>
          <w:p>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2、递交投标文件备用光盘时间：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分至</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时</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分；递交地点：广州公共资源交易中心南沙交易部</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室。(建议安排在投标文件截止时间前15分钟至投标文件截止时间）</w:t>
            </w:r>
          </w:p>
          <w:p>
            <w:pPr>
              <w:pStyle w:val="2"/>
              <w:rPr>
                <w:rFonts w:hint="eastAsia"/>
                <w:color w:val="auto"/>
                <w:highlight w:val="none"/>
                <w:lang w:val="en-US" w:eastAsia="zh-CN"/>
              </w:rPr>
            </w:pPr>
            <w:r>
              <w:rPr>
                <w:rFonts w:hint="eastAsia" w:ascii="宋体" w:hAnsi="宋体" w:cs="宋体"/>
                <w:color w:val="auto"/>
                <w:kern w:val="2"/>
                <w:sz w:val="21"/>
                <w:szCs w:val="21"/>
                <w:highlight w:val="none"/>
                <w:lang w:val="en-US" w:eastAsia="zh-CN" w:bidi="ar-SA"/>
              </w:rPr>
              <w:t>注：</w:t>
            </w:r>
            <w:r>
              <w:rPr>
                <w:rFonts w:hint="eastAsia" w:ascii="宋体" w:hAnsi="宋体" w:eastAsia="宋体" w:cs="宋体"/>
                <w:color w:val="auto"/>
                <w:kern w:val="2"/>
                <w:sz w:val="21"/>
                <w:szCs w:val="21"/>
                <w:highlight w:val="none"/>
                <w:lang w:val="en-US" w:eastAsia="zh-CN" w:bidi="ar-SA"/>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63"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开标评标办法</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pStyle w:val="50"/>
              <w:ind w:firstLine="0"/>
              <w:jc w:val="both"/>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rPr>
              <w:t>方式一：选取方法</w:t>
            </w:r>
            <w:r>
              <w:rPr>
                <w:rFonts w:hint="eastAsia" w:ascii="宋体" w:hAnsi="宋体" w:cs="宋体"/>
                <w:color w:val="auto"/>
                <w:kern w:val="2"/>
                <w:sz w:val="21"/>
                <w:szCs w:val="21"/>
                <w:highlight w:val="none"/>
                <w:u w:val="single"/>
                <w:lang w:val="en-US" w:eastAsia="zh-CN"/>
              </w:rPr>
              <w:t xml:space="preserve"> 七 </w:t>
            </w:r>
            <w:r>
              <w:rPr>
                <w:rFonts w:hint="eastAsia" w:ascii="宋体" w:hAnsi="宋体" w:cs="宋体"/>
                <w:color w:val="auto"/>
                <w:sz w:val="21"/>
                <w:szCs w:val="21"/>
                <w:highlight w:val="none"/>
                <w:lang w:val="en-US" w:eastAsia="zh-CN"/>
              </w:rPr>
              <w:t>（适合综合评分法四，技术标与经济标同时开启）；</w:t>
            </w:r>
          </w:p>
          <w:p>
            <w:pPr>
              <w:pStyle w:val="50"/>
              <w:ind w:firstLine="0"/>
              <w:jc w:val="both"/>
              <w:rPr>
                <w:rFonts w:hint="eastAsia" w:ascii="宋体" w:hAnsi="宋体" w:cs="宋体"/>
                <w:color w:val="auto"/>
                <w:kern w:val="2"/>
                <w:sz w:val="21"/>
                <w:szCs w:val="21"/>
                <w:highlight w:val="none"/>
                <w:lang w:val="en-US" w:eastAsia="zh-CN"/>
              </w:rPr>
            </w:pPr>
            <w:r>
              <w:rPr>
                <w:rFonts w:hint="eastAsia" w:ascii="宋体" w:hAnsi="宋体" w:cs="宋体"/>
                <w:color w:val="auto"/>
                <w:sz w:val="21"/>
                <w:szCs w:val="21"/>
                <w:highlight w:val="none"/>
                <w:u w:val="single"/>
                <w:lang w:val="en-US" w:eastAsia="zh-CN"/>
              </w:rPr>
              <w:t>投标人总得分（满分100）=技术得分（满分100分）×技术得分权重（20%）＋经济得分（满分100分）×经济得分权重（80%）</w:t>
            </w:r>
            <w:r>
              <w:rPr>
                <w:rFonts w:hint="eastAsia" w:ascii="宋体" w:hAnsi="宋体" w:cs="宋体"/>
                <w:color w:val="auto"/>
                <w:kern w:val="2"/>
                <w:sz w:val="21"/>
                <w:szCs w:val="21"/>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jc w:val="both"/>
              <w:rPr>
                <w:rFonts w:hint="eastAsia" w:ascii="宋体" w:hAnsi="宋体" w:cs="宋体"/>
                <w:color w:val="auto"/>
                <w:highlight w:val="none"/>
              </w:rPr>
            </w:pPr>
            <w:r>
              <w:rPr>
                <w:rFonts w:hint="eastAsia" w:ascii="宋体" w:hAnsi="宋体" w:cs="宋体"/>
                <w:color w:val="auto"/>
                <w:highlight w:val="none"/>
              </w:rPr>
              <w:t>中标人提供的履约保证金为中标价款的</w:t>
            </w:r>
            <w:r>
              <w:rPr>
                <w:rFonts w:hint="eastAsia" w:ascii="宋体" w:hAnsi="宋体" w:cs="宋体"/>
                <w:color w:val="auto"/>
                <w:highlight w:val="none"/>
                <w:u w:val="single"/>
                <w:lang w:val="en-US" w:eastAsia="zh-CN"/>
              </w:rPr>
              <w:t>10</w:t>
            </w:r>
            <w:r>
              <w:rPr>
                <w:rFonts w:hint="eastAsia" w:ascii="宋体" w:hAnsi="宋体" w:cs="宋体"/>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最高投标限价</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本项目最高投标限价为人民币</w:t>
            </w:r>
            <w:r>
              <w:rPr>
                <w:rFonts w:hint="eastAsia" w:ascii="宋体" w:hAnsi="宋体" w:cs="宋体"/>
                <w:color w:val="auto"/>
                <w:sz w:val="21"/>
                <w:szCs w:val="21"/>
                <w:highlight w:val="none"/>
                <w:u w:val="single"/>
                <w:lang w:val="en-US" w:eastAsia="zh-CN"/>
              </w:rPr>
              <w:t>4995179.03</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eastAsia="zh-CN"/>
              </w:rPr>
              <w:t>。</w:t>
            </w:r>
          </w:p>
          <w:p>
            <w:pPr>
              <w:pStyle w:val="2"/>
              <w:rPr>
                <w:rFonts w:hint="default"/>
                <w:color w:val="auto"/>
                <w:sz w:val="21"/>
                <w:szCs w:val="21"/>
                <w:highlight w:val="none"/>
                <w:lang w:val="en-US" w:eastAsia="zh-CN"/>
              </w:rPr>
            </w:pPr>
            <w:r>
              <w:rPr>
                <w:rFonts w:hint="eastAsia" w:ascii="宋体" w:hAnsi="宋体" w:cs="宋体"/>
                <w:b/>
                <w:bCs/>
                <w:color w:val="auto"/>
                <w:sz w:val="21"/>
                <w:szCs w:val="21"/>
                <w:highlight w:val="none"/>
                <w:lang w:val="en-US" w:eastAsia="zh-CN"/>
              </w:rPr>
              <w:t>注：投标总报价不得超过最高投标限价</w:t>
            </w:r>
            <w:r>
              <w:rPr>
                <w:rFonts w:hint="eastAsia" w:ascii="宋体" w:hAnsi="宋体" w:cs="宋体"/>
                <w:color w:val="auto"/>
                <w:sz w:val="21"/>
                <w:szCs w:val="21"/>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非竞争费用</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本项目绿色施工安全防护措施费为</w:t>
            </w:r>
            <w:r>
              <w:rPr>
                <w:rFonts w:hint="eastAsia" w:ascii="宋体" w:hAnsi="宋体" w:cs="宋体"/>
                <w:color w:val="auto"/>
                <w:sz w:val="21"/>
                <w:szCs w:val="21"/>
                <w:highlight w:val="none"/>
                <w:u w:val="single"/>
                <w:lang w:val="en-US" w:eastAsia="zh-CN"/>
              </w:rPr>
              <w:t>404815.81</w:t>
            </w:r>
            <w:r>
              <w:rPr>
                <w:rFonts w:hint="eastAsia" w:ascii="宋体" w:hAnsi="宋体" w:cs="宋体"/>
                <w:color w:val="auto"/>
                <w:sz w:val="21"/>
                <w:szCs w:val="21"/>
                <w:highlight w:val="none"/>
              </w:rPr>
              <w:t>元，暂列金额为</w:t>
            </w:r>
            <w:r>
              <w:rPr>
                <w:rFonts w:hint="eastAsia" w:ascii="宋体" w:hAnsi="宋体" w:cs="宋体"/>
                <w:color w:val="auto"/>
                <w:sz w:val="21"/>
                <w:szCs w:val="21"/>
                <w:highlight w:val="none"/>
                <w:u w:val="single"/>
                <w:lang w:val="en-US" w:eastAsia="zh-CN"/>
              </w:rPr>
              <w:t>0</w:t>
            </w:r>
            <w:r>
              <w:rPr>
                <w:rFonts w:hint="eastAsia" w:ascii="宋体" w:hAnsi="宋体" w:cs="宋体"/>
                <w:color w:val="auto"/>
                <w:sz w:val="21"/>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23</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pStyle w:val="50"/>
              <w:ind w:firstLine="0"/>
              <w:jc w:val="center"/>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保修期</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24</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trike/>
                <w:dstrike w:val="0"/>
                <w:color w:val="auto"/>
                <w:sz w:val="21"/>
                <w:szCs w:val="21"/>
                <w:highlight w:val="none"/>
              </w:rPr>
            </w:pPr>
            <w:r>
              <w:rPr>
                <w:rFonts w:hint="eastAsia" w:ascii="宋体" w:hAnsi="宋体" w:cs="宋体"/>
                <w:strike/>
                <w:dstrike w:val="0"/>
                <w:color w:val="auto"/>
                <w:sz w:val="21"/>
                <w:szCs w:val="21"/>
                <w:highlight w:val="none"/>
              </w:rPr>
              <w:t>计算评标参考价的等分点值</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dstrike w:val="0"/>
                <w:color w:val="auto"/>
                <w:sz w:val="21"/>
                <w:szCs w:val="21"/>
                <w:highlight w:val="none"/>
              </w:rPr>
            </w:pPr>
            <w:r>
              <w:rPr>
                <w:rFonts w:hint="eastAsia" w:ascii="宋体" w:hAnsi="宋体" w:cs="宋体"/>
                <w:strike/>
                <w:dstrike w:val="0"/>
                <w:color w:val="auto"/>
                <w:sz w:val="21"/>
                <w:szCs w:val="21"/>
                <w:highlight w:val="none"/>
              </w:rPr>
              <w:t>计算评标参考价的等分点值X</w:t>
            </w:r>
            <w:r>
              <w:rPr>
                <w:rFonts w:hint="eastAsia" w:ascii="宋体" w:hAnsi="宋体" w:eastAsia="宋体" w:cs="宋体"/>
                <w:strike/>
                <w:dstrike w:val="0"/>
                <w:color w:val="auto"/>
                <w:sz w:val="21"/>
                <w:szCs w:val="21"/>
                <w:highlight w:val="none"/>
                <w:u w:val="none"/>
              </w:rPr>
              <w:t>在开标前</w:t>
            </w:r>
            <w:r>
              <w:rPr>
                <w:rFonts w:hint="eastAsia" w:ascii="宋体" w:hAnsi="宋体" w:cs="宋体"/>
                <w:strike/>
                <w:dstrike w:val="0"/>
                <w:color w:val="auto"/>
                <w:sz w:val="21"/>
                <w:szCs w:val="21"/>
                <w:highlight w:val="none"/>
              </w:rPr>
              <w:t>从[0,100]的整数中随机抽取。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22"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26</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工程成本警戒价</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工程成本警戒价为</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lang w:val="en-US" w:eastAsia="zh-CN"/>
              </w:rPr>
              <w:t>695468.29</w:t>
            </w:r>
            <w:r>
              <w:rPr>
                <w:rFonts w:hint="eastAsia" w:ascii="宋体" w:hAnsi="宋体" w:cs="宋体"/>
                <w:color w:val="auto"/>
                <w:sz w:val="21"/>
                <w:szCs w:val="21"/>
                <w:highlight w:val="none"/>
              </w:rPr>
              <w:t>元</w:t>
            </w:r>
            <w:r>
              <w:rPr>
                <w:rFonts w:hint="eastAsia" w:ascii="宋体" w:hAnsi="宋体" w:cs="宋体"/>
                <w:color w:val="auto"/>
                <w:sz w:val="21"/>
                <w:szCs w:val="21"/>
                <w:highlight w:val="none"/>
                <w:u w:val="single"/>
              </w:rPr>
              <w:t>（最高投标限价的</w:t>
            </w:r>
            <w:r>
              <w:rPr>
                <w:rFonts w:hint="eastAsia" w:ascii="宋体" w:hAnsi="宋体" w:cs="宋体"/>
                <w:b/>
                <w:bCs/>
                <w:color w:val="auto"/>
                <w:sz w:val="21"/>
                <w:szCs w:val="21"/>
                <w:highlight w:val="none"/>
                <w:u w:val="single"/>
                <w:lang w:val="en-US" w:eastAsia="zh-CN"/>
              </w:rPr>
              <w:t>94</w:t>
            </w:r>
            <w:r>
              <w:rPr>
                <w:rFonts w:hint="eastAsia" w:ascii="宋体" w:hAnsi="宋体" w:cs="宋体"/>
                <w:b/>
                <w:bCs/>
                <w:color w:val="auto"/>
                <w:sz w:val="21"/>
                <w:szCs w:val="21"/>
                <w:highlight w:val="none"/>
                <w:u w:val="single"/>
              </w:rPr>
              <w:t>%</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rPr>
              <w:t>对低于该警戒价的投标报价，投标人必须提供详细的施工组织设计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评标委员会人数</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13.4、13.5.2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合同价款的调整办法</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zh-CN"/>
              </w:rPr>
              <w:t>建设工程质量检测</w:t>
            </w:r>
            <w:r>
              <w:rPr>
                <w:rFonts w:hint="eastAsia" w:ascii="宋体" w:hAnsi="宋体" w:cs="宋体"/>
                <w:color w:val="auto"/>
                <w:kern w:val="0"/>
                <w:szCs w:val="21"/>
                <w:highlight w:val="none"/>
                <w:lang w:val="en-US" w:eastAsia="zh-CN"/>
              </w:rPr>
              <w:t>单位</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19"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pPr>
              <w:spacing w:line="440" w:lineRule="exact"/>
              <w:rPr>
                <w:rFonts w:ascii="宋体" w:hAnsi="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eastAsia="宋体" w:cs="宋体"/>
                <w:color w:val="auto"/>
                <w:kern w:val="0"/>
                <w:szCs w:val="21"/>
                <w:highlight w:val="none"/>
                <w:lang w:val="zh-CN"/>
              </w:rPr>
              <w:t>允许：</w:t>
            </w:r>
            <w:r>
              <w:rPr>
                <w:rFonts w:hint="eastAsia" w:ascii="宋体" w:hAnsi="宋体"/>
                <w:color w:val="auto"/>
                <w:kern w:val="0"/>
                <w:szCs w:val="21"/>
                <w:highlight w:val="none"/>
                <w:lang w:val="zh-CN"/>
              </w:rPr>
              <w:t>分包内容要要求：</w:t>
            </w:r>
            <w:r>
              <w:rPr>
                <w:rFonts w:hint="eastAsia" w:ascii="宋体" w:hAnsi="宋体"/>
                <w:color w:val="auto"/>
                <w:szCs w:val="21"/>
                <w:highlight w:val="none"/>
                <w:u w:val="single"/>
              </w:rPr>
              <w:t>详见施工合同</w:t>
            </w:r>
          </w:p>
          <w:p>
            <w:pPr>
              <w:spacing w:line="440" w:lineRule="exact"/>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r>
              <w:rPr>
                <w:rFonts w:hint="eastAsia" w:ascii="宋体" w:hAnsi="宋体"/>
                <w:color w:val="auto"/>
                <w:szCs w:val="21"/>
                <w:highlight w:val="none"/>
                <w:u w:val="single"/>
              </w:rPr>
              <w:t>详见施工合同</w:t>
            </w:r>
          </w:p>
          <w:p>
            <w:pPr>
              <w:spacing w:line="440" w:lineRule="exact"/>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r>
              <w:rPr>
                <w:rFonts w:hint="eastAsia" w:ascii="宋体" w:hAnsi="宋体"/>
                <w:color w:val="auto"/>
                <w:szCs w:val="21"/>
                <w:highlight w:val="none"/>
                <w:u w:val="single"/>
              </w:rPr>
              <w:t>详见施工合同</w:t>
            </w:r>
          </w:p>
          <w:p>
            <w:pPr>
              <w:rPr>
                <w:rFonts w:hint="eastAsia" w:ascii="宋体" w:hAnsi="宋体" w:cs="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r>
              <w:rPr>
                <w:rFonts w:hint="eastAsia" w:ascii="宋体" w:hAnsi="宋体"/>
                <w:color w:val="auto"/>
                <w:szCs w:val="21"/>
                <w:highlight w:val="none"/>
                <w:u w:val="single"/>
              </w:rPr>
              <w:t>详见施工合同</w:t>
            </w:r>
            <w:r>
              <w:rPr>
                <w:rFonts w:hint="eastAsia" w:ascii="宋体" w:hAnsi="宋体" w:cs="宋体"/>
                <w:color w:val="auto"/>
                <w:kern w:val="0"/>
                <w:szCs w:val="21"/>
                <w:highlight w:val="none"/>
                <w:lang w:val="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255"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电子招标投标解密失败及突发情况的补救</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《全流程电子化项目电子招投标操作手册（无纸化）》</w:t>
            </w:r>
            <w:r>
              <w:rPr>
                <w:rFonts w:hint="eastAsia" w:ascii="宋体" w:hAnsi="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2、提交投标文件光盘备用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3、补救方案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（1）投标文件解密失败的补救方案：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（2）评标时突发情况的补救方案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87" w:hRule="atLeast"/>
          <w:jc w:val="center"/>
        </w:trPr>
        <w:tc>
          <w:tcPr>
            <w:tcW w:w="643" w:type="dxa"/>
            <w:tcBorders>
              <w:top w:val="single" w:color="auto" w:sz="4" w:space="0"/>
              <w:left w:val="double" w:color="auto" w:sz="4" w:space="0"/>
              <w:bottom w:val="double" w:color="auto"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u w:val="single"/>
              </w:rPr>
              <w:t>37</w:t>
            </w:r>
          </w:p>
        </w:tc>
        <w:tc>
          <w:tcPr>
            <w:tcW w:w="1070" w:type="dxa"/>
            <w:tcBorders>
              <w:top w:val="sing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cs="宋体"/>
                <w:color w:val="auto"/>
                <w:highlight w:val="none"/>
              </w:rPr>
            </w:pPr>
          </w:p>
        </w:tc>
        <w:tc>
          <w:tcPr>
            <w:tcW w:w="1746" w:type="dxa"/>
            <w:tcBorders>
              <w:top w:val="sing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u w:val="single"/>
                <w:lang w:val="zh-CN"/>
              </w:rPr>
              <w:t>其他</w:t>
            </w:r>
          </w:p>
        </w:tc>
        <w:tc>
          <w:tcPr>
            <w:tcW w:w="6401" w:type="dxa"/>
            <w:tcBorders>
              <w:top w:val="single" w:color="auto" w:sz="4" w:space="0"/>
              <w:left w:val="single" w:color="auto" w:sz="4" w:space="0"/>
              <w:bottom w:val="double" w:color="auto" w:sz="4" w:space="0"/>
              <w:right w:val="doub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ighlight w:val="none"/>
              </w:rPr>
            </w:pPr>
            <w:r>
              <w:rPr>
                <w:rFonts w:hint="eastAsia" w:ascii="宋体" w:hAnsi="宋体" w:cs="宋体"/>
                <w:szCs w:val="21"/>
                <w:highlight w:val="none"/>
                <w:lang w:val="en-US" w:eastAsia="zh-CN"/>
              </w:rPr>
              <w:t>1、</w:t>
            </w:r>
            <w:r>
              <w:rPr>
                <w:rFonts w:hint="eastAsia" w:ascii="宋体" w:hAnsi="宋体" w:cs="宋体"/>
                <w:szCs w:val="21"/>
                <w:highlight w:val="none"/>
              </w:rPr>
              <w:t>领取中标通知书后，签订合同签前，中标人须向招标人</w:t>
            </w:r>
            <w:r>
              <w:rPr>
                <w:rFonts w:hint="eastAsia" w:ascii="宋体" w:hAnsi="宋体" w:cs="宋体"/>
                <w:szCs w:val="21"/>
                <w:highlight w:val="none"/>
                <w:u w:val="single"/>
              </w:rPr>
              <w:t>提交与在广州公共资源交易中心系统上传投标文件内容相同的已盖章的纸质版投标文件一式</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套（须编制目录及页码）及电子文件</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U盘</w:t>
            </w:r>
            <w:r>
              <w:rPr>
                <w:rFonts w:hint="eastAsia" w:ascii="宋体" w:hAnsi="宋体" w:cs="宋体"/>
                <w:szCs w:val="21"/>
                <w:highlight w:val="none"/>
                <w:u w:val="single"/>
                <w:lang w:eastAsia="zh-CN"/>
              </w:rPr>
              <w:t>）</w:t>
            </w:r>
            <w:r>
              <w:rPr>
                <w:rFonts w:hint="eastAsia" w:ascii="宋体" w:hAnsi="宋体" w:cs="宋体"/>
                <w:szCs w:val="21"/>
                <w:highlight w:val="none"/>
                <w:u w:val="single"/>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highlight w:val="none"/>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highlight w:val="none"/>
                <w:lang w:val="en-US" w:eastAsia="zh-CN"/>
              </w:rPr>
            </w:pPr>
            <w:r>
              <w:rPr>
                <w:rFonts w:hint="eastAsia"/>
                <w:sz w:val="21"/>
                <w:szCs w:val="21"/>
                <w:highlight w:val="none"/>
              </w:rPr>
              <w:t>2、中标人按《广州市发展改革委转发省发展改革委关于规范公共资源交易服务收费及有关问题的通知》（穗发改〔2017〕811号）文件的规定，向广州公共资源交易中心代缴交易服务费，交易服务费的金额为中标总金额的0.9‰，其费用包含在中标人投标报价中，招</w:t>
            </w:r>
            <w:r>
              <w:rPr>
                <w:rFonts w:hint="eastAsia"/>
                <w:color w:val="000000"/>
                <w:sz w:val="21"/>
                <w:szCs w:val="21"/>
                <w:highlight w:val="none"/>
              </w:rPr>
              <w:t>标人不另行</w:t>
            </w:r>
            <w:r>
              <w:rPr>
                <w:rFonts w:hint="eastAsia"/>
                <w:sz w:val="21"/>
                <w:szCs w:val="21"/>
                <w:highlight w:val="none"/>
              </w:rPr>
              <w:t>支付。</w:t>
            </w:r>
          </w:p>
        </w:tc>
      </w:tr>
    </w:tbl>
    <w:p>
      <w:pPr>
        <w:pStyle w:val="4"/>
        <w:rPr>
          <w:rFonts w:hint="eastAsia" w:ascii="宋体" w:hAnsi="宋体" w:cs="宋体"/>
          <w:color w:val="auto"/>
          <w:sz w:val="28"/>
          <w:szCs w:val="28"/>
          <w:highlight w:val="none"/>
        </w:rPr>
      </w:pPr>
      <w:r>
        <w:rPr>
          <w:rFonts w:hint="eastAsia" w:ascii="宋体" w:hAnsi="宋体" w:cs="宋体"/>
          <w:color w:val="auto"/>
          <w:highlight w:val="none"/>
        </w:rPr>
        <w:br w:type="page"/>
      </w:r>
      <w:bookmarkStart w:id="10" w:name="_Toc21984"/>
      <w:bookmarkStart w:id="11" w:name="_Toc15533"/>
      <w:bookmarkStart w:id="12" w:name="_Toc7765"/>
      <w:bookmarkStart w:id="13" w:name="_Toc13346"/>
      <w:bookmarkStart w:id="14" w:name="_Toc20299"/>
      <w:r>
        <w:rPr>
          <w:rFonts w:hint="eastAsia" w:ascii="宋体" w:hAnsi="宋体" w:cs="宋体"/>
          <w:color w:val="auto"/>
          <w:sz w:val="28"/>
          <w:szCs w:val="28"/>
          <w:highlight w:val="none"/>
        </w:rPr>
        <w:t>二、投标须知修改表</w:t>
      </w:r>
      <w:bookmarkEnd w:id="10"/>
      <w:bookmarkEnd w:id="11"/>
      <w:bookmarkEnd w:id="12"/>
      <w:bookmarkEnd w:id="13"/>
      <w:bookmarkEnd w:id="14"/>
    </w:p>
    <w:p>
      <w:pPr>
        <w:pStyle w:val="93"/>
        <w:spacing w:line="360" w:lineRule="auto"/>
        <w:ind w:firstLine="522" w:firstLineChars="200"/>
        <w:rPr>
          <w:rFonts w:hint="eastAsia"/>
          <w:b/>
          <w:bCs w:val="0"/>
          <w:sz w:val="24"/>
          <w:szCs w:val="20"/>
          <w:highlight w:val="none"/>
        </w:rPr>
      </w:pPr>
    </w:p>
    <w:p>
      <w:pPr>
        <w:pStyle w:val="93"/>
        <w:spacing w:before="0" w:after="0" w:line="360" w:lineRule="auto"/>
        <w:ind w:firstLine="522" w:firstLineChars="200"/>
        <w:rPr>
          <w:rFonts w:hint="eastAsia"/>
          <w:b/>
          <w:bCs w:val="0"/>
          <w:sz w:val="22"/>
          <w:szCs w:val="18"/>
          <w:highlight w:val="none"/>
        </w:rPr>
      </w:pPr>
      <w:r>
        <w:rPr>
          <w:rFonts w:hint="eastAsia"/>
          <w:b/>
          <w:bCs w:val="0"/>
          <w:sz w:val="24"/>
          <w:szCs w:val="20"/>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adjustRightInd w:val="0"/>
        <w:spacing w:line="480" w:lineRule="auto"/>
        <w:ind w:firstLine="472" w:firstLineChars="224"/>
        <w:textAlignment w:val="baseline"/>
        <w:rPr>
          <w:rFonts w:hint="eastAsia" w:ascii="宋体" w:hAnsi="宋体" w:cs="宋体"/>
          <w:b/>
          <w:color w:val="auto"/>
          <w:szCs w:val="21"/>
          <w:highlight w:val="none"/>
        </w:rPr>
      </w:pP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条款号：5.1             修改类型：修改</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投标人应按本投标须知前附表第15项所述时间和要求对工程现场及周围环境进行踏勘，</w:t>
      </w:r>
      <w:r>
        <w:rPr>
          <w:rFonts w:hint="eastAsia" w:ascii="宋体" w:hAnsi="宋体" w:cs="宋体"/>
          <w:color w:val="auto"/>
          <w:sz w:val="24"/>
          <w:szCs w:val="24"/>
          <w:highlight w:val="none"/>
        </w:rPr>
        <w:t>投标人应充分重视和仔细地进行这种考察，</w:t>
      </w:r>
      <w:r>
        <w:rPr>
          <w:rFonts w:hint="eastAsia" w:ascii="宋体" w:hAnsi="宋体" w:cs="宋体"/>
          <w:bCs/>
          <w:color w:val="auto"/>
          <w:sz w:val="24"/>
          <w:szCs w:val="24"/>
          <w:highlight w:val="none"/>
        </w:rPr>
        <w:t>以便投标人获取</w:t>
      </w:r>
      <w:r>
        <w:rPr>
          <w:rFonts w:hint="eastAsia" w:ascii="宋体" w:hAnsi="宋体" w:cs="宋体"/>
          <w:color w:val="auto"/>
          <w:sz w:val="24"/>
          <w:szCs w:val="24"/>
          <w:highlight w:val="none"/>
        </w:rPr>
        <w:t>那些须投标人自己负责的</w:t>
      </w:r>
      <w:r>
        <w:rPr>
          <w:rFonts w:hint="eastAsia" w:ascii="宋体" w:hAnsi="宋体" w:cs="宋体"/>
          <w:bCs/>
          <w:color w:val="auto"/>
          <w:sz w:val="24"/>
          <w:szCs w:val="24"/>
          <w:highlight w:val="none"/>
        </w:rPr>
        <w:t>有关编制投标文件和签署合同所涉及现场所有的资料。</w:t>
      </w:r>
      <w:r>
        <w:rPr>
          <w:rFonts w:hint="eastAsia" w:ascii="宋体" w:hAnsi="宋体" w:cs="宋体"/>
          <w:color w:val="auto"/>
          <w:sz w:val="24"/>
          <w:szCs w:val="24"/>
          <w:highlight w:val="none"/>
        </w:rPr>
        <w:t>一旦中标，这种考察即被认为其结果已在中标文件中得到充分反映。考察现场的费用由投标人自己承担。</w:t>
      </w:r>
    </w:p>
    <w:p>
      <w:pPr>
        <w:pBdr>
          <w:bottom w:val="single" w:color="auto" w:sz="6" w:space="1"/>
        </w:pBdr>
        <w:adjustRightInd w:val="0"/>
        <w:spacing w:line="360" w:lineRule="auto"/>
        <w:ind w:firstLine="602" w:firstLineChars="25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投标人应按本投标须知前附表第15项所述时间和要求对工程现场及周围环境进行踏勘，</w:t>
      </w:r>
      <w:r>
        <w:rPr>
          <w:rFonts w:hint="eastAsia" w:ascii="宋体" w:hAnsi="宋体" w:cs="宋体"/>
          <w:color w:val="auto"/>
          <w:sz w:val="24"/>
          <w:szCs w:val="24"/>
          <w:highlight w:val="none"/>
        </w:rPr>
        <w:t>投标人应充分重视和仔细地进行这种考察，</w:t>
      </w:r>
      <w:r>
        <w:rPr>
          <w:rFonts w:hint="eastAsia" w:ascii="宋体" w:hAnsi="宋体" w:cs="宋体"/>
          <w:bCs/>
          <w:color w:val="auto"/>
          <w:sz w:val="24"/>
          <w:szCs w:val="24"/>
          <w:highlight w:val="none"/>
        </w:rPr>
        <w:t>以便投标人获取</w:t>
      </w:r>
      <w:r>
        <w:rPr>
          <w:rFonts w:hint="eastAsia" w:ascii="宋体" w:hAnsi="宋体" w:cs="宋体"/>
          <w:color w:val="auto"/>
          <w:sz w:val="24"/>
          <w:szCs w:val="24"/>
          <w:highlight w:val="none"/>
        </w:rPr>
        <w:t>那些须投标人自己负责的</w:t>
      </w:r>
      <w:r>
        <w:rPr>
          <w:rFonts w:hint="eastAsia" w:ascii="宋体" w:hAnsi="宋体" w:cs="宋体"/>
          <w:bCs/>
          <w:color w:val="auto"/>
          <w:sz w:val="24"/>
          <w:szCs w:val="24"/>
          <w:highlight w:val="none"/>
        </w:rPr>
        <w:t>有关编制投标文件和签署合同所涉及现场所有的资料</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u w:val="single"/>
        </w:rPr>
        <w:t>投标人不进行踏勘的，视为已熟知现场条件，自行承担相关风险</w:t>
      </w:r>
      <w:r>
        <w:rPr>
          <w:rFonts w:hint="eastAsia" w:ascii="宋体" w:hAnsi="宋体" w:cs="宋体"/>
          <w:bCs/>
          <w:color w:val="auto"/>
          <w:sz w:val="24"/>
          <w:szCs w:val="24"/>
          <w:highlight w:val="none"/>
          <w:lang w:eastAsia="zh-CN"/>
        </w:rPr>
        <w:t>。</w:t>
      </w:r>
      <w:r>
        <w:rPr>
          <w:rFonts w:hint="eastAsia" w:ascii="宋体" w:hAnsi="宋体" w:cs="宋体"/>
          <w:color w:val="auto"/>
          <w:sz w:val="24"/>
          <w:szCs w:val="24"/>
          <w:highlight w:val="none"/>
        </w:rPr>
        <w:t>一旦中标，这种考察即被认为其结果已在中标文件中得到充分反映。</w:t>
      </w:r>
      <w:r>
        <w:rPr>
          <w:rFonts w:hint="eastAsia" w:ascii="宋体" w:hAnsi="宋体" w:cs="宋体"/>
          <w:color w:val="auto"/>
          <w:sz w:val="24"/>
          <w:szCs w:val="24"/>
          <w:highlight w:val="none"/>
          <w:u w:val="single"/>
        </w:rPr>
        <w:t>招标人不受理因投标人缺乏对现场条件的了解或掌握而提出的任何索赔。</w:t>
      </w:r>
      <w:r>
        <w:rPr>
          <w:rFonts w:hint="eastAsia" w:ascii="宋体" w:hAnsi="宋体" w:cs="宋体"/>
          <w:color w:val="auto"/>
          <w:sz w:val="24"/>
          <w:szCs w:val="24"/>
          <w:highlight w:val="none"/>
        </w:rPr>
        <w:t>考察现场的费用由投标人自己承担。</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条款号：8.1             修改类型：修改</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olor w:val="auto"/>
          <w:sz w:val="24"/>
          <w:szCs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szCs w:val="24"/>
          <w:highlight w:val="none"/>
        </w:rPr>
        <w:t>给招标人或招标代理人，提交形式见本须知前附表第</w:t>
      </w:r>
      <w:r>
        <w:rPr>
          <w:rFonts w:ascii="宋体" w:hAnsi="宋体"/>
          <w:color w:val="auto"/>
          <w:sz w:val="24"/>
          <w:szCs w:val="24"/>
          <w:highlight w:val="none"/>
        </w:rPr>
        <w:t>16</w:t>
      </w:r>
      <w:r>
        <w:rPr>
          <w:rFonts w:hint="eastAsia" w:ascii="宋体" w:hAnsi="宋体"/>
          <w:color w:val="auto"/>
          <w:sz w:val="24"/>
          <w:szCs w:val="24"/>
          <w:highlight w:val="none"/>
        </w:rPr>
        <w:t>项。</w:t>
      </w:r>
    </w:p>
    <w:p>
      <w:pPr>
        <w:pBdr>
          <w:bottom w:val="single" w:color="auto" w:sz="6" w:space="1"/>
        </w:pBdr>
        <w:adjustRightInd w:val="0"/>
        <w:spacing w:line="360" w:lineRule="auto"/>
        <w:ind w:firstLine="602" w:firstLineChars="25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olor w:val="auto"/>
          <w:sz w:val="24"/>
          <w:szCs w:val="24"/>
          <w:highlight w:val="none"/>
        </w:rPr>
        <w:t>投标人若对招标文件（包括</w:t>
      </w:r>
      <w:r>
        <w:rPr>
          <w:rFonts w:hint="eastAsia" w:ascii="宋体" w:hAnsi="宋体"/>
          <w:color w:val="auto"/>
          <w:sz w:val="24"/>
          <w:szCs w:val="24"/>
          <w:highlight w:val="none"/>
          <w:u w:val="single"/>
        </w:rPr>
        <w:t>招标图纸、清单、招标控制价、合同条款等</w:t>
      </w:r>
      <w:r>
        <w:rPr>
          <w:rFonts w:hint="eastAsia" w:ascii="宋体" w:hAnsi="宋体"/>
          <w:color w:val="auto"/>
          <w:sz w:val="24"/>
          <w:szCs w:val="24"/>
          <w:highlight w:val="none"/>
        </w:rPr>
        <w:t>）中有疑问，可以书面形式通过</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交易平台提交给招标人或招标代理人，提交形式见本须知前附表第16项。</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条款号：8.2             修改类型：修改</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color w:val="auto"/>
          <w:sz w:val="24"/>
          <w:szCs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szCs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szCs w:val="24"/>
          <w:highlight w:val="none"/>
        </w:rPr>
        <w:t>发布，视作已发放给所有投标人。</w:t>
      </w:r>
    </w:p>
    <w:p>
      <w:pPr>
        <w:pBdr>
          <w:bottom w:val="single" w:color="auto" w:sz="6" w:space="1"/>
        </w:pBdr>
        <w:adjustRightInd w:val="0"/>
        <w:spacing w:line="360" w:lineRule="auto"/>
        <w:ind w:firstLine="602" w:firstLineChars="25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招标答疑会会议纪要将在提交投标文件截止时间15日前在</w:t>
      </w:r>
      <w:r>
        <w:rPr>
          <w:rFonts w:hint="eastAsia" w:ascii="宋体" w:hAnsi="宋体" w:cs="宋体"/>
          <w:color w:val="auto"/>
          <w:sz w:val="24"/>
          <w:szCs w:val="24"/>
          <w:highlight w:val="none"/>
          <w:u w:val="single"/>
        </w:rPr>
        <w:t>广州公共资源交易中心交易平台（网址：http://www.gzggzy.cn）“首页/交易业务/建设工程/项目查询（日程安排、答疑纪要）</w:t>
      </w:r>
      <w:r>
        <w:rPr>
          <w:rFonts w:hint="eastAsia" w:ascii="宋体" w:hAnsi="宋体" w:cs="宋体"/>
          <w:color w:val="auto"/>
          <w:sz w:val="24"/>
          <w:szCs w:val="24"/>
          <w:highlight w:val="none"/>
        </w:rPr>
        <w:t>”公开发布。答疑纪要一经在</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发布，视作已发放给所有投标人。</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条款号：9.2             修改类型：修改</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color w:val="auto"/>
          <w:sz w:val="24"/>
          <w:szCs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szCs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szCs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szCs w:val="24"/>
          <w:highlight w:val="none"/>
        </w:rPr>
        <w:t>上网发布时间作为送达时间。</w:t>
      </w:r>
    </w:p>
    <w:p>
      <w:pPr>
        <w:pBdr>
          <w:bottom w:val="single" w:color="auto" w:sz="6" w:space="1"/>
        </w:pBdr>
        <w:adjustRightInd w:val="0"/>
        <w:spacing w:line="360" w:lineRule="auto"/>
        <w:ind w:firstLine="602" w:firstLineChars="25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招标文件的澄清或修改将在</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首页/交易业务/建设工程/项目查询（日程安排、答疑纪要）</w:t>
      </w:r>
      <w:r>
        <w:rPr>
          <w:rFonts w:hint="eastAsia" w:ascii="宋体" w:hAnsi="宋体" w:cs="宋体"/>
          <w:color w:val="auto"/>
          <w:sz w:val="24"/>
          <w:szCs w:val="24"/>
          <w:highlight w:val="none"/>
        </w:rPr>
        <w:t>”公开发布。答疑纪要一经在</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发布，视作已发放给所有投标人，以</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上网发布时间作为送达时间。</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条款号：11.2             修改类型：修改</w:t>
      </w:r>
    </w:p>
    <w:p>
      <w:pPr>
        <w:spacing w:line="360" w:lineRule="auto"/>
        <w:ind w:firstLine="482" w:firstLineChars="200"/>
        <w:rPr>
          <w:rFonts w:ascii="宋体" w:hAnsi="宋体"/>
          <w:bCs/>
          <w:color w:val="auto"/>
          <w:sz w:val="24"/>
          <w:szCs w:val="24"/>
          <w:highlight w:val="none"/>
        </w:rPr>
      </w:pPr>
      <w:r>
        <w:rPr>
          <w:rFonts w:hint="eastAsia" w:ascii="宋体" w:hAnsi="宋体" w:cs="宋体"/>
          <w:b/>
          <w:color w:val="auto"/>
          <w:sz w:val="24"/>
          <w:szCs w:val="24"/>
          <w:highlight w:val="none"/>
        </w:rPr>
        <w:t>原文：</w:t>
      </w:r>
      <w:r>
        <w:rPr>
          <w:rFonts w:ascii="宋体" w:hAnsi="宋体"/>
          <w:bCs/>
          <w:color w:val="auto"/>
          <w:sz w:val="24"/>
          <w:szCs w:val="24"/>
          <w:highlight w:val="none"/>
        </w:rPr>
        <w:t>11.2</w:t>
      </w:r>
      <w:r>
        <w:rPr>
          <w:rFonts w:hint="eastAsia" w:ascii="宋体" w:hAnsi="宋体"/>
          <w:bCs/>
          <w:color w:val="auto"/>
          <w:sz w:val="24"/>
          <w:szCs w:val="24"/>
          <w:highlight w:val="none"/>
        </w:rPr>
        <w:t>投标文件技术标部分主要包括下列内容</w:t>
      </w:r>
      <w:r>
        <w:rPr>
          <w:rFonts w:ascii="宋体" w:hAns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11.2.1 技术投标文件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11.2.2 资格审查文件：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 xml:space="preserve">（1）投标人声明； </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（2）法定代表人证明书、法定代表人签字或盖章的本投标文件授权委托证明书；</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（3）企业营业执照（取自平台内上传件）；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（4）企业资质证书（取自平台内上传件）；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（8）拟委托技术负责人的相关证书、资料（具体要求由招标人明确）</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 xml:space="preserve">（9）拟委派项目负责人的建造师注册证书（取自平台内上传件）； </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（10）项目负责人安全</w:t>
      </w:r>
      <w:r>
        <w:rPr>
          <w:rFonts w:hint="eastAsia" w:ascii="宋体"/>
          <w:bCs/>
          <w:color w:val="auto"/>
          <w:sz w:val="24"/>
          <w:szCs w:val="24"/>
          <w:highlight w:val="none"/>
          <w:lang w:val="en-US" w:eastAsia="zh-CN"/>
        </w:rPr>
        <w:t>生产</w:t>
      </w:r>
      <w:r>
        <w:rPr>
          <w:rFonts w:hint="eastAsia" w:ascii="宋体"/>
          <w:bCs/>
          <w:color w:val="auto"/>
          <w:sz w:val="24"/>
          <w:szCs w:val="24"/>
          <w:highlight w:val="none"/>
        </w:rPr>
        <w:t>考核合格证明或在有效期内的安全考核合格证书（B类）或建筑施工企业项目负责人安全生产考核合格证书（取自平台内上传件）；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（11）专职安全员须具有在有效期内的安全考核合格证书（C类）或建筑施工企业专职安全生产管理人员安全生产考核合格证书（取自平台内上传件）；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szCs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11.2.3</w:t>
      </w:r>
      <w:r>
        <w:rPr>
          <w:rFonts w:hint="eastAsia" w:ascii="宋体" w:hAnsi="宋体"/>
          <w:color w:val="auto"/>
          <w:sz w:val="24"/>
          <w:szCs w:val="24"/>
          <w:highlight w:val="none"/>
        </w:rPr>
        <w:t>项目管理机构配备。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）投标人应列出该项目工程的施工组织机构构成和画出机构框架图及其负责人；</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）其他辅助说明资料。</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11.2.4</w:t>
      </w:r>
      <w:r>
        <w:rPr>
          <w:rFonts w:hint="eastAsia" w:ascii="宋体" w:hAnsi="宋体"/>
          <w:color w:val="auto"/>
          <w:sz w:val="24"/>
          <w:szCs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szCs w:val="24"/>
          <w:highlight w:val="none"/>
        </w:rPr>
      </w:pPr>
      <w:r>
        <w:rPr>
          <w:rFonts w:ascii="宋体" w:hAnsi="宋体"/>
          <w:color w:val="auto"/>
          <w:sz w:val="24"/>
          <w:szCs w:val="24"/>
          <w:highlight w:val="none"/>
        </w:rPr>
        <w:t>11.2.5</w:t>
      </w:r>
      <w:r>
        <w:rPr>
          <w:rFonts w:hint="eastAsia" w:ascii="宋体" w:hAnsi="宋体"/>
          <w:color w:val="auto"/>
          <w:sz w:val="24"/>
          <w:szCs w:val="24"/>
          <w:highlight w:val="none"/>
        </w:rPr>
        <w:t>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color w:val="auto"/>
          <w:sz w:val="24"/>
          <w:szCs w:val="24"/>
          <w:highlight w:val="none"/>
        </w:rPr>
      </w:pPr>
      <w:r>
        <w:rPr>
          <w:rFonts w:ascii="宋体" w:hAnsi="宋体"/>
          <w:color w:val="auto"/>
          <w:sz w:val="24"/>
          <w:szCs w:val="24"/>
          <w:highlight w:val="none"/>
        </w:rPr>
        <w:t>11.2.</w:t>
      </w:r>
      <w:r>
        <w:rPr>
          <w:rFonts w:hint="eastAsia" w:ascii="宋体" w:hAnsi="宋体"/>
          <w:color w:val="auto"/>
          <w:sz w:val="24"/>
          <w:szCs w:val="24"/>
          <w:highlight w:val="none"/>
        </w:rPr>
        <w:t>6按照</w:t>
      </w:r>
      <w:r>
        <w:rPr>
          <w:rFonts w:hint="eastAsia" w:ascii="宋体" w:hAnsi="宋体"/>
          <w:bCs/>
          <w:color w:val="auto"/>
          <w:sz w:val="24"/>
          <w:szCs w:val="24"/>
          <w:highlight w:val="none"/>
        </w:rPr>
        <w:t>招标文件要求</w:t>
      </w:r>
      <w:r>
        <w:rPr>
          <w:rFonts w:hint="eastAsia" w:ascii="宋体" w:hAnsi="宋体"/>
          <w:color w:val="auto"/>
          <w:sz w:val="24"/>
          <w:szCs w:val="24"/>
          <w:highlight w:val="none"/>
        </w:rPr>
        <w:t>填写的《参与编制技术标投标文件人员名单》。</w:t>
      </w:r>
    </w:p>
    <w:p>
      <w:pPr>
        <w:pStyle w:val="50"/>
        <w:spacing w:after="0"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11.2投标文件技术标部分主要包括下列内容:</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11.2.1 技术投标文件</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含封面及目录</w:t>
      </w:r>
      <w:r>
        <w:rPr>
          <w:rFonts w:hint="eastAsia" w:ascii="宋体" w:hAnsi="宋体" w:cs="宋体"/>
          <w:color w:val="auto"/>
          <w:sz w:val="24"/>
          <w:szCs w:val="24"/>
          <w:highlight w:val="none"/>
        </w:rPr>
        <w:t>)</w:t>
      </w:r>
      <w:r>
        <w:rPr>
          <w:rFonts w:hint="eastAsia" w:ascii="宋体" w:hAnsi="宋体" w:cs="宋体"/>
          <w:bCs/>
          <w:color w:val="auto"/>
          <w:sz w:val="24"/>
          <w:szCs w:val="24"/>
          <w:highlight w:val="none"/>
        </w:rPr>
        <w:t>；</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11.2.2 资格审查文件：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 xml:space="preserve">（1）投标人声明（按招标公告的要求填写）； </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（2）法定代表人证明书、法定代表人签字或盖章的本投标文件授权委托证明书；</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（3）企业营业执照（取自平台内上传件）；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（4）企业资质证书（取自平台内上传件）；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（5）建筑施工企业安全生产许可证（取自平台内上传件）；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（6）项目负责人（按网上投标登记时选择拟投标的项目负责人）；</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（7）专职安全员（按网上投标登记时选择拟投标的专职安全员）；</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（8）拟委</w:t>
      </w:r>
      <w:r>
        <w:rPr>
          <w:rFonts w:hint="eastAsia" w:ascii="宋体" w:hAnsi="宋体" w:cs="宋体"/>
          <w:bCs/>
          <w:color w:val="auto"/>
          <w:sz w:val="24"/>
          <w:szCs w:val="24"/>
          <w:highlight w:val="none"/>
          <w:u w:val="single"/>
          <w:lang w:val="en-US" w:eastAsia="zh-CN"/>
        </w:rPr>
        <w:t>派</w:t>
      </w:r>
      <w:r>
        <w:rPr>
          <w:rFonts w:hint="eastAsia" w:ascii="宋体" w:hAnsi="宋体" w:cs="宋体"/>
          <w:bCs/>
          <w:color w:val="auto"/>
          <w:sz w:val="24"/>
          <w:szCs w:val="24"/>
          <w:highlight w:val="none"/>
          <w:u w:val="single"/>
        </w:rPr>
        <w:t>技术负责人的相关证书（取自平台内上传件）；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（9）</w:t>
      </w:r>
      <w:r>
        <w:rPr>
          <w:rFonts w:hint="eastAsia" w:ascii="宋体" w:hAnsi="宋体" w:eastAsia="宋体" w:cs="宋体"/>
          <w:bCs/>
          <w:color w:val="auto"/>
          <w:sz w:val="24"/>
          <w:highlight w:val="none"/>
          <w:u w:val="single"/>
        </w:rPr>
        <w:t>拟委派项目负责人的建造师</w:t>
      </w:r>
      <w:r>
        <w:rPr>
          <w:rFonts w:hint="eastAsia" w:ascii="宋体" w:hAnsi="宋体" w:eastAsia="宋体" w:cs="宋体"/>
          <w:bCs/>
          <w:color w:val="auto"/>
          <w:sz w:val="24"/>
          <w:highlight w:val="none"/>
          <w:u w:val="single"/>
          <w:lang w:val="en-US" w:eastAsia="zh-CN"/>
        </w:rPr>
        <w:t>注册</w:t>
      </w:r>
      <w:r>
        <w:rPr>
          <w:rFonts w:hint="eastAsia" w:ascii="宋体" w:hAnsi="宋体" w:eastAsia="宋体" w:cs="宋体"/>
          <w:bCs/>
          <w:color w:val="auto"/>
          <w:sz w:val="24"/>
          <w:highlight w:val="none"/>
          <w:u w:val="single"/>
        </w:rPr>
        <w:t>证书</w:t>
      </w:r>
      <w:r>
        <w:rPr>
          <w:rFonts w:hint="eastAsia" w:ascii="宋体" w:hAnsi="宋体" w:cs="宋体"/>
          <w:bCs/>
          <w:color w:val="auto"/>
          <w:sz w:val="24"/>
          <w:szCs w:val="24"/>
          <w:highlight w:val="none"/>
          <w:u w:val="single"/>
        </w:rPr>
        <w:t>（取自平台内上传件）；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（10）</w:t>
      </w:r>
      <w:r>
        <w:rPr>
          <w:rFonts w:hint="eastAsia" w:ascii="宋体" w:hAnsi="宋体" w:eastAsia="宋体" w:cs="宋体"/>
          <w:bCs/>
          <w:color w:val="auto"/>
          <w:sz w:val="24"/>
          <w:szCs w:val="24"/>
          <w:highlight w:val="none"/>
          <w:u w:val="single"/>
        </w:rPr>
        <w:t>项目负责人安全</w:t>
      </w:r>
      <w:r>
        <w:rPr>
          <w:rFonts w:hint="eastAsia" w:ascii="宋体" w:hAnsi="宋体" w:eastAsia="宋体" w:cs="宋体"/>
          <w:bCs/>
          <w:color w:val="auto"/>
          <w:sz w:val="24"/>
          <w:szCs w:val="24"/>
          <w:highlight w:val="none"/>
          <w:u w:val="single"/>
          <w:lang w:val="en-US" w:eastAsia="zh-CN"/>
        </w:rPr>
        <w:t>生产</w:t>
      </w:r>
      <w:r>
        <w:rPr>
          <w:rFonts w:hint="eastAsia" w:ascii="宋体" w:hAnsi="宋体" w:eastAsia="宋体" w:cs="宋体"/>
          <w:bCs/>
          <w:color w:val="auto"/>
          <w:sz w:val="24"/>
          <w:szCs w:val="24"/>
          <w:highlight w:val="none"/>
          <w:u w:val="single"/>
        </w:rPr>
        <w:t>考核合格证书（B类）或建筑施工企业项目负责人安全生产考核合格证书（</w:t>
      </w:r>
      <w:r>
        <w:rPr>
          <w:rFonts w:hint="eastAsia" w:ascii="宋体" w:hAnsi="宋体" w:cs="宋体"/>
          <w:bCs/>
          <w:color w:val="auto"/>
          <w:sz w:val="24"/>
          <w:szCs w:val="24"/>
          <w:highlight w:val="none"/>
          <w:u w:val="single"/>
        </w:rPr>
        <w:t>取自平台内上传件</w:t>
      </w:r>
      <w:r>
        <w:rPr>
          <w:rFonts w:hint="eastAsia" w:ascii="宋体" w:hAnsi="宋体" w:eastAsia="宋体" w:cs="宋体"/>
          <w:bCs/>
          <w:color w:val="auto"/>
          <w:sz w:val="24"/>
          <w:szCs w:val="24"/>
          <w:highlight w:val="none"/>
          <w:u w:val="single"/>
        </w:rPr>
        <w:t>）</w:t>
      </w:r>
      <w:r>
        <w:rPr>
          <w:rFonts w:hint="eastAsia" w:ascii="宋体" w:hAnsi="宋体" w:cs="宋体"/>
          <w:bCs/>
          <w:color w:val="auto"/>
          <w:sz w:val="24"/>
          <w:szCs w:val="24"/>
          <w:highlight w:val="none"/>
          <w:u w:val="single"/>
        </w:rPr>
        <w:t>；</w:t>
      </w:r>
    </w:p>
    <w:p>
      <w:pPr>
        <w:spacing w:line="360" w:lineRule="auto"/>
        <w:ind w:firstLine="480" w:firstLineChars="200"/>
        <w:rPr>
          <w:rFonts w:hint="eastAsia" w:ascii="宋体" w:hAnsi="宋体" w:cs="宋体"/>
          <w:strike/>
          <w:color w:val="auto"/>
          <w:sz w:val="24"/>
          <w:szCs w:val="24"/>
          <w:highlight w:val="none"/>
          <w:u w:val="single"/>
        </w:rPr>
      </w:pPr>
      <w:r>
        <w:rPr>
          <w:rFonts w:hint="eastAsia" w:ascii="宋体" w:hAnsi="宋体" w:cs="宋体"/>
          <w:bCs/>
          <w:color w:val="auto"/>
          <w:sz w:val="24"/>
          <w:szCs w:val="24"/>
          <w:highlight w:val="none"/>
          <w:u w:val="single"/>
        </w:rPr>
        <w:t>（11）专职安全员须具有在有效期内的安全考核合格证书（C类）或建筑施工企业专职安全生产管理人员安全生产考核合格证书（C3</w:t>
      </w:r>
      <w:r>
        <w:rPr>
          <w:rFonts w:hint="eastAsia" w:ascii="宋体" w:hAnsi="宋体" w:cs="宋体"/>
          <w:bCs/>
          <w:color w:val="auto"/>
          <w:sz w:val="24"/>
          <w:szCs w:val="24"/>
          <w:highlight w:val="none"/>
          <w:u w:val="single"/>
          <w:lang w:val="en-US" w:eastAsia="zh-CN"/>
        </w:rPr>
        <w:t>类</w:t>
      </w:r>
      <w:r>
        <w:rPr>
          <w:rFonts w:hint="eastAsia" w:ascii="宋体" w:hAnsi="宋体" w:cs="宋体"/>
          <w:bCs/>
          <w:color w:val="auto"/>
          <w:sz w:val="24"/>
          <w:szCs w:val="24"/>
          <w:highlight w:val="none"/>
          <w:u w:val="single"/>
        </w:rPr>
        <w:t>）（取自平台内上传件），</w:t>
      </w:r>
      <w:r>
        <w:rPr>
          <w:rFonts w:hint="eastAsia" w:ascii="宋体" w:hAnsi="宋体" w:cs="宋体"/>
          <w:b/>
          <w:bCs w:val="0"/>
          <w:color w:val="auto"/>
          <w:sz w:val="24"/>
          <w:szCs w:val="24"/>
          <w:highlight w:val="none"/>
          <w:u w:val="single"/>
        </w:rPr>
        <w:t>项目负责人和专职安全员不为同一人</w:t>
      </w:r>
      <w:r>
        <w:rPr>
          <w:rFonts w:hint="eastAsia" w:ascii="宋体" w:hAnsi="宋体" w:cs="宋体"/>
          <w:bCs/>
          <w:color w:val="auto"/>
          <w:sz w:val="24"/>
          <w:szCs w:val="24"/>
          <w:highlight w:val="none"/>
          <w:u w:val="single"/>
        </w:rPr>
        <w:t>；</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bCs/>
          <w:strike/>
          <w:color w:val="auto"/>
          <w:sz w:val="24"/>
          <w:szCs w:val="24"/>
          <w:highlight w:val="none"/>
          <w:u w:val="single"/>
        </w:rPr>
        <w:t>（12）用于资格审查的业绩（投标人须提供广州市住房和城乡建设局企业诚信档案信息库中已有业绩编号和业绩名称的网页信息打印页）；</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（13）</w:t>
      </w:r>
      <w:r>
        <w:rPr>
          <w:rFonts w:hint="eastAsia" w:ascii="宋体" w:hAnsi="宋体" w:cs="宋体"/>
          <w:color w:val="auto"/>
          <w:sz w:val="24"/>
          <w:szCs w:val="24"/>
          <w:highlight w:val="none"/>
          <w:u w:val="single"/>
          <w:lang w:eastAsia="zh-CN"/>
        </w:rPr>
        <w:t>资格审查前，投标人须在广州市住房和城乡建设局建立企业信用档案及拟担任本工程项目负责人、专职安全员须是本企业中的在册人员</w:t>
      </w:r>
      <w:r>
        <w:rPr>
          <w:rFonts w:hint="eastAsia" w:ascii="宋体" w:hAnsi="宋体" w:cs="宋体"/>
          <w:color w:val="auto"/>
          <w:sz w:val="24"/>
          <w:szCs w:val="24"/>
          <w:highlight w:val="none"/>
          <w:u w:val="single"/>
        </w:rPr>
        <w:t>。</w:t>
      </w:r>
    </w:p>
    <w:p>
      <w:pPr>
        <w:spacing w:line="360" w:lineRule="auto"/>
        <w:ind w:firstLine="480" w:firstLineChars="200"/>
        <w:rPr>
          <w:rFonts w:hint="eastAsia" w:ascii="宋体" w:hAnsi="宋体" w:cs="宋体"/>
          <w:strike/>
          <w:color w:val="auto"/>
          <w:sz w:val="24"/>
          <w:szCs w:val="24"/>
          <w:highlight w:val="none"/>
          <w:u w:val="single"/>
        </w:rPr>
      </w:pPr>
      <w:r>
        <w:rPr>
          <w:rFonts w:hint="eastAsia" w:ascii="宋体" w:hAnsi="宋体" w:cs="宋体"/>
          <w:strike/>
          <w:color w:val="auto"/>
          <w:sz w:val="24"/>
          <w:szCs w:val="24"/>
          <w:highlight w:val="none"/>
          <w:u w:val="single"/>
        </w:rPr>
        <w:t>（1</w:t>
      </w:r>
      <w:r>
        <w:rPr>
          <w:rFonts w:hint="eastAsia" w:ascii="宋体" w:hAnsi="宋体" w:cs="宋体"/>
          <w:strike/>
          <w:color w:val="auto"/>
          <w:sz w:val="24"/>
          <w:szCs w:val="24"/>
          <w:highlight w:val="none"/>
          <w:u w:val="single"/>
          <w:lang w:val="en-US" w:eastAsia="zh-CN"/>
        </w:rPr>
        <w:t>4</w:t>
      </w:r>
      <w:r>
        <w:rPr>
          <w:rFonts w:hint="eastAsia" w:ascii="宋体" w:hAnsi="宋体" w:cs="宋体"/>
          <w:strike/>
          <w:color w:val="auto"/>
          <w:sz w:val="24"/>
          <w:szCs w:val="24"/>
          <w:highlight w:val="none"/>
          <w:u w:val="single"/>
        </w:rPr>
        <w:t>）列明主办单位的联合体投标协议书（采用联合体投标时需递交，联合体投标协议书应明确约定各方拟承担的工作和责任）；（联合体投标的提供）</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）其他满足资格审查合格条件的证明材料。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11.2.3项目管理机构配备。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（1）投标人应列出该项目工程的施工组织机构构成和画出机构框架图及其负责人；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（3）项目管理机构配备：《施工项目管理团队人员信息表》（格式见第四章），参考《技术标详细审查评分表》要求提交。</w:t>
      </w:r>
    </w:p>
    <w:p>
      <w:pPr>
        <w:pStyle w:val="262"/>
        <w:spacing w:line="360" w:lineRule="auto"/>
        <w:ind w:firstLine="480"/>
        <w:rPr>
          <w:color w:val="auto"/>
          <w:sz w:val="24"/>
          <w:highlight w:val="none"/>
        </w:rPr>
      </w:pPr>
      <w:r>
        <w:rPr>
          <w:rFonts w:hint="eastAsia" w:ascii="宋体" w:hAnsi="宋体" w:cs="宋体"/>
          <w:color w:val="auto"/>
          <w:sz w:val="24"/>
          <w:highlight w:val="none"/>
        </w:rPr>
        <w:t>11.2.4</w:t>
      </w:r>
      <w:r>
        <w:rPr>
          <w:rFonts w:hint="eastAsia" w:ascii="宋体" w:hAnsi="宋体" w:cs="宋体"/>
          <w:color w:val="auto"/>
          <w:sz w:val="24"/>
          <w:highlight w:val="none"/>
          <w:u w:val="single"/>
        </w:rPr>
        <w:t>得分证明材料：参考《技术标详细审查评分表》要求提交）。</w:t>
      </w:r>
    </w:p>
    <w:p>
      <w:pPr>
        <w:tabs>
          <w:tab w:val="left" w:pos="112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按照</w:t>
      </w:r>
      <w:r>
        <w:rPr>
          <w:rFonts w:hint="eastAsia" w:ascii="宋体" w:hAnsi="宋体" w:cs="宋体"/>
          <w:bCs/>
          <w:color w:val="auto"/>
          <w:sz w:val="24"/>
          <w:szCs w:val="24"/>
          <w:highlight w:val="none"/>
        </w:rPr>
        <w:t>招标文件要求</w:t>
      </w:r>
      <w:r>
        <w:rPr>
          <w:rFonts w:hint="eastAsia" w:ascii="宋体" w:hAnsi="宋体" w:cs="宋体"/>
          <w:color w:val="auto"/>
          <w:sz w:val="24"/>
          <w:szCs w:val="24"/>
          <w:highlight w:val="none"/>
        </w:rPr>
        <w:t>填写的《参与编制技术标投标文件人员名单》。</w:t>
      </w:r>
    </w:p>
    <w:p>
      <w:pPr>
        <w:pBdr>
          <w:bottom w:val="single" w:color="auto" w:sz="6" w:space="1"/>
        </w:pBdr>
        <w:adjustRightInd w:val="0"/>
        <w:spacing w:line="360" w:lineRule="auto"/>
        <w:ind w:firstLine="600" w:firstLineChars="250"/>
        <w:textAlignment w:val="baseline"/>
        <w:rPr>
          <w:rFonts w:hint="eastAsia" w:ascii="宋体" w:hAnsi="宋体" w:cs="宋体"/>
          <w:b/>
          <w:color w:val="auto"/>
          <w:sz w:val="24"/>
          <w:szCs w:val="24"/>
          <w:highlight w:val="none"/>
        </w:rPr>
      </w:pPr>
      <w:r>
        <w:rPr>
          <w:rFonts w:hint="eastAsia" w:ascii="宋体" w:hAnsi="宋体" w:cs="宋体"/>
          <w:color w:val="auto"/>
          <w:sz w:val="24"/>
          <w:szCs w:val="24"/>
          <w:highlight w:val="none"/>
        </w:rPr>
        <w:t>11.2.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《工程质量终身责任承诺书》（格式见第四章）。</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条款号：11.3.1             修改类型：修改</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ascii="宋体" w:hAnsi="宋体"/>
          <w:color w:val="auto"/>
          <w:sz w:val="24"/>
          <w:szCs w:val="24"/>
          <w:highlight w:val="none"/>
        </w:rPr>
        <w:t xml:space="preserve">11.3.1 </w:t>
      </w:r>
      <w:r>
        <w:rPr>
          <w:rFonts w:hint="eastAsia" w:ascii="宋体" w:hAnsi="宋体"/>
          <w:color w:val="auto"/>
          <w:sz w:val="24"/>
          <w:szCs w:val="24"/>
          <w:highlight w:val="none"/>
        </w:rPr>
        <w:t>经济投标文件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hAnsi="宋体"/>
          <w:color w:val="auto"/>
          <w:sz w:val="24"/>
          <w:szCs w:val="24"/>
          <w:highlight w:val="none"/>
        </w:rPr>
        <w:t>。</w:t>
      </w:r>
    </w:p>
    <w:p>
      <w:pPr>
        <w:spacing w:line="360" w:lineRule="auto"/>
        <w:ind w:firstLine="482" w:firstLineChars="200"/>
        <w:rPr>
          <w:rFonts w:hint="eastAsia" w:ascii="宋体" w:hAnsi="宋体"/>
          <w:color w:val="auto"/>
          <w:sz w:val="24"/>
          <w:szCs w:val="24"/>
          <w:highlight w:val="none"/>
        </w:rPr>
      </w:pPr>
      <w:r>
        <w:rPr>
          <w:rFonts w:hint="eastAsia" w:ascii="宋体" w:hAnsi="宋体" w:cs="宋体"/>
          <w:b/>
          <w:color w:val="auto"/>
          <w:sz w:val="24"/>
          <w:szCs w:val="24"/>
          <w:highlight w:val="none"/>
        </w:rPr>
        <w:t>现文：</w:t>
      </w:r>
      <w:r>
        <w:rPr>
          <w:rFonts w:ascii="宋体" w:hAnsi="宋体"/>
          <w:color w:val="auto"/>
          <w:sz w:val="24"/>
          <w:szCs w:val="24"/>
          <w:highlight w:val="none"/>
        </w:rPr>
        <w:t xml:space="preserve">11.3.1 </w:t>
      </w:r>
      <w:r>
        <w:rPr>
          <w:rFonts w:hint="eastAsia" w:ascii="宋体" w:hAnsi="宋体"/>
          <w:color w:val="auto"/>
          <w:sz w:val="24"/>
          <w:szCs w:val="24"/>
          <w:highlight w:val="none"/>
        </w:rPr>
        <w:t>经济投标文件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hAnsi="宋体"/>
          <w:color w:val="auto"/>
          <w:sz w:val="24"/>
          <w:szCs w:val="24"/>
          <w:highlight w:val="none"/>
        </w:rPr>
        <w:t>。</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（1）经济标投标文件封面；</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（2）目录 ；</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（3）《广州建设工程施工招标投标书》；</w:t>
      </w:r>
    </w:p>
    <w:p>
      <w:pPr>
        <w:pBdr>
          <w:bottom w:val="single" w:color="auto" w:sz="6" w:space="1"/>
        </w:pBdr>
        <w:adjustRightInd w:val="0"/>
        <w:spacing w:line="360" w:lineRule="auto"/>
        <w:ind w:firstLine="600" w:firstLineChars="250"/>
        <w:textAlignment w:val="baseline"/>
        <w:rPr>
          <w:rFonts w:hint="eastAsia" w:ascii="宋体" w:hAnsi="宋体" w:cs="宋体"/>
          <w:b/>
          <w:color w:val="auto"/>
          <w:sz w:val="24"/>
          <w:szCs w:val="24"/>
          <w:highlight w:val="none"/>
        </w:rPr>
      </w:pPr>
      <w:r>
        <w:rPr>
          <w:rFonts w:hint="eastAsia" w:ascii="宋体" w:hAnsi="宋体" w:cs="宋体"/>
          <w:color w:val="auto"/>
          <w:sz w:val="24"/>
          <w:szCs w:val="24"/>
          <w:highlight w:val="none"/>
          <w:u w:val="single"/>
        </w:rPr>
        <w:t>（4）《对投标文件编制的承诺》、《投标文件编制情况》。</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条款号：12.2             修改类型：修改</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olor w:val="auto"/>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pBdr>
          <w:bottom w:val="single" w:color="auto" w:sz="6" w:space="1"/>
        </w:pBdr>
        <w:adjustRightInd w:val="0"/>
        <w:spacing w:line="360" w:lineRule="auto"/>
        <w:ind w:firstLine="602" w:firstLineChars="250"/>
        <w:textAlignment w:val="baseline"/>
        <w:rPr>
          <w:rFonts w:hint="eastAsia" w:ascii="Times New Roman" w:hAnsi="Times New Roman" w:eastAsia="宋体" w:cs="Times New Roman"/>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 </w:t>
      </w:r>
      <w:r>
        <w:rPr>
          <w:rFonts w:hint="eastAsia" w:ascii="宋体" w:hAnsi="宋体"/>
          <w:color w:val="auto"/>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w:t>
      </w:r>
      <w:r>
        <w:rPr>
          <w:rFonts w:hint="eastAsia" w:ascii="宋体" w:hAnsi="宋体" w:cs="宋体"/>
          <w:color w:val="auto"/>
          <w:sz w:val="24"/>
          <w:szCs w:val="24"/>
          <w:highlight w:val="none"/>
        </w:rPr>
        <w:t>详见：</w:t>
      </w:r>
      <w:r>
        <w:rPr>
          <w:rFonts w:hint="eastAsia" w:ascii="宋体" w:hAnsi="宋体" w:cs="宋体"/>
          <w:color w:val="auto"/>
          <w:sz w:val="24"/>
          <w:szCs w:val="24"/>
          <w:highlight w:val="none"/>
          <w:u w:val="single"/>
        </w:rPr>
        <w:t xml:space="preserve">《全流程电子化项目电子招投标操作手册（无纸化）》 </w:t>
      </w:r>
      <w:r>
        <w:rPr>
          <w:rFonts w:hint="eastAsia" w:ascii="Times New Roman" w:hAnsi="Times New Roman" w:eastAsia="宋体" w:cs="Times New Roman"/>
          <w:color w:val="auto"/>
          <w:sz w:val="24"/>
          <w:szCs w:val="24"/>
          <w:highlight w:val="none"/>
        </w:rPr>
        <w:t>。</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条款号：12.3             修改类型：修改</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bCs/>
          <w:color w:val="auto"/>
          <w:sz w:val="24"/>
          <w:szCs w:val="24"/>
          <w:highlight w:val="none"/>
        </w:rPr>
        <w:t>投标文件应按</w:t>
      </w:r>
      <w:r>
        <w:rPr>
          <w:rFonts w:hint="eastAsia" w:ascii="宋体" w:hAnsi="宋体"/>
          <w:color w:val="auto"/>
          <w:sz w:val="24"/>
          <w:szCs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szCs w:val="24"/>
          <w:highlight w:val="none"/>
        </w:rPr>
        <w:t>。</w:t>
      </w:r>
    </w:p>
    <w:p>
      <w:pPr>
        <w:pStyle w:val="50"/>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 投标文件应按照交易平台关于全流程电子化项目的相关指南进行编制，详见：</w:t>
      </w:r>
      <w:r>
        <w:rPr>
          <w:rFonts w:hint="eastAsia" w:ascii="宋体" w:hAnsi="宋体" w:cs="宋体"/>
          <w:color w:val="auto"/>
          <w:sz w:val="24"/>
          <w:szCs w:val="24"/>
          <w:highlight w:val="none"/>
          <w:u w:val="single"/>
        </w:rPr>
        <w:t>《全流程电子化项目电子招投标操作手册（无纸化）》</w:t>
      </w:r>
      <w:r>
        <w:rPr>
          <w:rFonts w:hint="eastAsia" w:ascii="宋体" w:hAnsi="宋体" w:cs="宋体"/>
          <w:color w:val="auto"/>
          <w:sz w:val="24"/>
          <w:szCs w:val="24"/>
          <w:highlight w:val="none"/>
        </w:rPr>
        <w:t xml:space="preserve">。               </w:t>
      </w:r>
    </w:p>
    <w:p>
      <w:pPr>
        <w:pBdr>
          <w:bottom w:val="single" w:color="auto" w:sz="6" w:space="1"/>
        </w:pBdr>
        <w:adjustRightInd w:val="0"/>
        <w:spacing w:line="360" w:lineRule="auto"/>
        <w:ind w:firstLine="600" w:firstLineChars="250"/>
        <w:textAlignment w:val="baseline"/>
        <w:rPr>
          <w:rFonts w:hint="eastAsia" w:ascii="宋体" w:hAnsi="宋体" w:cs="宋体"/>
          <w:b/>
          <w:color w:val="auto"/>
          <w:sz w:val="24"/>
          <w:szCs w:val="24"/>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条款号：13.4             修改类型：修改</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olor w:val="auto"/>
          <w:sz w:val="24"/>
          <w:szCs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4" w:space="0"/>
        </w:pBdr>
        <w:spacing w:line="360" w:lineRule="auto"/>
        <w:ind w:firstLine="540" w:firstLineChars="224"/>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 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color w:val="auto"/>
          <w:sz w:val="24"/>
          <w:szCs w:val="24"/>
          <w:highlight w:val="none"/>
          <w:u w:val="single"/>
        </w:rPr>
        <w:t>措施项目费的调整办法按合同约定执行。</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条款号：13.5             修改类型：修改</w:t>
      </w:r>
    </w:p>
    <w:p>
      <w:pPr>
        <w:pStyle w:val="50"/>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13.5.1中标的投标文件工程量清单中已有相同项目的适用综合单价，则沿用；</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13.5.4 如相关定额没有相应子目的，其计价方式由招标人在本招标文件第三章中另行规定。未规定的，中标后双方协商约定。</w:t>
      </w:r>
    </w:p>
    <w:p>
      <w:pPr>
        <w:pBdr>
          <w:bottom w:val="single" w:color="auto" w:sz="6" w:space="1"/>
        </w:pBdr>
        <w:adjustRightInd/>
        <w:spacing w:line="360" w:lineRule="auto"/>
        <w:ind w:firstLine="540" w:firstLineChars="224"/>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13.5工程项目实施期间和结算时，招标文件工程量清单中漏列而由监理单位和招标人现场签证确认的工程项目、原设计没有而由招标人批准设计变更产生的工程项目，视为新增项目，</w:t>
      </w:r>
      <w:r>
        <w:rPr>
          <w:rFonts w:hint="eastAsia" w:ascii="宋体" w:hAnsi="宋体" w:cs="宋体"/>
          <w:color w:val="auto"/>
          <w:sz w:val="24"/>
          <w:szCs w:val="24"/>
          <w:highlight w:val="none"/>
          <w:u w:val="single"/>
        </w:rPr>
        <w:t>其价格的确定按合同</w:t>
      </w:r>
      <w:r>
        <w:rPr>
          <w:rFonts w:hint="eastAsia" w:ascii="宋体" w:hAnsi="宋体" w:cs="宋体"/>
          <w:color w:val="auto"/>
          <w:sz w:val="24"/>
          <w:szCs w:val="24"/>
          <w:highlight w:val="none"/>
          <w:u w:val="single"/>
          <w:lang w:val="en-US" w:eastAsia="zh-CN"/>
        </w:rPr>
        <w:t>约定</w:t>
      </w:r>
      <w:r>
        <w:rPr>
          <w:rFonts w:hint="eastAsia" w:ascii="宋体" w:hAnsi="宋体" w:cs="宋体"/>
          <w:color w:val="auto"/>
          <w:sz w:val="24"/>
          <w:szCs w:val="24"/>
          <w:highlight w:val="none"/>
          <w:u w:val="single"/>
        </w:rPr>
        <w:t>执行</w:t>
      </w:r>
      <w:r>
        <w:rPr>
          <w:rFonts w:hint="eastAsia" w:ascii="宋体" w:hAnsi="宋体" w:cs="宋体"/>
          <w:color w:val="auto"/>
          <w:sz w:val="24"/>
          <w:szCs w:val="24"/>
          <w:highlight w:val="none"/>
        </w:rPr>
        <w:t>。</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条款号：16.1-16.6             修改类型：修改</w:t>
      </w:r>
    </w:p>
    <w:p>
      <w:pPr>
        <w:spacing w:line="360" w:lineRule="auto"/>
        <w:ind w:firstLine="482" w:firstLineChars="200"/>
        <w:rPr>
          <w:rFonts w:ascii="宋体" w:hAnsi="宋体"/>
          <w:color w:val="auto"/>
          <w:sz w:val="24"/>
          <w:szCs w:val="24"/>
          <w:highlight w:val="none"/>
        </w:rPr>
      </w:pPr>
      <w:r>
        <w:rPr>
          <w:rFonts w:hint="eastAsia" w:ascii="宋体" w:hAnsi="宋体" w:cs="宋体"/>
          <w:b/>
          <w:color w:val="auto"/>
          <w:sz w:val="24"/>
          <w:szCs w:val="24"/>
          <w:highlight w:val="none"/>
        </w:rPr>
        <w:t>原文：</w:t>
      </w:r>
      <w:r>
        <w:rPr>
          <w:rFonts w:ascii="宋体" w:hAnsi="宋体"/>
          <w:color w:val="auto"/>
          <w:sz w:val="24"/>
          <w:szCs w:val="24"/>
          <w:highlight w:val="none"/>
        </w:rPr>
        <w:t>16.1</w:t>
      </w:r>
      <w:r>
        <w:rPr>
          <w:rFonts w:hint="eastAsia" w:ascii="宋体" w:hAnsi="宋体"/>
          <w:color w:val="auto"/>
          <w:sz w:val="24"/>
          <w:szCs w:val="24"/>
          <w:highlight w:val="none"/>
        </w:rPr>
        <w:t>投标人应按投标须知前附表第</w:t>
      </w:r>
      <w:r>
        <w:rPr>
          <w:rFonts w:ascii="宋体" w:hAnsi="宋体"/>
          <w:color w:val="auto"/>
          <w:sz w:val="24"/>
          <w:szCs w:val="24"/>
          <w:highlight w:val="none"/>
        </w:rPr>
        <w:t>14</w:t>
      </w:r>
      <w:r>
        <w:rPr>
          <w:rFonts w:hint="eastAsia" w:ascii="宋体" w:hAnsi="宋体"/>
          <w:color w:val="auto"/>
          <w:sz w:val="24"/>
          <w:szCs w:val="24"/>
          <w:highlight w:val="none"/>
        </w:rPr>
        <w:t>项所述金额和时间递交</w:t>
      </w:r>
      <w:r>
        <w:rPr>
          <w:rFonts w:hint="eastAsia" w:ascii="宋体" w:hAnsi="宋体"/>
          <w:bCs/>
          <w:color w:val="auto"/>
          <w:sz w:val="24"/>
          <w:szCs w:val="24"/>
          <w:highlight w:val="none"/>
        </w:rPr>
        <w:t>投标保证金</w:t>
      </w:r>
      <w:r>
        <w:rPr>
          <w:rFonts w:hint="eastAsia" w:ascii="宋体" w:hAnsi="宋体"/>
          <w:color w:val="auto"/>
          <w:sz w:val="24"/>
          <w:szCs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16.3投标保证金应依据法律法规的相关规定退还。</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16.4.1因投标人原因造成投标文件未解密的；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16.4.2投标人在投标有效期内撤销投标文件；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16.4.3中标人未能在规定期限内按要求提交履约担保；</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16.4.4中标人未能在规定期限内签署合同协议。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16.5.3按招标文件要求免于提供投标保证金的投标人存在16.4条款所列情形的。</w:t>
      </w:r>
    </w:p>
    <w:p>
      <w:pPr>
        <w:spacing w:line="360" w:lineRule="auto"/>
        <w:ind w:firstLine="480" w:firstLineChars="200"/>
        <w:rPr>
          <w:rFonts w:hint="eastAsia" w:ascii="宋体" w:hAnsi="宋体" w:cs="宋体"/>
          <w:b/>
          <w:color w:val="auto"/>
          <w:sz w:val="24"/>
          <w:szCs w:val="24"/>
          <w:highlight w:val="none"/>
        </w:rPr>
      </w:pPr>
      <w:r>
        <w:rPr>
          <w:rFonts w:hint="eastAsia" w:ascii="宋体" w:hAnsi="宋体"/>
          <w:color w:val="auto"/>
          <w:sz w:val="24"/>
          <w:szCs w:val="24"/>
          <w:highlight w:val="none"/>
        </w:rPr>
        <w:t>注：16.5.3款由招标人二选一，需在招标文件中明确。</w:t>
      </w:r>
    </w:p>
    <w:p>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16.1.1 采用现金、支票或汇票形式提交的，投标保证金须从投标人的银行基本账户转出。</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16.1.2 </w:t>
      </w:r>
      <w:r>
        <w:rPr>
          <w:rFonts w:hint="eastAsia" w:ascii="宋体" w:hAnsi="宋体" w:cs="宋体"/>
          <w:color w:val="auto"/>
          <w:sz w:val="24"/>
          <w:szCs w:val="24"/>
          <w:highlight w:val="none"/>
          <w:u w:val="single"/>
        </w:rPr>
        <w:t>如采用非电子形式的投标保函、专业工程担保公司担保或保证保险提交投标保证金的，在开标前不强制要求投标人提交纸质原件，由中标候选人在中标候选人公示前提交并在网上公示，投标人应在投标文件中提交</w:t>
      </w:r>
      <w:r>
        <w:rPr>
          <w:rFonts w:hint="eastAsia" w:ascii="宋体" w:hAnsi="宋体" w:cs="宋体"/>
          <w:color w:val="auto"/>
          <w:sz w:val="24"/>
          <w:szCs w:val="24"/>
          <w:highlight w:val="none"/>
          <w:u w:val="single"/>
          <w:lang w:val="en-US" w:eastAsia="zh-CN"/>
        </w:rPr>
        <w:t>投标</w:t>
      </w:r>
      <w:r>
        <w:rPr>
          <w:rFonts w:hint="eastAsia" w:ascii="宋体" w:hAnsi="宋体" w:cs="宋体"/>
          <w:color w:val="auto"/>
          <w:sz w:val="24"/>
          <w:szCs w:val="24"/>
          <w:highlight w:val="none"/>
          <w:u w:val="single"/>
        </w:rPr>
        <w:t>保函、担保或保证保险扫描件并加盖投标人电子印章。如投标人存在16.6条款所列情形的，应将纸质原件提交给招标人。</w:t>
      </w:r>
    </w:p>
    <w:p>
      <w:pPr>
        <w:pStyle w:val="2"/>
        <w:spacing w:after="0" w:line="360" w:lineRule="auto"/>
        <w:ind w:firstLine="480" w:firstLineChars="200"/>
        <w:rPr>
          <w:rFonts w:hint="eastAsia" w:ascii="宋体" w:hAnsi="宋体" w:cs="宋体"/>
          <w:color w:val="auto"/>
          <w:kern w:val="2"/>
          <w:sz w:val="24"/>
          <w:szCs w:val="24"/>
          <w:highlight w:val="none"/>
          <w:u w:val="single"/>
        </w:rPr>
      </w:pPr>
      <w:r>
        <w:rPr>
          <w:rFonts w:hint="eastAsia" w:ascii="宋体" w:hAnsi="宋体" w:cs="宋体"/>
          <w:color w:val="auto"/>
          <w:kern w:val="2"/>
          <w:sz w:val="24"/>
          <w:szCs w:val="24"/>
          <w:highlight w:val="none"/>
          <w:u w:val="single"/>
        </w:rPr>
        <w:t>16.1.3 采用电子形式的保函、担保或保证保险提交投标保证金的，应在招标文件中明确电子递交途径。</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16.2招标人可委托</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交易平台具体实施保证金的收取和退还工作。通过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交易平台递交投标保证金的相关事宜，请自行咨询</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xml:space="preserve">    16.3</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交易平台代收投标保证金的，其缴纳情况以</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交易平台数据库记录的信息为准。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16.4开标时投标人没有按要求提供投标保证金的，其投标文件将被否决。</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16.5</w:t>
      </w:r>
      <w:r>
        <w:rPr>
          <w:rFonts w:hint="eastAsia" w:ascii="宋体" w:hAnsi="宋体" w:cs="宋体"/>
          <w:color w:val="auto"/>
          <w:sz w:val="24"/>
          <w:szCs w:val="24"/>
          <w:highlight w:val="none"/>
          <w:u w:val="single"/>
        </w:rPr>
        <w:t>投标保证金应依据法律法规的相关规定退还。</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16.6如有下列情况之一的，招标人不予退还投标保证金：</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16.6.1因投标人原因造成投标文件未解密的；</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16.6.2投标人在投标有效期内</w:t>
      </w:r>
      <w:r>
        <w:rPr>
          <w:rFonts w:hint="eastAsia" w:ascii="宋体" w:hAnsi="宋体" w:cs="宋体"/>
          <w:b/>
          <w:bCs/>
          <w:color w:val="auto"/>
          <w:sz w:val="24"/>
          <w:szCs w:val="24"/>
          <w:highlight w:val="none"/>
          <w:u w:val="single"/>
        </w:rPr>
        <w:t>撤销</w:t>
      </w:r>
      <w:r>
        <w:rPr>
          <w:rFonts w:hint="eastAsia" w:ascii="宋体" w:hAnsi="宋体" w:cs="宋体"/>
          <w:color w:val="auto"/>
          <w:sz w:val="24"/>
          <w:szCs w:val="24"/>
          <w:highlight w:val="none"/>
        </w:rPr>
        <w:t>投标文件；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16.6.3中标人未能在规定期限内按要求提交履约担保；</w:t>
      </w:r>
    </w:p>
    <w:p>
      <w:pPr>
        <w:pBdr>
          <w:bottom w:val="single" w:color="auto" w:sz="6" w:space="1"/>
        </w:pBdr>
        <w:adjustRightInd w:val="0"/>
        <w:spacing w:line="360" w:lineRule="auto"/>
        <w:ind w:firstLine="600" w:firstLineChars="250"/>
        <w:textAlignment w:val="baseline"/>
        <w:rPr>
          <w:rFonts w:hint="eastAsia" w:ascii="宋体" w:hAnsi="宋体" w:cs="宋体"/>
          <w:b/>
          <w:color w:val="auto"/>
          <w:sz w:val="24"/>
          <w:szCs w:val="24"/>
          <w:highlight w:val="none"/>
        </w:rPr>
      </w:pPr>
      <w:r>
        <w:rPr>
          <w:rFonts w:hint="eastAsia" w:ascii="宋体" w:hAnsi="宋体" w:cs="宋体"/>
          <w:color w:val="auto"/>
          <w:sz w:val="24"/>
          <w:szCs w:val="24"/>
          <w:highlight w:val="none"/>
        </w:rPr>
        <w:t>16.6.4中标人未能在规定期限内签署合同协议。</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条款号：17             修改类型：修改</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pBdr>
          <w:bottom w:val="single" w:color="auto" w:sz="6" w:space="1"/>
        </w:pBdr>
        <w:adjustRightInd w:val="0"/>
        <w:spacing w:line="360" w:lineRule="auto"/>
        <w:ind w:firstLine="602" w:firstLineChars="25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 w:val="24"/>
          <w:szCs w:val="24"/>
          <w:highlight w:val="none"/>
        </w:rPr>
        <w:t>详见：</w:t>
      </w:r>
      <w:r>
        <w:rPr>
          <w:rFonts w:hint="eastAsia" w:ascii="宋体" w:hAnsi="宋体" w:cs="宋体"/>
          <w:color w:val="auto"/>
          <w:sz w:val="24"/>
          <w:szCs w:val="24"/>
          <w:highlight w:val="none"/>
          <w:u w:val="single"/>
        </w:rPr>
        <w:t>《全流程电子化项目电子招投标操作手册（无纸化）》</w:t>
      </w:r>
      <w:r>
        <w:rPr>
          <w:rFonts w:hint="eastAsia" w:ascii="宋体" w:hAnsi="宋体" w:cs="宋体"/>
          <w:color w:val="auto"/>
          <w:sz w:val="24"/>
          <w:szCs w:val="24"/>
          <w:highlight w:val="none"/>
        </w:rPr>
        <w:t>。</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条款号：18             修改类型：修改</w:t>
      </w:r>
    </w:p>
    <w:p>
      <w:pPr>
        <w:spacing w:line="360" w:lineRule="auto"/>
        <w:ind w:firstLine="482" w:firstLineChars="200"/>
        <w:rPr>
          <w:rFonts w:ascii="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18.1</w:t>
      </w:r>
      <w:r>
        <w:rPr>
          <w:rFonts w:hint="eastAsia" w:ascii="宋体" w:hAnsi="宋体"/>
          <w:bCs/>
          <w:color w:val="auto"/>
          <w:sz w:val="24"/>
          <w:szCs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adjustRightInd w:val="0"/>
        <w:spacing w:line="360" w:lineRule="auto"/>
        <w:ind w:firstLine="537" w:firstLineChars="224"/>
        <w:textAlignment w:val="baseline"/>
        <w:rPr>
          <w:rFonts w:hint="eastAsia" w:ascii="宋体" w:hAnsi="宋体" w:cs="宋体"/>
          <w:b/>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.2</w:t>
      </w:r>
      <w:r>
        <w:rPr>
          <w:rFonts w:ascii="宋体"/>
          <w:bCs/>
          <w:color w:val="auto"/>
          <w:sz w:val="24"/>
          <w:szCs w:val="24"/>
          <w:highlight w:val="none"/>
        </w:rPr>
        <w:t xml:space="preserve"> </w:t>
      </w:r>
      <w:r>
        <w:rPr>
          <w:rFonts w:hint="eastAsia" w:ascii="宋体"/>
          <w:bCs/>
          <w:color w:val="auto"/>
          <w:sz w:val="24"/>
          <w:szCs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szCs w:val="24"/>
          <w:highlight w:val="none"/>
        </w:rPr>
        <w:t>将予以拒收。</w:t>
      </w:r>
    </w:p>
    <w:p>
      <w:pPr>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color w:val="auto"/>
          <w:sz w:val="24"/>
          <w:szCs w:val="24"/>
          <w:highlight w:val="none"/>
          <w:u w:val="single"/>
        </w:rPr>
        <w:t>广州公共资源交易中心网站发布的最新版操作指引</w:t>
      </w:r>
      <w:r>
        <w:rPr>
          <w:rFonts w:hint="eastAsia" w:ascii="宋体" w:hAnsi="宋体" w:cs="宋体"/>
          <w:color w:val="auto"/>
          <w:sz w:val="24"/>
          <w:szCs w:val="24"/>
          <w:highlight w:val="none"/>
        </w:rPr>
        <w:t>。</w:t>
      </w:r>
    </w:p>
    <w:p>
      <w:pPr>
        <w:pBdr>
          <w:bottom w:val="single" w:color="auto" w:sz="6" w:space="1"/>
        </w:pBdr>
        <w:adjustRightInd w:val="0"/>
        <w:spacing w:line="360" w:lineRule="auto"/>
        <w:ind w:firstLine="600" w:firstLineChars="250"/>
        <w:textAlignment w:val="baseline"/>
        <w:rPr>
          <w:rFonts w:hint="eastAsia" w:ascii="宋体" w:hAnsi="宋体" w:cs="宋体"/>
          <w:b/>
          <w:color w:val="auto"/>
          <w:sz w:val="24"/>
          <w:szCs w:val="24"/>
          <w:highlight w:val="none"/>
        </w:rPr>
      </w:pPr>
      <w:r>
        <w:rPr>
          <w:rFonts w:hint="eastAsia" w:ascii="宋体" w:hAnsi="宋体" w:cs="宋体"/>
          <w:bCs/>
          <w:color w:val="auto"/>
          <w:sz w:val="24"/>
          <w:szCs w:val="24"/>
          <w:highlight w:val="none"/>
        </w:rPr>
        <w:t>18.2 未按要求加密的投标文件，</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bCs/>
          <w:color w:val="auto"/>
          <w:sz w:val="24"/>
          <w:szCs w:val="24"/>
          <w:highlight w:val="none"/>
        </w:rPr>
        <w:t>将予以拒收。</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条款号：19            修改类型：修改</w:t>
      </w:r>
    </w:p>
    <w:p>
      <w:pPr>
        <w:spacing w:line="360" w:lineRule="auto"/>
        <w:ind w:firstLine="482" w:firstLineChars="200"/>
        <w:rPr>
          <w:rFonts w:ascii="宋体"/>
          <w:bCs/>
          <w:color w:val="auto"/>
          <w:sz w:val="24"/>
          <w:szCs w:val="24"/>
          <w:highlight w:val="none"/>
        </w:rPr>
      </w:pPr>
      <w:r>
        <w:rPr>
          <w:rFonts w:hint="eastAsia" w:ascii="宋体" w:hAnsi="宋体" w:cs="宋体"/>
          <w:b/>
          <w:color w:val="auto"/>
          <w:sz w:val="24"/>
          <w:szCs w:val="24"/>
          <w:highlight w:val="none"/>
        </w:rPr>
        <w:t>原文：</w:t>
      </w: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交易平台递交电子投标文件。</w:t>
      </w:r>
    </w:p>
    <w:p>
      <w:pPr>
        <w:spacing w:line="360" w:lineRule="auto"/>
        <w:ind w:firstLine="480" w:firstLineChars="200"/>
        <w:rPr>
          <w:rFonts w:asci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2投标人完成电子</w:t>
      </w:r>
      <w:r>
        <w:rPr>
          <w:rFonts w:hint="eastAsia" w:ascii="宋体" w:hAnsi="宋体"/>
          <w:color w:val="auto"/>
          <w:sz w:val="24"/>
          <w:szCs w:val="24"/>
          <w:highlight w:val="none"/>
        </w:rPr>
        <w:t>投标文件</w:t>
      </w:r>
      <w:r>
        <w:rPr>
          <w:rFonts w:hint="eastAsia" w:ascii="宋体" w:hAnsi="宋体"/>
          <w:bCs/>
          <w:color w:val="auto"/>
          <w:sz w:val="24"/>
          <w:szCs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3</w:t>
      </w:r>
      <w:r>
        <w:rPr>
          <w:rFonts w:hint="eastAsia"/>
          <w:bCs/>
          <w:color w:val="auto"/>
          <w:sz w:val="24"/>
          <w:szCs w:val="24"/>
          <w:highlight w:val="none"/>
        </w:rPr>
        <w:t>逾期送达的</w:t>
      </w:r>
      <w:r>
        <w:rPr>
          <w:rFonts w:hint="eastAsia" w:ascii="宋体" w:hAnsi="宋体"/>
          <w:bCs/>
          <w:color w:val="auto"/>
          <w:sz w:val="24"/>
          <w:szCs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交易平台将予以拒收。</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19.</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w:t>
      </w:r>
      <w:r>
        <w:rPr>
          <w:rFonts w:hint="eastAsia" w:ascii="宋体" w:hAnsi="宋体"/>
          <w:color w:val="auto"/>
          <w:sz w:val="24"/>
          <w:szCs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交易平台将按招标文件规定的时间分别开启技术标和经济标。</w:t>
      </w:r>
    </w:p>
    <w:p>
      <w:pPr>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19.1投标人通过</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递交电子投标文件。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19.2投标人完成电子</w:t>
      </w:r>
      <w:r>
        <w:rPr>
          <w:rFonts w:hint="eastAsia" w:ascii="宋体" w:hAnsi="宋体" w:cs="宋体"/>
          <w:color w:val="auto"/>
          <w:sz w:val="24"/>
          <w:szCs w:val="24"/>
          <w:highlight w:val="none"/>
        </w:rPr>
        <w:t>投标文件</w:t>
      </w:r>
      <w:r>
        <w:rPr>
          <w:rFonts w:hint="eastAsia" w:ascii="宋体" w:hAnsi="宋体" w:cs="宋体"/>
          <w:bCs/>
          <w:color w:val="auto"/>
          <w:sz w:val="24"/>
          <w:szCs w:val="24"/>
          <w:highlight w:val="none"/>
        </w:rPr>
        <w:t>上传后，</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即时向投标人发出递交回执通知。递交时间以递交回执通知载明的传输完成时间为准。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19.3逾期送达的电子投标文件，</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将予以拒收。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19.4 投标截止前，招标人拒绝接收符合条件的投标文件，投标人可向招标投标监督机构投诉。</w:t>
      </w:r>
    </w:p>
    <w:p>
      <w:pPr>
        <w:pBdr>
          <w:bottom w:val="single" w:color="auto" w:sz="6" w:space="1"/>
        </w:pBdr>
        <w:adjustRightInd w:val="0"/>
        <w:spacing w:line="360" w:lineRule="auto"/>
        <w:ind w:firstLine="600" w:firstLineChars="250"/>
        <w:textAlignment w:val="baseline"/>
        <w:rPr>
          <w:rFonts w:hint="eastAsia" w:ascii="宋体" w:hAnsi="宋体" w:cs="宋体"/>
          <w:b/>
          <w:color w:val="auto"/>
          <w:sz w:val="24"/>
          <w:szCs w:val="24"/>
          <w:highlight w:val="none"/>
        </w:rPr>
      </w:pPr>
      <w:r>
        <w:rPr>
          <w:rFonts w:hint="eastAsia" w:ascii="宋体" w:hAnsi="宋体" w:cs="宋体"/>
          <w:color w:val="auto"/>
          <w:sz w:val="24"/>
          <w:szCs w:val="24"/>
          <w:highlight w:val="none"/>
        </w:rPr>
        <w:t>19.5成功递交电子投标文件的，</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将按招标文件规定的时间开启技术标、经济标。</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条款号：21            修改类型：修改</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ascii="宋体" w:hAnsi="宋体"/>
          <w:color w:val="auto"/>
          <w:sz w:val="24"/>
          <w:szCs w:val="24"/>
          <w:highlight w:val="none"/>
        </w:rPr>
        <w:t xml:space="preserve">21.1 </w:t>
      </w:r>
      <w:r>
        <w:rPr>
          <w:rFonts w:hint="eastAsia" w:ascii="宋体" w:hAnsi="宋体"/>
          <w:color w:val="auto"/>
          <w:sz w:val="24"/>
          <w:szCs w:val="24"/>
          <w:highlight w:val="none"/>
        </w:rPr>
        <w:t>本须知前附表第</w:t>
      </w:r>
      <w:r>
        <w:rPr>
          <w:rFonts w:ascii="宋体" w:hAnsi="宋体"/>
          <w:color w:val="auto"/>
          <w:sz w:val="24"/>
          <w:szCs w:val="24"/>
          <w:highlight w:val="none"/>
        </w:rPr>
        <w:t>1</w:t>
      </w:r>
      <w:r>
        <w:rPr>
          <w:rFonts w:hint="eastAsia" w:ascii="宋体" w:hAnsi="宋体"/>
          <w:color w:val="auto"/>
          <w:sz w:val="24"/>
          <w:szCs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szCs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交易平台将予以拒收。</w:t>
      </w:r>
    </w:p>
    <w:p>
      <w:pPr>
        <w:pBdr>
          <w:bottom w:val="single" w:color="auto" w:sz="6" w:space="1"/>
        </w:pBdr>
        <w:adjustRightInd w:val="0"/>
        <w:spacing w:line="360" w:lineRule="auto"/>
        <w:ind w:firstLine="602" w:firstLineChars="25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21.1 本须知前附表第17项规定的投标截止时间</w:t>
      </w:r>
      <w:r>
        <w:rPr>
          <w:rFonts w:hint="eastAsia" w:ascii="宋体" w:hAnsi="宋体" w:cs="宋体"/>
          <w:bCs/>
          <w:color w:val="auto"/>
          <w:sz w:val="24"/>
          <w:szCs w:val="24"/>
          <w:highlight w:val="none"/>
        </w:rPr>
        <w:t>后送达的电子投标文件，</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将予以拒收。</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条款号：27            修改类型：修改</w:t>
      </w:r>
    </w:p>
    <w:p>
      <w:pPr>
        <w:spacing w:line="360" w:lineRule="auto"/>
        <w:ind w:firstLine="482" w:firstLineChars="200"/>
        <w:rPr>
          <w:rFonts w:ascii="宋体"/>
          <w:color w:val="auto"/>
          <w:sz w:val="24"/>
          <w:szCs w:val="24"/>
          <w:highlight w:val="none"/>
        </w:rPr>
      </w:pPr>
      <w:r>
        <w:rPr>
          <w:rFonts w:hint="eastAsia" w:ascii="宋体" w:hAnsi="宋体" w:cs="宋体"/>
          <w:b/>
          <w:color w:val="auto"/>
          <w:sz w:val="24"/>
          <w:szCs w:val="24"/>
          <w:highlight w:val="none"/>
        </w:rPr>
        <w:t>原文：</w:t>
      </w:r>
      <w:r>
        <w:rPr>
          <w:rFonts w:ascii="宋体" w:hAnsi="宋体"/>
          <w:color w:val="auto"/>
          <w:sz w:val="24"/>
          <w:szCs w:val="24"/>
          <w:highlight w:val="none"/>
        </w:rPr>
        <w:t>27.1</w:t>
      </w:r>
      <w:r>
        <w:rPr>
          <w:rFonts w:hint="eastAsia" w:ascii="宋体" w:hAnsi="宋体"/>
          <w:color w:val="auto"/>
          <w:sz w:val="24"/>
          <w:szCs w:val="24"/>
          <w:highlight w:val="none"/>
        </w:rPr>
        <w:t>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auto"/>
          <w:sz w:val="24"/>
          <w:szCs w:val="24"/>
          <w:highlight w:val="none"/>
        </w:rPr>
      </w:pPr>
      <w:r>
        <w:rPr>
          <w:rFonts w:ascii="宋体" w:hAnsi="宋体"/>
          <w:color w:val="auto"/>
          <w:sz w:val="24"/>
          <w:szCs w:val="24"/>
          <w:highlight w:val="none"/>
        </w:rPr>
        <w:t>27.2</w:t>
      </w:r>
      <w:r>
        <w:rPr>
          <w:rFonts w:hint="eastAsia" w:ascii="宋体" w:hAnsi="宋体"/>
          <w:color w:val="auto"/>
          <w:sz w:val="24"/>
          <w:szCs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27.3</w:t>
      </w:r>
      <w:r>
        <w:rPr>
          <w:rFonts w:hint="eastAsia" w:ascii="宋体" w:hAnsi="宋体"/>
          <w:color w:val="auto"/>
          <w:sz w:val="24"/>
          <w:szCs w:val="24"/>
          <w:highlight w:val="none"/>
        </w:rPr>
        <w:t>中标人必须在收到中标通知书后</w:t>
      </w:r>
      <w:r>
        <w:rPr>
          <w:rFonts w:ascii="宋体" w:hAnsi="宋体"/>
          <w:color w:val="auto"/>
          <w:sz w:val="24"/>
          <w:szCs w:val="24"/>
          <w:highlight w:val="none"/>
        </w:rPr>
        <w:t>24</w:t>
      </w:r>
      <w:r>
        <w:rPr>
          <w:rFonts w:hint="eastAsia" w:ascii="宋体" w:hAnsi="宋体"/>
          <w:color w:val="auto"/>
          <w:sz w:val="24"/>
          <w:szCs w:val="24"/>
          <w:highlight w:val="none"/>
        </w:rPr>
        <w:t>小时之内以书面形式回复招标人，确认收到。</w:t>
      </w:r>
    </w:p>
    <w:p>
      <w:pPr>
        <w:adjustRightInd w:val="0"/>
        <w:spacing w:line="360" w:lineRule="auto"/>
        <w:ind w:firstLine="537" w:firstLineChars="224"/>
        <w:textAlignment w:val="baseline"/>
        <w:rPr>
          <w:rFonts w:hint="eastAsia" w:ascii="宋体" w:hAnsi="宋体" w:cs="宋体"/>
          <w:b/>
          <w:color w:val="auto"/>
          <w:sz w:val="24"/>
          <w:szCs w:val="24"/>
          <w:highlight w:val="none"/>
        </w:rPr>
      </w:pPr>
      <w:r>
        <w:rPr>
          <w:rFonts w:hint="eastAsia" w:ascii="宋体" w:hAnsi="宋体"/>
          <w:color w:val="auto"/>
          <w:sz w:val="24"/>
          <w:szCs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ascii="宋体" w:hAnsi="宋体"/>
          <w:color w:val="auto"/>
          <w:sz w:val="24"/>
          <w:szCs w:val="24"/>
          <w:highlight w:val="none"/>
        </w:rPr>
        <w:t>交易平台和广东省招标投标监管网公开。</w:t>
      </w:r>
    </w:p>
    <w:p>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27.1招标人将在</w:t>
      </w:r>
      <w:r>
        <w:rPr>
          <w:rFonts w:hint="eastAsia" w:ascii="宋体" w:hAnsi="宋体" w:cs="宋体"/>
          <w:color w:val="auto"/>
          <w:sz w:val="24"/>
          <w:szCs w:val="24"/>
          <w:highlight w:val="none"/>
          <w:u w:val="single"/>
        </w:rPr>
        <w:t xml:space="preserve">  广州公共资源</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27.3中标人必须在收到中标通知书后24小时之内以书面形式回复招标人，确认收到。</w:t>
      </w:r>
    </w:p>
    <w:p>
      <w:pPr>
        <w:pBdr>
          <w:bottom w:val="single" w:color="auto" w:sz="6" w:space="1"/>
        </w:pBdr>
        <w:adjustRightInd w:val="0"/>
        <w:spacing w:line="360" w:lineRule="auto"/>
        <w:ind w:firstLine="600" w:firstLineChars="250"/>
        <w:textAlignment w:val="baseline"/>
        <w:rPr>
          <w:rFonts w:hint="eastAsia" w:ascii="宋体" w:hAnsi="宋体" w:cs="宋体"/>
          <w:b/>
          <w:color w:val="auto"/>
          <w:sz w:val="24"/>
          <w:szCs w:val="24"/>
          <w:highlight w:val="none"/>
        </w:rPr>
      </w:pPr>
      <w:r>
        <w:rPr>
          <w:rFonts w:hint="eastAsia" w:ascii="宋体" w:hAnsi="宋体" w:cs="宋体"/>
          <w:color w:val="auto"/>
          <w:sz w:val="24"/>
          <w:szCs w:val="24"/>
          <w:highlight w:val="none"/>
        </w:rPr>
        <w:t>27.4在产生中标候选人后，招标人将中标候选人的投标文件商务部分文件的所有内容（包括人员、业绩、奖项等资料）在</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广州公共资源</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交易平台和广东省招标投标监管网公开。</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条款号：29            修改类型：修改</w:t>
      </w:r>
    </w:p>
    <w:p>
      <w:pPr>
        <w:snapToGrid w:val="0"/>
        <w:spacing w:line="360" w:lineRule="auto"/>
        <w:ind w:firstLine="482" w:firstLineChars="200"/>
        <w:rPr>
          <w:rFonts w:ascii="宋体"/>
          <w:color w:val="auto"/>
          <w:sz w:val="24"/>
          <w:szCs w:val="24"/>
          <w:highlight w:val="none"/>
        </w:rPr>
      </w:pPr>
      <w:r>
        <w:rPr>
          <w:rFonts w:hint="eastAsia" w:ascii="宋体" w:hAnsi="宋体" w:cs="宋体"/>
          <w:b/>
          <w:color w:val="auto"/>
          <w:sz w:val="24"/>
          <w:szCs w:val="24"/>
          <w:highlight w:val="none"/>
        </w:rPr>
        <w:t>原文：</w:t>
      </w:r>
      <w:r>
        <w:rPr>
          <w:rFonts w:ascii="宋体" w:hAnsi="宋体"/>
          <w:color w:val="auto"/>
          <w:sz w:val="24"/>
          <w:szCs w:val="24"/>
          <w:highlight w:val="none"/>
        </w:rPr>
        <w:t xml:space="preserve">29.1 </w:t>
      </w:r>
      <w:r>
        <w:rPr>
          <w:rFonts w:hint="eastAsia" w:ascii="宋体" w:hAnsi="宋体"/>
          <w:color w:val="auto"/>
          <w:sz w:val="24"/>
          <w:szCs w:val="24"/>
          <w:highlight w:val="none"/>
        </w:rPr>
        <w:t>在收到中标通知书后的</w:t>
      </w:r>
      <w:r>
        <w:rPr>
          <w:rFonts w:ascii="宋体" w:hAnsi="宋体"/>
          <w:b/>
          <w:color w:val="auto"/>
          <w:sz w:val="24"/>
          <w:szCs w:val="24"/>
          <w:highlight w:val="none"/>
        </w:rPr>
        <w:t>15</w:t>
      </w:r>
      <w:r>
        <w:rPr>
          <w:rFonts w:hint="eastAsia" w:ascii="宋体" w:hAnsi="宋体"/>
          <w:b/>
          <w:color w:val="auto"/>
          <w:sz w:val="24"/>
          <w:szCs w:val="24"/>
          <w:highlight w:val="none"/>
        </w:rPr>
        <w:t>日</w:t>
      </w:r>
      <w:r>
        <w:rPr>
          <w:rFonts w:hint="eastAsia" w:ascii="宋体" w:hAnsi="宋体"/>
          <w:color w:val="auto"/>
          <w:sz w:val="24"/>
          <w:szCs w:val="24"/>
          <w:highlight w:val="none"/>
        </w:rPr>
        <w:t>内，中标人应按本须知前附表第</w:t>
      </w:r>
      <w:r>
        <w:rPr>
          <w:rFonts w:ascii="宋体" w:hAnsi="宋体"/>
          <w:color w:val="auto"/>
          <w:sz w:val="24"/>
          <w:szCs w:val="24"/>
          <w:highlight w:val="none"/>
        </w:rPr>
        <w:t>2</w:t>
      </w:r>
      <w:r>
        <w:rPr>
          <w:rFonts w:hint="eastAsia" w:ascii="宋体" w:hAnsi="宋体"/>
          <w:color w:val="auto"/>
          <w:sz w:val="24"/>
          <w:szCs w:val="24"/>
          <w:highlight w:val="none"/>
        </w:rPr>
        <w:t>0项的规定向招标人提交履约担保。</w:t>
      </w:r>
    </w:p>
    <w:p>
      <w:pPr>
        <w:adjustRightInd w:val="0"/>
        <w:spacing w:line="360" w:lineRule="auto"/>
        <w:ind w:firstLine="537" w:firstLineChars="224"/>
        <w:textAlignment w:val="baseline"/>
        <w:rPr>
          <w:rFonts w:hint="eastAsia" w:ascii="宋体" w:hAnsi="宋体" w:cs="宋体"/>
          <w:b/>
          <w:color w:val="auto"/>
          <w:sz w:val="24"/>
          <w:szCs w:val="24"/>
          <w:highlight w:val="none"/>
        </w:rPr>
      </w:pPr>
      <w:r>
        <w:rPr>
          <w:rFonts w:ascii="宋体" w:hAnsi="宋体"/>
          <w:color w:val="auto"/>
          <w:sz w:val="24"/>
          <w:szCs w:val="24"/>
          <w:highlight w:val="none"/>
        </w:rPr>
        <w:t>29.2</w:t>
      </w:r>
      <w:r>
        <w:rPr>
          <w:rFonts w:hint="eastAsia" w:ascii="宋体" w:hAnsi="宋体"/>
          <w:color w:val="auto"/>
          <w:sz w:val="24"/>
          <w:szCs w:val="24"/>
          <w:highlight w:val="none"/>
        </w:rPr>
        <w:t>中标通知书发出之日起</w:t>
      </w:r>
      <w:r>
        <w:rPr>
          <w:rFonts w:ascii="宋体" w:hAnsi="宋体"/>
          <w:color w:val="auto"/>
          <w:sz w:val="24"/>
          <w:szCs w:val="24"/>
          <w:highlight w:val="none"/>
        </w:rPr>
        <w:t>15</w:t>
      </w:r>
      <w:r>
        <w:rPr>
          <w:rFonts w:hint="eastAsia" w:ascii="宋体" w:hAnsi="宋体"/>
          <w:color w:val="auto"/>
          <w:sz w:val="24"/>
          <w:szCs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napToGrid w:val="0"/>
        <w:spacing w:line="360" w:lineRule="auto"/>
        <w:ind w:firstLine="482" w:firstLineChars="20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u w:val="single"/>
        </w:rPr>
        <w:t>29.1中标（承包）单位在收到中标通知书之日起，中标人应以中标人名义按本须知前附表第20项的规定向招标人提交履约担保。中标人如采用银行履约保函方式提交的，中标人应以中标人名义用银行履约保函方式提交经业主认可的见索即付银行保函作为履约保证金，履约保证金为中标价的10%，银行履约保函由中国境内注册的国有商业银行开具保函，是不可撤销的保函。若在中标通知书发放后，中标人未提交履约保函或未征得招标人同意延期缴交的，招标人有权取消其中标资格并没收其投标保证金，并选取第二中标候选人替补。上述履约保函作为本合同的组成文件之一。</w:t>
      </w:r>
    </w:p>
    <w:p>
      <w:pPr>
        <w:pBdr>
          <w:bottom w:val="single" w:color="auto" w:sz="6" w:space="1"/>
        </w:pBdr>
        <w:adjustRightInd w:val="0"/>
        <w:spacing w:line="360" w:lineRule="auto"/>
        <w:ind w:firstLine="600" w:firstLineChars="250"/>
        <w:textAlignment w:val="baseline"/>
        <w:rPr>
          <w:rFonts w:hint="eastAsia" w:ascii="宋体" w:hAnsi="宋体" w:cs="宋体"/>
          <w:b/>
          <w:color w:val="auto"/>
          <w:sz w:val="24"/>
          <w:szCs w:val="24"/>
          <w:highlight w:val="none"/>
        </w:rPr>
      </w:pPr>
      <w:r>
        <w:rPr>
          <w:rFonts w:hint="eastAsia" w:ascii="宋体" w:hAnsi="宋体" w:cs="宋体"/>
          <w:color w:val="auto"/>
          <w:sz w:val="24"/>
          <w:szCs w:val="24"/>
          <w:highlight w:val="none"/>
          <w:u w:val="single"/>
        </w:rPr>
        <w:t>29.2中标（承包）单位在收到中标通知书之日起，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条款号：31.1           修改类型：增加</w:t>
      </w:r>
    </w:p>
    <w:p>
      <w:pPr>
        <w:pBdr>
          <w:bottom w:val="single" w:color="auto" w:sz="6" w:space="1"/>
        </w:pBdr>
        <w:adjustRightInd w:val="0"/>
        <w:spacing w:line="360" w:lineRule="auto"/>
        <w:ind w:firstLine="602" w:firstLineChars="25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中标人按《广州市发展改革委转发省发展改革委关于规范公共资源交易服务收费及有关问题的通知》（穗发改〔2017〕811号）文件的规定，向广州公共资源交易中心代缴交易服务费，交易服务费的金额为中标总金额的0.9‰，其费用包含在中标人投标报价中，招标人不另行支付。</w:t>
      </w:r>
    </w:p>
    <w:p>
      <w:pPr>
        <w:adjustRightInd w:val="0"/>
        <w:spacing w:line="360" w:lineRule="auto"/>
        <w:ind w:firstLine="540" w:firstLineChars="224"/>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条款号：34             修改类型：增加</w:t>
      </w:r>
    </w:p>
    <w:p>
      <w:pPr>
        <w:pBdr>
          <w:bottom w:val="single" w:color="auto" w:sz="6" w:space="1"/>
        </w:pBdr>
        <w:adjustRightInd w:val="0"/>
        <w:spacing w:line="360" w:lineRule="auto"/>
        <w:ind w:firstLine="602" w:firstLineChars="250"/>
        <w:textAlignment w:val="baseline"/>
        <w:rPr>
          <w:rFonts w:hint="eastAsia" w:ascii="宋体" w:hAnsi="宋体" w:eastAsia="宋体" w:cs="宋体"/>
          <w:b w:val="0"/>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eastAsia="宋体" w:cs="宋体"/>
          <w:bCs w:val="0"/>
          <w:color w:val="auto"/>
          <w:sz w:val="24"/>
          <w:szCs w:val="24"/>
          <w:highlight w:val="none"/>
          <w:u w:val="single"/>
        </w:rPr>
        <w:t>工人工资：按《广州市住房和城乡建设局、广州市人力资源和社会保障局、广州市交通运输局等关于印发广州市建设领域工人工资支付分账管理实施细则的通知》（穗建规字〔2020〕37号）的规定执行。</w:t>
      </w:r>
    </w:p>
    <w:p>
      <w:pPr>
        <w:spacing w:line="360" w:lineRule="auto"/>
        <w:ind w:firstLine="241" w:firstLineChars="100"/>
        <w:rPr>
          <w:b/>
          <w:color w:val="auto"/>
          <w:sz w:val="24"/>
          <w:szCs w:val="24"/>
          <w:highlight w:val="none"/>
        </w:rPr>
      </w:pPr>
      <w:r>
        <w:rPr>
          <w:rFonts w:hint="eastAsia"/>
          <w:b/>
          <w:color w:val="auto"/>
          <w:sz w:val="24"/>
          <w:szCs w:val="24"/>
          <w:highlight w:val="none"/>
        </w:rPr>
        <w:t>注：以上修改，仅限于本范本中有可供选择条款的情形。</w:t>
      </w:r>
    </w:p>
    <w:p>
      <w:pPr>
        <w:pStyle w:val="262"/>
        <w:spacing w:line="360" w:lineRule="auto"/>
        <w:rPr>
          <w:rFonts w:hint="eastAsia"/>
          <w:color w:val="auto"/>
          <w:sz w:val="24"/>
          <w:highlight w:val="none"/>
        </w:rPr>
      </w:pPr>
    </w:p>
    <w:p>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（以下无正文）</w:t>
      </w:r>
    </w:p>
    <w:p>
      <w:pPr>
        <w:pStyle w:val="4"/>
        <w:rPr>
          <w:rFonts w:hint="eastAsia" w:ascii="宋体" w:hAnsi="宋体" w:cs="宋体"/>
          <w:color w:val="auto"/>
          <w:highlight w:val="none"/>
        </w:rPr>
      </w:pPr>
      <w:r>
        <w:rPr>
          <w:rFonts w:hint="eastAsia" w:ascii="宋体" w:hAnsi="宋体" w:cs="宋体"/>
          <w:color w:val="auto"/>
          <w:highlight w:val="none"/>
        </w:rPr>
        <w:br w:type="page"/>
      </w:r>
      <w:bookmarkStart w:id="15" w:name="_Toc14692"/>
      <w:bookmarkStart w:id="16" w:name="_Toc5077"/>
      <w:bookmarkStart w:id="17" w:name="_Toc7173"/>
      <w:bookmarkStart w:id="18" w:name="_Toc12633"/>
      <w:bookmarkStart w:id="19" w:name="_Toc21428"/>
      <w:r>
        <w:rPr>
          <w:rFonts w:hint="eastAsia" w:ascii="宋体" w:hAnsi="宋体" w:cs="宋体"/>
          <w:color w:val="auto"/>
          <w:highlight w:val="none"/>
        </w:rPr>
        <w:t>三、投标须知通用条款</w:t>
      </w:r>
      <w:bookmarkEnd w:id="15"/>
      <w:bookmarkEnd w:id="16"/>
      <w:bookmarkEnd w:id="17"/>
      <w:bookmarkEnd w:id="18"/>
      <w:bookmarkEnd w:id="19"/>
    </w:p>
    <w:p>
      <w:pPr>
        <w:pStyle w:val="5"/>
        <w:spacing w:before="156" w:after="156"/>
        <w:jc w:val="center"/>
        <w:rPr>
          <w:rFonts w:hint="eastAsia" w:cs="宋体"/>
          <w:color w:val="auto"/>
          <w:highlight w:val="none"/>
        </w:rPr>
      </w:pPr>
      <w:bookmarkStart w:id="20" w:name="_Toc24123"/>
      <w:bookmarkStart w:id="21" w:name="_Toc30757"/>
      <w:bookmarkStart w:id="22" w:name="_Toc20483"/>
      <w:bookmarkStart w:id="23" w:name="_Toc18263"/>
      <w:bookmarkStart w:id="24" w:name="_Toc13279"/>
      <w:r>
        <w:rPr>
          <w:rFonts w:hint="eastAsia" w:cs="宋体"/>
          <w:color w:val="auto"/>
          <w:highlight w:val="none"/>
        </w:rPr>
        <w:t>（一）总则</w:t>
      </w:r>
      <w:bookmarkEnd w:id="20"/>
      <w:bookmarkEnd w:id="21"/>
      <w:bookmarkEnd w:id="22"/>
      <w:bookmarkEnd w:id="23"/>
      <w:bookmarkEnd w:id="24"/>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1、定义</w:t>
      </w:r>
    </w:p>
    <w:p>
      <w:pPr>
        <w:pStyle w:val="50"/>
        <w:spacing w:after="0"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本招标文件使用的下列词语具有如下规定的意义：</w:t>
      </w:r>
    </w:p>
    <w:p>
      <w:pPr>
        <w:pStyle w:val="50"/>
        <w:spacing w:after="0" w:line="360" w:lineRule="auto"/>
        <w:ind w:firstLine="480" w:firstLineChars="200"/>
        <w:rPr>
          <w:rFonts w:hint="eastAsia" w:ascii="宋体" w:hAnsi="宋体" w:cs="宋体"/>
          <w:b/>
          <w:bCs/>
          <w:color w:val="auto"/>
          <w:sz w:val="24"/>
          <w:highlight w:val="none"/>
          <w:u w:val="single"/>
        </w:rPr>
      </w:pPr>
      <w:r>
        <w:rPr>
          <w:rFonts w:hint="eastAsia" w:ascii="宋体" w:hAnsi="宋体" w:cs="宋体"/>
          <w:color w:val="auto"/>
          <w:sz w:val="24"/>
          <w:highlight w:val="none"/>
        </w:rPr>
        <w:t>（1）“招标人”（即发包人）、“项目建设管理单位”（或称“项目代建单位”）、“招标代理”、“设计单位”、“监理单位”均已在投标须知前附表中列明。</w:t>
      </w:r>
    </w:p>
    <w:p>
      <w:pPr>
        <w:pStyle w:val="50"/>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（2）“投标人”指向招标人提交投标文件的当事人。   </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（3）“承包人”指其投标被招标人接受并与其签订承包合同的当事人。</w:t>
      </w:r>
    </w:p>
    <w:p>
      <w:pPr>
        <w:pStyle w:val="50"/>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（4）“招标文件”指由招标代理发出的本文件（包括全部章节、附件）及招标答疑会会议纪要和</w:t>
      </w:r>
      <w:r>
        <w:rPr>
          <w:rFonts w:hint="eastAsia" w:ascii="宋体" w:hAnsi="宋体" w:cs="宋体"/>
          <w:bCs/>
          <w:color w:val="auto"/>
          <w:sz w:val="24"/>
          <w:highlight w:val="none"/>
        </w:rPr>
        <w:t>招标文件的澄清与修改</w:t>
      </w:r>
      <w:r>
        <w:rPr>
          <w:rFonts w:hint="eastAsia" w:ascii="宋体" w:hAnsi="宋体" w:cs="宋体"/>
          <w:color w:val="auto"/>
          <w:sz w:val="24"/>
          <w:highlight w:val="none"/>
        </w:rPr>
        <w:t>文件。</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（5）“投标文件”指投标人根据本项目招标文件向招标人提交的全部文件。</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（6）“书面形式”指打字或印刷的文件和数据电文（包括电报、电传、传真、电子数据交换和电子邮件）。</w:t>
      </w:r>
    </w:p>
    <w:p>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2、招标说明</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2.3设计说明：详见招标图纸。</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2.4工程施工特点：详见招标图纸。</w:t>
      </w:r>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3．资金来源</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3.1本招标工程项目资金来源见投标须知前附表第9项</w:t>
      </w:r>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4．合格投标人的条件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4.1详见本项目招标公告</w:t>
      </w:r>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5．踏勘现场</w:t>
      </w:r>
    </w:p>
    <w:p>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rPr>
        <w:t>5.1 投标人应按本投标须知前附表第15项所述时间和要求对工程现场及周围环境进行踏勘，</w:t>
      </w:r>
      <w:r>
        <w:rPr>
          <w:rFonts w:hint="eastAsia" w:ascii="宋体" w:hAnsi="宋体" w:cs="宋体"/>
          <w:color w:val="auto"/>
          <w:sz w:val="24"/>
          <w:highlight w:val="none"/>
        </w:rPr>
        <w:t>投标人应充分重视和仔细地进行这种考察，</w:t>
      </w:r>
      <w:r>
        <w:rPr>
          <w:rFonts w:hint="eastAsia" w:ascii="宋体" w:hAnsi="宋体" w:cs="宋体"/>
          <w:bCs/>
          <w:color w:val="auto"/>
          <w:sz w:val="24"/>
          <w:highlight w:val="none"/>
        </w:rPr>
        <w:t>以便投标人获取</w:t>
      </w:r>
      <w:r>
        <w:rPr>
          <w:rFonts w:hint="eastAsia" w:ascii="宋体" w:hAnsi="宋体" w:cs="宋体"/>
          <w:color w:val="auto"/>
          <w:sz w:val="24"/>
          <w:highlight w:val="none"/>
        </w:rPr>
        <w:t>那些须投标人自己负责的</w:t>
      </w:r>
      <w:r>
        <w:rPr>
          <w:rFonts w:hint="eastAsia" w:ascii="宋体" w:hAnsi="宋体" w:cs="宋体"/>
          <w:bCs/>
          <w:color w:val="auto"/>
          <w:sz w:val="24"/>
          <w:highlight w:val="none"/>
        </w:rPr>
        <w:t>有关编制投标文件和签署合同所涉及现场所有的资料。</w:t>
      </w:r>
      <w:r>
        <w:rPr>
          <w:rFonts w:hint="eastAsia" w:ascii="宋体" w:hAnsi="宋体" w:cs="宋体"/>
          <w:color w:val="auto"/>
          <w:sz w:val="24"/>
          <w:highlight w:val="none"/>
        </w:rPr>
        <w:t>一旦中标，这种考察即被认为其结果已在中标文件中得到充分反映。</w:t>
      </w:r>
      <w:r>
        <w:rPr>
          <w:rFonts w:hint="eastAsia" w:ascii="宋体" w:hAnsi="宋体" w:cs="宋体"/>
          <w:color w:val="auto"/>
          <w:sz w:val="24"/>
          <w:highlight w:val="none"/>
          <w:u w:val="single"/>
        </w:rPr>
        <w:t>招标人不受理因投标人缺乏对现场条件的了解或掌握而提出的任何索赔。</w:t>
      </w:r>
      <w:r>
        <w:rPr>
          <w:rFonts w:hint="eastAsia" w:ascii="宋体" w:hAnsi="宋体" w:cs="宋体"/>
          <w:color w:val="auto"/>
          <w:sz w:val="24"/>
          <w:highlight w:val="none"/>
        </w:rPr>
        <w:t>考察现场的费用由投标人自己承担。</w:t>
      </w:r>
    </w:p>
    <w:p>
      <w:pPr>
        <w:tabs>
          <w:tab w:val="left" w:pos="10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5.3 经招标人允许，投标人可为踏勘目的进入招标人的项目现场。</w:t>
      </w:r>
      <w:r>
        <w:rPr>
          <w:rFonts w:hint="eastAsia" w:ascii="宋体" w:hAnsi="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4"/>
          <w:highlight w:val="none"/>
        </w:rPr>
        <w:t>投标人不得因此使招标人承担有关的责任和蒙受损失。</w:t>
      </w:r>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6．投标费用</w:t>
      </w:r>
    </w:p>
    <w:p>
      <w:pPr>
        <w:tabs>
          <w:tab w:val="left" w:pos="10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不论投标结果如何，投标人应承担</w:t>
      </w:r>
      <w:r>
        <w:rPr>
          <w:rFonts w:hint="eastAsia" w:ascii="宋体" w:hAnsi="宋体" w:cs="宋体"/>
          <w:bCs/>
          <w:color w:val="auto"/>
          <w:sz w:val="24"/>
          <w:highlight w:val="none"/>
        </w:rPr>
        <w:t>自身</w:t>
      </w:r>
      <w:r>
        <w:rPr>
          <w:rFonts w:hint="eastAsia" w:ascii="宋体" w:hAnsi="宋体" w:cs="宋体"/>
          <w:color w:val="auto"/>
          <w:sz w:val="24"/>
          <w:highlight w:val="none"/>
        </w:rPr>
        <w:t>因投标文件编制、递交及其他</w:t>
      </w:r>
      <w:r>
        <w:rPr>
          <w:rFonts w:hint="eastAsia" w:ascii="宋体" w:hAnsi="宋体" w:cs="宋体"/>
          <w:bCs/>
          <w:color w:val="auto"/>
          <w:sz w:val="24"/>
          <w:highlight w:val="none"/>
        </w:rPr>
        <w:t>参加本招标活动</w:t>
      </w:r>
      <w:r>
        <w:rPr>
          <w:rFonts w:hint="eastAsia" w:ascii="宋体" w:hAnsi="宋体" w:cs="宋体"/>
          <w:color w:val="auto"/>
          <w:sz w:val="24"/>
          <w:highlight w:val="none"/>
        </w:rPr>
        <w:t>所涉及的一切费用，招标人对上述费用不负任何责任。</w:t>
      </w:r>
    </w:p>
    <w:p>
      <w:pPr>
        <w:pStyle w:val="5"/>
        <w:spacing w:before="156" w:after="156"/>
        <w:jc w:val="center"/>
        <w:rPr>
          <w:rFonts w:hint="eastAsia" w:cs="宋体"/>
          <w:color w:val="auto"/>
          <w:highlight w:val="none"/>
        </w:rPr>
      </w:pPr>
      <w:bookmarkStart w:id="25" w:name="_Toc1750"/>
      <w:bookmarkStart w:id="26" w:name="_Toc10748"/>
      <w:bookmarkStart w:id="27" w:name="_Toc8745"/>
      <w:bookmarkStart w:id="28" w:name="_Toc26888"/>
      <w:bookmarkStart w:id="29" w:name="_Toc28367"/>
      <w:r>
        <w:rPr>
          <w:rFonts w:hint="eastAsia" w:cs="宋体"/>
          <w:color w:val="auto"/>
          <w:highlight w:val="none"/>
        </w:rPr>
        <w:t>（二）招标文件</w:t>
      </w:r>
      <w:bookmarkEnd w:id="25"/>
      <w:bookmarkEnd w:id="26"/>
      <w:bookmarkEnd w:id="27"/>
      <w:bookmarkEnd w:id="28"/>
      <w:bookmarkEnd w:id="29"/>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7.招标文件的组成</w:t>
      </w:r>
    </w:p>
    <w:p>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7.1</w:t>
      </w:r>
      <w:r>
        <w:rPr>
          <w:rFonts w:hint="eastAsia" w:ascii="宋体" w:hAnsi="宋体" w:cs="宋体"/>
          <w:color w:val="auto"/>
          <w:sz w:val="24"/>
          <w:highlight w:val="none"/>
        </w:rPr>
        <w:t>本招标文件包括下列文件，以及所有按本须知第8条发出的招标答疑会会议纪要和按本须知第9条发出的澄清或修改：</w:t>
      </w:r>
    </w:p>
    <w:p>
      <w:pPr>
        <w:pStyle w:val="50"/>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第一章  </w:t>
      </w:r>
      <w:r>
        <w:rPr>
          <w:rFonts w:hint="eastAsia" w:ascii="宋体" w:hAnsi="宋体" w:cs="宋体"/>
          <w:color w:val="auto"/>
          <w:sz w:val="24"/>
          <w:highlight w:val="none"/>
        </w:rPr>
        <w:t>投标须知</w:t>
      </w:r>
    </w:p>
    <w:p>
      <w:pPr>
        <w:pStyle w:val="50"/>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第二章  </w:t>
      </w:r>
      <w:r>
        <w:rPr>
          <w:rFonts w:hint="eastAsia" w:ascii="宋体" w:hAnsi="宋体" w:cs="宋体"/>
          <w:color w:val="auto"/>
          <w:sz w:val="24"/>
          <w:highlight w:val="none"/>
        </w:rPr>
        <w:t>开标、评标及定标办法</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第三章  合同条款</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第四章  </w:t>
      </w:r>
      <w:r>
        <w:rPr>
          <w:rFonts w:hint="eastAsia" w:ascii="宋体" w:hAnsi="宋体" w:cs="宋体"/>
          <w:color w:val="auto"/>
          <w:sz w:val="24"/>
          <w:highlight w:val="none"/>
        </w:rPr>
        <w:t>投标文件格式</w:t>
      </w:r>
    </w:p>
    <w:p>
      <w:pPr>
        <w:pStyle w:val="50"/>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第五章  </w:t>
      </w:r>
      <w:r>
        <w:rPr>
          <w:rFonts w:hint="eastAsia" w:ascii="宋体" w:hAnsi="宋体" w:cs="宋体"/>
          <w:color w:val="auto"/>
          <w:sz w:val="24"/>
          <w:highlight w:val="none"/>
        </w:rPr>
        <w:t>技术条件（工程建设标准）（按国家省市现行相关规定执行）</w:t>
      </w:r>
    </w:p>
    <w:p>
      <w:pPr>
        <w:pStyle w:val="50"/>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第六章  </w:t>
      </w:r>
      <w:r>
        <w:rPr>
          <w:rFonts w:hint="eastAsia" w:ascii="宋体" w:hAnsi="宋体" w:cs="宋体"/>
          <w:color w:val="auto"/>
          <w:sz w:val="24"/>
          <w:highlight w:val="none"/>
        </w:rPr>
        <w:t>图纸及勘察资料（另册）</w:t>
      </w:r>
    </w:p>
    <w:p>
      <w:pPr>
        <w:pStyle w:val="50"/>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第七章  招标</w:t>
      </w:r>
      <w:r>
        <w:rPr>
          <w:rFonts w:hint="eastAsia" w:ascii="宋体" w:hAnsi="宋体" w:cs="宋体"/>
          <w:color w:val="auto"/>
          <w:sz w:val="24"/>
          <w:highlight w:val="none"/>
        </w:rPr>
        <w:t>工程量清单（另册）</w:t>
      </w:r>
    </w:p>
    <w:p>
      <w:pPr>
        <w:pStyle w:val="50"/>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第八章  最高投标限价</w:t>
      </w:r>
    </w:p>
    <w:p>
      <w:pPr>
        <w:pStyle w:val="50"/>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注：招标人应在技术条件（工程建设标准）中明确施工现场建筑垃圾源头减量的具体要求和建筑垃圾综合利用产品的使用要求。</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7.3 投标人一旦中标，招标文件的内容对招标人和中标人双方均有约束力。</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8．招标答疑</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 投标人若对招标文件</w:t>
      </w:r>
      <w:r>
        <w:rPr>
          <w:rFonts w:hint="eastAsia" w:ascii="宋体" w:hAnsi="宋体"/>
          <w:color w:val="auto"/>
          <w:sz w:val="24"/>
          <w:highlight w:val="none"/>
        </w:rPr>
        <w:t>（包括</w:t>
      </w:r>
      <w:r>
        <w:rPr>
          <w:rFonts w:hint="eastAsia" w:ascii="宋体" w:hAnsi="宋体"/>
          <w:color w:val="auto"/>
          <w:sz w:val="24"/>
          <w:highlight w:val="none"/>
          <w:u w:val="single"/>
        </w:rPr>
        <w:t>招标图纸、清单、招标控制价、合同条款等</w:t>
      </w:r>
      <w:r>
        <w:rPr>
          <w:rFonts w:hint="eastAsia" w:ascii="宋体" w:hAnsi="宋体"/>
          <w:color w:val="auto"/>
          <w:sz w:val="24"/>
          <w:highlight w:val="none"/>
        </w:rPr>
        <w:t>）</w:t>
      </w:r>
      <w:r>
        <w:rPr>
          <w:rFonts w:hint="eastAsia" w:ascii="宋体" w:hAnsi="宋体" w:cs="宋体"/>
          <w:color w:val="auto"/>
          <w:sz w:val="24"/>
          <w:highlight w:val="none"/>
        </w:rPr>
        <w:t>中有疑问，可以书面形式通过</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rPr>
        <w:t>交易平台提交给招标人或招标代理人，提交形式见本须知前附表第16项。</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8.2招标答疑会会议纪要将在提交投标文件截止时间15日前在</w:t>
      </w:r>
      <w:r>
        <w:rPr>
          <w:rFonts w:hint="eastAsia" w:ascii="宋体" w:hAnsi="宋体" w:cs="宋体"/>
          <w:color w:val="auto"/>
          <w:sz w:val="24"/>
          <w:highlight w:val="none"/>
          <w:u w:val="single"/>
        </w:rPr>
        <w:t>广州公共资源交易中心交易平台（网址：http://www.gzggzy.cn）“首页/交易业务/建设工程/项目查询（日程安排、答疑纪要）</w:t>
      </w:r>
      <w:r>
        <w:rPr>
          <w:rFonts w:hint="eastAsia" w:ascii="宋体" w:hAnsi="宋体" w:cs="宋体"/>
          <w:color w:val="auto"/>
          <w:sz w:val="24"/>
          <w:highlight w:val="none"/>
        </w:rPr>
        <w:t>”公开发布。答疑纪要一经在</w:t>
      </w:r>
      <w:r>
        <w:rPr>
          <w:rFonts w:hint="eastAsia" w:ascii="宋体" w:hAnsi="宋体" w:cs="宋体"/>
          <w:color w:val="auto"/>
          <w:sz w:val="24"/>
          <w:highlight w:val="none"/>
          <w:u w:val="single"/>
        </w:rPr>
        <w:t>广州公共资源交易中心交易平台（网址：http://www.gzggzy.cn）</w:t>
      </w:r>
      <w:r>
        <w:rPr>
          <w:rFonts w:hint="eastAsia" w:ascii="宋体" w:hAnsi="宋体" w:cs="宋体"/>
          <w:color w:val="auto"/>
          <w:sz w:val="24"/>
          <w:highlight w:val="none"/>
        </w:rPr>
        <w:t>发布，视作已发放给所有投标人。</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8.3答疑会会议纪要为招标文件的一部分。</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8.4若招标答疑会会议纪要与招标文件有矛盾，以答疑会议纪要最后发出的书面形式的文件为准。</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9.招标文件的澄清与修改</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9.1招标文件发出后,在提交投标文件截止时间15日前，招标人可对招标文件进行必要的澄清或修改。</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9.2招标文件的澄清或修改将在</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首页/交易业务/建设工程/项目查询（日程安排、答疑纪要）</w:t>
      </w:r>
      <w:r>
        <w:rPr>
          <w:rFonts w:hint="eastAsia" w:ascii="宋体" w:hAnsi="宋体" w:cs="宋体"/>
          <w:color w:val="auto"/>
          <w:sz w:val="24"/>
          <w:highlight w:val="none"/>
        </w:rPr>
        <w:t>”公开发布。答疑纪要一经在</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发布，视作已发放给所有投标人，以</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上网发布时间作为送达时间。</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9.3招标文件的修改内容为招标文件的组成部分。</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9.4招标文件的澄清或修改均以书面形式明确的内容为准。当招标文件的澄清、修改、补充等在同一内容的表述不一致时，以最后发出的书面形式的文件为准。</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5"/>
        <w:spacing w:before="156" w:after="156"/>
        <w:jc w:val="center"/>
        <w:rPr>
          <w:rFonts w:hint="eastAsia" w:cs="宋体"/>
          <w:color w:val="auto"/>
          <w:highlight w:val="none"/>
        </w:rPr>
      </w:pPr>
      <w:bookmarkStart w:id="30" w:name="_Toc9553"/>
      <w:bookmarkStart w:id="31" w:name="_Toc21075"/>
      <w:bookmarkStart w:id="32" w:name="_Toc23617"/>
      <w:bookmarkStart w:id="33" w:name="_Toc12013"/>
      <w:bookmarkStart w:id="34" w:name="_Toc3618"/>
      <w:r>
        <w:rPr>
          <w:rFonts w:hint="eastAsia" w:cs="宋体"/>
          <w:color w:val="auto"/>
          <w:highlight w:val="none"/>
        </w:rPr>
        <w:t>（三）投标文件的编制</w:t>
      </w:r>
      <w:bookmarkEnd w:id="30"/>
      <w:bookmarkEnd w:id="31"/>
      <w:bookmarkEnd w:id="32"/>
      <w:bookmarkEnd w:id="33"/>
      <w:bookmarkEnd w:id="34"/>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10．投标文件的语言及度量衡单位</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 投标文件和与投标有关的所有文件均应使用中文。</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 除工程规范另有规定外，投标文件使用的度量衡单位，均采用中华人民共和国法定计量单位。</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11．投标文件的组成</w:t>
      </w:r>
    </w:p>
    <w:p>
      <w:pPr>
        <w:pStyle w:val="50"/>
        <w:spacing w:after="0"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11.1 投标文件由技术部分（含资格审查文件）和经济部分二部分投标文件组成</w:t>
      </w:r>
      <w:r>
        <w:rPr>
          <w:rFonts w:hint="eastAsia" w:ascii="宋体" w:hAnsi="宋体" w:cs="宋体"/>
          <w:b/>
          <w:color w:val="auto"/>
          <w:sz w:val="24"/>
          <w:highlight w:val="none"/>
        </w:rPr>
        <w:t>。</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11.2投标文件技术标部分主要包括下列内容:</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11.2.1 技术投标文件</w:t>
      </w:r>
      <w:r>
        <w:rPr>
          <w:rFonts w:hint="eastAsia" w:ascii="宋体" w:hAnsi="宋体" w:cs="宋体"/>
          <w:color w:val="auto"/>
          <w:sz w:val="24"/>
          <w:highlight w:val="none"/>
        </w:rPr>
        <w:t>(</w:t>
      </w:r>
      <w:r>
        <w:rPr>
          <w:rFonts w:hint="eastAsia" w:ascii="宋体" w:hAnsi="宋体" w:cs="宋体"/>
          <w:color w:val="auto"/>
          <w:sz w:val="24"/>
          <w:highlight w:val="none"/>
          <w:u w:val="single"/>
        </w:rPr>
        <w:t>含封面及目录</w:t>
      </w:r>
      <w:r>
        <w:rPr>
          <w:rFonts w:hint="eastAsia" w:ascii="宋体" w:hAnsi="宋体" w:cs="宋体"/>
          <w:color w:val="auto"/>
          <w:sz w:val="24"/>
          <w:highlight w:val="none"/>
        </w:rPr>
        <w:t>)</w:t>
      </w:r>
      <w:r>
        <w:rPr>
          <w:rFonts w:hint="eastAsia" w:ascii="宋体" w:hAnsi="宋体" w:cs="宋体"/>
          <w:bCs/>
          <w:color w:val="auto"/>
          <w:sz w:val="24"/>
          <w:highlight w:val="none"/>
        </w:rPr>
        <w:t>；</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11.2.2 资格审查文件：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 xml:space="preserve">（1）投标人声明（按招标公告的要求填写）； </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（2）法定代表人证明书、法定代表人签字或盖章的本投标文件授权委托证明书；</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（3）企业营业执照（取自平台内上传件）；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（4）企业资质证书（取自平台内上传件）；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（5）建筑施工企业安全生产许可证（取自平台内上传件）；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（6）项目负责人（按网上投标登记时选择拟投标的项目负责人）；</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（7）专职安全员（按网上投标登记时选择拟投标的专职安全员）；</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（8）拟委</w:t>
      </w:r>
      <w:r>
        <w:rPr>
          <w:rFonts w:hint="eastAsia" w:ascii="宋体" w:hAnsi="宋体" w:cs="宋体"/>
          <w:bCs/>
          <w:color w:val="auto"/>
          <w:sz w:val="24"/>
          <w:szCs w:val="24"/>
          <w:highlight w:val="none"/>
          <w:u w:val="single"/>
          <w:lang w:val="en-US" w:eastAsia="zh-CN"/>
        </w:rPr>
        <w:t>派</w:t>
      </w:r>
      <w:r>
        <w:rPr>
          <w:rFonts w:hint="eastAsia" w:ascii="宋体" w:hAnsi="宋体" w:cs="宋体"/>
          <w:bCs/>
          <w:color w:val="auto"/>
          <w:sz w:val="24"/>
          <w:szCs w:val="24"/>
          <w:highlight w:val="none"/>
          <w:u w:val="single"/>
        </w:rPr>
        <w:t>技术负责人的相关证书（取自平台内上传件）；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（9）</w:t>
      </w:r>
      <w:r>
        <w:rPr>
          <w:rFonts w:hint="eastAsia" w:ascii="宋体" w:hAnsi="宋体" w:eastAsia="宋体" w:cs="宋体"/>
          <w:bCs/>
          <w:color w:val="auto"/>
          <w:sz w:val="24"/>
          <w:highlight w:val="none"/>
          <w:u w:val="single"/>
        </w:rPr>
        <w:t>拟委派项目负责人的建造师</w:t>
      </w:r>
      <w:r>
        <w:rPr>
          <w:rFonts w:hint="eastAsia" w:ascii="宋体" w:hAnsi="宋体" w:eastAsia="宋体" w:cs="宋体"/>
          <w:bCs/>
          <w:color w:val="auto"/>
          <w:sz w:val="24"/>
          <w:highlight w:val="none"/>
          <w:u w:val="single"/>
          <w:lang w:val="en-US" w:eastAsia="zh-CN"/>
        </w:rPr>
        <w:t>注册</w:t>
      </w:r>
      <w:r>
        <w:rPr>
          <w:rFonts w:hint="eastAsia" w:ascii="宋体" w:hAnsi="宋体" w:eastAsia="宋体" w:cs="宋体"/>
          <w:bCs/>
          <w:color w:val="auto"/>
          <w:sz w:val="24"/>
          <w:highlight w:val="none"/>
          <w:u w:val="single"/>
        </w:rPr>
        <w:t>证书</w:t>
      </w:r>
      <w:r>
        <w:rPr>
          <w:rFonts w:hint="eastAsia" w:ascii="宋体" w:hAnsi="宋体" w:cs="宋体"/>
          <w:bCs/>
          <w:color w:val="auto"/>
          <w:sz w:val="24"/>
          <w:szCs w:val="24"/>
          <w:highlight w:val="none"/>
          <w:u w:val="single"/>
        </w:rPr>
        <w:t>（取自平台内上传件）；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（10）</w:t>
      </w:r>
      <w:r>
        <w:rPr>
          <w:rFonts w:hint="eastAsia" w:ascii="宋体" w:hAnsi="宋体" w:eastAsia="宋体" w:cs="宋体"/>
          <w:bCs/>
          <w:color w:val="auto"/>
          <w:sz w:val="24"/>
          <w:szCs w:val="24"/>
          <w:highlight w:val="none"/>
          <w:u w:val="single"/>
        </w:rPr>
        <w:t>项目负责人安全</w:t>
      </w:r>
      <w:r>
        <w:rPr>
          <w:rFonts w:hint="eastAsia" w:ascii="宋体" w:hAnsi="宋体" w:eastAsia="宋体" w:cs="宋体"/>
          <w:bCs/>
          <w:color w:val="auto"/>
          <w:sz w:val="24"/>
          <w:szCs w:val="24"/>
          <w:highlight w:val="none"/>
          <w:u w:val="single"/>
          <w:lang w:val="en-US" w:eastAsia="zh-CN"/>
        </w:rPr>
        <w:t>生产</w:t>
      </w:r>
      <w:r>
        <w:rPr>
          <w:rFonts w:hint="eastAsia" w:ascii="宋体" w:hAnsi="宋体" w:eastAsia="宋体" w:cs="宋体"/>
          <w:bCs/>
          <w:color w:val="auto"/>
          <w:sz w:val="24"/>
          <w:szCs w:val="24"/>
          <w:highlight w:val="none"/>
          <w:u w:val="single"/>
        </w:rPr>
        <w:t>考核合格证书（B类）或建筑施工企业项目负责人安全生产考核合格证书（</w:t>
      </w:r>
      <w:r>
        <w:rPr>
          <w:rFonts w:hint="eastAsia" w:ascii="宋体" w:hAnsi="宋体" w:cs="宋体"/>
          <w:bCs/>
          <w:color w:val="auto"/>
          <w:sz w:val="24"/>
          <w:szCs w:val="24"/>
          <w:highlight w:val="none"/>
          <w:u w:val="single"/>
        </w:rPr>
        <w:t>取自平台内上传件</w:t>
      </w:r>
      <w:r>
        <w:rPr>
          <w:rFonts w:hint="eastAsia" w:ascii="宋体" w:hAnsi="宋体" w:eastAsia="宋体" w:cs="宋体"/>
          <w:bCs/>
          <w:color w:val="auto"/>
          <w:sz w:val="24"/>
          <w:szCs w:val="24"/>
          <w:highlight w:val="none"/>
          <w:u w:val="single"/>
        </w:rPr>
        <w:t>）</w:t>
      </w:r>
      <w:r>
        <w:rPr>
          <w:rFonts w:hint="eastAsia" w:ascii="宋体" w:hAnsi="宋体" w:cs="宋体"/>
          <w:bCs/>
          <w:color w:val="auto"/>
          <w:sz w:val="24"/>
          <w:szCs w:val="24"/>
          <w:highlight w:val="none"/>
          <w:u w:val="single"/>
        </w:rPr>
        <w:t>；</w:t>
      </w:r>
    </w:p>
    <w:p>
      <w:pPr>
        <w:spacing w:line="360" w:lineRule="auto"/>
        <w:ind w:firstLine="480" w:firstLineChars="200"/>
        <w:rPr>
          <w:rFonts w:hint="eastAsia" w:ascii="宋体" w:hAnsi="宋体" w:cs="宋体"/>
          <w:strike/>
          <w:color w:val="auto"/>
          <w:sz w:val="24"/>
          <w:szCs w:val="24"/>
          <w:highlight w:val="none"/>
          <w:u w:val="single"/>
        </w:rPr>
      </w:pPr>
      <w:r>
        <w:rPr>
          <w:rFonts w:hint="eastAsia" w:ascii="宋体" w:hAnsi="宋体" w:cs="宋体"/>
          <w:bCs/>
          <w:color w:val="auto"/>
          <w:sz w:val="24"/>
          <w:szCs w:val="24"/>
          <w:highlight w:val="none"/>
          <w:u w:val="single"/>
        </w:rPr>
        <w:t>（11）专职安全员须具有在有效期内的安全考核合格证书（C类）或建筑施工企业专职安全生产管理人员安全生产考核合格证书（C3</w:t>
      </w:r>
      <w:r>
        <w:rPr>
          <w:rFonts w:hint="eastAsia" w:ascii="宋体" w:hAnsi="宋体" w:cs="宋体"/>
          <w:bCs/>
          <w:color w:val="auto"/>
          <w:sz w:val="24"/>
          <w:szCs w:val="24"/>
          <w:highlight w:val="none"/>
          <w:u w:val="single"/>
          <w:lang w:val="en-US" w:eastAsia="zh-CN"/>
        </w:rPr>
        <w:t>类</w:t>
      </w:r>
      <w:r>
        <w:rPr>
          <w:rFonts w:hint="eastAsia" w:ascii="宋体" w:hAnsi="宋体" w:cs="宋体"/>
          <w:bCs/>
          <w:color w:val="auto"/>
          <w:sz w:val="24"/>
          <w:szCs w:val="24"/>
          <w:highlight w:val="none"/>
          <w:u w:val="single"/>
        </w:rPr>
        <w:t>）（取自平台内上传件），</w:t>
      </w:r>
      <w:r>
        <w:rPr>
          <w:rFonts w:hint="eastAsia" w:ascii="宋体" w:hAnsi="宋体" w:cs="宋体"/>
          <w:b/>
          <w:bCs w:val="0"/>
          <w:color w:val="auto"/>
          <w:sz w:val="24"/>
          <w:szCs w:val="24"/>
          <w:highlight w:val="none"/>
          <w:u w:val="single"/>
        </w:rPr>
        <w:t>项目负责人和专职安全员不为同一人</w:t>
      </w:r>
      <w:r>
        <w:rPr>
          <w:rFonts w:hint="eastAsia" w:ascii="宋体" w:hAnsi="宋体" w:cs="宋体"/>
          <w:bCs/>
          <w:color w:val="auto"/>
          <w:sz w:val="24"/>
          <w:szCs w:val="24"/>
          <w:highlight w:val="none"/>
          <w:u w:val="single"/>
        </w:rPr>
        <w:t>；</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bCs/>
          <w:strike/>
          <w:color w:val="auto"/>
          <w:sz w:val="24"/>
          <w:szCs w:val="24"/>
          <w:highlight w:val="none"/>
          <w:u w:val="single"/>
        </w:rPr>
        <w:t>（12）用于资格审查的业绩（投标人须提供广州市住房和城乡建设局企业诚信档案信息库中已有业绩编号和业绩名称的网页信息打印页）；</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u w:val="single"/>
        </w:rPr>
        <w:t>（13）</w:t>
      </w:r>
      <w:r>
        <w:rPr>
          <w:rFonts w:hint="eastAsia" w:ascii="宋体" w:hAnsi="宋体" w:cs="宋体"/>
          <w:color w:val="auto"/>
          <w:sz w:val="24"/>
          <w:highlight w:val="none"/>
          <w:u w:val="single"/>
          <w:lang w:eastAsia="zh-CN"/>
        </w:rPr>
        <w:t>资格审查前，投标人须在广州市住房和城乡建设局建立企业信用档案及拟担任本工程项目负责人、专职安全员须是本企业中的在册人员</w:t>
      </w:r>
      <w:r>
        <w:rPr>
          <w:rFonts w:hint="eastAsia" w:ascii="宋体" w:hAnsi="宋体" w:cs="宋体"/>
          <w:color w:val="auto"/>
          <w:sz w:val="24"/>
          <w:highlight w:val="none"/>
          <w:u w:val="single"/>
        </w:rPr>
        <w:t>。</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strike/>
          <w:color w:val="auto"/>
          <w:sz w:val="24"/>
          <w:highlight w:val="none"/>
          <w:u w:val="single"/>
        </w:rPr>
        <w:t>（14）列明主办单位的联合体工作协议（采用联合体投标时需递交，投标人拟任本工程项目负责人应为联合体主办方信用档案中的在册人员，联合体工作协议应明确约定各方拟承担的工作和责任）；</w:t>
      </w:r>
    </w:p>
    <w:p>
      <w:pPr>
        <w:pStyle w:val="262"/>
        <w:rPr>
          <w:rFonts w:hint="eastAsia"/>
          <w:color w:val="auto"/>
          <w:highlight w:val="none"/>
        </w:rPr>
      </w:pPr>
      <w:r>
        <w:rPr>
          <w:rFonts w:hint="eastAsia" w:ascii="宋体" w:hAnsi="宋体" w:cs="宋体"/>
          <w:bCs/>
          <w:color w:val="auto"/>
          <w:sz w:val="24"/>
          <w:highlight w:val="none"/>
          <w:u w:val="single"/>
        </w:rPr>
        <w:t>（1</w:t>
      </w:r>
      <w:r>
        <w:rPr>
          <w:rFonts w:hint="eastAsia" w:ascii="宋体" w:hAnsi="宋体" w:cs="宋体"/>
          <w:bCs/>
          <w:color w:val="auto"/>
          <w:sz w:val="24"/>
          <w:highlight w:val="none"/>
          <w:u w:val="single"/>
          <w:lang w:val="en-US" w:eastAsia="zh-CN"/>
        </w:rPr>
        <w:t>5</w:t>
      </w:r>
      <w:r>
        <w:rPr>
          <w:rFonts w:hint="eastAsia" w:ascii="宋体" w:hAnsi="宋体" w:cs="宋体"/>
          <w:bCs/>
          <w:color w:val="auto"/>
          <w:sz w:val="24"/>
          <w:highlight w:val="none"/>
          <w:u w:val="single"/>
        </w:rPr>
        <w:t>）其他满足资格审查合格条件的证明材料。</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11.2.3项目管理机构配备。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（1）投标人应列出该项目工程的施工组织机构构成和画出机构框架图及其负责人；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（3）项目管理机构配备：《施工项目管理团队人员信息表》（格式见第四章），参考《技术标详细审查评分表》要求提交。</w:t>
      </w:r>
    </w:p>
    <w:p>
      <w:pPr>
        <w:pStyle w:val="262"/>
        <w:ind w:firstLine="480"/>
        <w:rPr>
          <w:color w:val="auto"/>
          <w:highlight w:val="none"/>
        </w:rPr>
      </w:pPr>
      <w:r>
        <w:rPr>
          <w:rFonts w:hint="eastAsia" w:ascii="宋体" w:hAnsi="宋体" w:cs="宋体"/>
          <w:color w:val="auto"/>
          <w:sz w:val="24"/>
          <w:highlight w:val="none"/>
        </w:rPr>
        <w:t>11.2.4</w:t>
      </w:r>
      <w:r>
        <w:rPr>
          <w:rFonts w:hint="eastAsia" w:ascii="宋体" w:hAnsi="宋体" w:cs="宋体"/>
          <w:color w:val="auto"/>
          <w:sz w:val="24"/>
          <w:highlight w:val="none"/>
          <w:u w:val="single"/>
        </w:rPr>
        <w:t>得分证明材料：参考《技术标详细审查评分表》要求提交）。</w:t>
      </w:r>
    </w:p>
    <w:p>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填写的《参与编制技术标投标文件人员名单》。</w:t>
      </w:r>
    </w:p>
    <w:p>
      <w:pPr>
        <w:tabs>
          <w:tab w:val="left" w:pos="1125"/>
        </w:tabs>
        <w:spacing w:line="360" w:lineRule="auto"/>
        <w:ind w:firstLine="480" w:firstLineChars="200"/>
        <w:rPr>
          <w:rFonts w:hint="eastAsia"/>
          <w:color w:val="auto"/>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《工程质量终身责任承诺书》（格式见第四章）。</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11.3 经济部分投标文件主要包括下列内容：</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（1）经济标投标文件封面；</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（2）目录 ；</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（3）《广州建设工程施工招标投标书》；</w:t>
      </w:r>
    </w:p>
    <w:p>
      <w:pPr>
        <w:pStyle w:val="262"/>
        <w:rPr>
          <w:rFonts w:hint="eastAsia"/>
          <w:color w:val="auto"/>
          <w:highlight w:val="none"/>
        </w:rPr>
      </w:pPr>
      <w:r>
        <w:rPr>
          <w:rFonts w:hint="eastAsia" w:ascii="宋体" w:hAnsi="宋体" w:cs="宋体"/>
          <w:color w:val="auto"/>
          <w:sz w:val="24"/>
          <w:highlight w:val="none"/>
          <w:u w:val="single"/>
        </w:rPr>
        <w:t>（4）《对投标文件编制的承诺》、《投标文件编制情况》。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具体内容详见第七章工程量清单）</w:t>
      </w:r>
    </w:p>
    <w:p>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11.3.3按照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填写的《广州建设工程施工招标投标书》《参与编制经济标投标文件人员名单》、《对投标文件编制的承诺》及《投标文件编制情况》。</w:t>
      </w:r>
    </w:p>
    <w:p>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12．投标文件格式</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投标文件包括本须知第11条中规定的内容，投标人提交的投标文件应当使用招标文件所提供的投标文件全部格式（表格可以按同样格式扩展）。</w:t>
      </w:r>
    </w:p>
    <w:p>
      <w:pPr>
        <w:pStyle w:val="5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12.2 投标文件全部采用电子文档，投标文件所附证书证件均为原件扫描件，并采用单位数字证书，按招标文件要求在相应位置加盖电子印章。</w:t>
      </w:r>
      <w:r>
        <w:rPr>
          <w:rFonts w:hint="eastAsia" w:ascii="宋体" w:hAnsi="宋体" w:cs="宋体"/>
          <w:color w:val="auto"/>
          <w:sz w:val="24"/>
          <w:highlight w:val="none"/>
          <w:u w:val="single"/>
        </w:rPr>
        <w:t>投标文件中需个人签字或盖章的，</w:t>
      </w:r>
      <w:r>
        <w:rPr>
          <w:rFonts w:hint="eastAsia" w:ascii="宋体" w:hAnsi="宋体" w:eastAsia="宋体" w:cs="宋体"/>
          <w:color w:val="auto"/>
          <w:sz w:val="24"/>
          <w:highlight w:val="none"/>
          <w:u w:val="single"/>
        </w:rPr>
        <w:t>应加盖个人电子印章或在线下完成后扫描上传</w:t>
      </w:r>
      <w:r>
        <w:rPr>
          <w:rFonts w:hint="eastAsia" w:ascii="宋体" w:hAnsi="宋体" w:cs="宋体"/>
          <w:color w:val="auto"/>
          <w:sz w:val="24"/>
          <w:highlight w:val="none"/>
        </w:rPr>
        <w:t>。按照交易平台关于全流程电子化项目的相关指南进行操作。详见：</w:t>
      </w:r>
      <w:r>
        <w:rPr>
          <w:rFonts w:hint="eastAsia" w:ascii="宋体" w:hAnsi="宋体" w:cs="宋体"/>
          <w:color w:val="auto"/>
          <w:sz w:val="24"/>
          <w:highlight w:val="none"/>
          <w:u w:val="single"/>
        </w:rPr>
        <w:t>《全流程电子化项目电子招投标操作手册（无纸化）》 。</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 投标文件应按照交易平台关于全流程电子化项目的相关指南进行编制，详见：</w:t>
      </w:r>
      <w:r>
        <w:rPr>
          <w:rFonts w:hint="eastAsia" w:ascii="宋体" w:hAnsi="宋体" w:cs="宋体"/>
          <w:color w:val="auto"/>
          <w:sz w:val="24"/>
          <w:highlight w:val="none"/>
          <w:u w:val="single"/>
        </w:rPr>
        <w:t>《全流程电子化项目电子招投标操作手册（无纸化）》</w:t>
      </w:r>
      <w:r>
        <w:rPr>
          <w:rFonts w:hint="eastAsia" w:ascii="宋体" w:hAnsi="宋体" w:cs="宋体"/>
          <w:color w:val="auto"/>
          <w:sz w:val="24"/>
          <w:highlight w:val="none"/>
        </w:rPr>
        <w:t xml:space="preserve">。               </w:t>
      </w:r>
    </w:p>
    <w:p>
      <w:pPr>
        <w:pStyle w:val="50"/>
        <w:spacing w:after="0" w:line="360" w:lineRule="auto"/>
        <w:ind w:firstLine="0"/>
        <w:rPr>
          <w:rFonts w:hint="eastAsia" w:ascii="宋体" w:hAnsi="宋体" w:cs="宋体"/>
          <w:color w:val="auto"/>
          <w:sz w:val="24"/>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13．投标报价及造价承包和变更结算方式</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 本工程的投标报价采用投标须知前附表第12项所规定的方式。投标报价（含单价及总价）精确到“分”。</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0"/>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color w:val="auto"/>
          <w:sz w:val="24"/>
          <w:highlight w:val="none"/>
          <w:u w:val="single"/>
        </w:rPr>
        <w:t>措施项目费的调整办法按合同约定执行。</w:t>
      </w:r>
    </w:p>
    <w:p>
      <w:pPr>
        <w:pStyle w:val="50"/>
        <w:spacing w:after="0" w:line="360" w:lineRule="auto"/>
        <w:ind w:firstLine="480" w:firstLineChars="200"/>
        <w:rPr>
          <w:rFonts w:hint="eastAsia" w:ascii="宋体" w:hAnsi="宋体" w:cs="宋体"/>
          <w:dstrike/>
          <w:color w:val="auto"/>
          <w:sz w:val="24"/>
          <w:highlight w:val="none"/>
        </w:rPr>
      </w:pPr>
      <w:r>
        <w:rPr>
          <w:rFonts w:hint="eastAsia" w:ascii="宋体" w:hAnsi="宋体" w:cs="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w:t>
      </w:r>
      <w:r>
        <w:rPr>
          <w:rFonts w:hint="eastAsia" w:ascii="宋体" w:hAnsi="宋体" w:cs="宋体"/>
          <w:color w:val="auto"/>
          <w:sz w:val="24"/>
          <w:highlight w:val="none"/>
          <w:u w:val="single"/>
        </w:rPr>
        <w:t>其价格的确定按合同</w:t>
      </w:r>
      <w:r>
        <w:rPr>
          <w:rFonts w:hint="eastAsia" w:ascii="宋体" w:hAnsi="宋体" w:cs="宋体"/>
          <w:color w:val="auto"/>
          <w:sz w:val="24"/>
          <w:highlight w:val="none"/>
          <w:u w:val="single"/>
          <w:lang w:val="en-US" w:eastAsia="zh-CN"/>
        </w:rPr>
        <w:t>约定</w:t>
      </w:r>
      <w:r>
        <w:rPr>
          <w:rFonts w:hint="eastAsia" w:ascii="宋体" w:hAnsi="宋体" w:cs="宋体"/>
          <w:color w:val="auto"/>
          <w:sz w:val="24"/>
          <w:highlight w:val="none"/>
          <w:u w:val="single"/>
        </w:rPr>
        <w:t>执行</w:t>
      </w:r>
      <w:r>
        <w:rPr>
          <w:rFonts w:hint="eastAsia" w:ascii="宋体" w:hAnsi="宋体" w:cs="宋体"/>
          <w:color w:val="auto"/>
          <w:sz w:val="24"/>
          <w:highlight w:val="none"/>
        </w:rPr>
        <w:t>。</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13.6暂列金额、暂估价</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暂估价是指招标人在工程量清单中提供的用于支付必然发生但暂时不能确定价格的材料的单价以及专业工程的金额。</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w:t>
      </w:r>
      <w:r>
        <w:rPr>
          <w:rFonts w:hint="eastAsia" w:ascii="宋体" w:hAnsi="宋体" w:eastAsia="宋体" w:cs="宋体"/>
          <w:color w:val="auto"/>
          <w:sz w:val="24"/>
          <w:highlight w:val="none"/>
        </w:rPr>
        <w:t>格按本投</w:t>
      </w:r>
      <w:r>
        <w:rPr>
          <w:rFonts w:hint="eastAsia" w:ascii="宋体" w:hAnsi="宋体" w:cs="宋体"/>
          <w:color w:val="auto"/>
          <w:sz w:val="24"/>
          <w:highlight w:val="none"/>
        </w:rPr>
        <w:t>标须知13.5款规定确定。</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13.9</w:t>
      </w:r>
      <w:r>
        <w:rPr>
          <w:rFonts w:hint="eastAsia" w:ascii="宋体" w:hAnsi="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14．投标货币</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本工程投标报价采用的币种为人民币。</w:t>
      </w:r>
    </w:p>
    <w:p>
      <w:pPr>
        <w:pStyle w:val="50"/>
        <w:spacing w:after="0"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15．投标有效期</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 投标有效期见投标须知前附表第13项所规定的期限，在此期限内，凡符合本招标文件要求的投标文件均保持有效。</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16．投标保证金</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16.1</w:t>
      </w:r>
      <w:r>
        <w:rPr>
          <w:rFonts w:hint="eastAsia" w:ascii="宋体" w:hAnsi="宋体" w:cs="宋体"/>
          <w:color w:val="auto"/>
          <w:sz w:val="24"/>
          <w:highlight w:val="none"/>
          <w:u w:val="single"/>
        </w:rPr>
        <w:t>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16.1.1 采用现金、支票或汇票形式提交的，投标保证金须从投标人的银行基本账户转出。</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16.1.2 </w:t>
      </w:r>
      <w:r>
        <w:rPr>
          <w:rFonts w:hint="eastAsia" w:ascii="宋体" w:hAnsi="宋体" w:cs="宋体"/>
          <w:color w:val="auto"/>
          <w:sz w:val="24"/>
          <w:highlight w:val="none"/>
          <w:u w:val="single"/>
        </w:rPr>
        <w:t>如采用非电子形式的投标保函</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专业工程担保公司担保或保证保险提交投标保证金的，在开标前不强制要求投标人提交纸质原件，由中标候选人在中标候选人公示前提交并在网上公示，投标人应在投标文件中提交投标保函</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担保</w:t>
      </w:r>
      <w:r>
        <w:rPr>
          <w:rFonts w:hint="eastAsia" w:ascii="宋体" w:hAnsi="宋体" w:cs="宋体"/>
          <w:color w:val="auto"/>
          <w:sz w:val="24"/>
          <w:highlight w:val="none"/>
          <w:u w:val="single"/>
        </w:rPr>
        <w:t>或保证保险扫描件并加盖投标人电子印章。如投标人存在16.6条款所列情形的，应将纸质原件提交给招标人。</w:t>
      </w:r>
    </w:p>
    <w:p>
      <w:pPr>
        <w:pStyle w:val="2"/>
        <w:spacing w:line="360" w:lineRule="auto"/>
        <w:ind w:firstLine="480" w:firstLineChars="200"/>
        <w:rPr>
          <w:rFonts w:hint="eastAsia" w:ascii="宋体" w:hAnsi="宋体" w:cs="宋体"/>
          <w:color w:val="auto"/>
          <w:kern w:val="2"/>
          <w:sz w:val="24"/>
          <w:szCs w:val="22"/>
          <w:highlight w:val="none"/>
          <w:u w:val="single"/>
          <w:lang w:val="en-US" w:eastAsia="zh-CN"/>
        </w:rPr>
      </w:pPr>
      <w:r>
        <w:rPr>
          <w:rFonts w:hint="eastAsia" w:ascii="宋体" w:hAnsi="宋体" w:cs="宋体"/>
          <w:color w:val="auto"/>
          <w:kern w:val="2"/>
          <w:sz w:val="24"/>
          <w:szCs w:val="22"/>
          <w:highlight w:val="none"/>
          <w:u w:val="single"/>
          <w:lang w:val="en-US" w:eastAsia="zh-CN"/>
        </w:rPr>
        <w:t>16.1.3 采用电子形式的保函、担保或保证保险提交投标保证金的，应在招标文件中明确电子递交途径。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16.2招标人可委托</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具体实施保证金的收取和退还工作。通过</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递交投标保证金的相关事宜，请自行咨询</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    16.3</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代收投标保证金的，其缴纳情况以</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数据库记录的信息为准。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w:t>
      </w:r>
      <w:r>
        <w:rPr>
          <w:rFonts w:hint="eastAsia" w:ascii="宋体" w:hAnsi="宋体" w:cs="宋体"/>
          <w:color w:val="auto"/>
          <w:sz w:val="24"/>
          <w:szCs w:val="24"/>
          <w:highlight w:val="none"/>
        </w:rPr>
        <w:t>开标时投标人没有按要求提供投标保证金的，其投标文件将被否决</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w:t>
      </w:r>
      <w:r>
        <w:rPr>
          <w:rFonts w:hint="eastAsia" w:ascii="宋体" w:hAnsi="宋体" w:cs="宋体"/>
          <w:color w:val="auto"/>
          <w:sz w:val="24"/>
          <w:szCs w:val="24"/>
          <w:highlight w:val="none"/>
          <w:u w:val="single"/>
        </w:rPr>
        <w:t>投标保证金应依据法律法规的相关规定退还。</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16.6如有下列情况之一的，招标人不予退还投标保证金：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16.6.1因投标人原因造成投标文件未解密的；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16.6.2投标人在投标有效期内</w:t>
      </w:r>
      <w:r>
        <w:rPr>
          <w:rFonts w:hint="eastAsia" w:ascii="宋体" w:hAnsi="宋体" w:cs="宋体"/>
          <w:b/>
          <w:bCs/>
          <w:color w:val="auto"/>
          <w:sz w:val="24"/>
          <w:highlight w:val="none"/>
          <w:u w:val="single"/>
        </w:rPr>
        <w:t>撤销</w:t>
      </w:r>
      <w:r>
        <w:rPr>
          <w:rFonts w:hint="eastAsia" w:ascii="宋体" w:hAnsi="宋体" w:cs="宋体"/>
          <w:color w:val="auto"/>
          <w:sz w:val="24"/>
          <w:highlight w:val="none"/>
        </w:rPr>
        <w:t>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16.6.3中标人未能在规定期限内按要求提交履约担保；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16.6.4中标人未能在规定期限内签署合同协议。</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17．投标文件的签署</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17.1投标人应采用单位数字证书，按招标文件要求在相应位置加盖电子印章。</w:t>
      </w:r>
      <w:r>
        <w:rPr>
          <w:rFonts w:hint="eastAsia" w:ascii="宋体" w:hAnsi="宋体" w:cs="宋体"/>
          <w:color w:val="auto"/>
          <w:sz w:val="24"/>
          <w:highlight w:val="none"/>
          <w:u w:val="single"/>
        </w:rPr>
        <w:t>投标文件中需个人签字或盖章的，</w:t>
      </w:r>
      <w:r>
        <w:rPr>
          <w:rFonts w:hint="eastAsia" w:ascii="宋体" w:hAnsi="宋体" w:eastAsia="宋体" w:cs="宋体"/>
          <w:color w:val="auto"/>
          <w:sz w:val="24"/>
          <w:highlight w:val="none"/>
          <w:u w:val="single"/>
        </w:rPr>
        <w:t>应加盖个人电子印章或在线下完成后扫描上传</w:t>
      </w:r>
      <w:r>
        <w:rPr>
          <w:rFonts w:hint="eastAsia" w:ascii="宋体" w:hAnsi="宋体" w:cs="宋体"/>
          <w:color w:val="auto"/>
          <w:sz w:val="24"/>
          <w:highlight w:val="none"/>
        </w:rPr>
        <w:t>。按照交易平台关于全流程电子化项目的相关指南进行操作。详见：</w:t>
      </w:r>
      <w:r>
        <w:rPr>
          <w:rFonts w:hint="eastAsia" w:ascii="宋体" w:hAnsi="宋体" w:cs="宋体"/>
          <w:color w:val="auto"/>
          <w:sz w:val="24"/>
          <w:highlight w:val="none"/>
          <w:u w:val="single"/>
        </w:rPr>
        <w:t>《全流程电子化项目电子招投标操作手册（无纸化）》</w:t>
      </w:r>
      <w:r>
        <w:rPr>
          <w:rFonts w:hint="eastAsia" w:ascii="宋体" w:hAnsi="宋体" w:cs="宋体"/>
          <w:color w:val="auto"/>
          <w:sz w:val="24"/>
          <w:highlight w:val="none"/>
        </w:rPr>
        <w:t>。</w:t>
      </w:r>
    </w:p>
    <w:p>
      <w:pPr>
        <w:pStyle w:val="5"/>
        <w:spacing w:before="156" w:after="156"/>
        <w:jc w:val="center"/>
        <w:rPr>
          <w:rFonts w:hint="eastAsia" w:cs="宋体"/>
          <w:color w:val="auto"/>
          <w:highlight w:val="none"/>
        </w:rPr>
      </w:pPr>
      <w:bookmarkStart w:id="35" w:name="_Toc18394"/>
      <w:bookmarkStart w:id="36" w:name="_Toc23710"/>
      <w:bookmarkStart w:id="37" w:name="_Toc29586"/>
      <w:bookmarkStart w:id="38" w:name="_Toc3495"/>
      <w:bookmarkStart w:id="39" w:name="_Toc12774"/>
      <w:r>
        <w:rPr>
          <w:rFonts w:hint="eastAsia" w:cs="宋体"/>
          <w:color w:val="auto"/>
          <w:highlight w:val="none"/>
        </w:rPr>
        <w:t>（四）投标文件的提交</w:t>
      </w:r>
      <w:bookmarkEnd w:id="35"/>
      <w:bookmarkEnd w:id="36"/>
      <w:bookmarkEnd w:id="37"/>
      <w:bookmarkEnd w:id="38"/>
      <w:bookmarkEnd w:id="39"/>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w:t>
      </w:r>
      <w:r>
        <w:rPr>
          <w:rFonts w:hint="eastAsia" w:ascii="宋体" w:hAnsi="宋体" w:cs="宋体"/>
          <w:b/>
          <w:color w:val="auto"/>
          <w:sz w:val="24"/>
          <w:szCs w:val="24"/>
          <w:highlight w:val="none"/>
        </w:rPr>
        <w:t>投标文件的密封和标记</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color w:val="auto"/>
          <w:sz w:val="24"/>
          <w:highlight w:val="none"/>
          <w:u w:val="single"/>
        </w:rPr>
        <w:t>广州公共资源交易中心网站发布的最新版操作指引</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18.2 未按要求加密的投标文件，</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bCs/>
          <w:color w:val="auto"/>
          <w:sz w:val="24"/>
          <w:highlight w:val="none"/>
        </w:rPr>
        <w:t>将予以拒收。</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19．投标文件的递交和接收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19.1投标人通过</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递交电子投标文件。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19.2投标人完成电子</w:t>
      </w:r>
      <w:r>
        <w:rPr>
          <w:rFonts w:hint="eastAsia" w:ascii="宋体" w:hAnsi="宋体" w:cs="宋体"/>
          <w:color w:val="auto"/>
          <w:sz w:val="24"/>
          <w:highlight w:val="none"/>
        </w:rPr>
        <w:t>投标文件</w:t>
      </w:r>
      <w:r>
        <w:rPr>
          <w:rFonts w:hint="eastAsia" w:ascii="宋体" w:hAnsi="宋体" w:cs="宋体"/>
          <w:bCs/>
          <w:color w:val="auto"/>
          <w:sz w:val="24"/>
          <w:highlight w:val="none"/>
        </w:rPr>
        <w:t>上传后，</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即时向投标人发出递交回执通知。递交时间以递交回执通知载明的传输完成时间为准。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19.3</w:t>
      </w:r>
      <w:r>
        <w:rPr>
          <w:rFonts w:hint="eastAsia" w:ascii="宋体" w:hAnsi="宋体" w:cs="宋体"/>
          <w:bCs/>
          <w:color w:val="auto"/>
          <w:sz w:val="24"/>
          <w:szCs w:val="24"/>
          <w:highlight w:val="none"/>
        </w:rPr>
        <w:t>逾期送达的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将予以拒收。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19.4 </w:t>
      </w:r>
      <w:r>
        <w:rPr>
          <w:rFonts w:hint="eastAsia" w:ascii="宋体" w:hAnsi="宋体" w:cs="宋体"/>
          <w:color w:val="auto"/>
          <w:sz w:val="24"/>
          <w:szCs w:val="24"/>
          <w:highlight w:val="none"/>
        </w:rPr>
        <w:t>投标截止前，招标人拒绝接收符合条件的投标文件，投标人可向招标投标监督机构投诉。</w:t>
      </w:r>
    </w:p>
    <w:p>
      <w:pPr>
        <w:spacing w:line="360" w:lineRule="auto"/>
        <w:ind w:firstLine="480" w:firstLineChars="200"/>
        <w:rPr>
          <w:rFonts w:hint="eastAsia" w:ascii="宋体" w:hAnsi="宋体" w:cs="宋体"/>
          <w:strike/>
          <w:color w:val="auto"/>
          <w:sz w:val="24"/>
          <w:highlight w:val="none"/>
        </w:rPr>
      </w:pPr>
      <w:r>
        <w:rPr>
          <w:rFonts w:hint="eastAsia" w:ascii="宋体" w:hAnsi="宋体" w:cs="宋体"/>
          <w:color w:val="auto"/>
          <w:sz w:val="24"/>
          <w:highlight w:val="none"/>
        </w:rPr>
        <w:t>19.5</w:t>
      </w:r>
      <w:r>
        <w:rPr>
          <w:rFonts w:hint="eastAsia" w:ascii="宋体" w:hAnsi="宋体" w:cs="宋体"/>
          <w:color w:val="auto"/>
          <w:sz w:val="24"/>
          <w:szCs w:val="24"/>
          <w:highlight w:val="none"/>
        </w:rPr>
        <w:t>成功递交电子投标文件的，</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将按招标文件规定的时间开启技术标、经济标。</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20．投标文件提交的截止时间</w:t>
      </w:r>
    </w:p>
    <w:p>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20.1投标人应在投标须知前附表第17项所述的时间前提交投标文件。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 到投标截止时间止，招标人收到的投标文件少于3家的，招标人将重新组织招标</w:t>
      </w:r>
      <w:r>
        <w:rPr>
          <w:rFonts w:hint="eastAsia" w:ascii="宋体" w:hAnsi="宋体" w:cs="宋体"/>
          <w:color w:val="auto"/>
          <w:sz w:val="24"/>
          <w:szCs w:val="24"/>
          <w:highlight w:val="none"/>
        </w:rPr>
        <w:t>（当N个标段同时招标且不允许兼中时，若有效投标人不足N+2家，则重新组织招标）</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21．迟交的投标文件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本须知前附表第17项规定的投标截止时间</w:t>
      </w:r>
      <w:r>
        <w:rPr>
          <w:rFonts w:hint="eastAsia" w:ascii="宋体" w:hAnsi="宋体" w:cs="宋体"/>
          <w:bCs/>
          <w:color w:val="auto"/>
          <w:sz w:val="24"/>
          <w:szCs w:val="24"/>
          <w:highlight w:val="none"/>
        </w:rPr>
        <w:t>后送达的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将予以拒收。</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22．投标文件的修改与撤回</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22.1在规定的投标截止时间前，投标人可以修改或撤回已递交的投标文件，但应以书面形式通知招标人。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22.2投标人修改或撤回已递交的投标文件，需在</w:t>
      </w:r>
      <w:r>
        <w:rPr>
          <w:rFonts w:hint="eastAsia" w:ascii="宋体" w:hAnsi="宋体" w:cs="宋体"/>
          <w:color w:val="auto"/>
          <w:sz w:val="24"/>
          <w:highlight w:val="none"/>
        </w:rPr>
        <w:t>交易平台发出修改或撤回</w:t>
      </w:r>
      <w:r>
        <w:rPr>
          <w:rFonts w:hint="eastAsia" w:ascii="宋体" w:hAnsi="宋体" w:cs="宋体"/>
          <w:color w:val="auto"/>
          <w:sz w:val="24"/>
          <w:szCs w:val="24"/>
          <w:highlight w:val="none"/>
        </w:rPr>
        <w:t>通知，并按要求加盖电子印章。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22.3修改后再次递交的，按19点的规定执行。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 在投标截止时间之后，投标人不得补充、修改和更换投标文件。</w:t>
      </w:r>
    </w:p>
    <w:p>
      <w:pPr>
        <w:pStyle w:val="5"/>
        <w:spacing w:before="156" w:after="156"/>
        <w:jc w:val="center"/>
        <w:rPr>
          <w:rFonts w:hint="eastAsia" w:cs="宋体"/>
          <w:color w:val="auto"/>
          <w:highlight w:val="none"/>
        </w:rPr>
      </w:pPr>
      <w:bookmarkStart w:id="40" w:name="_Toc19681"/>
      <w:bookmarkStart w:id="41" w:name="_Toc15623"/>
      <w:bookmarkStart w:id="42" w:name="_Toc20312"/>
      <w:bookmarkStart w:id="43" w:name="_Toc29937"/>
      <w:bookmarkStart w:id="44" w:name="_Toc3856"/>
      <w:r>
        <w:rPr>
          <w:rFonts w:hint="eastAsia" w:cs="宋体"/>
          <w:color w:val="auto"/>
          <w:highlight w:val="none"/>
        </w:rPr>
        <w:t>（五）开标、评标、定标及合同签定</w:t>
      </w:r>
      <w:bookmarkEnd w:id="40"/>
      <w:bookmarkEnd w:id="41"/>
      <w:bookmarkEnd w:id="42"/>
      <w:bookmarkEnd w:id="43"/>
      <w:bookmarkEnd w:id="44"/>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23、开标。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详见第二章开标、评标及定标办法</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24．评标过程的保密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25．投标文件的澄清，计算错误的修正</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详见招标文件第二章开标、评标及定标办法</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26．投标文件的评审、比较和否决</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highlight w:val="none"/>
        </w:rPr>
        <w:t>详见招标文件第二章开标、评标及定标办法。</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27．中标通知书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27.1招标人将在</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27.3中标人必须在收到中标通知书后24小时之内以书面形式回复招标人，确认收到。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27.4在产生中标候选人后，招标人将中标候选人的投标文件商务部分</w:t>
      </w:r>
      <w:r>
        <w:rPr>
          <w:rFonts w:hint="eastAsia" w:ascii="宋体" w:hAnsi="宋体" w:cs="宋体"/>
          <w:color w:val="auto"/>
          <w:sz w:val="24"/>
          <w:szCs w:val="21"/>
          <w:highlight w:val="none"/>
        </w:rPr>
        <w:t>的人员、业绩、奖项等资料</w:t>
      </w:r>
      <w:r>
        <w:rPr>
          <w:rFonts w:hint="eastAsia" w:ascii="宋体" w:hAnsi="宋体" w:cs="宋体"/>
          <w:color w:val="auto"/>
          <w:sz w:val="24"/>
          <w:highlight w:val="none"/>
        </w:rPr>
        <w:t>在</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和广东省招标投标监管网</w:t>
      </w:r>
      <w:r>
        <w:rPr>
          <w:rFonts w:hint="eastAsia" w:ascii="宋体" w:hAnsi="宋体" w:cs="宋体"/>
          <w:color w:val="auto"/>
          <w:sz w:val="24"/>
          <w:highlight w:val="none"/>
        </w:rPr>
        <w:t>公开。</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28．合同协议书的签订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招标人与中标人将于中标通知书发出之日起</w:t>
      </w:r>
      <w:r>
        <w:rPr>
          <w:rFonts w:hint="eastAsia" w:ascii="宋体" w:hAnsi="宋体" w:cs="宋体"/>
          <w:color w:val="auto"/>
          <w:sz w:val="24"/>
          <w:highlight w:val="none"/>
          <w:u w:val="single"/>
        </w:rPr>
        <w:t>30</w:t>
      </w:r>
      <w:r>
        <w:rPr>
          <w:rFonts w:hint="eastAsia" w:ascii="宋体" w:hAnsi="宋体" w:cs="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28.2中标通知书发出之日起</w:t>
      </w:r>
      <w:r>
        <w:rPr>
          <w:rFonts w:hint="eastAsia" w:ascii="宋体" w:hAnsi="宋体" w:cs="宋体"/>
          <w:color w:val="auto"/>
          <w:sz w:val="24"/>
          <w:highlight w:val="none"/>
          <w:u w:val="single"/>
        </w:rPr>
        <w:t>30</w:t>
      </w:r>
      <w:r>
        <w:rPr>
          <w:rFonts w:hint="eastAsia" w:ascii="宋体" w:hAnsi="宋体" w:cs="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28.4招标人支付工程款时，中标人应按规定开具发票。</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29．履约担保</w:t>
      </w:r>
    </w:p>
    <w:p>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29.1中标（承包）单位在收到中标通知书之日起，中标人应以中标人名义按本须知前附表第20项的规定向招标人提交履约担保。中标人如采用银行履约保函方式提交的，中标人应以中标人名义用银行履约保函方式提交经业主认可的见索即付银行保函作为履约保证金，履约保证金为中标价的10%，银行履约保函由中国境内注册的国有商业银行开具保函，是不可撤销的保函。若在中标通知书发放后，中标人未提交履约保函或未征得招标人同意延期缴交的，招标人有权取消其中标资格并没收其投标保证金，并选取第二中标候选人替补。上述履约保函作为本合同的组成文件之一。</w:t>
      </w:r>
    </w:p>
    <w:p>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29.2中标（承包）单位在收到中标通知书之日起，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30．合同生效</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30.1在合同双方全权代表在合同协议书上签字，并分别加盖双方单位的公章后，合同正式生效。</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31．其它费用</w:t>
      </w:r>
    </w:p>
    <w:p>
      <w:pPr>
        <w:pStyle w:val="2"/>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kern w:val="2"/>
          <w:sz w:val="24"/>
          <w:szCs w:val="22"/>
          <w:highlight w:val="none"/>
          <w:lang w:val="en-US" w:eastAsia="zh-CN"/>
        </w:rPr>
        <w:t xml:space="preserve">31.1 </w:t>
      </w:r>
      <w:r>
        <w:rPr>
          <w:rFonts w:hint="eastAsia" w:ascii="宋体" w:hAnsi="宋体" w:cs="宋体"/>
          <w:color w:val="auto"/>
          <w:kern w:val="2"/>
          <w:sz w:val="24"/>
          <w:szCs w:val="22"/>
          <w:highlight w:val="none"/>
          <w:u w:val="single"/>
          <w:lang w:val="en-US" w:eastAsia="zh-CN"/>
        </w:rPr>
        <w:t>2、中标人按《广州市发展改革委转发省发展改革委关于规范公共资源交易服务收费及有关问题的通知》（穗发改〔2017〕811号）文件的规定，向广州公共资源交易中心代缴交易服务费，交易服务费的金额为中标总金额的0.9‰，其费用包含在中标人投标报价中，招标人不另行支付。</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32．腐败与欺诈行为</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在招标和合同实施期间，招标人要求投标人和承包人遵守最高的道德标准。</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32．1对本条款的规定，特定义如下词汇：</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1）、“腐败行为”是指在招标或合同执行期间，通过提供、给予、接受或索要任何有价值的东西，从而影响招标人有关人员工作的行为；</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32．2如果投标人被认定在本招标的竞争中有腐败或欺诈行为，则会被取消投标资格。</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0"/>
        <w:spacing w:after="0" w:line="360" w:lineRule="auto"/>
        <w:ind w:firstLine="482" w:firstLineChars="200"/>
        <w:rPr>
          <w:rFonts w:hint="eastAsia" w:ascii="宋体" w:hAnsi="宋体" w:cs="宋体"/>
          <w:color w:val="auto"/>
          <w:sz w:val="24"/>
          <w:highlight w:val="none"/>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工人工资：</w:t>
      </w:r>
      <w:r>
        <w:rPr>
          <w:rFonts w:hint="eastAsia" w:ascii="宋体" w:hAnsi="宋体" w:eastAsia="宋体" w:cs="宋体"/>
          <w:color w:val="auto"/>
          <w:sz w:val="24"/>
          <w:szCs w:val="24"/>
          <w:highlight w:val="none"/>
          <w:u w:val="single"/>
          <w:lang w:val="en-US" w:eastAsia="zh-CN"/>
        </w:rPr>
        <w:t>按《广州市住房和城乡建设局、广州市人力资源和社会保障局、广州市交通运输局等关于印发广州市建设领域工人工资支付分账管理实施细则的通知》（穗建规字〔2020〕37号）的规定执行</w:t>
      </w:r>
      <w:r>
        <w:rPr>
          <w:rFonts w:hint="eastAsia" w:ascii="宋体" w:hAnsi="宋体" w:cs="宋体"/>
          <w:color w:val="auto"/>
          <w:sz w:val="24"/>
          <w:highlight w:val="none"/>
        </w:rPr>
        <w:t>。</w:t>
      </w:r>
    </w:p>
    <w:p>
      <w:pPr>
        <w:pStyle w:val="50"/>
        <w:spacing w:after="0" w:line="360" w:lineRule="auto"/>
        <w:ind w:firstLine="480" w:firstLineChars="200"/>
        <w:rPr>
          <w:rFonts w:hint="eastAsia" w:ascii="宋体" w:hAnsi="宋体" w:cs="宋体"/>
          <w:color w:val="auto"/>
          <w:sz w:val="24"/>
          <w:highlight w:val="none"/>
        </w:rPr>
      </w:pPr>
    </w:p>
    <w:p>
      <w:pPr>
        <w:pStyle w:val="50"/>
        <w:spacing w:after="0" w:line="360" w:lineRule="auto"/>
        <w:ind w:firstLine="480" w:firstLineChars="200"/>
        <w:jc w:val="center"/>
        <w:outlineLvl w:val="0"/>
        <w:rPr>
          <w:rFonts w:hint="eastAsia" w:ascii="宋体" w:hAnsi="宋体" w:cs="宋体"/>
          <w:b/>
          <w:bCs/>
          <w:color w:val="auto"/>
          <w:sz w:val="30"/>
          <w:szCs w:val="30"/>
          <w:highlight w:val="none"/>
        </w:rPr>
      </w:pPr>
      <w:r>
        <w:rPr>
          <w:rFonts w:hint="eastAsia" w:ascii="宋体" w:hAnsi="宋体" w:eastAsia="宋体" w:cs="宋体"/>
          <w:color w:val="auto"/>
          <w:sz w:val="24"/>
          <w:szCs w:val="24"/>
          <w:highlight w:val="none"/>
          <w:u w:val="single"/>
        </w:rPr>
        <w:br w:type="page"/>
      </w:r>
      <w:bookmarkStart w:id="45" w:name="_Toc16218"/>
      <w:bookmarkStart w:id="46" w:name="_Toc14548"/>
      <w:bookmarkStart w:id="47" w:name="_Toc15093"/>
      <w:bookmarkStart w:id="48" w:name="_Toc3637"/>
      <w:bookmarkStart w:id="49" w:name="_Toc28706"/>
      <w:r>
        <w:rPr>
          <w:rFonts w:hint="eastAsia" w:ascii="宋体" w:hAnsi="宋体" w:eastAsia="宋体" w:cs="宋体"/>
          <w:b/>
          <w:color w:val="auto"/>
          <w:kern w:val="0"/>
          <w:sz w:val="28"/>
          <w:szCs w:val="28"/>
          <w:highlight w:val="none"/>
          <w:lang w:val="en-US" w:eastAsia="zh-CN" w:bidi="ar-SA"/>
        </w:rPr>
        <w:t>第二章  开标、评标及定标办法</w:t>
      </w:r>
      <w:bookmarkEnd w:id="45"/>
      <w:bookmarkEnd w:id="46"/>
      <w:bookmarkEnd w:id="47"/>
      <w:bookmarkEnd w:id="48"/>
      <w:bookmarkEnd w:id="49"/>
    </w:p>
    <w:p>
      <w:pPr>
        <w:pStyle w:val="4"/>
        <w:rPr>
          <w:rFonts w:hint="eastAsia" w:ascii="宋体" w:hAnsi="宋体" w:cs="宋体"/>
          <w:color w:val="auto"/>
          <w:highlight w:val="none"/>
        </w:rPr>
      </w:pPr>
      <w:bookmarkStart w:id="50" w:name="_Toc22565"/>
      <w:bookmarkStart w:id="51" w:name="_Toc29545"/>
      <w:bookmarkStart w:id="52" w:name="_Toc21687"/>
      <w:bookmarkStart w:id="53" w:name="_Toc27199"/>
      <w:bookmarkStart w:id="54" w:name="_Toc25821"/>
      <w:r>
        <w:rPr>
          <w:rFonts w:hint="eastAsia" w:ascii="宋体" w:hAnsi="宋体" w:cs="宋体"/>
          <w:color w:val="auto"/>
          <w:sz w:val="28"/>
          <w:szCs w:val="28"/>
          <w:highlight w:val="none"/>
        </w:rPr>
        <w:t>一、</w:t>
      </w:r>
      <w:r>
        <w:rPr>
          <w:rFonts w:hint="eastAsia" w:ascii="宋体" w:hAnsi="宋体" w:cs="宋体"/>
          <w:color w:val="auto"/>
          <w:highlight w:val="none"/>
        </w:rPr>
        <w:t>开标、评标及定标办法修改表</w:t>
      </w:r>
      <w:bookmarkEnd w:id="50"/>
      <w:bookmarkEnd w:id="51"/>
      <w:bookmarkEnd w:id="52"/>
      <w:bookmarkEnd w:id="53"/>
      <w:bookmarkEnd w:id="54"/>
    </w:p>
    <w:p>
      <w:pPr>
        <w:spacing w:line="360" w:lineRule="auto"/>
        <w:ind w:firstLine="482" w:firstLineChars="200"/>
        <w:rPr>
          <w:rFonts w:hint="eastAsia" w:ascii="宋体" w:hAnsi="宋体" w:cs="宋体"/>
          <w:b/>
          <w:color w:val="auto"/>
          <w:sz w:val="24"/>
          <w:szCs w:val="24"/>
          <w:highlight w:val="none"/>
        </w:rPr>
      </w:pP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360" w:lineRule="auto"/>
        <w:ind w:firstLine="540" w:firstLineChars="224"/>
        <w:rPr>
          <w:rStyle w:val="179"/>
          <w:rFonts w:ascii="宋体" w:hAnsi="宋体"/>
          <w:b/>
          <w:bCs w:val="0"/>
          <w:color w:val="auto"/>
          <w:sz w:val="24"/>
          <w:szCs w:val="24"/>
          <w:highlight w:val="none"/>
        </w:rPr>
      </w:pPr>
    </w:p>
    <w:p>
      <w:pPr>
        <w:spacing w:line="360" w:lineRule="auto"/>
        <w:ind w:firstLine="540" w:firstLineChars="224"/>
        <w:rPr>
          <w:rStyle w:val="179"/>
          <w:rFonts w:ascii="宋体" w:hAnsi="宋体"/>
          <w:b/>
          <w:bCs w:val="0"/>
          <w:color w:val="auto"/>
          <w:sz w:val="24"/>
          <w:szCs w:val="24"/>
          <w:highlight w:val="none"/>
        </w:rPr>
      </w:pPr>
      <w:r>
        <w:rPr>
          <w:rStyle w:val="179"/>
          <w:rFonts w:ascii="宋体" w:hAnsi="宋体"/>
          <w:b/>
          <w:bCs w:val="0"/>
          <w:color w:val="auto"/>
          <w:sz w:val="24"/>
          <w:szCs w:val="24"/>
          <w:highlight w:val="none"/>
        </w:rPr>
        <w:t>条款号： 36.1            修改类型：修改</w:t>
      </w:r>
    </w:p>
    <w:p>
      <w:pPr>
        <w:spacing w:line="360" w:lineRule="auto"/>
        <w:ind w:firstLine="540" w:firstLineChars="224"/>
        <w:rPr>
          <w:rStyle w:val="179"/>
          <w:rFonts w:ascii="宋体" w:hAnsi="宋体"/>
          <w:b/>
          <w:color w:val="auto"/>
          <w:sz w:val="24"/>
          <w:szCs w:val="24"/>
          <w:highlight w:val="none"/>
        </w:rPr>
      </w:pPr>
      <w:r>
        <w:rPr>
          <w:rStyle w:val="179"/>
          <w:rFonts w:ascii="宋体" w:hAnsi="宋体"/>
          <w:b/>
          <w:color w:val="auto"/>
          <w:sz w:val="24"/>
          <w:szCs w:val="24"/>
          <w:highlight w:val="none"/>
        </w:rPr>
        <w:t>原文：</w:t>
      </w:r>
      <w:r>
        <w:rPr>
          <w:rStyle w:val="179"/>
          <w:rFonts w:hint="eastAsia" w:ascii="宋体" w:hAnsi="宋体" w:eastAsia="宋体" w:cs="Times New Roman"/>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000000" w:sz="6" w:space="1"/>
        </w:pBdr>
        <w:spacing w:line="360" w:lineRule="auto"/>
        <w:ind w:firstLine="482" w:firstLineChars="200"/>
        <w:rPr>
          <w:rStyle w:val="179"/>
          <w:rFonts w:ascii="宋体" w:hAnsi="宋体"/>
          <w:b/>
          <w:color w:val="auto"/>
          <w:sz w:val="24"/>
          <w:szCs w:val="24"/>
          <w:highlight w:val="none"/>
        </w:rPr>
      </w:pPr>
      <w:r>
        <w:rPr>
          <w:rStyle w:val="179"/>
          <w:rFonts w:ascii="宋体" w:hAnsi="宋体"/>
          <w:b/>
          <w:color w:val="auto"/>
          <w:sz w:val="24"/>
          <w:szCs w:val="24"/>
          <w:highlight w:val="none"/>
        </w:rPr>
        <w:t>现文：</w:t>
      </w:r>
      <w:r>
        <w:rPr>
          <w:rStyle w:val="179"/>
          <w:rFonts w:ascii="宋体" w:hAnsi="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Style w:val="179"/>
          <w:rFonts w:ascii="宋体" w:hAnsi="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540" w:firstLineChars="224"/>
        <w:rPr>
          <w:rStyle w:val="179"/>
          <w:bCs w:val="0"/>
          <w:sz w:val="24"/>
          <w:szCs w:val="24"/>
          <w:highlight w:val="none"/>
        </w:rPr>
      </w:pPr>
      <w:r>
        <w:rPr>
          <w:rStyle w:val="179"/>
          <w:b/>
          <w:bCs/>
          <w:sz w:val="24"/>
          <w:szCs w:val="24"/>
          <w:highlight w:val="none"/>
        </w:rPr>
        <w:t>条款号：36.3             修改类型：删除</w:t>
      </w:r>
    </w:p>
    <w:p>
      <w:pPr>
        <w:pBdr>
          <w:bottom w:val="single" w:color="auto" w:sz="6" w:space="1"/>
        </w:pBd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条款号：36.5.1             修改类型：修改</w:t>
      </w:r>
    </w:p>
    <w:p>
      <w:pPr>
        <w:spacing w:line="360" w:lineRule="auto"/>
        <w:ind w:firstLine="540" w:firstLineChars="224"/>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eastAsia="宋体" w:cs="宋体"/>
          <w:color w:val="auto"/>
          <w:sz w:val="24"/>
          <w:szCs w:val="24"/>
          <w:highlight w:val="none"/>
        </w:rPr>
        <w:t>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在投标截止时间后半小时内，投标人通过</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对已递交的电子投标文件进行解密。投标人完成解密后，再由</w:t>
      </w:r>
      <w:r>
        <w:rPr>
          <w:rFonts w:hint="eastAsia" w:ascii="宋体" w:hAnsi="宋体" w:cs="宋体"/>
          <w:color w:val="auto"/>
          <w:sz w:val="24"/>
          <w:szCs w:val="24"/>
          <w:highlight w:val="none"/>
          <w:u w:val="single"/>
        </w:rPr>
        <w:t>招标人或招标代理机构</w:t>
      </w:r>
      <w:r>
        <w:rPr>
          <w:rFonts w:hint="eastAsia" w:ascii="宋体" w:hAnsi="宋体" w:cs="宋体"/>
          <w:color w:val="auto"/>
          <w:sz w:val="24"/>
          <w:szCs w:val="24"/>
          <w:highlight w:val="none"/>
        </w:rPr>
        <w:t>进行解密。解密完成后，公布招标项目名称、投标人名称、投标保证金的递交情况、投标报价、工期及其他内容；</w:t>
      </w:r>
    </w:p>
    <w:p>
      <w:pPr>
        <w:spacing w:line="400" w:lineRule="exact"/>
        <w:ind w:firstLine="540" w:firstLineChars="224"/>
        <w:rPr>
          <w:rFonts w:hint="eastAsia" w:ascii="宋体" w:hAnsi="宋体"/>
          <w:b/>
          <w:bCs w:val="0"/>
          <w:color w:val="auto"/>
          <w:sz w:val="24"/>
          <w:szCs w:val="24"/>
          <w:highlight w:val="none"/>
        </w:rPr>
      </w:pPr>
      <w:r>
        <w:rPr>
          <w:rFonts w:hint="eastAsia" w:ascii="宋体" w:hAnsi="宋体"/>
          <w:b/>
          <w:bCs w:val="0"/>
          <w:color w:val="auto"/>
          <w:sz w:val="24"/>
          <w:szCs w:val="24"/>
          <w:highlight w:val="none"/>
        </w:rPr>
        <w:t>条款号： 36.5.3           修改类型：修改</w:t>
      </w:r>
    </w:p>
    <w:p>
      <w:pPr>
        <w:spacing w:line="400" w:lineRule="exact"/>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投标人代表、招标人代表、监标人、记录人等有关人员在开标记录上签字确认；若有关人员不签字的，不影响开标程序；</w:t>
      </w:r>
    </w:p>
    <w:p>
      <w:pPr>
        <w:pBdr>
          <w:bottom w:val="single" w:color="auto" w:sz="6" w:space="1"/>
        </w:pBdr>
        <w:spacing w:line="400" w:lineRule="exact"/>
        <w:ind w:firstLine="540" w:firstLineChars="224"/>
        <w:rPr>
          <w:rFonts w:hint="eastAsia" w:ascii="宋体" w:hAnsi="宋体"/>
          <w:color w:val="auto"/>
          <w:sz w:val="24"/>
          <w:szCs w:val="24"/>
          <w:highlight w:val="none"/>
          <w:u w:val="single"/>
        </w:rPr>
      </w:pPr>
      <w:r>
        <w:rPr>
          <w:rFonts w:hint="eastAsia" w:ascii="宋体" w:hAnsi="宋体"/>
          <w:b/>
          <w:color w:val="auto"/>
          <w:sz w:val="24"/>
          <w:szCs w:val="24"/>
          <w:highlight w:val="none"/>
        </w:rPr>
        <w:t>现文：</w:t>
      </w:r>
      <w:r>
        <w:rPr>
          <w:rFonts w:hint="eastAsia" w:ascii="宋体" w:hAnsi="宋体" w:cs="宋体"/>
          <w:color w:val="auto"/>
          <w:sz w:val="24"/>
          <w:szCs w:val="24"/>
          <w:highlight w:val="none"/>
        </w:rPr>
        <w:t>投标人代表、招标人代表、监标人、记录人等有关人员在开标记录上签字确认；若有关人员不签字的，不影响开标程序；</w:t>
      </w:r>
      <w:r>
        <w:rPr>
          <w:rFonts w:hint="eastAsia" w:ascii="宋体" w:hAnsi="宋体" w:cs="宋体"/>
          <w:color w:val="auto"/>
          <w:sz w:val="24"/>
          <w:szCs w:val="24"/>
          <w:highlight w:val="none"/>
          <w:u w:val="single"/>
        </w:rPr>
        <w:t>若投标人不参加开标会的，或不签字确认的，视同该投标人认可开标结果。</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w:t>
      </w:r>
      <w:r>
        <w:rPr>
          <w:rFonts w:hint="eastAsia" w:ascii="宋体" w:hAnsi="宋体"/>
          <w:b/>
          <w:color w:val="auto"/>
          <w:sz w:val="24"/>
          <w:szCs w:val="24"/>
          <w:highlight w:val="none"/>
        </w:rPr>
        <w:t xml:space="preserve">39.3 </w:t>
      </w:r>
      <w:r>
        <w:rPr>
          <w:rFonts w:ascii="宋体" w:hAnsi="宋体"/>
          <w:b/>
          <w:bCs/>
          <w:color w:val="auto"/>
          <w:sz w:val="24"/>
          <w:szCs w:val="24"/>
          <w:highlight w:val="none"/>
        </w:rPr>
        <w:t xml:space="preserve">         </w:t>
      </w:r>
      <w:r>
        <w:rPr>
          <w:rFonts w:hint="eastAsia" w:ascii="宋体" w:hAnsi="宋体"/>
          <w:b/>
          <w:bCs/>
          <w:color w:val="auto"/>
          <w:sz w:val="24"/>
          <w:szCs w:val="24"/>
          <w:highlight w:val="none"/>
        </w:rPr>
        <w:t>修改类型：修改</w:t>
      </w:r>
    </w:p>
    <w:p>
      <w:pPr>
        <w:spacing w:line="360" w:lineRule="auto"/>
        <w:ind w:firstLine="540" w:firstLineChars="224"/>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4" w:space="1"/>
        </w:pBdr>
        <w:spacing w:line="360" w:lineRule="auto"/>
        <w:ind w:firstLine="540" w:firstLineChars="224"/>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cs="宋体"/>
          <w:color w:val="auto"/>
          <w:sz w:val="24"/>
          <w:szCs w:val="24"/>
          <w:highlight w:val="none"/>
          <w:u w:val="single"/>
        </w:rPr>
        <w:t>或者被查实存在影响中标结果的违法行为等情形，不符合中标条件的，招标人可以按照评标委员会推荐的中标候选人名单排序依次确定其他中标候选人为中标人，也可以重新招标。</w:t>
      </w:r>
    </w:p>
    <w:p>
      <w:pPr>
        <w:spacing w:after="50" w:line="360" w:lineRule="auto"/>
        <w:ind w:firstLine="540" w:firstLineChars="224"/>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条款号： 39.4          修改类型：删除</w:t>
      </w:r>
    </w:p>
    <w:p>
      <w:pPr>
        <w:pBdr>
          <w:bottom w:val="single" w:color="auto" w:sz="4" w:space="1"/>
        </w:pBdr>
        <w:spacing w:line="360" w:lineRule="auto"/>
        <w:ind w:firstLine="540" w:firstLineChars="224"/>
        <w:rPr>
          <w:rFonts w:ascii="宋体" w:hAnsi="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540" w:firstLineChars="224"/>
        <w:rPr>
          <w:rStyle w:val="179"/>
          <w:rFonts w:hint="eastAsia" w:ascii="宋体" w:hAnsi="宋体"/>
          <w:b/>
          <w:color w:val="auto"/>
          <w:sz w:val="24"/>
          <w:szCs w:val="24"/>
          <w:highlight w:val="none"/>
        </w:rPr>
      </w:pPr>
      <w:r>
        <w:rPr>
          <w:rStyle w:val="179"/>
          <w:rFonts w:ascii="宋体" w:hAnsi="宋体"/>
          <w:b/>
          <w:color w:val="auto"/>
          <w:sz w:val="24"/>
          <w:szCs w:val="24"/>
          <w:highlight w:val="none"/>
        </w:rPr>
        <w:t>条款号：</w:t>
      </w:r>
      <w:r>
        <w:rPr>
          <w:rStyle w:val="179"/>
          <w:rFonts w:hint="eastAsia" w:ascii="宋体" w:hAnsi="宋体"/>
          <w:b/>
          <w:color w:val="auto"/>
          <w:sz w:val="24"/>
          <w:szCs w:val="24"/>
          <w:highlight w:val="none"/>
        </w:rPr>
        <w:t>（二）开标评标办法程序和细则</w:t>
      </w:r>
    </w:p>
    <w:p>
      <w:pPr>
        <w:spacing w:line="360" w:lineRule="auto"/>
        <w:ind w:firstLine="540" w:firstLineChars="224"/>
        <w:rPr>
          <w:rStyle w:val="179"/>
          <w:rFonts w:hint="eastAsia" w:ascii="宋体" w:hAnsi="宋体"/>
          <w:b/>
          <w:color w:val="auto"/>
          <w:sz w:val="24"/>
          <w:szCs w:val="24"/>
          <w:highlight w:val="none"/>
        </w:rPr>
      </w:pPr>
      <w:r>
        <w:rPr>
          <w:rStyle w:val="179"/>
          <w:rFonts w:ascii="宋体" w:hAnsi="宋体"/>
          <w:b/>
          <w:color w:val="auto"/>
          <w:sz w:val="24"/>
          <w:szCs w:val="24"/>
          <w:highlight w:val="none"/>
        </w:rPr>
        <w:t xml:space="preserve">可选办法一（适合综合评分法一，技术标与经济标先后分别开启）  </w:t>
      </w:r>
    </w:p>
    <w:p>
      <w:pPr>
        <w:spacing w:line="360" w:lineRule="auto"/>
        <w:ind w:firstLine="540" w:firstLineChars="224"/>
        <w:rPr>
          <w:rStyle w:val="179"/>
          <w:rFonts w:hint="eastAsia" w:ascii="宋体" w:hAnsi="宋体"/>
          <w:b/>
          <w:color w:val="auto"/>
          <w:sz w:val="24"/>
          <w:szCs w:val="24"/>
          <w:highlight w:val="none"/>
        </w:rPr>
      </w:pPr>
      <w:r>
        <w:rPr>
          <w:rStyle w:val="179"/>
          <w:rFonts w:hint="eastAsia" w:ascii="宋体" w:hAnsi="宋体"/>
          <w:b/>
          <w:color w:val="auto"/>
          <w:sz w:val="24"/>
          <w:szCs w:val="24"/>
          <w:highlight w:val="none"/>
        </w:rPr>
        <w:t>可选办法二（适合综合评分法一，技术标与经济标同时开启）</w:t>
      </w:r>
    </w:p>
    <w:p>
      <w:pPr>
        <w:spacing w:line="360" w:lineRule="auto"/>
        <w:ind w:firstLine="540" w:firstLineChars="224"/>
        <w:rPr>
          <w:rStyle w:val="179"/>
          <w:rFonts w:hint="eastAsia" w:ascii="宋体" w:hAnsi="宋体"/>
          <w:b/>
          <w:color w:val="auto"/>
          <w:sz w:val="24"/>
          <w:szCs w:val="24"/>
          <w:highlight w:val="none"/>
        </w:rPr>
      </w:pPr>
      <w:r>
        <w:rPr>
          <w:rStyle w:val="179"/>
          <w:rFonts w:hint="eastAsia" w:ascii="宋体" w:hAnsi="宋体"/>
          <w:b/>
          <w:color w:val="auto"/>
          <w:sz w:val="24"/>
          <w:szCs w:val="24"/>
          <w:highlight w:val="none"/>
        </w:rPr>
        <w:t>可选办法三（适合综合评分法二，技术标与经济标先后分别开启）</w:t>
      </w:r>
    </w:p>
    <w:p>
      <w:pPr>
        <w:spacing w:line="360" w:lineRule="auto"/>
        <w:ind w:firstLine="540" w:firstLineChars="224"/>
        <w:rPr>
          <w:rStyle w:val="179"/>
          <w:rFonts w:hint="eastAsia" w:ascii="宋体" w:hAnsi="宋体"/>
          <w:b/>
          <w:color w:val="auto"/>
          <w:sz w:val="24"/>
          <w:szCs w:val="24"/>
          <w:highlight w:val="none"/>
        </w:rPr>
      </w:pPr>
      <w:r>
        <w:rPr>
          <w:rStyle w:val="179"/>
          <w:rFonts w:ascii="宋体" w:hAnsi="宋体"/>
          <w:b/>
          <w:color w:val="auto"/>
          <w:sz w:val="24"/>
          <w:szCs w:val="24"/>
          <w:highlight w:val="none"/>
        </w:rPr>
        <w:t>可选办法四（适合综合评分法二，技术标与经济标同时开启）</w:t>
      </w:r>
    </w:p>
    <w:p>
      <w:pPr>
        <w:spacing w:line="360" w:lineRule="auto"/>
        <w:ind w:firstLine="540" w:firstLineChars="224"/>
        <w:rPr>
          <w:rStyle w:val="179"/>
          <w:rFonts w:hint="eastAsia" w:ascii="宋体" w:hAnsi="宋体"/>
          <w:b/>
          <w:color w:val="auto"/>
          <w:sz w:val="24"/>
          <w:szCs w:val="24"/>
          <w:highlight w:val="none"/>
        </w:rPr>
      </w:pPr>
      <w:r>
        <w:rPr>
          <w:rStyle w:val="179"/>
          <w:rFonts w:ascii="宋体" w:hAnsi="宋体"/>
          <w:b/>
          <w:color w:val="auto"/>
          <w:sz w:val="24"/>
          <w:szCs w:val="24"/>
          <w:highlight w:val="none"/>
        </w:rPr>
        <w:t>可选办法五（适合综合评分法三，技术标与经济标先后分别开启）</w:t>
      </w:r>
    </w:p>
    <w:p>
      <w:pPr>
        <w:spacing w:line="360" w:lineRule="auto"/>
        <w:ind w:firstLine="540" w:firstLineChars="224"/>
        <w:rPr>
          <w:rStyle w:val="179"/>
          <w:rFonts w:hint="eastAsia" w:ascii="宋体" w:hAnsi="宋体"/>
          <w:b/>
          <w:color w:val="auto"/>
          <w:sz w:val="24"/>
          <w:szCs w:val="24"/>
          <w:highlight w:val="none"/>
        </w:rPr>
      </w:pPr>
      <w:r>
        <w:rPr>
          <w:rStyle w:val="179"/>
          <w:rFonts w:ascii="宋体" w:hAnsi="宋体"/>
          <w:b/>
          <w:color w:val="auto"/>
          <w:sz w:val="24"/>
          <w:szCs w:val="24"/>
          <w:highlight w:val="none"/>
        </w:rPr>
        <w:t>可选办法</w:t>
      </w:r>
      <w:r>
        <w:rPr>
          <w:rStyle w:val="179"/>
          <w:rFonts w:hint="eastAsia" w:ascii="宋体" w:hAnsi="宋体"/>
          <w:b/>
          <w:color w:val="auto"/>
          <w:sz w:val="24"/>
          <w:szCs w:val="24"/>
          <w:highlight w:val="none"/>
        </w:rPr>
        <w:t>六</w:t>
      </w:r>
      <w:r>
        <w:rPr>
          <w:rStyle w:val="179"/>
          <w:rFonts w:ascii="宋体" w:hAnsi="宋体"/>
          <w:b/>
          <w:color w:val="auto"/>
          <w:sz w:val="24"/>
          <w:szCs w:val="24"/>
          <w:highlight w:val="none"/>
        </w:rPr>
        <w:t>（适合综合评分法三，技术标与经济标同时开启）</w:t>
      </w:r>
    </w:p>
    <w:p>
      <w:pPr>
        <w:spacing w:line="360" w:lineRule="auto"/>
        <w:ind w:firstLine="540" w:firstLineChars="224"/>
        <w:rPr>
          <w:rStyle w:val="179"/>
          <w:rFonts w:hint="eastAsia" w:ascii="宋体" w:hAnsi="宋体"/>
          <w:b/>
          <w:color w:val="auto"/>
          <w:sz w:val="24"/>
          <w:szCs w:val="24"/>
          <w:highlight w:val="none"/>
        </w:rPr>
      </w:pPr>
      <w:r>
        <w:rPr>
          <w:rStyle w:val="179"/>
          <w:rFonts w:ascii="宋体" w:hAnsi="宋体"/>
          <w:b/>
          <w:color w:val="auto"/>
          <w:sz w:val="24"/>
          <w:szCs w:val="24"/>
          <w:highlight w:val="none"/>
        </w:rPr>
        <w:t>可选办法八（适合经评审的最低投标价法，技术标与经济标同时开启）</w:t>
      </w:r>
    </w:p>
    <w:p>
      <w:pPr>
        <w:spacing w:line="360" w:lineRule="auto"/>
        <w:ind w:firstLine="540" w:firstLineChars="224"/>
        <w:rPr>
          <w:rStyle w:val="179"/>
          <w:rFonts w:ascii="宋体" w:hAnsi="宋体"/>
          <w:b/>
          <w:color w:val="auto"/>
          <w:sz w:val="24"/>
          <w:szCs w:val="24"/>
          <w:highlight w:val="none"/>
        </w:rPr>
      </w:pPr>
      <w:r>
        <w:rPr>
          <w:rStyle w:val="179"/>
          <w:rFonts w:ascii="宋体" w:hAnsi="宋体"/>
          <w:b/>
          <w:color w:val="auto"/>
          <w:sz w:val="24"/>
          <w:szCs w:val="24"/>
          <w:highlight w:val="none"/>
        </w:rPr>
        <w:t>修改类型：删除</w:t>
      </w:r>
    </w:p>
    <w:p>
      <w:pPr>
        <w:pBdr>
          <w:bottom w:val="single" w:color="000000" w:sz="6" w:space="1"/>
        </w:pBdr>
        <w:spacing w:line="360" w:lineRule="auto"/>
        <w:ind w:firstLine="540" w:firstLineChars="224"/>
        <w:rPr>
          <w:rStyle w:val="179"/>
          <w:rFonts w:ascii="宋体" w:hAnsi="宋体"/>
          <w:b/>
          <w:color w:val="auto"/>
          <w:sz w:val="24"/>
          <w:szCs w:val="24"/>
          <w:highlight w:val="none"/>
        </w:rPr>
      </w:pPr>
      <w:r>
        <w:rPr>
          <w:rStyle w:val="179"/>
          <w:rFonts w:ascii="宋体" w:hAnsi="宋体"/>
          <w:b/>
          <w:color w:val="auto"/>
          <w:sz w:val="24"/>
          <w:szCs w:val="24"/>
          <w:highlight w:val="none"/>
        </w:rPr>
        <w:t>原文：详见《广州市建设工程施工公开招标项目招标文件范本GZZB2018-3》</w:t>
      </w:r>
    </w:p>
    <w:p>
      <w:pPr>
        <w:spacing w:line="360" w:lineRule="auto"/>
        <w:ind w:firstLine="540" w:firstLineChars="224"/>
        <w:rPr>
          <w:rStyle w:val="179"/>
          <w:rFonts w:ascii="宋体" w:hAnsi="宋体"/>
          <w:b/>
          <w:color w:val="auto"/>
          <w:sz w:val="24"/>
          <w:szCs w:val="24"/>
          <w:highlight w:val="none"/>
        </w:rPr>
      </w:pPr>
      <w:r>
        <w:rPr>
          <w:rStyle w:val="179"/>
          <w:rFonts w:ascii="宋体" w:hAnsi="宋体"/>
          <w:b/>
          <w:color w:val="auto"/>
          <w:sz w:val="24"/>
          <w:szCs w:val="24"/>
          <w:highlight w:val="none"/>
        </w:rPr>
        <w:t>条款号：41.1                    修改类型：修改</w:t>
      </w:r>
    </w:p>
    <w:p>
      <w:pPr>
        <w:spacing w:line="360" w:lineRule="auto"/>
        <w:ind w:firstLine="525" w:firstLineChars="218"/>
        <w:rPr>
          <w:rStyle w:val="179"/>
          <w:rFonts w:ascii="宋体" w:hAnsi="宋体"/>
          <w:color w:val="auto"/>
          <w:sz w:val="24"/>
          <w:szCs w:val="24"/>
          <w:highlight w:val="none"/>
        </w:rPr>
      </w:pPr>
      <w:r>
        <w:rPr>
          <w:rStyle w:val="179"/>
          <w:rFonts w:ascii="宋体" w:hAnsi="宋体"/>
          <w:b/>
          <w:color w:val="auto"/>
          <w:sz w:val="24"/>
          <w:szCs w:val="24"/>
          <w:highlight w:val="none"/>
        </w:rPr>
        <w:t>原文：</w:t>
      </w:r>
      <w:r>
        <w:rPr>
          <w:rStyle w:val="179"/>
          <w:rFonts w:ascii="宋体" w:hAnsi="宋体"/>
          <w:color w:val="auto"/>
          <w:sz w:val="24"/>
          <w:szCs w:val="24"/>
          <w:highlight w:val="none"/>
        </w:rPr>
        <w:t>41.1开标由招标人主持；</w:t>
      </w:r>
    </w:p>
    <w:p>
      <w:pPr>
        <w:pBdr>
          <w:bottom w:val="single" w:color="000000" w:sz="6" w:space="1"/>
        </w:pBdr>
        <w:spacing w:line="360" w:lineRule="auto"/>
        <w:ind w:firstLine="525" w:firstLineChars="218"/>
        <w:rPr>
          <w:rStyle w:val="179"/>
          <w:rFonts w:ascii="宋体" w:hAnsi="宋体"/>
          <w:color w:val="auto"/>
          <w:sz w:val="24"/>
          <w:szCs w:val="24"/>
          <w:highlight w:val="none"/>
        </w:rPr>
      </w:pPr>
      <w:r>
        <w:rPr>
          <w:rStyle w:val="179"/>
          <w:rFonts w:ascii="宋体" w:hAnsi="宋体"/>
          <w:b/>
          <w:color w:val="auto"/>
          <w:sz w:val="24"/>
          <w:szCs w:val="24"/>
          <w:highlight w:val="none"/>
        </w:rPr>
        <w:t>现文：</w:t>
      </w:r>
      <w:r>
        <w:rPr>
          <w:rStyle w:val="179"/>
          <w:rFonts w:ascii="宋体" w:hAnsi="宋体"/>
          <w:color w:val="auto"/>
          <w:sz w:val="24"/>
          <w:szCs w:val="24"/>
          <w:highlight w:val="none"/>
        </w:rPr>
        <w:t>41.1开标由招标人</w:t>
      </w:r>
      <w:r>
        <w:rPr>
          <w:rStyle w:val="179"/>
          <w:rFonts w:ascii="宋体" w:hAnsi="宋体"/>
          <w:color w:val="auto"/>
          <w:sz w:val="24"/>
          <w:szCs w:val="24"/>
          <w:highlight w:val="none"/>
          <w:u w:val="single"/>
        </w:rPr>
        <w:t>或招标代理</w:t>
      </w:r>
      <w:r>
        <w:rPr>
          <w:rStyle w:val="179"/>
          <w:rFonts w:ascii="宋体" w:hAnsi="宋体"/>
          <w:color w:val="auto"/>
          <w:sz w:val="24"/>
          <w:szCs w:val="24"/>
          <w:highlight w:val="none"/>
        </w:rPr>
        <w:t>主持；</w:t>
      </w:r>
    </w:p>
    <w:p>
      <w:pPr>
        <w:spacing w:line="360" w:lineRule="auto"/>
        <w:ind w:firstLine="482" w:firstLineChars="200"/>
        <w:rPr>
          <w:rStyle w:val="179"/>
          <w:rFonts w:ascii="宋体" w:hAnsi="宋体"/>
          <w:b/>
          <w:color w:val="auto"/>
          <w:sz w:val="24"/>
          <w:szCs w:val="24"/>
          <w:highlight w:val="none"/>
        </w:rPr>
      </w:pPr>
      <w:r>
        <w:rPr>
          <w:rStyle w:val="179"/>
          <w:rFonts w:ascii="宋体" w:hAnsi="宋体"/>
          <w:b/>
          <w:color w:val="auto"/>
          <w:sz w:val="24"/>
          <w:szCs w:val="24"/>
          <w:highlight w:val="none"/>
        </w:rPr>
        <w:t>条款号：41.2.1             修改类型：修改</w:t>
      </w:r>
    </w:p>
    <w:p>
      <w:pPr>
        <w:spacing w:line="360" w:lineRule="auto"/>
        <w:ind w:firstLine="482" w:firstLineChars="200"/>
        <w:rPr>
          <w:rStyle w:val="179"/>
          <w:rFonts w:ascii="宋体" w:hAnsi="宋体"/>
          <w:b/>
          <w:color w:val="auto"/>
          <w:sz w:val="24"/>
          <w:szCs w:val="24"/>
          <w:highlight w:val="none"/>
        </w:rPr>
      </w:pPr>
      <w:r>
        <w:rPr>
          <w:rStyle w:val="179"/>
          <w:rFonts w:ascii="宋体" w:hAnsi="宋体"/>
          <w:b/>
          <w:color w:val="auto"/>
          <w:sz w:val="24"/>
          <w:szCs w:val="24"/>
          <w:highlight w:val="none"/>
        </w:rPr>
        <w:t>原文：</w:t>
      </w:r>
      <w:r>
        <w:rPr>
          <w:rStyle w:val="179"/>
          <w:rFonts w:ascii="宋体" w:hAnsi="宋体"/>
          <w:color w:val="auto"/>
          <w:sz w:val="24"/>
          <w:szCs w:val="24"/>
          <w:highlight w:val="none"/>
        </w:rPr>
        <w:t>41.2.1投标截止期前，各投标人递交投标文件（包括技术标投标文件、经济标投标文件）至</w:t>
      </w:r>
      <w:r>
        <w:rPr>
          <w:rStyle w:val="179"/>
          <w:rFonts w:ascii="宋体" w:hAnsi="宋体"/>
          <w:color w:val="auto"/>
          <w:sz w:val="24"/>
          <w:szCs w:val="24"/>
          <w:highlight w:val="none"/>
          <w:u w:val="single"/>
        </w:rPr>
        <w:t xml:space="preserve">     </w:t>
      </w:r>
      <w:r>
        <w:rPr>
          <w:rStyle w:val="179"/>
          <w:rFonts w:ascii="宋体" w:hAnsi="宋体"/>
          <w:color w:val="auto"/>
          <w:sz w:val="24"/>
          <w:szCs w:val="24"/>
          <w:highlight w:val="none"/>
        </w:rPr>
        <w:t>交易平台。有关投标文件提交的事项详见第一章投标须知。</w:t>
      </w:r>
    </w:p>
    <w:p>
      <w:pPr>
        <w:pBdr>
          <w:bottom w:val="single" w:color="000000" w:sz="6" w:space="1"/>
        </w:pBdr>
        <w:spacing w:line="360" w:lineRule="auto"/>
        <w:ind w:firstLine="482" w:firstLineChars="200"/>
        <w:rPr>
          <w:rFonts w:hint="eastAsia" w:ascii="宋体" w:hAnsi="宋体" w:cs="宋体"/>
          <w:color w:val="auto"/>
          <w:sz w:val="24"/>
          <w:szCs w:val="24"/>
          <w:highlight w:val="none"/>
        </w:rPr>
      </w:pPr>
      <w:r>
        <w:rPr>
          <w:rStyle w:val="179"/>
          <w:rFonts w:ascii="宋体" w:hAnsi="宋体"/>
          <w:b/>
          <w:color w:val="auto"/>
          <w:sz w:val="24"/>
          <w:szCs w:val="24"/>
          <w:highlight w:val="none"/>
        </w:rPr>
        <w:t>现文：</w:t>
      </w:r>
      <w:r>
        <w:rPr>
          <w:rStyle w:val="179"/>
          <w:rFonts w:ascii="宋体" w:hAnsi="宋体"/>
          <w:color w:val="auto"/>
          <w:sz w:val="24"/>
          <w:szCs w:val="24"/>
          <w:highlight w:val="none"/>
        </w:rPr>
        <w:t>41.2.1</w:t>
      </w:r>
      <w:r>
        <w:rPr>
          <w:rFonts w:hint="eastAsia" w:ascii="宋体" w:hAnsi="宋体" w:cs="宋体"/>
          <w:color w:val="auto"/>
          <w:sz w:val="24"/>
          <w:szCs w:val="24"/>
          <w:highlight w:val="none"/>
        </w:rPr>
        <w:t>投标截止期前，各投标人递交投标文件（包括技术标投标文件（含资格审查文件）、经济标投标文件）至</w:t>
      </w:r>
      <w:r>
        <w:rPr>
          <w:rFonts w:hint="eastAsia" w:ascii="宋体" w:hAnsi="宋体" w:cs="宋体"/>
          <w:color w:val="auto"/>
          <w:sz w:val="24"/>
          <w:szCs w:val="24"/>
          <w:highlight w:val="none"/>
          <w:u w:val="single"/>
        </w:rPr>
        <w:t>广州公共资源交易中心（网址：http://www.gzggzy.cn）交易平台。有关投标文件提交的事项详见第一章投标须知。</w:t>
      </w:r>
    </w:p>
    <w:p>
      <w:pPr>
        <w:spacing w:line="360" w:lineRule="auto"/>
        <w:ind w:firstLine="540" w:firstLineChars="224"/>
        <w:rPr>
          <w:rStyle w:val="179"/>
          <w:rFonts w:ascii="宋体" w:hAnsi="宋体"/>
          <w:b/>
          <w:color w:val="auto"/>
          <w:sz w:val="24"/>
          <w:szCs w:val="24"/>
          <w:highlight w:val="none"/>
        </w:rPr>
      </w:pPr>
      <w:r>
        <w:rPr>
          <w:rStyle w:val="179"/>
          <w:rFonts w:ascii="宋体" w:hAnsi="宋体"/>
          <w:b/>
          <w:color w:val="auto"/>
          <w:sz w:val="24"/>
          <w:szCs w:val="24"/>
          <w:highlight w:val="none"/>
        </w:rPr>
        <w:t>条款号：41.</w:t>
      </w:r>
      <w:r>
        <w:rPr>
          <w:rStyle w:val="179"/>
          <w:rFonts w:hint="eastAsia" w:ascii="宋体" w:hAnsi="宋体"/>
          <w:b/>
          <w:color w:val="auto"/>
          <w:sz w:val="24"/>
          <w:szCs w:val="24"/>
          <w:highlight w:val="none"/>
        </w:rPr>
        <w:t>3</w:t>
      </w:r>
      <w:r>
        <w:rPr>
          <w:rStyle w:val="179"/>
          <w:rFonts w:ascii="宋体" w:hAnsi="宋体"/>
          <w:b/>
          <w:color w:val="auto"/>
          <w:sz w:val="24"/>
          <w:szCs w:val="24"/>
          <w:highlight w:val="none"/>
        </w:rPr>
        <w:t xml:space="preserve">                   修改类型：修改</w:t>
      </w:r>
    </w:p>
    <w:p>
      <w:pPr>
        <w:spacing w:line="360" w:lineRule="auto"/>
        <w:ind w:firstLine="525" w:firstLineChars="218"/>
        <w:rPr>
          <w:rStyle w:val="179"/>
          <w:rFonts w:ascii="宋体" w:hAnsi="宋体"/>
          <w:color w:val="auto"/>
          <w:sz w:val="24"/>
          <w:szCs w:val="24"/>
          <w:highlight w:val="none"/>
        </w:rPr>
      </w:pPr>
      <w:r>
        <w:rPr>
          <w:rStyle w:val="179"/>
          <w:rFonts w:ascii="宋体" w:hAnsi="宋体"/>
          <w:b/>
          <w:color w:val="auto"/>
          <w:sz w:val="24"/>
          <w:szCs w:val="24"/>
          <w:highlight w:val="none"/>
        </w:rPr>
        <w:t>原文：</w:t>
      </w:r>
      <w:r>
        <w:rPr>
          <w:rFonts w:hint="eastAsia" w:ascii="宋体"/>
          <w:color w:val="auto"/>
          <w:sz w:val="24"/>
          <w:szCs w:val="24"/>
          <w:highlight w:val="none"/>
        </w:rPr>
        <w:t>招标人对开标过程进行记录，并存档备查，投标人在技术标开标记录上签字。</w:t>
      </w:r>
    </w:p>
    <w:p>
      <w:pPr>
        <w:pBdr>
          <w:bottom w:val="single" w:color="000000" w:sz="6" w:space="1"/>
        </w:pBdr>
        <w:spacing w:line="360" w:lineRule="auto"/>
        <w:ind w:firstLine="482" w:firstLineChars="200"/>
        <w:rPr>
          <w:rFonts w:hint="eastAsia" w:ascii="宋体" w:hAnsi="宋体" w:cs="宋体"/>
          <w:color w:val="auto"/>
          <w:sz w:val="24"/>
          <w:szCs w:val="24"/>
          <w:highlight w:val="none"/>
        </w:rPr>
      </w:pPr>
      <w:r>
        <w:rPr>
          <w:rStyle w:val="179"/>
          <w:rFonts w:ascii="宋体" w:hAnsi="宋体"/>
          <w:b/>
          <w:color w:val="auto"/>
          <w:sz w:val="24"/>
          <w:szCs w:val="24"/>
          <w:highlight w:val="none"/>
        </w:rPr>
        <w:t>现文：</w:t>
      </w:r>
      <w:r>
        <w:rPr>
          <w:rFonts w:hint="eastAsia" w:ascii="宋体" w:hAnsi="宋体" w:cs="宋体"/>
          <w:color w:val="auto"/>
          <w:sz w:val="24"/>
          <w:szCs w:val="24"/>
          <w:highlight w:val="none"/>
        </w:rPr>
        <w:t>招标人</w:t>
      </w:r>
      <w:r>
        <w:rPr>
          <w:rFonts w:hint="eastAsia" w:ascii="宋体" w:hAnsi="宋体" w:cs="宋体"/>
          <w:color w:val="auto"/>
          <w:sz w:val="24"/>
          <w:szCs w:val="24"/>
          <w:highlight w:val="none"/>
          <w:u w:val="single"/>
        </w:rPr>
        <w:t>或招标代理</w:t>
      </w:r>
      <w:r>
        <w:rPr>
          <w:rFonts w:hint="eastAsia" w:ascii="宋体" w:hAnsi="宋体" w:cs="宋体"/>
          <w:color w:val="auto"/>
          <w:sz w:val="24"/>
          <w:szCs w:val="24"/>
          <w:highlight w:val="none"/>
        </w:rPr>
        <w:t>对开标过程进行记录，并存档备查，投标人在技术标开标记录上签字。</w:t>
      </w:r>
    </w:p>
    <w:p>
      <w:pPr>
        <w:spacing w:line="360" w:lineRule="auto"/>
        <w:ind w:firstLine="540" w:firstLineChars="224"/>
        <w:rPr>
          <w:rStyle w:val="179"/>
          <w:rFonts w:ascii="宋体" w:hAnsi="宋体"/>
          <w:b/>
          <w:color w:val="auto"/>
          <w:sz w:val="24"/>
          <w:szCs w:val="24"/>
          <w:highlight w:val="none"/>
        </w:rPr>
      </w:pPr>
      <w:r>
        <w:rPr>
          <w:rStyle w:val="179"/>
          <w:rFonts w:ascii="宋体" w:hAnsi="宋体"/>
          <w:b/>
          <w:color w:val="auto"/>
          <w:sz w:val="24"/>
          <w:szCs w:val="24"/>
          <w:highlight w:val="none"/>
        </w:rPr>
        <w:t>条款号：41.</w:t>
      </w:r>
      <w:r>
        <w:rPr>
          <w:rStyle w:val="179"/>
          <w:rFonts w:hint="eastAsia" w:ascii="宋体" w:hAnsi="宋体"/>
          <w:b/>
          <w:color w:val="auto"/>
          <w:sz w:val="24"/>
          <w:szCs w:val="24"/>
          <w:highlight w:val="none"/>
        </w:rPr>
        <w:t>4</w:t>
      </w:r>
      <w:r>
        <w:rPr>
          <w:rStyle w:val="179"/>
          <w:rFonts w:ascii="宋体" w:hAnsi="宋体"/>
          <w:b/>
          <w:color w:val="auto"/>
          <w:sz w:val="24"/>
          <w:szCs w:val="24"/>
          <w:highlight w:val="none"/>
        </w:rPr>
        <w:t xml:space="preserve">                   修改类型：修改</w:t>
      </w:r>
    </w:p>
    <w:p>
      <w:pPr>
        <w:spacing w:line="360" w:lineRule="auto"/>
        <w:ind w:firstLine="525" w:firstLineChars="218"/>
        <w:rPr>
          <w:rStyle w:val="179"/>
          <w:rFonts w:ascii="宋体" w:hAnsi="宋体"/>
          <w:color w:val="auto"/>
          <w:sz w:val="24"/>
          <w:szCs w:val="24"/>
          <w:highlight w:val="none"/>
        </w:rPr>
      </w:pPr>
      <w:r>
        <w:rPr>
          <w:rStyle w:val="179"/>
          <w:rFonts w:ascii="宋体" w:hAnsi="宋体"/>
          <w:b/>
          <w:color w:val="auto"/>
          <w:sz w:val="24"/>
          <w:szCs w:val="24"/>
          <w:highlight w:val="none"/>
        </w:rPr>
        <w:t>原文：</w:t>
      </w:r>
      <w:r>
        <w:rPr>
          <w:rFonts w:hint="eastAsia" w:ascii="宋体"/>
          <w:color w:val="auto"/>
          <w:sz w:val="24"/>
          <w:szCs w:val="24"/>
          <w:highlight w:val="none"/>
        </w:rPr>
        <w:t>招标人将上述符合要求的投标文件，送至评标委员会进行评审。</w:t>
      </w:r>
    </w:p>
    <w:p>
      <w:pPr>
        <w:pBdr>
          <w:bottom w:val="single" w:color="000000" w:sz="6" w:space="1"/>
        </w:pBdr>
        <w:spacing w:line="360" w:lineRule="auto"/>
        <w:ind w:firstLine="525" w:firstLineChars="218"/>
        <w:rPr>
          <w:rStyle w:val="179"/>
          <w:rFonts w:ascii="宋体" w:hAnsi="宋体"/>
          <w:color w:val="auto"/>
          <w:sz w:val="24"/>
          <w:szCs w:val="24"/>
          <w:highlight w:val="none"/>
        </w:rPr>
      </w:pPr>
      <w:r>
        <w:rPr>
          <w:rStyle w:val="179"/>
          <w:rFonts w:ascii="宋体" w:hAnsi="宋体"/>
          <w:b/>
          <w:color w:val="auto"/>
          <w:sz w:val="24"/>
          <w:szCs w:val="24"/>
          <w:highlight w:val="none"/>
        </w:rPr>
        <w:t>现文：</w:t>
      </w:r>
      <w:r>
        <w:rPr>
          <w:rFonts w:hint="eastAsia" w:ascii="宋体" w:hAnsi="宋体" w:cs="宋体"/>
          <w:color w:val="auto"/>
          <w:sz w:val="24"/>
          <w:szCs w:val="24"/>
          <w:highlight w:val="none"/>
        </w:rPr>
        <w:t>招标人</w:t>
      </w:r>
      <w:r>
        <w:rPr>
          <w:rFonts w:hint="eastAsia" w:ascii="宋体" w:hAnsi="宋体" w:cs="宋体"/>
          <w:color w:val="auto"/>
          <w:sz w:val="24"/>
          <w:szCs w:val="24"/>
          <w:highlight w:val="none"/>
          <w:u w:val="single"/>
        </w:rPr>
        <w:t>或招标代理</w:t>
      </w:r>
      <w:r>
        <w:rPr>
          <w:rFonts w:hint="eastAsia" w:ascii="宋体" w:hAnsi="宋体" w:cs="宋体"/>
          <w:color w:val="auto"/>
          <w:sz w:val="24"/>
          <w:szCs w:val="24"/>
          <w:highlight w:val="none"/>
        </w:rPr>
        <w:t>将上述符合要求的投标文件，送至评标委员会进行评审。</w:t>
      </w:r>
    </w:p>
    <w:p>
      <w:pPr>
        <w:pStyle w:val="50"/>
        <w:spacing w:after="0" w:line="460" w:lineRule="exact"/>
        <w:ind w:firstLine="482" w:firstLineChars="200"/>
        <w:rPr>
          <w:rFonts w:hint="eastAsia" w:ascii="宋体" w:hAnsi="宋体" w:eastAsia="宋体"/>
          <w:color w:val="auto"/>
          <w:sz w:val="24"/>
          <w:szCs w:val="24"/>
          <w:highlight w:val="none"/>
          <w:lang w:val="en-US" w:eastAsia="zh-CN"/>
        </w:rPr>
      </w:pPr>
      <w:r>
        <w:rPr>
          <w:rFonts w:hint="eastAsia" w:ascii="宋体" w:hAnsi="宋体"/>
          <w:b/>
          <w:color w:val="auto"/>
          <w:sz w:val="24"/>
          <w:szCs w:val="24"/>
          <w:highlight w:val="none"/>
        </w:rPr>
        <w:t>条款号：</w:t>
      </w:r>
      <w:r>
        <w:rPr>
          <w:rFonts w:ascii="宋体" w:hAnsi="宋体"/>
          <w:b/>
          <w:color w:val="auto"/>
          <w:sz w:val="24"/>
          <w:szCs w:val="24"/>
          <w:highlight w:val="none"/>
        </w:rPr>
        <w:t>41.2.</w:t>
      </w:r>
      <w:r>
        <w:rPr>
          <w:rFonts w:hint="eastAsia" w:ascii="宋体" w:hAnsi="宋体"/>
          <w:b/>
          <w:color w:val="auto"/>
          <w:sz w:val="24"/>
          <w:szCs w:val="24"/>
          <w:highlight w:val="none"/>
        </w:rPr>
        <w:t>2</w:t>
      </w:r>
      <w:r>
        <w:rPr>
          <w:rFonts w:hint="eastAsia" w:ascii="宋体" w:hAnsi="宋体"/>
          <w:color w:val="auto"/>
          <w:sz w:val="24"/>
          <w:szCs w:val="24"/>
          <w:highlight w:val="none"/>
        </w:rPr>
        <w:t xml:space="preserve">           </w:t>
      </w:r>
      <w:r>
        <w:rPr>
          <w:rFonts w:hint="eastAsia" w:ascii="宋体" w:hAnsi="宋体"/>
          <w:b/>
          <w:color w:val="auto"/>
          <w:sz w:val="24"/>
          <w:szCs w:val="24"/>
          <w:highlight w:val="none"/>
        </w:rPr>
        <w:t>修改类型：</w:t>
      </w:r>
      <w:r>
        <w:rPr>
          <w:rFonts w:hint="eastAsia" w:ascii="宋体" w:hAnsi="宋体"/>
          <w:b/>
          <w:color w:val="auto"/>
          <w:sz w:val="24"/>
          <w:szCs w:val="24"/>
          <w:highlight w:val="none"/>
          <w:lang w:eastAsia="zh-CN"/>
        </w:rPr>
        <w:t>删除</w:t>
      </w:r>
    </w:p>
    <w:p>
      <w:pPr>
        <w:pBdr>
          <w:bottom w:val="single" w:color="auto" w:sz="6" w:space="1"/>
        </w:pBdr>
        <w:spacing w:line="460" w:lineRule="exact"/>
        <w:ind w:firstLine="472" w:firstLineChars="196"/>
        <w:rPr>
          <w:rFonts w:hint="eastAsia" w:ascii="宋体" w:hAnsi="宋体"/>
          <w:bCs/>
          <w:color w:val="auto"/>
          <w:sz w:val="24"/>
          <w:szCs w:val="24"/>
          <w:highlight w:val="none"/>
          <w:u w:val="single"/>
        </w:rPr>
      </w:pPr>
      <w:r>
        <w:rPr>
          <w:rFonts w:hint="eastAsia" w:ascii="宋体" w:hAnsi="宋体"/>
          <w:b/>
          <w:color w:val="auto"/>
          <w:sz w:val="24"/>
          <w:szCs w:val="24"/>
          <w:highlight w:val="none"/>
        </w:rPr>
        <w:t>原文：</w:t>
      </w:r>
      <w:r>
        <w:rPr>
          <w:rFonts w:hint="eastAsia" w:ascii="宋体" w:hAnsi="宋体"/>
          <w:bCs/>
          <w:color w:val="auto"/>
          <w:sz w:val="24"/>
          <w:szCs w:val="24"/>
          <w:highlight w:val="none"/>
        </w:rPr>
        <w:t>41.2.2</w:t>
      </w:r>
      <w:r>
        <w:rPr>
          <w:rFonts w:hint="eastAsia" w:ascii="宋体"/>
          <w:color w:val="auto"/>
          <w:sz w:val="24"/>
          <w:szCs w:val="24"/>
          <w:highlight w:val="none"/>
        </w:rPr>
        <w:t>开标前，首先由招标人随机抽取确定该工程计算评标参考价的等分点值X</w:t>
      </w:r>
      <w:r>
        <w:rPr>
          <w:rStyle w:val="179"/>
          <w:rFonts w:hint="eastAsia" w:ascii="宋体" w:hAnsi="宋体"/>
          <w:bCs/>
          <w:color w:val="auto"/>
          <w:sz w:val="24"/>
          <w:szCs w:val="24"/>
          <w:highlight w:val="none"/>
        </w:rPr>
        <w:t>。</w:t>
      </w:r>
    </w:p>
    <w:p>
      <w:pPr>
        <w:spacing w:line="360" w:lineRule="auto"/>
        <w:ind w:firstLine="482" w:firstLineChars="200"/>
        <w:rPr>
          <w:rStyle w:val="179"/>
          <w:rFonts w:ascii="宋体" w:hAnsi="宋体"/>
          <w:b/>
          <w:color w:val="auto"/>
          <w:sz w:val="24"/>
          <w:szCs w:val="24"/>
          <w:highlight w:val="none"/>
        </w:rPr>
      </w:pPr>
      <w:r>
        <w:rPr>
          <w:rStyle w:val="179"/>
          <w:rFonts w:ascii="宋体" w:hAnsi="宋体"/>
          <w:b/>
          <w:color w:val="auto"/>
          <w:sz w:val="24"/>
          <w:szCs w:val="24"/>
          <w:highlight w:val="none"/>
        </w:rPr>
        <w:t>条款号：42.1             修改类型：修改</w:t>
      </w:r>
    </w:p>
    <w:p>
      <w:pPr>
        <w:pStyle w:val="247"/>
        <w:tabs>
          <w:tab w:val="left" w:pos="7380"/>
        </w:tabs>
        <w:spacing w:after="0" w:line="360" w:lineRule="auto"/>
        <w:ind w:firstLine="482" w:firstLineChars="200"/>
        <w:rPr>
          <w:rStyle w:val="179"/>
          <w:rFonts w:ascii="宋体" w:hAnsi="宋体"/>
          <w:color w:val="auto"/>
          <w:sz w:val="24"/>
          <w:szCs w:val="24"/>
          <w:highlight w:val="none"/>
        </w:rPr>
      </w:pPr>
      <w:r>
        <w:rPr>
          <w:rStyle w:val="179"/>
          <w:rFonts w:ascii="宋体" w:hAnsi="宋体"/>
          <w:b/>
          <w:color w:val="auto"/>
          <w:sz w:val="24"/>
          <w:szCs w:val="24"/>
          <w:highlight w:val="none"/>
        </w:rPr>
        <w:t>原文：</w:t>
      </w:r>
      <w:r>
        <w:rPr>
          <w:rStyle w:val="179"/>
          <w:rFonts w:ascii="宋体" w:hAnsi="宋体"/>
          <w:color w:val="auto"/>
          <w:sz w:val="24"/>
          <w:szCs w:val="24"/>
          <w:highlight w:val="none"/>
        </w:rPr>
        <w:t>42.1评标委员会的组成：方式</w:t>
      </w:r>
      <w:r>
        <w:rPr>
          <w:rStyle w:val="179"/>
          <w:rFonts w:ascii="宋体" w:hAnsi="宋体"/>
          <w:color w:val="auto"/>
          <w:sz w:val="24"/>
          <w:szCs w:val="24"/>
          <w:highlight w:val="none"/>
          <w:u w:val="single"/>
        </w:rPr>
        <w:t xml:space="preserve">   </w:t>
      </w:r>
      <w:r>
        <w:rPr>
          <w:rStyle w:val="179"/>
          <w:rFonts w:ascii="宋体" w:hAnsi="宋体"/>
          <w:color w:val="auto"/>
          <w:sz w:val="24"/>
          <w:szCs w:val="24"/>
          <w:highlight w:val="none"/>
        </w:rPr>
        <w:t>。</w:t>
      </w:r>
    </w:p>
    <w:p>
      <w:pPr>
        <w:spacing w:line="360" w:lineRule="auto"/>
        <w:ind w:firstLine="480" w:firstLineChars="200"/>
        <w:rPr>
          <w:rStyle w:val="179"/>
          <w:rFonts w:ascii="宋体" w:hAnsi="宋体"/>
          <w:color w:val="auto"/>
          <w:sz w:val="24"/>
          <w:szCs w:val="24"/>
          <w:highlight w:val="none"/>
        </w:rPr>
      </w:pPr>
      <w:r>
        <w:rPr>
          <w:rStyle w:val="179"/>
          <w:rFonts w:ascii="宋体" w:hAnsi="宋体"/>
          <w:color w:val="auto"/>
          <w:sz w:val="24"/>
          <w:szCs w:val="24"/>
          <w:highlight w:val="none"/>
        </w:rPr>
        <w:t>方式一：评标委员会为综合评标委员会，负责资格审查及评标工作。</w:t>
      </w:r>
    </w:p>
    <w:p>
      <w:pPr>
        <w:pStyle w:val="247"/>
        <w:tabs>
          <w:tab w:val="left" w:pos="7380"/>
        </w:tabs>
        <w:spacing w:after="0" w:line="360" w:lineRule="auto"/>
        <w:rPr>
          <w:rStyle w:val="179"/>
          <w:rFonts w:ascii="宋体" w:hAnsi="宋体"/>
          <w:color w:val="auto"/>
          <w:sz w:val="24"/>
          <w:szCs w:val="24"/>
          <w:highlight w:val="none"/>
        </w:rPr>
      </w:pPr>
      <w:r>
        <w:rPr>
          <w:rStyle w:val="179"/>
          <w:rFonts w:ascii="宋体" w:hAnsi="宋体"/>
          <w:color w:val="auto"/>
          <w:sz w:val="24"/>
          <w:szCs w:val="24"/>
          <w:highlight w:val="none"/>
        </w:rPr>
        <w:t>方式二：评标委员会由技术评审组和经济评审组组成。其中：资格审查及技术评审由技术评标组负责，经济评审由经济评审组负责。</w:t>
      </w:r>
    </w:p>
    <w:p>
      <w:pPr>
        <w:pStyle w:val="50"/>
        <w:tabs>
          <w:tab w:val="left" w:pos="7380"/>
        </w:tabs>
        <w:snapToGrid w:val="0"/>
        <w:spacing w:after="0" w:line="360" w:lineRule="auto"/>
        <w:ind w:firstLine="482" w:firstLineChars="200"/>
        <w:rPr>
          <w:rFonts w:hint="eastAsia" w:ascii="宋体" w:hAnsi="宋体" w:cs="宋体"/>
          <w:color w:val="auto"/>
          <w:sz w:val="24"/>
          <w:szCs w:val="24"/>
          <w:highlight w:val="none"/>
        </w:rPr>
      </w:pPr>
      <w:r>
        <w:rPr>
          <w:rStyle w:val="179"/>
          <w:rFonts w:ascii="宋体" w:hAnsi="宋体"/>
          <w:b/>
          <w:color w:val="auto"/>
          <w:sz w:val="24"/>
          <w:szCs w:val="24"/>
          <w:highlight w:val="none"/>
        </w:rPr>
        <w:t>现文：</w:t>
      </w:r>
      <w:r>
        <w:rPr>
          <w:rFonts w:hint="eastAsia" w:ascii="宋体" w:hAnsi="宋体" w:cs="宋体"/>
          <w:color w:val="auto"/>
          <w:sz w:val="24"/>
          <w:szCs w:val="24"/>
          <w:highlight w:val="none"/>
        </w:rPr>
        <w:t>评标委员会的组成：方式</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pBdr>
          <w:bottom w:val="single" w:color="000000" w:sz="6" w:space="1"/>
        </w:pBdr>
        <w:spacing w:line="360" w:lineRule="auto"/>
        <w:ind w:firstLine="480" w:firstLineChars="200"/>
        <w:rPr>
          <w:rStyle w:val="179"/>
          <w:rFonts w:ascii="宋体" w:hAns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条款号：45.1             修改类型：修改</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olor w:val="auto"/>
          <w:sz w:val="24"/>
          <w:szCs w:val="24"/>
          <w:highlight w:val="none"/>
        </w:rPr>
        <w:t>若通过技术标有效性审查的投标人中所有投标报价均大于等于最高投标限价*D%（D的取值范围为[9</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pBdr>
          <w:bottom w:val="single" w:color="auto" w:sz="4" w:space="0"/>
        </w:pBdr>
        <w:spacing w:line="360" w:lineRule="auto"/>
        <w:ind w:firstLine="540" w:firstLineChars="224"/>
        <w:rPr>
          <w:rFonts w:hint="eastAsia" w:ascii="宋体" w:hAnsi="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若通过技术标有效性审查的投标人中所有投标报价均大于等于最高投标限价*</w:t>
      </w:r>
      <w:r>
        <w:rPr>
          <w:rFonts w:hint="eastAsia" w:ascii="宋体" w:hAnsi="宋体" w:cs="宋体"/>
          <w:color w:val="auto"/>
          <w:sz w:val="24"/>
          <w:szCs w:val="24"/>
          <w:highlight w:val="none"/>
          <w:u w:val="single"/>
          <w:lang w:val="en-US" w:eastAsia="zh-CN"/>
        </w:rPr>
        <w:t>100%</w:t>
      </w:r>
      <w:r>
        <w:rPr>
          <w:rFonts w:hint="eastAsia" w:ascii="宋体" w:hAnsi="宋体" w:cs="宋体"/>
          <w:color w:val="auto"/>
          <w:sz w:val="24"/>
          <w:szCs w:val="24"/>
          <w:highlight w:val="none"/>
        </w:rPr>
        <w:t>的（具体金额为：</w:t>
      </w:r>
      <w:r>
        <w:rPr>
          <w:rFonts w:hint="eastAsia" w:ascii="宋体" w:hAnsi="宋体" w:cs="宋体"/>
          <w:color w:val="auto"/>
          <w:sz w:val="24"/>
          <w:szCs w:val="24"/>
          <w:highlight w:val="none"/>
          <w:lang w:val="en-US" w:eastAsia="zh-CN"/>
        </w:rPr>
        <w:t>4995179.03</w:t>
      </w:r>
      <w:r>
        <w:rPr>
          <w:rFonts w:hint="eastAsia" w:ascii="宋体" w:hAnsi="宋体" w:cs="宋体"/>
          <w:color w:val="auto"/>
          <w:sz w:val="24"/>
          <w:szCs w:val="24"/>
          <w:highlight w:val="none"/>
        </w:rPr>
        <w:t>元），则本项目招标失败，由招标人依法重新招标。</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条款号：45.2</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45.3、45.4</w:t>
      </w:r>
      <w:r>
        <w:rPr>
          <w:rFonts w:hint="eastAsia" w:ascii="宋体" w:hAnsi="宋体" w:cs="宋体"/>
          <w:b/>
          <w:color w:val="auto"/>
          <w:sz w:val="24"/>
          <w:szCs w:val="24"/>
          <w:highlight w:val="none"/>
        </w:rPr>
        <w:t xml:space="preserve">             修改类型：修改</w:t>
      </w:r>
    </w:p>
    <w:p>
      <w:pPr>
        <w:pStyle w:val="50"/>
        <w:tabs>
          <w:tab w:val="left" w:pos="7380"/>
        </w:tabs>
        <w:snapToGrid w:val="0"/>
        <w:spacing w:after="0" w:line="360" w:lineRule="auto"/>
        <w:ind w:firstLine="482" w:firstLineChars="200"/>
        <w:rPr>
          <w:rFonts w:ascii="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eastAsia="宋体" w:cs="宋体"/>
          <w:color w:val="auto"/>
          <w:kern w:val="0"/>
          <w:sz w:val="24"/>
          <w:szCs w:val="24"/>
          <w:highlight w:val="none"/>
          <w:lang w:val="en-US" w:eastAsia="zh-CN" w:bidi="ar-SA"/>
        </w:rPr>
        <w:t>45.2</w:t>
      </w:r>
      <w:r>
        <w:rPr>
          <w:rFonts w:hint="eastAsia" w:ascii="宋体" w:hAnsi="宋体"/>
          <w:color w:val="auto"/>
          <w:sz w:val="24"/>
          <w:szCs w:val="24"/>
          <w:highlight w:val="none"/>
        </w:rPr>
        <w:t>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114300" distR="114300">
            <wp:extent cx="381000" cy="447675"/>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114300" distR="114300">
            <wp:extent cx="381000" cy="44767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w:t>
      </w:r>
      <w:r>
        <w:rPr>
          <w:rFonts w:hint="eastAsia" w:ascii="宋体" w:hAnsi="宋体" w:cs="仿宋"/>
          <w:color w:val="auto"/>
          <w:sz w:val="24"/>
          <w:szCs w:val="24"/>
          <w:highlight w:val="none"/>
          <w:lang w:val="en-US" w:eastAsia="zh-CN"/>
        </w:rPr>
        <w:t>4</w:t>
      </w:r>
      <w:r>
        <w:rPr>
          <w:rFonts w:ascii="宋体" w:hAnsi="宋体" w:cs="仿宋"/>
          <w:color w:val="auto"/>
          <w:sz w:val="24"/>
          <w:szCs w:val="24"/>
          <w:highlight w:val="none"/>
        </w:rPr>
        <w:t>,100],</w:t>
      </w:r>
      <w:r>
        <w:rPr>
          <w:rFonts w:hint="eastAsia" w:ascii="宋体" w:hAnsi="宋体" w:cs="仿宋"/>
          <w:color w:val="auto"/>
          <w:sz w:val="24"/>
          <w:szCs w:val="24"/>
          <w:highlight w:val="none"/>
        </w:rPr>
        <w:t>由招标人自定）</w:t>
      </w:r>
    </w:p>
    <w:p>
      <w:pPr>
        <w:spacing w:line="360" w:lineRule="auto"/>
        <w:ind w:firstLine="537" w:firstLineChars="224"/>
        <w:rPr>
          <w:rFonts w:hint="eastAsia" w:ascii="宋体" w:hAnsi="宋体" w:cs="仿宋"/>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50"/>
        <w:tabs>
          <w:tab w:val="left" w:pos="7380"/>
        </w:tabs>
        <w:snapToGrid w:val="0"/>
        <w:spacing w:line="360" w:lineRule="auto"/>
        <w:ind w:firstLine="480" w:firstLineChars="200"/>
        <w:rPr>
          <w:rFonts w:hint="eastAsia"/>
          <w:color w:val="auto"/>
          <w:sz w:val="24"/>
          <w:szCs w:val="24"/>
          <w:highlight w:val="none"/>
        </w:rPr>
      </w:pPr>
      <w:r>
        <w:rPr>
          <w:rFonts w:hint="eastAsia" w:ascii="宋体" w:hAnsi="宋体"/>
          <w:color w:val="auto"/>
          <w:sz w:val="24"/>
          <w:szCs w:val="24"/>
          <w:highlight w:val="none"/>
        </w:rPr>
        <w:t>45.4计算通过技术标有效性审查的投标人总得分。投标人总得分=（技术得分×技术得分权重</w:t>
      </w:r>
      <w:r>
        <w:rPr>
          <w:rFonts w:hint="eastAsia" w:ascii="宋体" w:hAnsi="宋体" w:cs="宋体"/>
          <w:color w:val="auto"/>
          <w:sz w:val="24"/>
          <w:szCs w:val="24"/>
          <w:highlight w:val="none"/>
        </w:rPr>
        <w:t>＋</w:t>
      </w:r>
      <w:r>
        <w:rPr>
          <w:rFonts w:hint="eastAsia" w:ascii="宋体" w:hAnsi="宋体"/>
          <w:color w:val="auto"/>
          <w:sz w:val="24"/>
          <w:szCs w:val="24"/>
          <w:highlight w:val="none"/>
        </w:rPr>
        <w:t>经济得分×经济得分权重）×（1-综合诚信评价分数权重）</w:t>
      </w:r>
      <w:r>
        <w:rPr>
          <w:rFonts w:hint="eastAsia" w:ascii="宋体" w:hAnsi="宋体" w:cs="宋体"/>
          <w:color w:val="auto"/>
          <w:sz w:val="24"/>
          <w:szCs w:val="24"/>
          <w:highlight w:val="none"/>
        </w:rPr>
        <w:t>＋</w:t>
      </w:r>
      <w:r>
        <w:rPr>
          <w:rFonts w:hint="eastAsia" w:ascii="宋体" w:hAnsi="宋体"/>
          <w:color w:val="auto"/>
          <w:sz w:val="24"/>
          <w:szCs w:val="24"/>
          <w:highlight w:val="none"/>
        </w:rPr>
        <w:t>综合诚信评价排名得分×综合诚信评价分数权重）。技术、经济得分权重按投标须知前附表的规定执行。总得分四舍五入保留两位小数。</w:t>
      </w:r>
    </w:p>
    <w:p>
      <w:pPr>
        <w:pStyle w:val="50"/>
        <w:tabs>
          <w:tab w:val="left" w:pos="7380"/>
        </w:tabs>
        <w:snapToGrid w:val="0"/>
        <w:spacing w:after="0" w:line="360" w:lineRule="auto"/>
        <w:ind w:firstLine="482" w:firstLineChars="200"/>
        <w:rPr>
          <w:rFonts w:hint="eastAsia" w:ascii="宋体" w:hAnsi="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
          <w:color w:val="auto"/>
          <w:sz w:val="24"/>
          <w:szCs w:val="24"/>
          <w:highlight w:val="none"/>
          <w:lang w:eastAsia="zh-CN"/>
        </w:rPr>
        <w:t>：</w:t>
      </w:r>
    </w:p>
    <w:p>
      <w:pPr>
        <w:pStyle w:val="50"/>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lang w:val="en-US" w:eastAsia="zh-CN"/>
        </w:rPr>
        <w:t>45.2</w:t>
      </w:r>
      <w:r>
        <w:rPr>
          <w:rFonts w:hint="eastAsia" w:ascii="宋体" w:hAnsi="宋体"/>
          <w:color w:val="auto"/>
          <w:sz w:val="24"/>
          <w:szCs w:val="24"/>
          <w:highlight w:val="none"/>
        </w:rPr>
        <w:t>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440" w:lineRule="exact"/>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u w:val="single"/>
        </w:rPr>
        <w:t>技术标得分前N名（当通过技术标投标文件有效性审查的投标人家数小于5家的，N取通过技术</w:t>
      </w:r>
      <w:r>
        <w:rPr>
          <w:rFonts w:ascii="宋体" w:hAnsi="宋体" w:cs="仿宋"/>
          <w:color w:val="auto"/>
          <w:sz w:val="24"/>
          <w:szCs w:val="24"/>
          <w:highlight w:val="none"/>
          <w:u w:val="single"/>
        </w:rPr>
        <w:t>标</w:t>
      </w:r>
      <w:r>
        <w:rPr>
          <w:rFonts w:hint="eastAsia" w:ascii="宋体" w:hAnsi="宋体" w:cs="仿宋"/>
          <w:color w:val="auto"/>
          <w:sz w:val="24"/>
          <w:szCs w:val="24"/>
          <w:highlight w:val="none"/>
          <w:u w:val="single"/>
        </w:rPr>
        <w:t>投标文件有效性审查的全部家数；当通过技术</w:t>
      </w:r>
      <w:r>
        <w:rPr>
          <w:rFonts w:ascii="宋体" w:hAnsi="宋体" w:cs="仿宋"/>
          <w:color w:val="auto"/>
          <w:sz w:val="24"/>
          <w:szCs w:val="24"/>
          <w:highlight w:val="none"/>
          <w:u w:val="single"/>
        </w:rPr>
        <w:t>标</w:t>
      </w:r>
      <w:r>
        <w:rPr>
          <w:rFonts w:hint="eastAsia" w:ascii="宋体" w:hAnsi="宋体" w:cs="仿宋"/>
          <w:color w:val="auto"/>
          <w:sz w:val="24"/>
          <w:szCs w:val="24"/>
          <w:highlight w:val="none"/>
          <w:u w:val="single"/>
        </w:rPr>
        <w:t>投标文件有效性审查的投标人家数大于或等于5家的，N=5）</w:t>
      </w:r>
      <w:r>
        <w:rPr>
          <w:rFonts w:hint="eastAsia" w:ascii="宋体" w:hAnsi="宋体" w:cs="仿宋"/>
          <w:color w:val="auto"/>
          <w:sz w:val="24"/>
          <w:szCs w:val="24"/>
          <w:highlight w:val="none"/>
        </w:rPr>
        <w:t>的经济报价加权平均，计算评标参考价，公式如下：</w:t>
      </w:r>
    </w:p>
    <w:p>
      <w:pPr>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u w:val="singl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w:t>
      </w:r>
      <w:r>
        <w:rPr>
          <w:rFonts w:hint="eastAsia" w:ascii="宋体" w:hAnsi="宋体" w:cs="仿宋"/>
          <w:color w:val="auto"/>
          <w:sz w:val="24"/>
          <w:szCs w:val="24"/>
          <w:highlight w:val="none"/>
          <w:u w:val="single"/>
        </w:rPr>
        <w:t>的权重为（</w:t>
      </w:r>
      <w:r>
        <w:rPr>
          <w:rFonts w:ascii="宋体" w:hAnsi="宋体" w:cs="仿宋"/>
          <w:color w:val="auto"/>
          <w:sz w:val="24"/>
          <w:szCs w:val="24"/>
          <w:highlight w:val="none"/>
          <w:u w:val="single"/>
        </w:rPr>
        <w:fldChar w:fldCharType="begin"/>
      </w:r>
      <w:r>
        <w:rPr>
          <w:rFonts w:ascii="宋体" w:hAnsi="宋体" w:cs="仿宋"/>
          <w:color w:val="auto"/>
          <w:sz w:val="24"/>
          <w:szCs w:val="24"/>
          <w:highlight w:val="none"/>
          <w:u w:val="single"/>
        </w:rPr>
        <w:instrText xml:space="preserve"> QUOTE </w:instrText>
      </w:r>
      <w:r>
        <w:rPr>
          <w:rFonts w:ascii="宋体" w:hAnsi="宋体"/>
          <w:color w:val="auto"/>
          <w:sz w:val="24"/>
          <w:szCs w:val="24"/>
          <w:highlight w:val="none"/>
          <w:u w:val="single"/>
        </w:rPr>
        <w:drawing>
          <wp:inline distT="0" distB="0" distL="114300" distR="114300">
            <wp:extent cx="381000" cy="447675"/>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olor w:val="auto"/>
          <w:sz w:val="24"/>
          <w:szCs w:val="24"/>
          <w:highlight w:val="none"/>
          <w:u w:val="single"/>
        </w:rPr>
        <w:instrText xml:space="preserve"> \* MERGEFORMAT </w:instrText>
      </w:r>
      <w:r>
        <w:rPr>
          <w:rFonts w:ascii="宋体" w:hAnsi="宋体" w:cs="仿宋"/>
          <w:color w:val="auto"/>
          <w:sz w:val="24"/>
          <w:szCs w:val="24"/>
          <w:highlight w:val="none"/>
          <w:u w:val="single"/>
        </w:rPr>
        <w:fldChar w:fldCharType="separate"/>
      </w:r>
      <w:r>
        <w:rPr>
          <w:rFonts w:ascii="宋体" w:hAnsi="宋体"/>
          <w:color w:val="auto"/>
          <w:sz w:val="24"/>
          <w:szCs w:val="24"/>
          <w:highlight w:val="none"/>
          <w:u w:val="single"/>
        </w:rPr>
        <w:drawing>
          <wp:inline distT="0" distB="0" distL="114300" distR="114300">
            <wp:extent cx="219075" cy="259715"/>
            <wp:effectExtent l="0" t="0" r="9525"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219075" cy="259715"/>
                    </a:xfrm>
                    <a:prstGeom prst="rect">
                      <a:avLst/>
                    </a:prstGeom>
                    <a:noFill/>
                    <a:ln>
                      <a:noFill/>
                    </a:ln>
                  </pic:spPr>
                </pic:pic>
              </a:graphicData>
            </a:graphic>
          </wp:inline>
        </w:drawing>
      </w:r>
      <w:r>
        <w:rPr>
          <w:rFonts w:ascii="宋体" w:hAnsi="宋体" w:cs="仿宋"/>
          <w:color w:val="auto"/>
          <w:sz w:val="24"/>
          <w:szCs w:val="24"/>
          <w:highlight w:val="none"/>
          <w:u w:val="single"/>
        </w:rPr>
        <w:fldChar w:fldCharType="end"/>
      </w:r>
      <w:r>
        <w:rPr>
          <w:rFonts w:hint="eastAsia" w:ascii="宋体" w:hAnsi="宋体" w:cs="仿宋"/>
          <w:color w:val="auto"/>
          <w:sz w:val="24"/>
          <w:szCs w:val="24"/>
          <w:highlight w:val="none"/>
          <w:u w:val="single"/>
        </w:rPr>
        <w:t>），第二名投标人的权重为（</w:t>
      </w:r>
      <w:r>
        <w:rPr>
          <w:rFonts w:ascii="宋体" w:hAnsi="宋体" w:cs="仿宋"/>
          <w:color w:val="auto"/>
          <w:sz w:val="24"/>
          <w:szCs w:val="24"/>
          <w:highlight w:val="none"/>
          <w:u w:val="single"/>
        </w:rPr>
        <w:fldChar w:fldCharType="begin"/>
      </w:r>
      <w:r>
        <w:rPr>
          <w:rFonts w:ascii="宋体" w:hAnsi="宋体" w:cs="仿宋"/>
          <w:color w:val="auto"/>
          <w:sz w:val="24"/>
          <w:szCs w:val="24"/>
          <w:highlight w:val="none"/>
          <w:u w:val="single"/>
        </w:rPr>
        <w:instrText xml:space="preserve"> QUOTE </w:instrText>
      </w:r>
      <w:r>
        <w:rPr>
          <w:rFonts w:ascii="宋体" w:hAnsi="宋体"/>
          <w:color w:val="auto"/>
          <w:position w:val="-23"/>
          <w:sz w:val="24"/>
          <w:szCs w:val="24"/>
          <w:highlight w:val="none"/>
          <w:u w:val="single"/>
        </w:rPr>
        <w:drawing>
          <wp:inline distT="0" distB="0" distL="114300" distR="114300">
            <wp:extent cx="323850" cy="4000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olor w:val="auto"/>
          <w:position w:val="-23"/>
          <w:sz w:val="24"/>
          <w:szCs w:val="24"/>
          <w:highlight w:val="none"/>
          <w:u w:val="single"/>
        </w:rPr>
        <w:instrText xml:space="preserve"> \* MERGEFORMAT </w:instrText>
      </w:r>
      <w:r>
        <w:rPr>
          <w:rFonts w:ascii="宋体" w:hAnsi="宋体" w:cs="仿宋"/>
          <w:color w:val="auto"/>
          <w:sz w:val="24"/>
          <w:szCs w:val="24"/>
          <w:highlight w:val="none"/>
          <w:u w:val="single"/>
        </w:rPr>
        <w:fldChar w:fldCharType="separate"/>
      </w:r>
      <w:r>
        <w:rPr>
          <w:rFonts w:ascii="宋体" w:hAnsi="宋体"/>
          <w:color w:val="auto"/>
          <w:position w:val="-23"/>
          <w:sz w:val="24"/>
          <w:szCs w:val="24"/>
          <w:highlight w:val="none"/>
          <w:u w:val="single"/>
        </w:rPr>
        <w:drawing>
          <wp:inline distT="0" distB="0" distL="114300" distR="114300">
            <wp:extent cx="217170" cy="273050"/>
            <wp:effectExtent l="0" t="0" r="11430" b="133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217170" cy="273050"/>
                    </a:xfrm>
                    <a:prstGeom prst="rect">
                      <a:avLst/>
                    </a:prstGeom>
                    <a:noFill/>
                    <a:ln>
                      <a:noFill/>
                    </a:ln>
                  </pic:spPr>
                </pic:pic>
              </a:graphicData>
            </a:graphic>
          </wp:inline>
        </w:drawing>
      </w:r>
      <w:r>
        <w:rPr>
          <w:rFonts w:ascii="宋体" w:hAnsi="宋体" w:cs="仿宋"/>
          <w:color w:val="auto"/>
          <w:sz w:val="24"/>
          <w:szCs w:val="24"/>
          <w:highlight w:val="none"/>
          <w:u w:val="single"/>
        </w:rPr>
        <w:fldChar w:fldCharType="end"/>
      </w:r>
      <w:r>
        <w:rPr>
          <w:rFonts w:hint="eastAsia" w:ascii="宋体" w:hAnsi="宋体" w:cs="仿宋"/>
          <w:color w:val="auto"/>
          <w:sz w:val="24"/>
          <w:szCs w:val="24"/>
          <w:highlight w:val="none"/>
          <w:u w:val="single"/>
        </w:rPr>
        <w:t>），以此类推，最后一名投标人的权重为（</w:t>
      </w:r>
      <w:r>
        <w:rPr>
          <w:rFonts w:ascii="宋体" w:hAnsi="宋体" w:cs="仿宋"/>
          <w:color w:val="auto"/>
          <w:sz w:val="24"/>
          <w:szCs w:val="24"/>
          <w:highlight w:val="none"/>
          <w:u w:val="single"/>
        </w:rPr>
        <w:fldChar w:fldCharType="begin"/>
      </w:r>
      <w:r>
        <w:rPr>
          <w:rFonts w:ascii="宋体" w:hAnsi="宋体" w:cs="仿宋"/>
          <w:color w:val="auto"/>
          <w:sz w:val="24"/>
          <w:szCs w:val="24"/>
          <w:highlight w:val="none"/>
          <w:u w:val="single"/>
        </w:rPr>
        <w:instrText xml:space="preserve"> QUOTE </w:instrText>
      </w:r>
      <w:r>
        <w:rPr>
          <w:rFonts w:ascii="宋体" w:hAnsi="宋体"/>
          <w:color w:val="auto"/>
          <w:position w:val="-23"/>
          <w:sz w:val="24"/>
          <w:szCs w:val="24"/>
          <w:highlight w:val="none"/>
          <w:u w:val="single"/>
        </w:rPr>
        <w:drawing>
          <wp:inline distT="0" distB="0" distL="114300" distR="114300">
            <wp:extent cx="323850" cy="4000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olor w:val="auto"/>
          <w:position w:val="-23"/>
          <w:sz w:val="24"/>
          <w:szCs w:val="24"/>
          <w:highlight w:val="none"/>
          <w:u w:val="single"/>
        </w:rPr>
        <w:instrText xml:space="preserve"> \* MERGEFORMAT </w:instrText>
      </w:r>
      <w:r>
        <w:rPr>
          <w:rFonts w:ascii="宋体" w:hAnsi="宋体" w:cs="仿宋"/>
          <w:color w:val="auto"/>
          <w:sz w:val="24"/>
          <w:szCs w:val="24"/>
          <w:highlight w:val="none"/>
          <w:u w:val="single"/>
        </w:rPr>
        <w:fldChar w:fldCharType="separate"/>
      </w:r>
      <w:r>
        <w:rPr>
          <w:rFonts w:ascii="宋体" w:hAnsi="宋体"/>
          <w:color w:val="auto"/>
          <w:position w:val="-23"/>
          <w:sz w:val="24"/>
          <w:szCs w:val="24"/>
          <w:highlight w:val="none"/>
          <w:u w:val="single"/>
        </w:rPr>
        <w:object>
          <v:shape id="_x0000_i1025" o:spt="75" type="#_x0000_t75" style="height:31.5pt;width:24.05pt;" o:ole="t" filled="f" stroked="f" coordsize="21600,21600">
            <v:path/>
            <v:fill on="f" focussize="0,0"/>
            <v:stroke on="f"/>
            <v:imagedata r:id="rId31" o:title=""/>
            <o:lock v:ext="edit" aspectratio="t"/>
            <w10:wrap type="none"/>
            <w10:anchorlock/>
          </v:shape>
          <o:OLEObject Type="Embed" ProgID="Word.Document.12" ShapeID="_x0000_i1025" DrawAspect="Content" ObjectID="_1468075725" r:id="rId30">
            <o:LockedField>false</o:LockedField>
          </o:OLEObject>
        </w:object>
      </w:r>
      <w:r>
        <w:rPr>
          <w:rFonts w:ascii="宋体" w:hAnsi="宋体" w:cs="仿宋"/>
          <w:color w:val="auto"/>
          <w:sz w:val="24"/>
          <w:szCs w:val="24"/>
          <w:highlight w:val="none"/>
          <w:u w:val="single"/>
        </w:rPr>
        <w:fldChar w:fldCharType="end"/>
      </w:r>
      <w:r>
        <w:rPr>
          <w:rFonts w:hint="eastAsia" w:ascii="宋体" w:hAnsi="宋体" w:cs="仿宋"/>
          <w:color w:val="auto"/>
          <w:sz w:val="24"/>
          <w:szCs w:val="24"/>
          <w:highlight w:val="none"/>
          <w:u w:val="single"/>
        </w:rPr>
        <w:t>）。</w:t>
      </w:r>
    </w:p>
    <w:p>
      <w:pPr>
        <w:spacing w:line="440" w:lineRule="exact"/>
        <w:ind w:firstLine="480" w:firstLineChars="200"/>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技术标得分相同的，以投标报价较低的排前；技术标得分与投标报价均相同的投标人，由评标委员会采用记名投票方式，确定投标人的排序。</w:t>
      </w:r>
    </w:p>
    <w:p>
      <w:pPr>
        <w:spacing w:line="440" w:lineRule="exact"/>
        <w:ind w:firstLine="480" w:firstLineChars="200"/>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注：投票方式确定排序的具体操作步骤为：由评标委员会对出现该情况的投标人进行编号，然后通过投票方式依次确定投标人的排序。</w:t>
      </w:r>
    </w:p>
    <w:p>
      <w:pPr>
        <w:widowControl/>
        <w:spacing w:line="360" w:lineRule="auto"/>
        <w:ind w:firstLine="482" w:firstLineChars="200"/>
        <w:rPr>
          <w:rFonts w:ascii="宋体" w:hAnsi="宋体"/>
          <w:b/>
          <w:bCs/>
          <w:strike/>
          <w:dstrike w:val="0"/>
          <w:color w:val="auto"/>
          <w:kern w:val="0"/>
          <w:sz w:val="24"/>
          <w:szCs w:val="24"/>
          <w:highlight w:val="none"/>
        </w:rPr>
      </w:pPr>
      <w:r>
        <w:rPr>
          <w:rFonts w:hint="eastAsia" w:ascii="宋体" w:hAnsi="宋体" w:cs="仿宋"/>
          <w:b/>
          <w:bCs/>
          <w:strike/>
          <w:dstrike w:val="0"/>
          <w:color w:val="auto"/>
          <w:kern w:val="0"/>
          <w:sz w:val="24"/>
          <w:szCs w:val="24"/>
          <w:highlight w:val="none"/>
        </w:rPr>
        <w:t>方法二：区间抽取法</w:t>
      </w:r>
    </w:p>
    <w:p>
      <w:pPr>
        <w:widowControl/>
        <w:snapToGrid w:val="0"/>
        <w:spacing w:line="360" w:lineRule="auto"/>
        <w:ind w:firstLine="480" w:firstLineChars="200"/>
        <w:rPr>
          <w:rFonts w:ascii="宋体" w:hAnsi="宋体"/>
          <w:strike/>
          <w:dstrike w:val="0"/>
          <w:color w:val="auto"/>
          <w:kern w:val="0"/>
          <w:sz w:val="24"/>
          <w:szCs w:val="24"/>
          <w:highlight w:val="none"/>
        </w:rPr>
      </w:pPr>
      <w:r>
        <w:rPr>
          <w:rFonts w:hint="eastAsia" w:ascii="宋体" w:hAnsi="宋体" w:cs="仿宋"/>
          <w:strike/>
          <w:dstrike w:val="0"/>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strike/>
          <w:dstrike w:val="0"/>
          <w:color w:val="auto"/>
          <w:kern w:val="0"/>
          <w:sz w:val="24"/>
          <w:szCs w:val="24"/>
          <w:highlight w:val="none"/>
          <w:vertAlign w:val="subscript"/>
        </w:rPr>
      </w:pPr>
      <w:r>
        <w:rPr>
          <w:rFonts w:hint="eastAsia" w:ascii="宋体" w:hAnsi="宋体" w:cs="仿宋"/>
          <w:strike/>
          <w:dstrike w:val="0"/>
          <w:color w:val="auto"/>
          <w:kern w:val="0"/>
          <w:sz w:val="24"/>
          <w:szCs w:val="24"/>
          <w:highlight w:val="none"/>
        </w:rPr>
        <w:t>评标参考价</w:t>
      </w:r>
      <w:r>
        <w:rPr>
          <w:rFonts w:ascii="宋体" w:hAnsi="宋体" w:cs="仿宋"/>
          <w:strike/>
          <w:dstrike w:val="0"/>
          <w:color w:val="auto"/>
          <w:kern w:val="0"/>
          <w:sz w:val="24"/>
          <w:szCs w:val="24"/>
          <w:highlight w:val="none"/>
        </w:rPr>
        <w:t>=</w:t>
      </w:r>
      <w:r>
        <w:rPr>
          <w:rFonts w:hint="eastAsia" w:ascii="宋体" w:hAnsi="宋体" w:cs="仿宋"/>
          <w:strike/>
          <w:dstrike w:val="0"/>
          <w:color w:val="auto"/>
          <w:kern w:val="0"/>
          <w:sz w:val="24"/>
          <w:szCs w:val="24"/>
          <w:highlight w:val="none"/>
        </w:rPr>
        <w:t>（</w:t>
      </w: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高</w:t>
      </w: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低</w:t>
      </w:r>
      <w:r>
        <w:rPr>
          <w:rFonts w:hint="eastAsia" w:ascii="宋体" w:hAnsi="宋体" w:cs="仿宋"/>
          <w:strike/>
          <w:dstrike w:val="0"/>
          <w:color w:val="auto"/>
          <w:kern w:val="0"/>
          <w:sz w:val="24"/>
          <w:szCs w:val="24"/>
          <w:highlight w:val="none"/>
        </w:rPr>
        <w:t>）</w:t>
      </w:r>
      <w:r>
        <w:rPr>
          <w:rFonts w:ascii="宋体" w:hAnsi="宋体" w:cs="仿宋"/>
          <w:strike/>
          <w:dstrike w:val="0"/>
          <w:color w:val="auto"/>
          <w:kern w:val="0"/>
          <w:sz w:val="24"/>
          <w:szCs w:val="24"/>
          <w:highlight w:val="none"/>
        </w:rPr>
        <w:t>/100*</w:t>
      </w:r>
      <w:r>
        <w:rPr>
          <w:rFonts w:hint="eastAsia" w:ascii="宋体" w:hAnsi="宋体" w:cs="仿宋"/>
          <w:strike/>
          <w:dstrike w:val="0"/>
          <w:color w:val="auto"/>
          <w:kern w:val="0"/>
          <w:sz w:val="24"/>
          <w:szCs w:val="24"/>
          <w:highlight w:val="none"/>
        </w:rPr>
        <w:t>Ｘ</w:t>
      </w: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低</w:t>
      </w:r>
    </w:p>
    <w:p>
      <w:pPr>
        <w:widowControl/>
        <w:snapToGrid w:val="0"/>
        <w:spacing w:line="360" w:lineRule="auto"/>
        <w:ind w:firstLine="480" w:firstLineChars="200"/>
        <w:rPr>
          <w:rFonts w:ascii="宋体" w:hAnsi="宋体"/>
          <w:strike/>
          <w:dstrike w:val="0"/>
          <w:color w:val="auto"/>
          <w:sz w:val="24"/>
          <w:szCs w:val="24"/>
          <w:highlight w:val="none"/>
        </w:rPr>
      </w:pPr>
      <w:r>
        <w:rPr>
          <w:rFonts w:ascii="宋体" w:hAnsi="宋体" w:cs="仿宋"/>
          <w:strike/>
          <w:dstrike w:val="0"/>
          <w:color w:val="auto"/>
          <w:sz w:val="24"/>
          <w:szCs w:val="24"/>
          <w:highlight w:val="none"/>
        </w:rPr>
        <w:t>Q</w:t>
      </w:r>
      <w:r>
        <w:rPr>
          <w:rFonts w:hint="eastAsia" w:ascii="宋体" w:hAnsi="宋体" w:cs="仿宋"/>
          <w:strike/>
          <w:dstrike w:val="0"/>
          <w:color w:val="auto"/>
          <w:sz w:val="24"/>
          <w:szCs w:val="24"/>
          <w:highlight w:val="none"/>
          <w:vertAlign w:val="subscript"/>
        </w:rPr>
        <w:t>低</w:t>
      </w:r>
      <w:r>
        <w:rPr>
          <w:rFonts w:hint="eastAsia" w:ascii="宋体" w:hAnsi="宋体" w:cs="仿宋"/>
          <w:strike/>
          <w:dstrike w:val="0"/>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strike/>
          <w:dstrike w:val="0"/>
          <w:color w:val="auto"/>
          <w:sz w:val="24"/>
          <w:szCs w:val="24"/>
          <w:highlight w:val="none"/>
        </w:rPr>
      </w:pP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高</w:t>
      </w:r>
      <w:r>
        <w:rPr>
          <w:rFonts w:hint="eastAsia" w:ascii="宋体" w:hAnsi="宋体" w:cs="仿宋"/>
          <w:strike/>
          <w:dstrike w:val="0"/>
          <w:color w:val="auto"/>
          <w:sz w:val="24"/>
          <w:szCs w:val="24"/>
          <w:highlight w:val="none"/>
        </w:rPr>
        <w:t>：为（最高投标限价</w:t>
      </w:r>
      <w:r>
        <w:rPr>
          <w:rFonts w:ascii="宋体" w:hAnsi="宋体" w:cs="仿宋"/>
          <w:strike/>
          <w:dstrike w:val="0"/>
          <w:color w:val="auto"/>
          <w:sz w:val="24"/>
          <w:szCs w:val="24"/>
          <w:highlight w:val="none"/>
        </w:rPr>
        <w:t>*D%</w:t>
      </w:r>
      <w:r>
        <w:rPr>
          <w:rFonts w:hint="eastAsia" w:ascii="宋体" w:hAnsi="宋体" w:cs="仿宋"/>
          <w:strike/>
          <w:dstrike w:val="0"/>
          <w:color w:val="auto"/>
          <w:sz w:val="24"/>
          <w:szCs w:val="24"/>
          <w:highlight w:val="none"/>
        </w:rPr>
        <w:t>）（</w:t>
      </w:r>
      <w:r>
        <w:rPr>
          <w:rFonts w:ascii="宋体" w:hAnsi="宋体" w:cs="仿宋"/>
          <w:strike/>
          <w:dstrike w:val="0"/>
          <w:color w:val="auto"/>
          <w:sz w:val="24"/>
          <w:szCs w:val="24"/>
          <w:highlight w:val="none"/>
        </w:rPr>
        <w:t>D</w:t>
      </w:r>
      <w:r>
        <w:rPr>
          <w:rFonts w:hint="eastAsia" w:ascii="宋体" w:hAnsi="宋体" w:cs="仿宋"/>
          <w:strike/>
          <w:dstrike w:val="0"/>
          <w:color w:val="auto"/>
          <w:sz w:val="24"/>
          <w:szCs w:val="24"/>
          <w:highlight w:val="none"/>
        </w:rPr>
        <w:t>的取值范围为</w:t>
      </w:r>
      <w:r>
        <w:rPr>
          <w:rFonts w:ascii="宋体" w:hAnsi="宋体" w:cs="仿宋"/>
          <w:strike/>
          <w:dstrike w:val="0"/>
          <w:color w:val="auto"/>
          <w:sz w:val="24"/>
          <w:szCs w:val="24"/>
          <w:highlight w:val="none"/>
        </w:rPr>
        <w:t>[94,100],</w:t>
      </w:r>
      <w:r>
        <w:rPr>
          <w:rFonts w:hint="eastAsia" w:ascii="宋体" w:hAnsi="宋体" w:cs="仿宋"/>
          <w:strike/>
          <w:dstrike w:val="0"/>
          <w:color w:val="auto"/>
          <w:sz w:val="24"/>
          <w:szCs w:val="24"/>
          <w:highlight w:val="none"/>
        </w:rPr>
        <w:t>由招标人自定）</w:t>
      </w:r>
    </w:p>
    <w:p>
      <w:pPr>
        <w:spacing w:line="360" w:lineRule="auto"/>
        <w:ind w:firstLine="537" w:firstLineChars="224"/>
        <w:rPr>
          <w:rFonts w:hint="eastAsia" w:ascii="宋体" w:hAnsi="宋体" w:cs="仿宋"/>
          <w:strike/>
          <w:dstrike w:val="0"/>
          <w:color w:val="auto"/>
          <w:sz w:val="24"/>
          <w:szCs w:val="24"/>
          <w:highlight w:val="none"/>
        </w:rPr>
      </w:pPr>
      <w:r>
        <w:rPr>
          <w:rFonts w:ascii="宋体" w:hAnsi="宋体" w:cs="仿宋"/>
          <w:strike/>
          <w:dstrike w:val="0"/>
          <w:color w:val="auto"/>
          <w:sz w:val="24"/>
          <w:szCs w:val="24"/>
          <w:highlight w:val="none"/>
        </w:rPr>
        <w:t>X:</w:t>
      </w:r>
      <w:r>
        <w:rPr>
          <w:rFonts w:hint="eastAsia" w:ascii="宋体" w:hAnsi="宋体" w:cs="仿宋"/>
          <w:strike/>
          <w:dstrike w:val="0"/>
          <w:color w:val="auto"/>
          <w:sz w:val="24"/>
          <w:szCs w:val="24"/>
          <w:highlight w:val="none"/>
        </w:rPr>
        <w:t>为等分点值，在开标前从</w:t>
      </w:r>
      <w:r>
        <w:rPr>
          <w:rFonts w:ascii="宋体" w:hAnsi="宋体" w:cs="仿宋"/>
          <w:strike/>
          <w:dstrike w:val="0"/>
          <w:color w:val="auto"/>
          <w:sz w:val="24"/>
          <w:szCs w:val="24"/>
          <w:highlight w:val="none"/>
        </w:rPr>
        <w:t>[0,100]</w:t>
      </w:r>
      <w:r>
        <w:rPr>
          <w:rFonts w:hint="eastAsia" w:ascii="宋体" w:hAnsi="宋体" w:cs="仿宋"/>
          <w:strike/>
          <w:dstrike w:val="0"/>
          <w:color w:val="auto"/>
          <w:sz w:val="24"/>
          <w:szCs w:val="24"/>
          <w:highlight w:val="none"/>
        </w:rPr>
        <w:t>整数中随机抽取</w:t>
      </w:r>
    </w:p>
    <w:p>
      <w:pPr>
        <w:spacing w:line="360" w:lineRule="auto"/>
        <w:ind w:firstLine="480" w:firstLineChars="200"/>
        <w:rPr>
          <w:rFonts w:hint="eastAsia" w:ascii="宋体" w:hAnsi="宋体" w:cs="宋体"/>
          <w:color w:val="auto"/>
          <w:kern w:val="0"/>
          <w:sz w:val="24"/>
          <w:szCs w:val="24"/>
          <w:highlight w:val="none"/>
        </w:rPr>
      </w:pP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0.2</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0.1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r>
        <w:rPr>
          <w:rFonts w:hint="eastAsia" w:ascii="宋体" w:hAnsi="宋体" w:cs="宋体"/>
          <w:color w:val="auto"/>
          <w:sz w:val="24"/>
          <w:szCs w:val="24"/>
          <w:highlight w:val="none"/>
          <w:lang w:val="en-US" w:eastAsia="zh-CN"/>
        </w:rPr>
        <w:t xml:space="preserve">    </w:t>
      </w:r>
    </w:p>
    <w:p>
      <w:pPr>
        <w:pBdr>
          <w:bottom w:val="single" w:color="auto" w:sz="4" w:space="0"/>
        </w:pBdr>
        <w:spacing w:line="360" w:lineRule="auto"/>
        <w:ind w:firstLine="537" w:firstLineChars="224"/>
        <w:rPr>
          <w:rFonts w:hint="eastAsia"/>
          <w:color w:val="auto"/>
          <w:sz w:val="24"/>
          <w:szCs w:val="24"/>
          <w:highlight w:val="none"/>
        </w:rPr>
      </w:pPr>
      <w:r>
        <w:rPr>
          <w:rFonts w:hint="eastAsia" w:ascii="宋体" w:hAnsi="宋体" w:eastAsia="宋体" w:cs="宋体"/>
          <w:color w:val="auto"/>
          <w:kern w:val="0"/>
          <w:sz w:val="24"/>
          <w:szCs w:val="24"/>
          <w:highlight w:val="none"/>
        </w:rPr>
        <w:t>45.4</w:t>
      </w:r>
      <w:r>
        <w:rPr>
          <w:rFonts w:hint="eastAsia"/>
          <w:color w:val="auto"/>
          <w:sz w:val="24"/>
          <w:szCs w:val="24"/>
          <w:highlight w:val="none"/>
        </w:rPr>
        <w:t>计算通过技术标有效性审查的投标人总得分。</w:t>
      </w:r>
      <w:r>
        <w:rPr>
          <w:rFonts w:hint="eastAsia"/>
          <w:color w:val="auto"/>
          <w:sz w:val="24"/>
          <w:szCs w:val="24"/>
          <w:highlight w:val="none"/>
          <w:u w:val="single"/>
        </w:rPr>
        <w:t>投标人总得分（满分100）</w:t>
      </w:r>
      <w:r>
        <w:rPr>
          <w:rFonts w:hint="eastAsia"/>
          <w:color w:val="auto"/>
          <w:sz w:val="24"/>
          <w:szCs w:val="24"/>
          <w:highlight w:val="none"/>
          <w:u w:val="single"/>
          <w:lang w:val="en-US" w:eastAsia="zh-CN"/>
        </w:rPr>
        <w:t>=技术得分（满分100分）×技术得分权重（20%）＋经济得分（满分100分）×经济得分权重（80%）</w:t>
      </w:r>
      <w:r>
        <w:rPr>
          <w:rFonts w:hint="eastAsia"/>
          <w:color w:val="auto"/>
          <w:sz w:val="24"/>
          <w:szCs w:val="24"/>
          <w:highlight w:val="none"/>
        </w:rPr>
        <w:t>。技术、经济得分权重按投标须知前附表的规定执行。总得分四舍五入保留两位小数。</w:t>
      </w:r>
    </w:p>
    <w:p>
      <w:pPr>
        <w:pStyle w:val="50"/>
        <w:rPr>
          <w:rFonts w:hint="eastAsia"/>
          <w:color w:val="auto"/>
          <w:sz w:val="24"/>
          <w:szCs w:val="24"/>
          <w:highlight w:val="none"/>
        </w:rPr>
      </w:pP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条款号：48           修改类型：修改</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602" w:firstLineChars="25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评标委员会应在通过投标文件经济标有效性审查的投标人中，按步骤45.4确定的投标人</w:t>
      </w:r>
      <w:r>
        <w:rPr>
          <w:rFonts w:hint="eastAsia" w:ascii="宋体" w:hAnsi="宋体" w:cs="宋体"/>
          <w:color w:val="auto"/>
          <w:sz w:val="24"/>
          <w:szCs w:val="24"/>
          <w:highlight w:val="none"/>
          <w:u w:val="single"/>
        </w:rPr>
        <w:t>总得分由高到低进行排序</w:t>
      </w:r>
      <w:r>
        <w:rPr>
          <w:rFonts w:hint="eastAsia" w:ascii="宋体" w:hAnsi="宋体" w:cs="宋体"/>
          <w:color w:val="auto"/>
          <w:sz w:val="24"/>
          <w:szCs w:val="24"/>
          <w:highlight w:val="none"/>
        </w:rPr>
        <w:t>，推荐前3名依次为第一中标候选人至第三中标候选人,并编制评标报告。</w:t>
      </w:r>
      <w:r>
        <w:rPr>
          <w:rFonts w:hint="eastAsia" w:ascii="宋体" w:hAnsi="宋体" w:cs="宋体"/>
          <w:color w:val="auto"/>
          <w:sz w:val="24"/>
          <w:szCs w:val="24"/>
          <w:highlight w:val="none"/>
          <w:u w:val="single"/>
        </w:rPr>
        <w:t>总得分相同的投标文件，以技术分排名靠前的排前；如仍存在相同情况，则对具有相同情况的投标人，由评标委员会采用投票方式，确定中标候选人的排序。</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条款号：附表一《资格审查表》</w:t>
      </w:r>
      <w:r>
        <w:rPr>
          <w:rFonts w:hint="eastAsia" w:ascii="宋体" w:hAnsi="宋体" w:cs="宋体"/>
          <w:b/>
          <w:color w:val="auto"/>
          <w:sz w:val="24"/>
          <w:szCs w:val="24"/>
          <w:highlight w:val="none"/>
          <w:lang w:eastAsia="zh-CN"/>
        </w:rPr>
        <w:t xml:space="preserve"> </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修改类型：修改</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原文：见范本</w:t>
      </w:r>
    </w:p>
    <w:p>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现文：详见本招标文件：附表一《资格审查表》</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条款号：附表二《技术标有效性审查表》          </w:t>
      </w:r>
      <w:r>
        <w:rPr>
          <w:rFonts w:hint="eastAsia" w:ascii="宋体" w:hAnsi="宋体" w:cs="宋体"/>
          <w:b/>
          <w:color w:val="auto"/>
          <w:sz w:val="24"/>
          <w:szCs w:val="24"/>
          <w:highlight w:val="none"/>
          <w:lang w:eastAsia="zh-CN"/>
        </w:rPr>
        <w:t xml:space="preserve"> </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修改类型：修改</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原文：见范本</w:t>
      </w:r>
    </w:p>
    <w:p>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现文：详见本招标文件：附表二《技术标有效性审查表》</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条款号：附表三《经济标有效性审查表》            </w:t>
      </w:r>
      <w:r>
        <w:rPr>
          <w:rFonts w:hint="eastAsia" w:ascii="宋体" w:hAnsi="宋体" w:cs="宋体"/>
          <w:b/>
          <w:color w:val="auto"/>
          <w:sz w:val="24"/>
          <w:szCs w:val="24"/>
          <w:highlight w:val="none"/>
          <w:lang w:eastAsia="zh-CN"/>
        </w:rPr>
        <w:t xml:space="preserve"> </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修改类型：修改</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原文：见范本</w:t>
      </w:r>
    </w:p>
    <w:p>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现文：详见本招标文件：附表三《经济标有效性审查表》</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条款号：附表四《技术标详细审查评分表》            </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 xml:space="preserve"> 修改类型：修改</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原文：见范本</w:t>
      </w:r>
    </w:p>
    <w:p>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现文：详见本招标文件：附表四《技术标详细审查评分表》</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条款号：附表五（适用于区间抽取法）《经济标评分表》  </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修改类型：删除</w:t>
      </w:r>
    </w:p>
    <w:p>
      <w:pPr>
        <w:pBdr>
          <w:bottom w:val="single" w:color="auto" w:sz="6" w:space="1"/>
        </w:pBdr>
        <w:spacing w:line="360" w:lineRule="auto"/>
        <w:ind w:firstLine="602" w:firstLineChars="25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原</w:t>
      </w:r>
      <w:r>
        <w:rPr>
          <w:rFonts w:hint="eastAsia" w:ascii="宋体" w:hAnsi="宋体" w:cs="宋体"/>
          <w:b/>
          <w:color w:val="auto"/>
          <w:sz w:val="24"/>
          <w:szCs w:val="24"/>
          <w:highlight w:val="none"/>
        </w:rPr>
        <w:t>文：见范本</w:t>
      </w:r>
    </w:p>
    <w:p>
      <w:pPr>
        <w:spacing w:line="360" w:lineRule="auto"/>
        <w:ind w:firstLine="241" w:firstLineChars="100"/>
        <w:rPr>
          <w:rFonts w:hint="eastAsia"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（以下无正文）</w:t>
      </w:r>
    </w:p>
    <w:p>
      <w:pPr>
        <w:pStyle w:val="7"/>
        <w:spacing w:line="360" w:lineRule="auto"/>
        <w:rPr>
          <w:rFonts w:hint="eastAsia" w:ascii="宋体" w:hAnsi="宋体" w:cs="宋体"/>
          <w:color w:val="auto"/>
          <w:highlight w:val="none"/>
        </w:rPr>
      </w:pPr>
      <w:r>
        <w:rPr>
          <w:rFonts w:hint="eastAsia" w:ascii="宋体" w:hAnsi="宋体" w:cs="宋体"/>
          <w:color w:val="auto"/>
          <w:highlight w:val="none"/>
        </w:rPr>
        <w:br w:type="page"/>
      </w:r>
    </w:p>
    <w:p>
      <w:pPr>
        <w:pStyle w:val="4"/>
        <w:ind w:firstLine="525"/>
        <w:rPr>
          <w:rFonts w:hint="eastAsia" w:ascii="宋体" w:hAnsi="宋体" w:cs="宋体"/>
          <w:color w:val="auto"/>
          <w:highlight w:val="none"/>
        </w:rPr>
      </w:pPr>
      <w:bookmarkStart w:id="55" w:name="_Toc26697"/>
      <w:bookmarkStart w:id="56" w:name="_Toc12375"/>
      <w:bookmarkStart w:id="57" w:name="_Toc5467"/>
      <w:bookmarkStart w:id="58" w:name="_Toc23759"/>
      <w:bookmarkStart w:id="59" w:name="_Toc31902"/>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55"/>
      <w:bookmarkEnd w:id="56"/>
      <w:bookmarkEnd w:id="57"/>
      <w:bookmarkEnd w:id="58"/>
      <w:bookmarkEnd w:id="59"/>
    </w:p>
    <w:p>
      <w:pPr>
        <w:pStyle w:val="5"/>
        <w:spacing w:before="156" w:after="156"/>
        <w:ind w:firstLine="540" w:firstLineChars="200"/>
        <w:jc w:val="center"/>
        <w:rPr>
          <w:rFonts w:hint="eastAsia" w:cs="宋体"/>
          <w:color w:val="auto"/>
          <w:highlight w:val="none"/>
        </w:rPr>
      </w:pPr>
      <w:bookmarkStart w:id="60" w:name="_Toc5184"/>
      <w:bookmarkStart w:id="61" w:name="_Toc13959"/>
      <w:bookmarkStart w:id="62" w:name="_Toc486"/>
      <w:bookmarkStart w:id="63" w:name="_Toc26881"/>
      <w:bookmarkStart w:id="64" w:name="_Toc20516"/>
      <w:r>
        <w:rPr>
          <w:rFonts w:hint="eastAsia" w:cs="宋体"/>
          <w:color w:val="auto"/>
          <w:highlight w:val="none"/>
        </w:rPr>
        <w:t>（一）总则</w:t>
      </w:r>
      <w:bookmarkEnd w:id="60"/>
      <w:bookmarkEnd w:id="61"/>
      <w:bookmarkEnd w:id="62"/>
      <w:bookmarkEnd w:id="63"/>
      <w:bookmarkEnd w:id="64"/>
    </w:p>
    <w:p>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35 开标、评标及定标所依据的规则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35.7《广东省加强建设工程招标投标监督管理的若干规定》（粤发[2004]4号）；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35.8《广州市工程建设项目招标投标管理办法》（穗府办规〔2017〕5号）。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35.9本项目招标文件。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36．开标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若投标人不参加开标会的，其投标文件在开标现场的其他投标人或招标人代表、招标代理机构代表及交易中心代表见证下公开开启、解密、公布，并视同该投标人认可开标结果。</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36.5按下列程序进行开标：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36.5.1在投标截止时间后半小时内，投标人通过</w:t>
      </w:r>
      <w:r>
        <w:rPr>
          <w:rFonts w:hint="eastAsia" w:ascii="宋体" w:hAnsi="宋体" w:cs="宋体"/>
          <w:color w:val="auto"/>
          <w:sz w:val="24"/>
          <w:highlight w:val="none"/>
          <w:u w:val="single"/>
        </w:rPr>
        <w:t>广州公共资源交易中心交易平台（网址：http://www.gzggzy.cn）</w:t>
      </w:r>
      <w:r>
        <w:rPr>
          <w:rFonts w:hint="eastAsia" w:ascii="宋体" w:hAnsi="宋体" w:cs="宋体"/>
          <w:color w:val="auto"/>
          <w:sz w:val="24"/>
          <w:highlight w:val="none"/>
        </w:rPr>
        <w:t>对已递交的电子投标文件进行解密。投标人完成解密后，再由</w:t>
      </w:r>
      <w:r>
        <w:rPr>
          <w:rFonts w:hint="eastAsia" w:ascii="宋体" w:hAnsi="宋体" w:cs="宋体"/>
          <w:color w:val="auto"/>
          <w:sz w:val="24"/>
          <w:highlight w:val="none"/>
          <w:u w:val="single"/>
        </w:rPr>
        <w:t>招标人或招标代理机构</w:t>
      </w:r>
      <w:r>
        <w:rPr>
          <w:rFonts w:hint="eastAsia" w:ascii="宋体" w:hAnsi="宋体" w:cs="宋体"/>
          <w:color w:val="auto"/>
          <w:sz w:val="24"/>
          <w:highlight w:val="none"/>
        </w:rPr>
        <w:t>进行解密。解密完成后，公布招标项目名称、投标人名称、投标保证金的递交情况、投标报价、工期及其他内容；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36.5.2备用光盘的读取按投标须知前附表第36项的规定执行；</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36.5.3投标人代表、招标人代表、监标人、记录人等有关人员在开标记录上签字确认；若有关人员不签字的，不影响开标程序；</w:t>
      </w:r>
      <w:r>
        <w:rPr>
          <w:rFonts w:hint="eastAsia" w:ascii="宋体" w:hAnsi="宋体" w:cs="宋体"/>
          <w:color w:val="auto"/>
          <w:sz w:val="24"/>
          <w:highlight w:val="none"/>
          <w:u w:val="single"/>
        </w:rPr>
        <w:t>若投标人不参加开标会的，或不签字确认的，视同该投标人认可开标结果。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36.5.4开标结束。</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37．评标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37.2评标委员会的职责及守则：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37.2.1根据评标细则，对</w:t>
      </w:r>
      <w:r>
        <w:rPr>
          <w:rFonts w:hint="eastAsia" w:ascii="宋体" w:hAnsi="宋体" w:cs="宋体"/>
          <w:color w:val="auto"/>
          <w:sz w:val="24"/>
          <w:highlight w:val="none"/>
        </w:rPr>
        <w:t>投标文件</w:t>
      </w:r>
      <w:r>
        <w:rPr>
          <w:rFonts w:hint="eastAsia" w:ascii="宋体" w:hAnsi="宋体" w:cs="宋体"/>
          <w:color w:val="auto"/>
          <w:sz w:val="24"/>
          <w:szCs w:val="24"/>
          <w:highlight w:val="none"/>
        </w:rPr>
        <w:t>进行认真评审，完成评审报告；</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37.2.2向招标人报告评审意见，推荐合格的中标候选人。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37.2.3</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37.2.4全体参与评标人员：</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37.2.4.1 必须遵守评标纪律、不得泄密；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37.2.4.2 必须公正、不得循私；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37.2.4.3 必须科学、不得草率；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37.2.4.4 必须客观、不得带有成见；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37.2.4.5 必须平等、不得强加于人；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37.2.4.6 必须严谨、不得随意马虎。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37.3 评标结束后，评标委员会递交评标报告并依法推荐中标候选人。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38．投标文件的澄清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39．定标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39.1 招标人根据评标委员会递交的评标报告，最终审定中标人。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w:t>
      </w:r>
      <w:r>
        <w:rPr>
          <w:rFonts w:hint="eastAsia" w:ascii="宋体" w:hAnsi="宋体" w:cs="宋体"/>
          <w:color w:val="auto"/>
          <w:sz w:val="24"/>
          <w:szCs w:val="24"/>
          <w:highlight w:val="none"/>
          <w:u w:val="single"/>
        </w:rPr>
        <w:t>，或者被查实存在影响中标结果的违法行为等情形，不符合中标条件的，招标人可以按照评标委员会推荐的中标候选人名单排序依次确定其他中标候选人为中标人，也可以重新招标。</w:t>
      </w:r>
    </w:p>
    <w:p>
      <w:pPr>
        <w:spacing w:line="360" w:lineRule="auto"/>
        <w:ind w:firstLine="480" w:firstLineChars="200"/>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spacing w:line="360" w:lineRule="auto"/>
        <w:jc w:val="center"/>
        <w:outlineLvl w:val="2"/>
        <w:rPr>
          <w:rFonts w:hint="eastAsia" w:cs="宋体"/>
          <w:strike/>
          <w:color w:val="auto"/>
          <w:sz w:val="27"/>
          <w:szCs w:val="27"/>
          <w:highlight w:val="none"/>
        </w:rPr>
      </w:pPr>
      <w:bookmarkStart w:id="65" w:name="_Toc26960"/>
      <w:bookmarkStart w:id="66" w:name="_Toc15636"/>
      <w:bookmarkStart w:id="67" w:name="_Toc16714"/>
      <w:bookmarkStart w:id="68" w:name="_Toc19494"/>
      <w:bookmarkStart w:id="69" w:name="_Toc4144"/>
      <w:r>
        <w:rPr>
          <w:rFonts w:hint="eastAsia" w:cs="宋体"/>
          <w:color w:val="auto"/>
          <w:sz w:val="27"/>
          <w:szCs w:val="27"/>
          <w:highlight w:val="none"/>
        </w:rPr>
        <w:t>（二）开标评标办法程序和细则</w:t>
      </w:r>
      <w:bookmarkEnd w:id="65"/>
      <w:bookmarkEnd w:id="66"/>
      <w:bookmarkEnd w:id="67"/>
      <w:bookmarkEnd w:id="68"/>
      <w:bookmarkEnd w:id="69"/>
    </w:p>
    <w:p>
      <w:pPr>
        <w:pStyle w:val="5"/>
        <w:spacing w:before="156" w:after="156"/>
        <w:ind w:firstLine="540" w:firstLineChars="200"/>
        <w:jc w:val="both"/>
        <w:rPr>
          <w:rFonts w:hint="eastAsia" w:cs="宋体"/>
          <w:color w:val="auto"/>
          <w:highlight w:val="none"/>
        </w:rPr>
      </w:pPr>
      <w:bookmarkStart w:id="70" w:name="_Toc13953"/>
      <w:bookmarkStart w:id="71" w:name="_Toc10312"/>
      <w:bookmarkStart w:id="72" w:name="_Toc5537"/>
      <w:bookmarkStart w:id="73" w:name="_Toc32515"/>
      <w:bookmarkStart w:id="74" w:name="_Toc727"/>
      <w:r>
        <w:rPr>
          <w:rFonts w:hint="eastAsia" w:cs="宋体"/>
          <w:color w:val="auto"/>
          <w:highlight w:val="none"/>
        </w:rPr>
        <w:t>可选办法七（适合综合评分法四，技术标与经济标同时开启）</w:t>
      </w:r>
      <w:bookmarkEnd w:id="70"/>
      <w:bookmarkEnd w:id="71"/>
      <w:bookmarkEnd w:id="72"/>
      <w:bookmarkEnd w:id="73"/>
      <w:bookmarkEnd w:id="74"/>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40．开标和评标程序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40.1技术标（含资格审查文件）与经济标投标文件同时公开开标；</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40.2由评标委员会对所有已公开开标的投标人进行资格审查；</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40.3技术标投标文件有效性审查；</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40.4技术标详细审查评分；</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40.5经济标详细审查评分； </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40.6评标委员会按照投标人总得分由高至低排序；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40.7经济标投标文件有效性审查；</w:t>
      </w:r>
    </w:p>
    <w:p>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41．开标细则</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w:t>
      </w:r>
      <w:r>
        <w:rPr>
          <w:rFonts w:hint="eastAsia" w:ascii="宋体" w:hAnsi="宋体" w:cs="宋体"/>
          <w:color w:val="auto"/>
          <w:sz w:val="24"/>
          <w:highlight w:val="none"/>
        </w:rPr>
        <w:t>开标由</w:t>
      </w:r>
      <w:r>
        <w:rPr>
          <w:rFonts w:hint="eastAsia" w:ascii="宋体" w:hAnsi="宋体" w:cs="宋体"/>
          <w:color w:val="auto"/>
          <w:sz w:val="24"/>
          <w:highlight w:val="none"/>
          <w:u w:val="single"/>
        </w:rPr>
        <w:t>招标人或招标代理</w:t>
      </w:r>
      <w:r>
        <w:rPr>
          <w:rFonts w:hint="eastAsia" w:ascii="宋体" w:hAnsi="宋体" w:cs="宋体"/>
          <w:color w:val="auto"/>
          <w:sz w:val="24"/>
          <w:highlight w:val="none"/>
        </w:rPr>
        <w:t>主持；</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 细则</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41.2.1投标截止期前，各投标人递交投标文件（包括技术标投标文件（含资格审查文件）、经济标投标文件）至</w:t>
      </w:r>
      <w:r>
        <w:rPr>
          <w:rFonts w:hint="eastAsia" w:ascii="宋体" w:hAnsi="宋体" w:cs="宋体"/>
          <w:color w:val="auto"/>
          <w:sz w:val="24"/>
          <w:szCs w:val="24"/>
          <w:highlight w:val="none"/>
          <w:u w:val="single"/>
        </w:rPr>
        <w:t>广州公共资源交易中心（网址：http://www.gzggzy.cn）</w:t>
      </w:r>
      <w:r>
        <w:rPr>
          <w:rFonts w:hint="eastAsia" w:ascii="宋体" w:hAnsi="宋体" w:cs="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41.2.2开标前，首先由招标人</w:t>
      </w:r>
      <w:r>
        <w:rPr>
          <w:rFonts w:hint="eastAsia" w:ascii="宋体"/>
          <w:strike/>
          <w:dstrike w:val="0"/>
          <w:color w:val="auto"/>
          <w:sz w:val="24"/>
          <w:szCs w:val="24"/>
          <w:highlight w:val="none"/>
          <w:u w:val="single"/>
        </w:rPr>
        <w:t>或招标代理</w:t>
      </w:r>
      <w:r>
        <w:rPr>
          <w:rFonts w:hint="eastAsia" w:ascii="宋体" w:hAnsi="宋体" w:cs="宋体"/>
          <w:strike/>
          <w:dstrike w:val="0"/>
          <w:color w:val="auto"/>
          <w:sz w:val="24"/>
          <w:szCs w:val="24"/>
          <w:highlight w:val="none"/>
        </w:rPr>
        <w:t>随机抽取确定该工程计算评标参考价的等分点值X。</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41.2.4.1开标时，公布：a、投标人名称；b、</w:t>
      </w:r>
      <w:r>
        <w:rPr>
          <w:rFonts w:hint="eastAsia" w:ascii="宋体" w:hAnsi="宋体" w:cs="宋体"/>
          <w:color w:val="auto"/>
          <w:sz w:val="24"/>
          <w:highlight w:val="none"/>
        </w:rPr>
        <w:t>投标文件</w:t>
      </w:r>
      <w:r>
        <w:rPr>
          <w:rFonts w:hint="eastAsia" w:ascii="宋体" w:hAnsi="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41.3招标人</w:t>
      </w:r>
      <w:r>
        <w:rPr>
          <w:rFonts w:hint="eastAsia" w:ascii="宋体" w:hAnsi="宋体" w:cs="宋体"/>
          <w:color w:val="auto"/>
          <w:sz w:val="24"/>
          <w:szCs w:val="24"/>
          <w:highlight w:val="none"/>
          <w:u w:val="single"/>
        </w:rPr>
        <w:t>或招标代理</w:t>
      </w:r>
      <w:r>
        <w:rPr>
          <w:rFonts w:hint="eastAsia" w:ascii="宋体" w:hAnsi="宋体" w:cs="宋体"/>
          <w:color w:val="auto"/>
          <w:sz w:val="24"/>
          <w:szCs w:val="24"/>
          <w:highlight w:val="none"/>
        </w:rPr>
        <w:t>对开标过程进行记录，并存档备查，投标人在技术标开标记录上签字。</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41.4 招标人</w:t>
      </w:r>
      <w:r>
        <w:rPr>
          <w:rFonts w:hint="eastAsia" w:ascii="宋体" w:hAnsi="宋体" w:cs="宋体"/>
          <w:color w:val="auto"/>
          <w:sz w:val="24"/>
          <w:szCs w:val="24"/>
          <w:highlight w:val="none"/>
          <w:u w:val="single"/>
        </w:rPr>
        <w:t>或招标代理</w:t>
      </w:r>
      <w:r>
        <w:rPr>
          <w:rFonts w:hint="eastAsia" w:ascii="宋体" w:hAnsi="宋体" w:cs="宋体"/>
          <w:color w:val="auto"/>
          <w:sz w:val="24"/>
          <w:szCs w:val="24"/>
          <w:highlight w:val="none"/>
        </w:rPr>
        <w:t>将上述符合要求的投标文件，送至评标委员会进行评审。</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 资格审查及评标细则</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42.1资格审查及评标均由招标人依法组建的评标委员会负责。</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42.2评标委员会的组成：方式</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pStyle w:val="50"/>
        <w:tabs>
          <w:tab w:val="left" w:pos="7380"/>
        </w:tabs>
        <w:snapToGrid w:val="0"/>
        <w:spacing w:after="0" w:line="360" w:lineRule="auto"/>
        <w:ind w:firstLine="480" w:firstLineChars="200"/>
        <w:rPr>
          <w:rFonts w:hint="eastAsia"/>
          <w:color w:val="auto"/>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43．投标人资格审查</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43.2汇总资格审查情况，编写资格审查报告。</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43.3资格审查不合格的投标文件不参加下一阶段的评标，不参与评标参考价的计算。</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43.6资格审查合格的投标人少于3名的（当N个标段同时招标且不允许兼中时，资格审查合格的投标人少于N+2名），则本项目招标失败。</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44．技术标评审</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45．经济标评审和得分汇总</w:t>
      </w:r>
    </w:p>
    <w:p>
      <w:pPr>
        <w:pStyle w:val="50"/>
        <w:tabs>
          <w:tab w:val="left" w:pos="7380"/>
        </w:tabs>
        <w:snapToGrid w:val="0"/>
        <w:spacing w:after="0" w:line="360" w:lineRule="auto"/>
        <w:ind w:firstLine="480" w:firstLineChars="200"/>
        <w:rPr>
          <w:rFonts w:hint="eastAsia" w:ascii="宋体" w:hAnsi="宋体"/>
          <w:color w:val="auto"/>
          <w:sz w:val="24"/>
          <w:szCs w:val="24"/>
          <w:highlight w:val="none"/>
          <w:lang w:eastAsia="zh-CN"/>
        </w:rPr>
      </w:pPr>
      <w:r>
        <w:rPr>
          <w:rFonts w:hint="eastAsia" w:ascii="宋体" w:hAnsi="宋体" w:cs="宋体"/>
          <w:color w:val="auto"/>
          <w:sz w:val="24"/>
          <w:szCs w:val="24"/>
          <w:highlight w:val="none"/>
        </w:rPr>
        <w:t>45.1</w:t>
      </w:r>
      <w:r>
        <w:rPr>
          <w:rFonts w:hint="eastAsia" w:ascii="宋体" w:hAnsi="宋体"/>
          <w:color w:val="auto"/>
          <w:sz w:val="24"/>
          <w:szCs w:val="24"/>
          <w:highlight w:val="none"/>
        </w:rPr>
        <w:t>若通过技术标有效性审查的投标人中所有投标报价均大于等于最高投标限价*</w:t>
      </w:r>
      <w:r>
        <w:rPr>
          <w:rFonts w:hint="eastAsia" w:ascii="宋体" w:hAnsi="宋体"/>
          <w:color w:val="auto"/>
          <w:sz w:val="24"/>
          <w:szCs w:val="24"/>
          <w:highlight w:val="none"/>
          <w:lang w:val="en-US" w:eastAsia="zh-CN"/>
        </w:rPr>
        <w:t>100</w:t>
      </w:r>
      <w:r>
        <w:rPr>
          <w:rFonts w:hint="eastAsia" w:ascii="宋体" w:hAnsi="宋体"/>
          <w:color w:val="auto"/>
          <w:sz w:val="24"/>
          <w:szCs w:val="24"/>
          <w:highlight w:val="none"/>
        </w:rPr>
        <w:t>%的（具体金额为</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4999668.64</w:t>
      </w:r>
      <w:r>
        <w:rPr>
          <w:rFonts w:hint="eastAsia" w:ascii="宋体" w:hAnsi="宋体"/>
          <w:color w:val="auto"/>
          <w:sz w:val="24"/>
          <w:szCs w:val="24"/>
          <w:highlight w:val="none"/>
          <w:u w:val="single"/>
          <w:lang w:val="en-US" w:eastAsia="zh-CN"/>
        </w:rPr>
        <w:t>元</w:t>
      </w:r>
      <w:r>
        <w:rPr>
          <w:rFonts w:hint="eastAsia" w:ascii="宋体" w:hAnsi="宋体"/>
          <w:color w:val="auto"/>
          <w:sz w:val="24"/>
          <w:szCs w:val="24"/>
          <w:highlight w:val="none"/>
        </w:rPr>
        <w:t>），则本项目招标失败，由招标人依法重新招标。</w:t>
      </w:r>
    </w:p>
    <w:p>
      <w:pPr>
        <w:pStyle w:val="50"/>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lang w:val="en-US" w:eastAsia="zh-CN"/>
        </w:rPr>
        <w:t>45.2</w:t>
      </w:r>
      <w:r>
        <w:rPr>
          <w:rFonts w:hint="eastAsia" w:ascii="宋体" w:hAnsi="宋体"/>
          <w:color w:val="auto"/>
          <w:sz w:val="24"/>
          <w:szCs w:val="24"/>
          <w:highlight w:val="none"/>
        </w:rPr>
        <w:t>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440" w:lineRule="exact"/>
        <w:ind w:firstLine="442" w:firstLineChars="200"/>
        <w:rPr>
          <w:rFonts w:ascii="宋体" w:hAnsi="宋体"/>
          <w:b/>
          <w:bCs/>
          <w:color w:val="auto"/>
          <w:kern w:val="0"/>
          <w:sz w:val="22"/>
          <w:highlight w:val="none"/>
        </w:rPr>
      </w:pPr>
      <w:r>
        <w:rPr>
          <w:rFonts w:hint="eastAsia" w:ascii="宋体" w:hAnsi="宋体" w:cs="仿宋"/>
          <w:b/>
          <w:bCs/>
          <w:color w:val="auto"/>
          <w:kern w:val="0"/>
          <w:sz w:val="22"/>
          <w:highlight w:val="none"/>
        </w:rPr>
        <w:t>方法一：加权平均法</w:t>
      </w:r>
    </w:p>
    <w:p>
      <w:pPr>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u w:val="single"/>
        </w:rPr>
        <w:t>技术标得分前N名（当通过技术标投标文件有效性审查的投标人家数小于5家的，N取通过技术</w:t>
      </w:r>
      <w:r>
        <w:rPr>
          <w:rFonts w:ascii="宋体" w:hAnsi="宋体" w:cs="仿宋"/>
          <w:color w:val="auto"/>
          <w:sz w:val="24"/>
          <w:szCs w:val="24"/>
          <w:highlight w:val="none"/>
          <w:u w:val="single"/>
        </w:rPr>
        <w:t>标</w:t>
      </w:r>
      <w:r>
        <w:rPr>
          <w:rFonts w:hint="eastAsia" w:ascii="宋体" w:hAnsi="宋体" w:cs="仿宋"/>
          <w:color w:val="auto"/>
          <w:sz w:val="24"/>
          <w:szCs w:val="24"/>
          <w:highlight w:val="none"/>
          <w:u w:val="single"/>
        </w:rPr>
        <w:t>投标文件有效性审查的全部家数；当通过技术</w:t>
      </w:r>
      <w:r>
        <w:rPr>
          <w:rFonts w:ascii="宋体" w:hAnsi="宋体" w:cs="仿宋"/>
          <w:color w:val="auto"/>
          <w:sz w:val="24"/>
          <w:szCs w:val="24"/>
          <w:highlight w:val="none"/>
          <w:u w:val="single"/>
        </w:rPr>
        <w:t>标</w:t>
      </w:r>
      <w:r>
        <w:rPr>
          <w:rFonts w:hint="eastAsia" w:ascii="宋体" w:hAnsi="宋体" w:cs="仿宋"/>
          <w:color w:val="auto"/>
          <w:sz w:val="24"/>
          <w:szCs w:val="24"/>
          <w:highlight w:val="none"/>
          <w:u w:val="single"/>
        </w:rPr>
        <w:t>投标文件有效性审查的投标人家数大于或等于5家的，N=5）</w:t>
      </w:r>
      <w:r>
        <w:rPr>
          <w:rFonts w:hint="eastAsia" w:ascii="宋体" w:hAnsi="宋体" w:cs="仿宋"/>
          <w:color w:val="auto"/>
          <w:sz w:val="24"/>
          <w:szCs w:val="24"/>
          <w:highlight w:val="none"/>
        </w:rPr>
        <w:t>的经济报价加权平均，计算评标参考价，公式如下：</w:t>
      </w:r>
    </w:p>
    <w:p>
      <w:pPr>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u w:val="singl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w:t>
      </w:r>
      <w:r>
        <w:rPr>
          <w:rFonts w:hint="eastAsia" w:ascii="宋体" w:hAnsi="宋体" w:cs="仿宋"/>
          <w:color w:val="auto"/>
          <w:sz w:val="24"/>
          <w:szCs w:val="24"/>
          <w:highlight w:val="none"/>
          <w:u w:val="single"/>
        </w:rPr>
        <w:t>的权重为（</w:t>
      </w:r>
      <w:r>
        <w:rPr>
          <w:rFonts w:ascii="宋体" w:hAnsi="宋体" w:cs="仿宋"/>
          <w:color w:val="auto"/>
          <w:sz w:val="24"/>
          <w:szCs w:val="24"/>
          <w:highlight w:val="none"/>
          <w:u w:val="single"/>
        </w:rPr>
        <w:fldChar w:fldCharType="begin"/>
      </w:r>
      <w:r>
        <w:rPr>
          <w:rFonts w:ascii="宋体" w:hAnsi="宋体" w:cs="仿宋"/>
          <w:color w:val="auto"/>
          <w:sz w:val="24"/>
          <w:szCs w:val="24"/>
          <w:highlight w:val="none"/>
          <w:u w:val="single"/>
        </w:rPr>
        <w:instrText xml:space="preserve"> QUOTE </w:instrText>
      </w:r>
      <w:r>
        <w:rPr>
          <w:rFonts w:ascii="宋体" w:hAnsi="宋体"/>
          <w:color w:val="auto"/>
          <w:sz w:val="24"/>
          <w:szCs w:val="24"/>
          <w:highlight w:val="none"/>
          <w:u w:val="single"/>
        </w:rPr>
        <w:drawing>
          <wp:inline distT="0" distB="0" distL="114300" distR="114300">
            <wp:extent cx="381000" cy="447675"/>
            <wp:effectExtent l="0" t="0" r="0" b="889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olor w:val="auto"/>
          <w:sz w:val="24"/>
          <w:szCs w:val="24"/>
          <w:highlight w:val="none"/>
          <w:u w:val="single"/>
        </w:rPr>
        <w:instrText xml:space="preserve"> \* MERGEFORMAT </w:instrText>
      </w:r>
      <w:r>
        <w:rPr>
          <w:rFonts w:ascii="宋体" w:hAnsi="宋体" w:cs="仿宋"/>
          <w:color w:val="auto"/>
          <w:sz w:val="24"/>
          <w:szCs w:val="24"/>
          <w:highlight w:val="none"/>
          <w:u w:val="single"/>
        </w:rPr>
        <w:fldChar w:fldCharType="separate"/>
      </w:r>
      <w:r>
        <w:rPr>
          <w:rFonts w:ascii="宋体" w:hAnsi="宋体"/>
          <w:color w:val="auto"/>
          <w:sz w:val="24"/>
          <w:szCs w:val="24"/>
          <w:highlight w:val="none"/>
          <w:u w:val="single"/>
        </w:rPr>
        <w:drawing>
          <wp:inline distT="0" distB="0" distL="114300" distR="114300">
            <wp:extent cx="219075" cy="259715"/>
            <wp:effectExtent l="0" t="0" r="9525" b="6985"/>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219075" cy="259715"/>
                    </a:xfrm>
                    <a:prstGeom prst="rect">
                      <a:avLst/>
                    </a:prstGeom>
                    <a:noFill/>
                    <a:ln>
                      <a:noFill/>
                    </a:ln>
                  </pic:spPr>
                </pic:pic>
              </a:graphicData>
            </a:graphic>
          </wp:inline>
        </w:drawing>
      </w:r>
      <w:r>
        <w:rPr>
          <w:rFonts w:ascii="宋体" w:hAnsi="宋体" w:cs="仿宋"/>
          <w:color w:val="auto"/>
          <w:sz w:val="24"/>
          <w:szCs w:val="24"/>
          <w:highlight w:val="none"/>
          <w:u w:val="single"/>
        </w:rPr>
        <w:fldChar w:fldCharType="end"/>
      </w:r>
      <w:r>
        <w:rPr>
          <w:rFonts w:hint="eastAsia" w:ascii="宋体" w:hAnsi="宋体" w:cs="仿宋"/>
          <w:color w:val="auto"/>
          <w:sz w:val="24"/>
          <w:szCs w:val="24"/>
          <w:highlight w:val="none"/>
          <w:u w:val="single"/>
        </w:rPr>
        <w:t>），第二名投标人的权重为（</w:t>
      </w:r>
      <w:r>
        <w:rPr>
          <w:rFonts w:ascii="宋体" w:hAnsi="宋体" w:cs="仿宋"/>
          <w:color w:val="auto"/>
          <w:sz w:val="24"/>
          <w:szCs w:val="24"/>
          <w:highlight w:val="none"/>
          <w:u w:val="single"/>
        </w:rPr>
        <w:fldChar w:fldCharType="begin"/>
      </w:r>
      <w:r>
        <w:rPr>
          <w:rFonts w:ascii="宋体" w:hAnsi="宋体" w:cs="仿宋"/>
          <w:color w:val="auto"/>
          <w:sz w:val="24"/>
          <w:szCs w:val="24"/>
          <w:highlight w:val="none"/>
          <w:u w:val="single"/>
        </w:rPr>
        <w:instrText xml:space="preserve"> QUOTE </w:instrText>
      </w:r>
      <w:r>
        <w:rPr>
          <w:rFonts w:ascii="宋体" w:hAnsi="宋体"/>
          <w:color w:val="auto"/>
          <w:position w:val="-23"/>
          <w:sz w:val="24"/>
          <w:szCs w:val="24"/>
          <w:highlight w:val="none"/>
          <w:u w:val="single"/>
        </w:rPr>
        <w:drawing>
          <wp:inline distT="0" distB="0" distL="114300" distR="114300">
            <wp:extent cx="323850" cy="400050"/>
            <wp:effectExtent l="0" t="0" r="0" b="0"/>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olor w:val="auto"/>
          <w:position w:val="-23"/>
          <w:sz w:val="24"/>
          <w:szCs w:val="24"/>
          <w:highlight w:val="none"/>
          <w:u w:val="single"/>
        </w:rPr>
        <w:instrText xml:space="preserve"> \* MERGEFORMAT </w:instrText>
      </w:r>
      <w:r>
        <w:rPr>
          <w:rFonts w:ascii="宋体" w:hAnsi="宋体" w:cs="仿宋"/>
          <w:color w:val="auto"/>
          <w:sz w:val="24"/>
          <w:szCs w:val="24"/>
          <w:highlight w:val="none"/>
          <w:u w:val="single"/>
        </w:rPr>
        <w:fldChar w:fldCharType="separate"/>
      </w:r>
      <w:r>
        <w:rPr>
          <w:rFonts w:ascii="宋体" w:hAnsi="宋体"/>
          <w:color w:val="auto"/>
          <w:position w:val="-23"/>
          <w:sz w:val="24"/>
          <w:szCs w:val="24"/>
          <w:highlight w:val="none"/>
          <w:u w:val="single"/>
        </w:rPr>
        <w:drawing>
          <wp:inline distT="0" distB="0" distL="114300" distR="114300">
            <wp:extent cx="217170" cy="273050"/>
            <wp:effectExtent l="0" t="0" r="11430" b="13335"/>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217170" cy="273050"/>
                    </a:xfrm>
                    <a:prstGeom prst="rect">
                      <a:avLst/>
                    </a:prstGeom>
                    <a:noFill/>
                    <a:ln>
                      <a:noFill/>
                    </a:ln>
                  </pic:spPr>
                </pic:pic>
              </a:graphicData>
            </a:graphic>
          </wp:inline>
        </w:drawing>
      </w:r>
      <w:r>
        <w:rPr>
          <w:rFonts w:ascii="宋体" w:hAnsi="宋体" w:cs="仿宋"/>
          <w:color w:val="auto"/>
          <w:sz w:val="24"/>
          <w:szCs w:val="24"/>
          <w:highlight w:val="none"/>
          <w:u w:val="single"/>
        </w:rPr>
        <w:fldChar w:fldCharType="end"/>
      </w:r>
      <w:r>
        <w:rPr>
          <w:rFonts w:hint="eastAsia" w:ascii="宋体" w:hAnsi="宋体" w:cs="仿宋"/>
          <w:color w:val="auto"/>
          <w:sz w:val="24"/>
          <w:szCs w:val="24"/>
          <w:highlight w:val="none"/>
          <w:u w:val="single"/>
        </w:rPr>
        <w:t>），以此类推，最后一名投标人的权重为（</w:t>
      </w:r>
      <w:r>
        <w:rPr>
          <w:rFonts w:ascii="宋体" w:hAnsi="宋体" w:cs="仿宋"/>
          <w:color w:val="auto"/>
          <w:sz w:val="24"/>
          <w:szCs w:val="24"/>
          <w:highlight w:val="none"/>
          <w:u w:val="single"/>
        </w:rPr>
        <w:fldChar w:fldCharType="begin"/>
      </w:r>
      <w:r>
        <w:rPr>
          <w:rFonts w:ascii="宋体" w:hAnsi="宋体" w:cs="仿宋"/>
          <w:color w:val="auto"/>
          <w:sz w:val="24"/>
          <w:szCs w:val="24"/>
          <w:highlight w:val="none"/>
          <w:u w:val="single"/>
        </w:rPr>
        <w:instrText xml:space="preserve"> QUOTE </w:instrText>
      </w:r>
      <w:r>
        <w:rPr>
          <w:rFonts w:ascii="宋体" w:hAnsi="宋体"/>
          <w:color w:val="auto"/>
          <w:position w:val="-23"/>
          <w:sz w:val="24"/>
          <w:szCs w:val="24"/>
          <w:highlight w:val="none"/>
          <w:u w:val="single"/>
        </w:rPr>
        <w:drawing>
          <wp:inline distT="0" distB="0" distL="114300" distR="114300">
            <wp:extent cx="323850" cy="400050"/>
            <wp:effectExtent l="0" t="0" r="0" b="0"/>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olor w:val="auto"/>
          <w:position w:val="-23"/>
          <w:sz w:val="24"/>
          <w:szCs w:val="24"/>
          <w:highlight w:val="none"/>
          <w:u w:val="single"/>
        </w:rPr>
        <w:instrText xml:space="preserve"> \* MERGEFORMAT </w:instrText>
      </w:r>
      <w:r>
        <w:rPr>
          <w:rFonts w:ascii="宋体" w:hAnsi="宋体" w:cs="仿宋"/>
          <w:color w:val="auto"/>
          <w:sz w:val="24"/>
          <w:szCs w:val="24"/>
          <w:highlight w:val="none"/>
          <w:u w:val="single"/>
        </w:rPr>
        <w:fldChar w:fldCharType="separate"/>
      </w:r>
      <w:r>
        <w:rPr>
          <w:rFonts w:ascii="宋体" w:hAnsi="宋体"/>
          <w:color w:val="auto"/>
          <w:position w:val="-23"/>
          <w:sz w:val="24"/>
          <w:szCs w:val="24"/>
          <w:highlight w:val="none"/>
          <w:u w:val="single"/>
        </w:rPr>
        <w:object>
          <v:shape id="_x0000_i1026" o:spt="75" type="#_x0000_t75" style="height:31.5pt;width:24.05pt;" o:ole="t" filled="f" stroked="f" coordsize="21600,21600">
            <v:path/>
            <v:fill on="f" focussize="0,0"/>
            <v:stroke on="f"/>
            <v:imagedata r:id="rId31" o:title=""/>
            <o:lock v:ext="edit" aspectratio="t"/>
            <w10:wrap type="none"/>
            <w10:anchorlock/>
          </v:shape>
          <o:OLEObject Type="Embed" ProgID="Word.Document.12" ShapeID="_x0000_i1026" DrawAspect="Content" ObjectID="_1468075726" r:id="rId32">
            <o:LockedField>false</o:LockedField>
          </o:OLEObject>
        </w:object>
      </w:r>
      <w:r>
        <w:rPr>
          <w:rFonts w:ascii="宋体" w:hAnsi="宋体" w:cs="仿宋"/>
          <w:color w:val="auto"/>
          <w:sz w:val="24"/>
          <w:szCs w:val="24"/>
          <w:highlight w:val="none"/>
          <w:u w:val="single"/>
        </w:rPr>
        <w:fldChar w:fldCharType="end"/>
      </w:r>
      <w:r>
        <w:rPr>
          <w:rFonts w:hint="eastAsia" w:ascii="宋体" w:hAnsi="宋体" w:cs="仿宋"/>
          <w:color w:val="auto"/>
          <w:sz w:val="24"/>
          <w:szCs w:val="24"/>
          <w:highlight w:val="none"/>
          <w:u w:val="single"/>
        </w:rPr>
        <w:t>）。</w:t>
      </w:r>
    </w:p>
    <w:p>
      <w:pPr>
        <w:spacing w:line="440" w:lineRule="exact"/>
        <w:ind w:firstLine="480" w:firstLineChars="200"/>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技术标得分相同的，以投标报价较低的排前；技术标得分与投标报价均相同的投标人，由评标委员会采用记名投票方式，确定投标人的排序。</w:t>
      </w:r>
    </w:p>
    <w:p>
      <w:pPr>
        <w:spacing w:line="440" w:lineRule="exact"/>
        <w:ind w:firstLine="480" w:firstLineChars="200"/>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注：投票方式确定排序的具体操作步骤为：由评标委员会对出现该情况的投标人进行编号，然后通过投票方式依次确定投标人的排序。</w:t>
      </w:r>
    </w:p>
    <w:p>
      <w:pPr>
        <w:widowControl/>
        <w:spacing w:line="360" w:lineRule="auto"/>
        <w:ind w:firstLine="482" w:firstLineChars="200"/>
        <w:rPr>
          <w:rFonts w:ascii="宋体" w:hAnsi="宋体"/>
          <w:b/>
          <w:bCs/>
          <w:strike/>
          <w:dstrike w:val="0"/>
          <w:color w:val="auto"/>
          <w:kern w:val="0"/>
          <w:sz w:val="24"/>
          <w:szCs w:val="24"/>
          <w:highlight w:val="none"/>
        </w:rPr>
      </w:pPr>
      <w:r>
        <w:rPr>
          <w:rFonts w:hint="eastAsia" w:ascii="宋体" w:hAnsi="宋体" w:cs="仿宋"/>
          <w:b/>
          <w:bCs/>
          <w:strike/>
          <w:dstrike w:val="0"/>
          <w:color w:val="auto"/>
          <w:kern w:val="0"/>
          <w:sz w:val="24"/>
          <w:szCs w:val="24"/>
          <w:highlight w:val="none"/>
        </w:rPr>
        <w:t>方法二：区间抽取法</w:t>
      </w:r>
    </w:p>
    <w:p>
      <w:pPr>
        <w:widowControl/>
        <w:snapToGrid w:val="0"/>
        <w:spacing w:line="360" w:lineRule="auto"/>
        <w:ind w:firstLine="480" w:firstLineChars="200"/>
        <w:rPr>
          <w:rFonts w:ascii="宋体" w:hAnsi="宋体"/>
          <w:strike/>
          <w:dstrike w:val="0"/>
          <w:color w:val="auto"/>
          <w:kern w:val="0"/>
          <w:sz w:val="24"/>
          <w:szCs w:val="24"/>
          <w:highlight w:val="none"/>
        </w:rPr>
      </w:pPr>
      <w:r>
        <w:rPr>
          <w:rFonts w:hint="eastAsia" w:ascii="宋体" w:hAnsi="宋体" w:cs="仿宋"/>
          <w:strike/>
          <w:dstrike w:val="0"/>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strike/>
          <w:dstrike w:val="0"/>
          <w:color w:val="auto"/>
          <w:kern w:val="0"/>
          <w:sz w:val="24"/>
          <w:szCs w:val="24"/>
          <w:highlight w:val="none"/>
          <w:vertAlign w:val="subscript"/>
        </w:rPr>
      </w:pPr>
      <w:r>
        <w:rPr>
          <w:rFonts w:hint="eastAsia" w:ascii="宋体" w:hAnsi="宋体" w:cs="仿宋"/>
          <w:strike/>
          <w:dstrike w:val="0"/>
          <w:color w:val="auto"/>
          <w:kern w:val="0"/>
          <w:sz w:val="24"/>
          <w:szCs w:val="24"/>
          <w:highlight w:val="none"/>
        </w:rPr>
        <w:t>评标参考价</w:t>
      </w:r>
      <w:r>
        <w:rPr>
          <w:rFonts w:ascii="宋体" w:hAnsi="宋体" w:cs="仿宋"/>
          <w:strike/>
          <w:dstrike w:val="0"/>
          <w:color w:val="auto"/>
          <w:kern w:val="0"/>
          <w:sz w:val="24"/>
          <w:szCs w:val="24"/>
          <w:highlight w:val="none"/>
        </w:rPr>
        <w:t>=</w:t>
      </w:r>
      <w:r>
        <w:rPr>
          <w:rFonts w:hint="eastAsia" w:ascii="宋体" w:hAnsi="宋体" w:cs="仿宋"/>
          <w:strike/>
          <w:dstrike w:val="0"/>
          <w:color w:val="auto"/>
          <w:kern w:val="0"/>
          <w:sz w:val="24"/>
          <w:szCs w:val="24"/>
          <w:highlight w:val="none"/>
        </w:rPr>
        <w:t>（</w:t>
      </w: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高</w:t>
      </w: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低</w:t>
      </w:r>
      <w:r>
        <w:rPr>
          <w:rFonts w:hint="eastAsia" w:ascii="宋体" w:hAnsi="宋体" w:cs="仿宋"/>
          <w:strike/>
          <w:dstrike w:val="0"/>
          <w:color w:val="auto"/>
          <w:kern w:val="0"/>
          <w:sz w:val="24"/>
          <w:szCs w:val="24"/>
          <w:highlight w:val="none"/>
        </w:rPr>
        <w:t>）</w:t>
      </w:r>
      <w:r>
        <w:rPr>
          <w:rFonts w:ascii="宋体" w:hAnsi="宋体" w:cs="仿宋"/>
          <w:strike/>
          <w:dstrike w:val="0"/>
          <w:color w:val="auto"/>
          <w:kern w:val="0"/>
          <w:sz w:val="24"/>
          <w:szCs w:val="24"/>
          <w:highlight w:val="none"/>
        </w:rPr>
        <w:t>/100*</w:t>
      </w:r>
      <w:r>
        <w:rPr>
          <w:rFonts w:hint="eastAsia" w:ascii="宋体" w:hAnsi="宋体" w:cs="仿宋"/>
          <w:strike/>
          <w:dstrike w:val="0"/>
          <w:color w:val="auto"/>
          <w:kern w:val="0"/>
          <w:sz w:val="24"/>
          <w:szCs w:val="24"/>
          <w:highlight w:val="none"/>
        </w:rPr>
        <w:t>Ｘ</w:t>
      </w: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低</w:t>
      </w:r>
    </w:p>
    <w:p>
      <w:pPr>
        <w:widowControl/>
        <w:snapToGrid w:val="0"/>
        <w:spacing w:line="360" w:lineRule="auto"/>
        <w:ind w:firstLine="480" w:firstLineChars="200"/>
        <w:rPr>
          <w:rFonts w:ascii="宋体" w:hAnsi="宋体"/>
          <w:strike/>
          <w:dstrike w:val="0"/>
          <w:color w:val="auto"/>
          <w:sz w:val="24"/>
          <w:szCs w:val="24"/>
          <w:highlight w:val="none"/>
        </w:rPr>
      </w:pPr>
      <w:r>
        <w:rPr>
          <w:rFonts w:ascii="宋体" w:hAnsi="宋体" w:cs="仿宋"/>
          <w:strike/>
          <w:dstrike w:val="0"/>
          <w:color w:val="auto"/>
          <w:sz w:val="24"/>
          <w:szCs w:val="24"/>
          <w:highlight w:val="none"/>
        </w:rPr>
        <w:t>Q</w:t>
      </w:r>
      <w:r>
        <w:rPr>
          <w:rFonts w:hint="eastAsia" w:ascii="宋体" w:hAnsi="宋体" w:cs="仿宋"/>
          <w:strike/>
          <w:dstrike w:val="0"/>
          <w:color w:val="auto"/>
          <w:sz w:val="24"/>
          <w:szCs w:val="24"/>
          <w:highlight w:val="none"/>
          <w:vertAlign w:val="subscript"/>
        </w:rPr>
        <w:t>低</w:t>
      </w:r>
      <w:r>
        <w:rPr>
          <w:rFonts w:hint="eastAsia" w:ascii="宋体" w:hAnsi="宋体" w:cs="仿宋"/>
          <w:strike/>
          <w:dstrike w:val="0"/>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strike/>
          <w:dstrike w:val="0"/>
          <w:color w:val="auto"/>
          <w:sz w:val="24"/>
          <w:szCs w:val="24"/>
          <w:highlight w:val="none"/>
        </w:rPr>
      </w:pP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高</w:t>
      </w:r>
      <w:r>
        <w:rPr>
          <w:rFonts w:hint="eastAsia" w:ascii="宋体" w:hAnsi="宋体" w:cs="仿宋"/>
          <w:strike/>
          <w:dstrike w:val="0"/>
          <w:color w:val="auto"/>
          <w:sz w:val="24"/>
          <w:szCs w:val="24"/>
          <w:highlight w:val="none"/>
        </w:rPr>
        <w:t>：为（最高投标限价</w:t>
      </w:r>
      <w:r>
        <w:rPr>
          <w:rFonts w:ascii="宋体" w:hAnsi="宋体" w:cs="仿宋"/>
          <w:strike/>
          <w:dstrike w:val="0"/>
          <w:color w:val="auto"/>
          <w:sz w:val="24"/>
          <w:szCs w:val="24"/>
          <w:highlight w:val="none"/>
        </w:rPr>
        <w:t>*D%</w:t>
      </w:r>
      <w:r>
        <w:rPr>
          <w:rFonts w:hint="eastAsia" w:ascii="宋体" w:hAnsi="宋体" w:cs="仿宋"/>
          <w:strike/>
          <w:dstrike w:val="0"/>
          <w:color w:val="auto"/>
          <w:sz w:val="24"/>
          <w:szCs w:val="24"/>
          <w:highlight w:val="none"/>
        </w:rPr>
        <w:t>）（</w:t>
      </w:r>
      <w:r>
        <w:rPr>
          <w:rFonts w:ascii="宋体" w:hAnsi="宋体" w:cs="仿宋"/>
          <w:strike/>
          <w:dstrike w:val="0"/>
          <w:color w:val="auto"/>
          <w:sz w:val="24"/>
          <w:szCs w:val="24"/>
          <w:highlight w:val="none"/>
        </w:rPr>
        <w:t>D</w:t>
      </w:r>
      <w:r>
        <w:rPr>
          <w:rFonts w:hint="eastAsia" w:ascii="宋体" w:hAnsi="宋体" w:cs="仿宋"/>
          <w:strike/>
          <w:dstrike w:val="0"/>
          <w:color w:val="auto"/>
          <w:sz w:val="24"/>
          <w:szCs w:val="24"/>
          <w:highlight w:val="none"/>
        </w:rPr>
        <w:t>的取值范围为</w:t>
      </w:r>
      <w:r>
        <w:rPr>
          <w:rFonts w:ascii="宋体" w:hAnsi="宋体" w:cs="仿宋"/>
          <w:strike/>
          <w:dstrike w:val="0"/>
          <w:color w:val="auto"/>
          <w:sz w:val="24"/>
          <w:szCs w:val="24"/>
          <w:highlight w:val="none"/>
        </w:rPr>
        <w:t>[94,100],</w:t>
      </w:r>
      <w:r>
        <w:rPr>
          <w:rFonts w:hint="eastAsia" w:ascii="宋体" w:hAnsi="宋体" w:cs="仿宋"/>
          <w:strike/>
          <w:dstrike w:val="0"/>
          <w:color w:val="auto"/>
          <w:sz w:val="24"/>
          <w:szCs w:val="24"/>
          <w:highlight w:val="none"/>
        </w:rPr>
        <w:t>由招标人自定）</w:t>
      </w:r>
    </w:p>
    <w:p>
      <w:pPr>
        <w:spacing w:line="360" w:lineRule="auto"/>
        <w:ind w:firstLine="537" w:firstLineChars="224"/>
        <w:rPr>
          <w:rFonts w:hint="eastAsia" w:ascii="宋体" w:hAnsi="宋体" w:cs="仿宋"/>
          <w:strike/>
          <w:dstrike w:val="0"/>
          <w:color w:val="auto"/>
          <w:sz w:val="24"/>
          <w:szCs w:val="24"/>
          <w:highlight w:val="none"/>
        </w:rPr>
      </w:pPr>
      <w:r>
        <w:rPr>
          <w:rFonts w:ascii="宋体" w:hAnsi="宋体" w:cs="仿宋"/>
          <w:strike/>
          <w:dstrike w:val="0"/>
          <w:color w:val="auto"/>
          <w:sz w:val="24"/>
          <w:szCs w:val="24"/>
          <w:highlight w:val="none"/>
        </w:rPr>
        <w:t>X:</w:t>
      </w:r>
      <w:r>
        <w:rPr>
          <w:rFonts w:hint="eastAsia" w:ascii="宋体" w:hAnsi="宋体" w:cs="仿宋"/>
          <w:strike/>
          <w:dstrike w:val="0"/>
          <w:color w:val="auto"/>
          <w:sz w:val="24"/>
          <w:szCs w:val="24"/>
          <w:highlight w:val="none"/>
        </w:rPr>
        <w:t>为等分点值，在开标前从</w:t>
      </w:r>
      <w:r>
        <w:rPr>
          <w:rFonts w:ascii="宋体" w:hAnsi="宋体" w:cs="仿宋"/>
          <w:strike/>
          <w:dstrike w:val="0"/>
          <w:color w:val="auto"/>
          <w:sz w:val="24"/>
          <w:szCs w:val="24"/>
          <w:highlight w:val="none"/>
        </w:rPr>
        <w:t>[0,100]</w:t>
      </w:r>
      <w:r>
        <w:rPr>
          <w:rFonts w:hint="eastAsia" w:ascii="宋体" w:hAnsi="宋体" w:cs="仿宋"/>
          <w:strike/>
          <w:dstrike w:val="0"/>
          <w:color w:val="auto"/>
          <w:sz w:val="24"/>
          <w:szCs w:val="24"/>
          <w:highlight w:val="none"/>
        </w:rPr>
        <w:t>整数中随机抽取</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0.2</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0.1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r>
        <w:rPr>
          <w:rFonts w:hint="eastAsia" w:ascii="宋体" w:hAnsi="宋体" w:cs="宋体"/>
          <w:color w:val="auto"/>
          <w:sz w:val="24"/>
          <w:szCs w:val="24"/>
          <w:highlight w:val="none"/>
          <w:lang w:val="en-US" w:eastAsia="zh-CN"/>
        </w:rPr>
        <w:t xml:space="preserve">    </w:t>
      </w:r>
    </w:p>
    <w:p>
      <w:pPr>
        <w:pStyle w:val="50"/>
        <w:tabs>
          <w:tab w:val="left" w:pos="7380"/>
        </w:tabs>
        <w:snapToGrid w:val="0"/>
        <w:spacing w:after="0" w:line="360" w:lineRule="auto"/>
        <w:ind w:firstLine="480" w:firstLineChars="200"/>
        <w:rPr>
          <w:rFonts w:hint="eastAsia" w:ascii="宋体" w:hAnsi="宋体" w:cs="宋体"/>
          <w:color w:val="auto"/>
          <w:sz w:val="36"/>
          <w:szCs w:val="36"/>
          <w:highlight w:val="none"/>
        </w:rPr>
      </w:pPr>
      <w:r>
        <w:rPr>
          <w:rFonts w:hint="eastAsia" w:ascii="宋体" w:hAnsi="宋体" w:eastAsia="宋体" w:cs="宋体"/>
          <w:color w:val="auto"/>
          <w:kern w:val="0"/>
          <w:sz w:val="24"/>
          <w:szCs w:val="24"/>
          <w:highlight w:val="none"/>
        </w:rPr>
        <w:t>45.4</w:t>
      </w:r>
      <w:r>
        <w:rPr>
          <w:rFonts w:hint="eastAsia"/>
          <w:color w:val="auto"/>
          <w:sz w:val="24"/>
          <w:szCs w:val="24"/>
          <w:highlight w:val="none"/>
        </w:rPr>
        <w:t>计算通过技术标有效性审查的投标人总得分。</w:t>
      </w:r>
      <w:r>
        <w:rPr>
          <w:rFonts w:hint="eastAsia"/>
          <w:color w:val="auto"/>
          <w:sz w:val="24"/>
          <w:szCs w:val="24"/>
          <w:highlight w:val="none"/>
          <w:lang w:val="en-US" w:eastAsia="zh-CN"/>
        </w:rPr>
        <w:t>技术得分（满分100分）×技术得分权重（20%）＋经济得分（满分100分）×经济得分权重（80%）</w:t>
      </w:r>
      <w:r>
        <w:rPr>
          <w:rFonts w:hint="eastAsia"/>
          <w:color w:val="auto"/>
          <w:sz w:val="24"/>
          <w:szCs w:val="24"/>
          <w:highlight w:val="none"/>
        </w:rPr>
        <w:t>。技术、经济得分权重按投标须知前附表的规定执行。总得分四舍五入保留两位小数。</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46.经济标的有效性审查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46.2.1如果数字表示的金额和用文字表示的金额不一致时，应以文字表示的金额为准；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46.2.2经算术复核的投标人报价与其投标报价不一致时，按就低不就高原则确定其最终报价；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48.评标委员会应在通过投标文件经济标有效性审查的投标人中，按步骤45.4确定的投标人</w:t>
      </w:r>
      <w:r>
        <w:rPr>
          <w:rFonts w:hint="eastAsia" w:ascii="宋体" w:hAnsi="宋体" w:cs="宋体"/>
          <w:color w:val="auto"/>
          <w:sz w:val="24"/>
          <w:szCs w:val="24"/>
          <w:highlight w:val="none"/>
          <w:u w:val="single"/>
        </w:rPr>
        <w:t>总得分由高到低进行排序</w:t>
      </w:r>
      <w:r>
        <w:rPr>
          <w:rFonts w:hint="eastAsia" w:ascii="宋体" w:hAnsi="宋体" w:cs="宋体"/>
          <w:color w:val="auto"/>
          <w:sz w:val="24"/>
          <w:szCs w:val="24"/>
          <w:highlight w:val="none"/>
        </w:rPr>
        <w:t>，推荐前3名依次为第一中标候选人至第三中标候选人,并编制评标报告。</w:t>
      </w:r>
      <w:r>
        <w:rPr>
          <w:rFonts w:hint="eastAsia" w:ascii="宋体" w:hAnsi="宋体" w:cs="宋体"/>
          <w:color w:val="auto"/>
          <w:sz w:val="24"/>
          <w:szCs w:val="24"/>
          <w:highlight w:val="none"/>
          <w:u w:val="single"/>
        </w:rPr>
        <w:t>总得分相同的投标文件，以技术分排名靠前的排前；如仍存在相同情况，则对具有相同情况的投标人，由评标委员会采用投票方式，确定中标候选人的排序。</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49.若通过经济标有效性审查的投标人不足三家，应当依法重新招标。</w:t>
      </w:r>
    </w:p>
    <w:p>
      <w:pPr>
        <w:spacing w:line="360" w:lineRule="auto"/>
        <w:ind w:firstLine="480" w:firstLineChars="200"/>
        <w:rPr>
          <w:rFonts w:hint="eastAsia" w:ascii="宋体" w:hAnsi="宋体" w:cs="宋体"/>
          <w:color w:val="auto"/>
          <w:sz w:val="24"/>
          <w:szCs w:val="24"/>
          <w:highlight w:val="none"/>
        </w:rPr>
      </w:pPr>
    </w:p>
    <w:p>
      <w:pPr>
        <w:pStyle w:val="230"/>
        <w:ind w:firstLine="0"/>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附表一：</w:t>
      </w: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资格审查表</w:t>
      </w:r>
    </w:p>
    <w:p>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52"/>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4394"/>
        <w:gridCol w:w="4395"/>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b/>
                <w:bCs/>
                <w:highlight w:val="none"/>
              </w:rPr>
            </w:pPr>
            <w:r>
              <w:rPr>
                <w:rFonts w:hint="eastAsia" w:ascii="宋体" w:hAnsi="宋体"/>
                <w:b/>
                <w:bCs/>
                <w:highlight w:val="none"/>
              </w:rPr>
              <w:t>序号</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b/>
                <w:bCs/>
                <w:highlight w:val="none"/>
              </w:rPr>
            </w:pPr>
            <w:r>
              <w:rPr>
                <w:rFonts w:hint="eastAsia" w:ascii="宋体" w:hAnsi="宋体"/>
                <w:b/>
                <w:bCs/>
                <w:highlight w:val="none"/>
              </w:rPr>
              <w:t>审查项目</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b/>
                <w:bCs/>
                <w:highlight w:val="none"/>
              </w:rPr>
            </w:pPr>
            <w:r>
              <w:rPr>
                <w:rFonts w:hint="eastAsia" w:ascii="宋体" w:hAnsi="宋体"/>
                <w:b/>
                <w:bCs/>
                <w:highlight w:val="none"/>
              </w:rPr>
              <w:t>须审查的资料</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b/>
                <w:bCs/>
                <w:highlight w:val="none"/>
              </w:rPr>
            </w:pPr>
            <w:r>
              <w:rPr>
                <w:rFonts w:hint="eastAsia" w:ascii="宋体" w:hAnsi="宋体"/>
                <w:b/>
                <w:bCs/>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1</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投标人参加投标的意思表达清楚，投标人代表被授权有效</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投标人声明、法定代表人证明书；委托投标的还应提供法人授权委托证明书</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2</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投标人具有独立法人资格，按国家法律经营</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hint="eastAsia" w:ascii="宋体"/>
                <w:highlight w:val="none"/>
                <w:u w:val="single"/>
              </w:rPr>
            </w:pPr>
            <w:r>
              <w:rPr>
                <w:rFonts w:hint="eastAsia" w:ascii="宋体" w:hAnsi="宋体"/>
                <w:color w:val="000000"/>
                <w:szCs w:val="21"/>
                <w:highlight w:val="none"/>
              </w:rPr>
              <w:t>营业执照在广州市住建行业信用管理平台内上传件</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3</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hint="eastAsia" w:ascii="宋体"/>
                <w:highlight w:val="none"/>
              </w:rPr>
            </w:pPr>
            <w:r>
              <w:rPr>
                <w:rFonts w:hint="eastAsia" w:ascii="宋体" w:hAnsi="宋体"/>
                <w:highlight w:val="none"/>
              </w:rPr>
              <w:t>投标人持有建设行政主管部门颁发的企业资质证书及安全生产许可证；投标人资质符合公告要求</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u w:val="single"/>
              </w:rPr>
            </w:pPr>
            <w:r>
              <w:rPr>
                <w:rFonts w:hint="eastAsia" w:ascii="宋体" w:hAnsi="宋体"/>
                <w:color w:val="000000"/>
                <w:szCs w:val="21"/>
                <w:highlight w:val="none"/>
              </w:rPr>
              <w:t>资质证书及安全生产许可证在广州市住建行业信用管理平台内上传件</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4</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Times New Roman"/>
                <w:highlight w:val="none"/>
              </w:rPr>
              <w:t>投标人拟担任本工程项目负责人符合公告要求</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hint="eastAsia" w:ascii="宋体"/>
                <w:highlight w:val="none"/>
                <w:u w:val="single"/>
              </w:rPr>
            </w:pPr>
            <w:r>
              <w:rPr>
                <w:rFonts w:hint="eastAsia" w:ascii="宋体"/>
                <w:highlight w:val="none"/>
                <w:u w:val="single"/>
              </w:rPr>
              <w:t>使用有效期内的注册建造师注册证书在广州市住建行业信用平台内上传件。</w:t>
            </w:r>
          </w:p>
          <w:p>
            <w:pPr>
              <w:spacing w:before="120" w:after="60"/>
              <w:jc w:val="center"/>
              <w:rPr>
                <w:rFonts w:ascii="宋体"/>
                <w:highlight w:val="none"/>
                <w:u w:val="single"/>
              </w:rPr>
            </w:pPr>
            <w:r>
              <w:rPr>
                <w:rFonts w:hint="eastAsia" w:ascii="宋体"/>
                <w:highlight w:val="none"/>
                <w:u w:val="single"/>
              </w:rPr>
              <w:t>（注：打印建造师电子证书后，应在个人签名处手写本人签名再上传广州市住建行业信用平台，上传件未手写签名或与签名图像笔迹不一致的，该电子证书无效。）</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5</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ighlight w:val="none"/>
              </w:rPr>
              <w:t>项目负责人持有安全生产考核合格证（B类）或建筑施工企业项目负责人安全生产考核合格证</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color w:val="000000"/>
                <w:szCs w:val="21"/>
                <w:highlight w:val="none"/>
              </w:rPr>
              <w:t>项目负责人安全生产考核合格证（B类）或建筑施工企业项目负责人安全生产考核合格证在广州市住建行业信用管理平台内上传件（项目负责人按编制资格预审申请文件时选择拟投标的项目负责人）</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6</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Times New Roman"/>
                <w:highlight w:val="none"/>
              </w:rPr>
              <w:t>投标人拟担任本工程技术负责人符合公告要求</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szCs w:val="21"/>
                <w:highlight w:val="none"/>
                <w:u w:val="single"/>
              </w:rPr>
              <w:t>拟委派技术负责人职称证书扫描件</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7</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cs="宋体"/>
                <w:szCs w:val="21"/>
                <w:highlight w:val="none"/>
              </w:rPr>
              <w:t>专职安全员须具有安全生产考核合格证（C类）或建筑施工企业专职安全生产管理人员安全生产考核合格证（C3类），</w:t>
            </w:r>
            <w:r>
              <w:rPr>
                <w:rFonts w:hint="eastAsia"/>
                <w:b/>
                <w:szCs w:val="21"/>
                <w:highlight w:val="none"/>
                <w:u w:val="single"/>
              </w:rPr>
              <w:t>项目负责人和</w:t>
            </w:r>
            <w:r>
              <w:rPr>
                <w:b/>
                <w:szCs w:val="21"/>
                <w:highlight w:val="none"/>
                <w:u w:val="single"/>
              </w:rPr>
              <w:t>专职</w:t>
            </w:r>
            <w:r>
              <w:rPr>
                <w:rFonts w:hint="eastAsia"/>
                <w:b/>
                <w:szCs w:val="21"/>
                <w:highlight w:val="none"/>
                <w:u w:val="single"/>
              </w:rPr>
              <w:t>安全员不为同一人</w:t>
            </w:r>
            <w:r>
              <w:rPr>
                <w:rFonts w:hint="eastAsia"/>
                <w:szCs w:val="21"/>
                <w:highlight w:val="none"/>
                <w:u w:val="single"/>
              </w:rPr>
              <w:t>。</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hint="eastAsia" w:ascii="宋体" w:eastAsia="宋体"/>
                <w:highlight w:val="none"/>
                <w:lang w:eastAsia="zh-CN"/>
              </w:rPr>
            </w:pPr>
            <w:r>
              <w:rPr>
                <w:rFonts w:hint="eastAsia" w:ascii="宋体" w:hAnsi="宋体" w:cs="宋体"/>
                <w:szCs w:val="21"/>
                <w:highlight w:val="none"/>
              </w:rPr>
              <w:t>专职安全员的安全生产考核合格证（C类）或建筑施工企业专职安全生产管理人员安全生产考核合格证（C3类）在广州市住建行业信用管理平台内上传件，</w:t>
            </w:r>
            <w:r>
              <w:rPr>
                <w:rFonts w:hint="eastAsia"/>
                <w:b/>
                <w:szCs w:val="21"/>
                <w:highlight w:val="none"/>
                <w:u w:val="single"/>
              </w:rPr>
              <w:t>项目负责人和</w:t>
            </w:r>
            <w:r>
              <w:rPr>
                <w:b/>
                <w:szCs w:val="21"/>
                <w:highlight w:val="none"/>
                <w:u w:val="single"/>
              </w:rPr>
              <w:t>专职</w:t>
            </w:r>
            <w:r>
              <w:rPr>
                <w:rFonts w:hint="eastAsia"/>
                <w:b/>
                <w:szCs w:val="21"/>
                <w:highlight w:val="none"/>
                <w:u w:val="single"/>
              </w:rPr>
              <w:t>安全员不为同一人</w:t>
            </w:r>
            <w:r>
              <w:rPr>
                <w:rFonts w:hint="eastAsia"/>
                <w:szCs w:val="21"/>
                <w:highlight w:val="none"/>
                <w:u w:val="single"/>
              </w:rPr>
              <w:t>。</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8</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投标人提供的《投标人声明》符合公告要求</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投标人声明</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9</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投标人声明中签字的项目负责人和技术负责人与本项目拟派的项目负责人和技术负责人一致</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网上投标时选择拟投标的项目负责人、资格审查文件中拟委派的技术负责人及投标人声明</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10</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u w:val="single"/>
              </w:rPr>
            </w:pPr>
            <w:r>
              <w:rPr>
                <w:rFonts w:hint="eastAsia" w:ascii="宋体"/>
                <w:highlight w:val="none"/>
                <w:u w:val="single"/>
              </w:rPr>
              <w:t>本项目</w:t>
            </w:r>
            <w:r>
              <w:rPr>
                <w:rFonts w:hint="eastAsia" w:ascii="宋体"/>
                <w:highlight w:val="none"/>
                <w:u w:val="single"/>
                <w:lang w:eastAsia="zh-CN"/>
              </w:rPr>
              <w:t>不允许</w:t>
            </w:r>
            <w:r>
              <w:rPr>
                <w:rFonts w:hint="eastAsia" w:ascii="宋体"/>
                <w:highlight w:val="none"/>
                <w:u w:val="single"/>
              </w:rPr>
              <w:t>联合体投标</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ighlight w:val="none"/>
                <w:u w:val="single"/>
              </w:rPr>
              <w:t>本项目</w:t>
            </w:r>
            <w:r>
              <w:rPr>
                <w:rFonts w:hint="eastAsia" w:ascii="宋体"/>
                <w:highlight w:val="none"/>
                <w:u w:val="single"/>
                <w:lang w:eastAsia="zh-CN"/>
              </w:rPr>
              <w:t>不允许</w:t>
            </w:r>
            <w:r>
              <w:rPr>
                <w:rFonts w:hint="eastAsia" w:ascii="宋体"/>
                <w:highlight w:val="none"/>
                <w:u w:val="single"/>
              </w:rPr>
              <w:t>联合体投标</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highlight w:val="none"/>
              </w:rPr>
            </w:pPr>
            <w:r>
              <w:rPr>
                <w:rFonts w:hint="eastAsia" w:ascii="宋体" w:hAnsi="宋体"/>
                <w:highlight w:val="none"/>
              </w:rPr>
              <w:t>11</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hint="eastAsia" w:ascii="宋体" w:hAnsi="宋体" w:eastAsia="宋体"/>
                <w:highlight w:val="none"/>
                <w:lang w:eastAsia="zh-CN"/>
              </w:rPr>
            </w:pPr>
            <w:r>
              <w:rPr>
                <w:rFonts w:hint="eastAsia" w:ascii="宋体" w:hAnsi="宋体"/>
                <w:highlight w:val="none"/>
                <w:lang w:eastAsia="zh-CN"/>
              </w:rPr>
              <w:t>资格审查前，投标人须在广州市住房和城乡建设局建立企业信用档案及拟担任本工程项目负责人、专职安全员须是本企业中的在册人员</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color w:val="000000"/>
                <w:szCs w:val="21"/>
                <w:highlight w:val="none"/>
              </w:rPr>
              <w:t>投标人在广州市住建行业信用管理平台内企业</w:t>
            </w:r>
            <w:r>
              <w:rPr>
                <w:rFonts w:hint="eastAsia" w:ascii="宋体" w:hAnsi="宋体"/>
                <w:color w:val="000000"/>
                <w:szCs w:val="21"/>
                <w:highlight w:val="none"/>
                <w:lang w:eastAsia="zh-CN"/>
              </w:rPr>
              <w:t>信用</w:t>
            </w:r>
            <w:r>
              <w:rPr>
                <w:rFonts w:hint="eastAsia" w:ascii="宋体" w:hAnsi="宋体"/>
                <w:color w:val="000000"/>
                <w:szCs w:val="21"/>
                <w:highlight w:val="none"/>
              </w:rPr>
              <w:t>档案的企业和人员信息</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12</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投标人未出现以下情形：与其它投标人的单位负责人为同一人或者存在控股、管理关系的（按投标人提供的《投标人声明》第八条内容进行评审）</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投标人声明</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default" w:ascii="宋体" w:hAnsi="宋体" w:eastAsia="宋体"/>
                <w:highlight w:val="none"/>
                <w:lang w:val="en-US" w:eastAsia="zh-CN"/>
              </w:rPr>
            </w:pPr>
            <w:r>
              <w:rPr>
                <w:rFonts w:hint="eastAsia" w:ascii="宋体" w:hAnsi="宋体"/>
                <w:highlight w:val="none"/>
                <w:lang w:val="en-US" w:eastAsia="zh-CN"/>
              </w:rPr>
              <w:t>13</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hint="eastAsia" w:ascii="宋体" w:hAnsi="宋体"/>
                <w:highlight w:val="none"/>
              </w:rPr>
            </w:pPr>
            <w:r>
              <w:rPr>
                <w:rFonts w:hint="eastAsia" w:ascii="宋体" w:hAnsi="宋体" w:eastAsia="宋体" w:cs="Times New Roman"/>
                <w:sz w:val="21"/>
                <w:szCs w:val="22"/>
                <w:highlight w:val="none"/>
              </w:rPr>
              <w:t>未被列入拖欠农民工工资失信联合惩戒对象名单</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hint="eastAsia" w:ascii="宋体" w:hAnsi="宋体"/>
                <w:highlight w:val="none"/>
              </w:rPr>
            </w:pPr>
            <w:r>
              <w:rPr>
                <w:rFonts w:hint="eastAsia" w:ascii="宋体" w:hAnsi="宋体"/>
                <w:strike w:val="0"/>
                <w:dstrike w:val="0"/>
                <w:szCs w:val="22"/>
                <w:highlight w:val="none"/>
              </w:rPr>
              <w:t>投标人无需提供资料，按交易系统比对的结果进行评审</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bl>
    <w:p>
      <w:pPr>
        <w:pStyle w:val="7"/>
        <w:rPr>
          <w:rFonts w:hint="eastAsia"/>
          <w:highlight w:val="none"/>
        </w:rPr>
      </w:pPr>
    </w:p>
    <w:p>
      <w:pPr>
        <w:spacing w:line="360" w:lineRule="auto"/>
        <w:ind w:firstLine="470" w:firstLineChars="224"/>
        <w:rPr>
          <w:rFonts w:hint="eastAsia" w:ascii="宋体" w:hAnsi="宋体"/>
          <w:szCs w:val="21"/>
          <w:highlight w:val="none"/>
        </w:rPr>
      </w:pPr>
      <w:r>
        <w:rPr>
          <w:rFonts w:hint="eastAsia" w:ascii="宋体" w:hAnsi="宋体"/>
          <w:szCs w:val="21"/>
          <w:highlight w:val="none"/>
        </w:rPr>
        <w:t>备注：</w:t>
      </w:r>
    </w:p>
    <w:p>
      <w:pPr>
        <w:spacing w:line="360" w:lineRule="auto"/>
        <w:ind w:firstLine="470" w:firstLineChars="224"/>
        <w:rPr>
          <w:rFonts w:hint="eastAsia" w:ascii="宋体" w:hAnsi="宋体"/>
          <w:szCs w:val="21"/>
          <w:highlight w:val="none"/>
        </w:rPr>
      </w:pPr>
      <w:r>
        <w:rPr>
          <w:rFonts w:hint="eastAsia" w:ascii="宋体" w:hAnsi="宋体"/>
          <w:szCs w:val="21"/>
          <w:highlight w:val="none"/>
        </w:rPr>
        <w:t xml:space="preserve">1、每一项目符合的打“○”，不符合的打“×”； </w:t>
      </w:r>
    </w:p>
    <w:p>
      <w:pPr>
        <w:spacing w:line="360" w:lineRule="auto"/>
        <w:ind w:firstLine="470" w:firstLineChars="224"/>
        <w:rPr>
          <w:rFonts w:hint="eastAsia" w:ascii="宋体" w:hAnsi="宋体"/>
          <w:szCs w:val="21"/>
          <w:highlight w:val="none"/>
        </w:rPr>
      </w:pPr>
      <w:r>
        <w:rPr>
          <w:rFonts w:hint="eastAsia" w:ascii="宋体" w:hAnsi="宋体"/>
          <w:szCs w:val="21"/>
          <w:highlight w:val="none"/>
        </w:rPr>
        <w:t>2、若评委意见不一致时，则按少数服从多数的原则，作出评审结论。汇总后，出现一个“×”的结论为“不通过”。</w:t>
      </w:r>
    </w:p>
    <w:p>
      <w:pPr>
        <w:spacing w:line="360" w:lineRule="auto"/>
        <w:ind w:firstLine="470" w:firstLineChars="224"/>
        <w:rPr>
          <w:rFonts w:ascii="宋体" w:hAnsi="宋体"/>
          <w:szCs w:val="21"/>
          <w:highlight w:val="none"/>
        </w:rPr>
      </w:pPr>
      <w:r>
        <w:rPr>
          <w:rFonts w:hint="eastAsia" w:ascii="宋体" w:hAnsi="宋体"/>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1050" w:firstLineChars="500"/>
        <w:rPr>
          <w:rFonts w:hint="eastAsia" w:ascii="宋体" w:hAnsi="宋体" w:cs="宋体"/>
          <w:color w:val="auto"/>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1906" w:h="16838"/>
          <w:pgMar w:top="1247" w:right="1418" w:bottom="1134" w:left="1418" w:header="851" w:footer="907" w:gutter="0"/>
          <w:pgBorders>
            <w:top w:val="none" w:sz="0" w:space="0"/>
            <w:left w:val="none" w:sz="0" w:space="0"/>
            <w:bottom w:val="none" w:sz="0" w:space="0"/>
            <w:right w:val="none" w:sz="0" w:space="0"/>
          </w:pgBorders>
          <w:pgNumType w:start="1"/>
          <w:cols w:space="720" w:num="1"/>
          <w:titlePg/>
          <w:docGrid w:type="lines" w:linePitch="312" w:charSpace="0"/>
        </w:sectPr>
      </w:pPr>
    </w:p>
    <w:p>
      <w:pPr>
        <w:rPr>
          <w:rFonts w:hint="eastAsia" w:ascii="宋体" w:hAnsi="宋体" w:cs="宋体"/>
          <w:color w:val="auto"/>
          <w:szCs w:val="21"/>
          <w:highlight w:val="none"/>
        </w:rPr>
      </w:pPr>
      <w:r>
        <w:rPr>
          <w:rFonts w:hint="eastAsia" w:ascii="宋体" w:hAnsi="宋体" w:cs="宋体"/>
          <w:color w:val="auto"/>
          <w:szCs w:val="21"/>
          <w:highlight w:val="none"/>
        </w:rPr>
        <w:t>附表二</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52"/>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826"/>
        <w:gridCol w:w="697"/>
        <w:gridCol w:w="697"/>
        <w:gridCol w:w="697"/>
        <w:gridCol w:w="697"/>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highlight w:val="none"/>
              </w:rPr>
            </w:pPr>
            <w:r>
              <w:rPr>
                <w:rFonts w:hint="eastAsia" w:ascii="宋体" w:hAnsi="宋体"/>
                <w:highlight w:val="none"/>
              </w:rPr>
              <w:t>序号</w:t>
            </w:r>
          </w:p>
        </w:tc>
        <w:tc>
          <w:tcPr>
            <w:tcW w:w="9826" w:type="dxa"/>
            <w:tcBorders>
              <w:top w:val="single" w:color="auto" w:sz="4" w:space="0"/>
              <w:left w:val="nil"/>
              <w:bottom w:val="single" w:color="auto" w:sz="4" w:space="0"/>
              <w:right w:val="single" w:color="auto" w:sz="4" w:space="0"/>
              <w:tl2br w:val="single" w:color="auto" w:sz="4" w:space="0"/>
            </w:tcBorders>
            <w:noWrap w:val="0"/>
            <w:vAlign w:val="top"/>
          </w:tcPr>
          <w:p>
            <w:pPr>
              <w:ind w:firstLine="6090" w:firstLineChars="2900"/>
              <w:rPr>
                <w:rFonts w:ascii="宋体" w:hAnsi="宋体"/>
                <w:highlight w:val="none"/>
              </w:rPr>
            </w:pPr>
            <w:r>
              <w:rPr>
                <w:rFonts w:hint="eastAsia" w:ascii="宋体" w:hAnsi="宋体"/>
                <w:highlight w:val="none"/>
              </w:rPr>
              <w:t>投标人</w:t>
            </w:r>
          </w:p>
          <w:p>
            <w:pPr>
              <w:rPr>
                <w:rFonts w:ascii="宋体" w:hAnsi="宋体"/>
                <w:highlight w:val="none"/>
              </w:rPr>
            </w:pPr>
            <w:r>
              <w:rPr>
                <w:rFonts w:hint="eastAsia" w:ascii="宋体" w:hAnsi="宋体"/>
                <w:highlight w:val="none"/>
              </w:rPr>
              <w:t>评审内容</w:t>
            </w:r>
          </w:p>
        </w:tc>
        <w:tc>
          <w:tcPr>
            <w:tcW w:w="697" w:type="dxa"/>
            <w:tcBorders>
              <w:top w:val="single" w:color="auto" w:sz="4" w:space="0"/>
              <w:left w:val="nil"/>
              <w:bottom w:val="single" w:color="auto" w:sz="4" w:space="0"/>
              <w:right w:val="single" w:color="auto" w:sz="4" w:space="0"/>
            </w:tcBorders>
            <w:noWrap w:val="0"/>
            <w:vAlign w:val="top"/>
          </w:tcPr>
          <w:p>
            <w:pPr>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top"/>
          </w:tcPr>
          <w:p>
            <w:pPr>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top"/>
          </w:tcPr>
          <w:p>
            <w:pPr>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top"/>
          </w:tcPr>
          <w:p>
            <w:pPr>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top"/>
          </w:tcPr>
          <w:p>
            <w:pP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highlight w:val="none"/>
              </w:rPr>
            </w:pPr>
            <w:r>
              <w:rPr>
                <w:rFonts w:hint="eastAsia" w:ascii="宋体" w:hAnsi="宋体"/>
                <w:highlight w:val="none"/>
              </w:rPr>
              <w:t>1</w:t>
            </w:r>
          </w:p>
        </w:tc>
        <w:tc>
          <w:tcPr>
            <w:tcW w:w="9826"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szCs w:val="21"/>
                <w:highlight w:val="none"/>
                <w:u w:val="single"/>
              </w:rPr>
              <w:t>《广州建设工程施工招标投标书》中的</w:t>
            </w:r>
            <w:r>
              <w:rPr>
                <w:rFonts w:hint="eastAsia" w:ascii="宋体" w:hAnsi="宋体" w:cs="宋体"/>
                <w:szCs w:val="21"/>
                <w:highlight w:val="none"/>
                <w:u w:val="single"/>
              </w:rPr>
              <w:t>工期</w:t>
            </w:r>
            <w:r>
              <w:rPr>
                <w:rFonts w:hint="eastAsia" w:ascii="宋体" w:hAnsi="宋体"/>
                <w:highlight w:val="none"/>
              </w:rPr>
              <w:t>不能满足完成投标项目工期的；</w:t>
            </w: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highlight w:val="none"/>
              </w:rPr>
            </w:pPr>
            <w:r>
              <w:rPr>
                <w:rFonts w:hint="eastAsia" w:ascii="宋体" w:hAnsi="宋体"/>
                <w:highlight w:val="none"/>
              </w:rPr>
              <w:t>2</w:t>
            </w:r>
          </w:p>
        </w:tc>
        <w:tc>
          <w:tcPr>
            <w:tcW w:w="9826" w:type="dxa"/>
            <w:tcBorders>
              <w:top w:val="single" w:color="auto" w:sz="4" w:space="0"/>
              <w:left w:val="nil"/>
              <w:bottom w:val="single" w:color="auto" w:sz="4" w:space="0"/>
              <w:right w:val="single" w:color="auto" w:sz="4" w:space="0"/>
            </w:tcBorders>
            <w:noWrap w:val="0"/>
            <w:vAlign w:val="center"/>
          </w:tcPr>
          <w:p>
            <w:pPr>
              <w:adjustRightInd w:val="0"/>
              <w:jc w:val="both"/>
              <w:rPr>
                <w:rFonts w:hint="eastAsia" w:ascii="宋体" w:hAnsi="宋体"/>
                <w:szCs w:val="21"/>
                <w:highlight w:val="none"/>
                <w:u w:val="single"/>
              </w:rPr>
            </w:pPr>
            <w:r>
              <w:rPr>
                <w:rFonts w:hint="eastAsia" w:ascii="宋体" w:hAnsi="宋体"/>
                <w:szCs w:val="21"/>
                <w:highlight w:val="none"/>
                <w:u w:val="single"/>
              </w:rPr>
              <w:t>《广州建设工程施工招标投标书》中的工程质量标准不符合招标文件要求的；</w:t>
            </w: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highlight w:val="none"/>
              </w:rPr>
            </w:pPr>
            <w:r>
              <w:rPr>
                <w:rFonts w:hint="eastAsia" w:ascii="宋体" w:hAnsi="宋体"/>
                <w:highlight w:val="none"/>
              </w:rPr>
              <w:t>3</w:t>
            </w:r>
          </w:p>
        </w:tc>
        <w:tc>
          <w:tcPr>
            <w:tcW w:w="9826"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szCs w:val="21"/>
                <w:highlight w:val="none"/>
              </w:rPr>
              <w:t>投标文件中没有有效的法定代表人证明书，或由委托代理人签署的投标文件中没有法定代表人授权书；</w:t>
            </w: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highlight w:val="none"/>
              </w:rPr>
            </w:pPr>
            <w:r>
              <w:rPr>
                <w:rFonts w:hint="eastAsia" w:ascii="宋体" w:hAnsi="宋体"/>
                <w:highlight w:val="none"/>
              </w:rPr>
              <w:t>4</w:t>
            </w:r>
          </w:p>
        </w:tc>
        <w:tc>
          <w:tcPr>
            <w:tcW w:w="9826"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szCs w:val="21"/>
                <w:highlight w:val="none"/>
              </w:rPr>
              <w:t>投标文件未按规定的格式填写，或主要内容不全，或关键字迹模糊、无法辨认的；</w:t>
            </w: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highlight w:val="none"/>
              </w:rPr>
            </w:pPr>
            <w:r>
              <w:rPr>
                <w:rFonts w:hint="eastAsia" w:ascii="宋体" w:hAnsi="宋体"/>
                <w:highlight w:val="none"/>
              </w:rPr>
              <w:t>5</w:t>
            </w:r>
          </w:p>
        </w:tc>
        <w:tc>
          <w:tcPr>
            <w:tcW w:w="9826"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投标人之间存在《广东省实施&lt;中华人民共和国招标投标法&gt;》第十六条所禁止的情形的；</w:t>
            </w: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highlight w:val="none"/>
              </w:rPr>
            </w:pPr>
            <w:r>
              <w:rPr>
                <w:rFonts w:hint="eastAsia" w:ascii="宋体" w:hAnsi="宋体"/>
                <w:highlight w:val="none"/>
              </w:rPr>
              <w:t>6</w:t>
            </w:r>
          </w:p>
        </w:tc>
        <w:tc>
          <w:tcPr>
            <w:tcW w:w="9826"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无《参与编制技术标投标文件人员名单》的；</w:t>
            </w: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highlight w:val="none"/>
              </w:rPr>
            </w:pPr>
            <w:r>
              <w:rPr>
                <w:rFonts w:hint="eastAsia" w:ascii="宋体" w:hAnsi="宋体"/>
                <w:highlight w:val="none"/>
              </w:rPr>
              <w:t>7</w:t>
            </w:r>
          </w:p>
        </w:tc>
        <w:tc>
          <w:tcPr>
            <w:tcW w:w="9826"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投标人未按要求提交投标保证金的；</w:t>
            </w: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highlight w:val="none"/>
              </w:rPr>
            </w:pPr>
            <w:r>
              <w:rPr>
                <w:rFonts w:hint="eastAsia" w:ascii="宋体" w:hAnsi="宋体"/>
                <w:highlight w:val="none"/>
              </w:rPr>
              <w:t>8</w:t>
            </w:r>
          </w:p>
        </w:tc>
        <w:tc>
          <w:tcPr>
            <w:tcW w:w="9826"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szCs w:val="21"/>
                <w:highlight w:val="none"/>
              </w:rPr>
              <w:t>投标人与本项目其他投标人加密打包投标文件电脑机器特征码一致的(以</w:t>
            </w:r>
            <w:r>
              <w:rPr>
                <w:rFonts w:hint="eastAsia" w:ascii="宋体" w:hAnsi="宋体"/>
                <w:szCs w:val="21"/>
                <w:highlight w:val="none"/>
                <w:u w:val="single"/>
              </w:rPr>
              <w:t>广州公共资源交易中心</w:t>
            </w:r>
            <w:r>
              <w:rPr>
                <w:rFonts w:hint="eastAsia" w:ascii="宋体" w:hAnsi="宋体"/>
                <w:szCs w:val="21"/>
                <w:highlight w:val="none"/>
              </w:rPr>
              <w:t>交易平台评标系统的检索信息为准)</w:t>
            </w: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697"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bl>
    <w:p>
      <w:pPr>
        <w:rPr>
          <w:rFonts w:hint="eastAsia" w:ascii="宋体" w:hAnsi="宋体" w:cs="宋体"/>
          <w:color w:val="auto"/>
          <w:szCs w:val="21"/>
          <w:highlight w:val="none"/>
        </w:rPr>
      </w:pPr>
      <w:r>
        <w:rPr>
          <w:rFonts w:hint="eastAsia" w:ascii="宋体" w:hAnsi="宋体" w:cs="宋体"/>
          <w:color w:val="auto"/>
          <w:szCs w:val="21"/>
          <w:highlight w:val="none"/>
        </w:rPr>
        <w:t>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pPr>
        <w:rPr>
          <w:rFonts w:hint="eastAsia" w:ascii="宋体" w:hAnsi="宋体" w:cs="宋体"/>
          <w:color w:val="auto"/>
          <w:szCs w:val="21"/>
          <w:highlight w:val="none"/>
        </w:rPr>
      </w:pPr>
      <w:r>
        <w:rPr>
          <w:rFonts w:hint="eastAsia" w:ascii="宋体" w:hAnsi="宋体" w:cs="宋体"/>
          <w:color w:val="auto"/>
          <w:szCs w:val="21"/>
          <w:highlight w:val="none"/>
        </w:rPr>
        <w:t>评委签名：</w:t>
      </w:r>
    </w:p>
    <w:p>
      <w:pPr>
        <w:rPr>
          <w:rFonts w:hint="eastAsia"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color w:val="auto"/>
          <w:szCs w:val="21"/>
          <w:highlight w:val="none"/>
        </w:rPr>
        <w:t>附表三</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52"/>
        <w:tblW w:w="13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9237"/>
        <w:gridCol w:w="817"/>
        <w:gridCol w:w="817"/>
        <w:gridCol w:w="817"/>
        <w:gridCol w:w="817"/>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序号</w:t>
            </w:r>
          </w:p>
        </w:tc>
        <w:tc>
          <w:tcPr>
            <w:tcW w:w="9237"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rPr>
                <w:rFonts w:ascii="宋体" w:hAnsi="宋体"/>
                <w:szCs w:val="21"/>
                <w:highlight w:val="none"/>
              </w:rPr>
            </w:pPr>
            <w:r>
              <w:rPr>
                <w:rFonts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投标人</w:t>
            </w:r>
          </w:p>
          <w:p>
            <w:pPr>
              <w:rPr>
                <w:rFonts w:ascii="宋体" w:hAnsi="宋体"/>
                <w:szCs w:val="21"/>
                <w:highlight w:val="none"/>
              </w:rPr>
            </w:pPr>
            <w:r>
              <w:rPr>
                <w:rFonts w:hint="eastAsia" w:ascii="宋体" w:hAnsi="宋体"/>
                <w:szCs w:val="21"/>
                <w:highlight w:val="none"/>
              </w:rPr>
              <w:t>评审内容</w:t>
            </w:r>
          </w:p>
        </w:tc>
        <w:tc>
          <w:tcPr>
            <w:tcW w:w="81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1</w:t>
            </w:r>
          </w:p>
        </w:tc>
        <w:tc>
          <w:tcPr>
            <w:tcW w:w="923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对同一招标项目出现两个或以上的投标报价，且没有申明哪个有效；</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2</w:t>
            </w:r>
          </w:p>
        </w:tc>
        <w:tc>
          <w:tcPr>
            <w:tcW w:w="923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投标报价高于最高投标限价的；</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3</w:t>
            </w:r>
          </w:p>
        </w:tc>
        <w:tc>
          <w:tcPr>
            <w:tcW w:w="92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both"/>
              <w:rPr>
                <w:rFonts w:ascii="宋体" w:hAnsi="宋体"/>
                <w:szCs w:val="21"/>
                <w:highlight w:val="none"/>
              </w:rPr>
            </w:pPr>
            <w:r>
              <w:rPr>
                <w:rFonts w:hint="eastAsia" w:ascii="宋体" w:hAnsi="宋体"/>
                <w:szCs w:val="21"/>
                <w:highlight w:val="none"/>
              </w:rPr>
              <w:t>投标报价低于成本的；</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4</w:t>
            </w:r>
          </w:p>
        </w:tc>
        <w:tc>
          <w:tcPr>
            <w:tcW w:w="923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算术复核后的投标报价与原投标报价相比存在</w:t>
            </w:r>
            <w:r>
              <w:rPr>
                <w:rFonts w:ascii="宋体" w:hAnsi="宋体"/>
                <w:szCs w:val="21"/>
                <w:highlight w:val="none"/>
              </w:rPr>
              <w:t>1%</w:t>
            </w:r>
            <w:r>
              <w:rPr>
                <w:rFonts w:hint="eastAsia" w:ascii="宋体" w:hAnsi="宋体"/>
                <w:szCs w:val="21"/>
                <w:highlight w:val="none"/>
              </w:rPr>
              <w:t>或以上误差的；</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5</w:t>
            </w:r>
          </w:p>
        </w:tc>
        <w:tc>
          <w:tcPr>
            <w:tcW w:w="923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投标文件未按规定的格式填写，或主要内容不全，或关键字迹模糊、无法辨认的；</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6</w:t>
            </w:r>
          </w:p>
        </w:tc>
        <w:tc>
          <w:tcPr>
            <w:tcW w:w="923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不同投标人的投标报价中分部分项工程量清单综合单价相似度达到80%及以上的(以</w:t>
            </w:r>
            <w:r>
              <w:rPr>
                <w:rFonts w:hint="eastAsia" w:ascii="宋体" w:hAnsi="宋体"/>
                <w:szCs w:val="21"/>
                <w:highlight w:val="none"/>
                <w:u w:val="single"/>
              </w:rPr>
              <w:t>广州公共资源交易中心</w:t>
            </w:r>
            <w:r>
              <w:rPr>
                <w:rFonts w:hint="eastAsia" w:ascii="宋体" w:hAnsi="宋体"/>
                <w:szCs w:val="21"/>
                <w:highlight w:val="none"/>
              </w:rPr>
              <w:t>交易平台评标系统的检索信息为准)</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7</w:t>
            </w:r>
          </w:p>
        </w:tc>
        <w:tc>
          <w:tcPr>
            <w:tcW w:w="923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投标人之间存在《广东省实施&lt;中华人民共和国招标投标法&gt;办法》第十六条所禁止的情形的；</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8</w:t>
            </w:r>
          </w:p>
        </w:tc>
        <w:tc>
          <w:tcPr>
            <w:tcW w:w="923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无《参与编制经济标投标文件人员名单》的；</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9</w:t>
            </w:r>
          </w:p>
        </w:tc>
        <w:tc>
          <w:tcPr>
            <w:tcW w:w="923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无《对投标文件编制的承诺》</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2"/>
                <w:sz w:val="21"/>
                <w:szCs w:val="21"/>
                <w:highlight w:val="none"/>
                <w:lang w:val="en-US" w:eastAsia="zh-CN" w:bidi="ar-SA"/>
              </w:rPr>
            </w:pPr>
            <w:r>
              <w:rPr>
                <w:rFonts w:hint="eastAsia" w:ascii="宋体" w:hAnsi="宋体"/>
                <w:szCs w:val="21"/>
                <w:highlight w:val="none"/>
              </w:rPr>
              <w:t>10</w:t>
            </w:r>
          </w:p>
        </w:tc>
        <w:tc>
          <w:tcPr>
            <w:tcW w:w="92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kern w:val="2"/>
                <w:sz w:val="21"/>
                <w:szCs w:val="21"/>
                <w:highlight w:val="none"/>
                <w:lang w:val="en-US" w:eastAsia="zh-CN" w:bidi="ar-SA"/>
              </w:rPr>
            </w:pPr>
            <w:r>
              <w:rPr>
                <w:rFonts w:hint="eastAsia" w:ascii="宋体" w:hAnsi="宋体"/>
                <w:szCs w:val="21"/>
                <w:highlight w:val="none"/>
              </w:rPr>
              <w:t>投标人与本项目其他投标人的投标文件工程量清单编制机器硬件信息一致的（以交易平台评标系统的检索信息为准）</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bl>
    <w:p>
      <w:pPr>
        <w:rPr>
          <w:rFonts w:hint="eastAsia" w:ascii="宋体" w:hAnsi="宋体" w:cs="宋体"/>
          <w:color w:val="auto"/>
          <w:sz w:val="21"/>
          <w:szCs w:val="22"/>
          <w:highlight w:val="none"/>
        </w:rPr>
      </w:pPr>
      <w:r>
        <w:rPr>
          <w:rFonts w:hint="eastAsia" w:ascii="宋体" w:hAnsi="宋体" w:cs="宋体"/>
          <w:color w:val="auto"/>
          <w:szCs w:val="21"/>
          <w:highlight w:val="none"/>
        </w:rPr>
        <w:t>注：</w:t>
      </w:r>
      <w:r>
        <w:rPr>
          <w:rFonts w:hint="eastAsia" w:ascii="宋体" w:hAnsi="宋体" w:cs="宋体"/>
          <w:color w:val="auto"/>
          <w:sz w:val="21"/>
          <w:szCs w:val="22"/>
          <w:highlight w:val="none"/>
        </w:rPr>
        <w:t>1.本表使用GZZB2018-3招标文件范本，与范本内容不同之处均以下划线标明。</w:t>
      </w:r>
    </w:p>
    <w:p>
      <w:pPr>
        <w:pStyle w:val="50"/>
        <w:ind w:left="0" w:leftChars="0" w:firstLine="0" w:firstLineChars="0"/>
        <w:rPr>
          <w:rFonts w:hint="eastAsia" w:ascii="宋体" w:hAnsi="宋体" w:cs="宋体"/>
          <w:color w:val="auto"/>
          <w:sz w:val="21"/>
          <w:szCs w:val="22"/>
          <w:highlight w:val="none"/>
        </w:rPr>
      </w:pPr>
      <w:r>
        <w:rPr>
          <w:rFonts w:hint="eastAsia" w:ascii="宋体" w:hAnsi="宋体" w:cs="宋体"/>
          <w:color w:val="auto"/>
          <w:sz w:val="21"/>
          <w:szCs w:val="22"/>
          <w:highlight w:val="none"/>
        </w:rPr>
        <w:t>2.凡出现以上任何一项情形，结论均为无效，否则就为有效。</w:t>
      </w:r>
    </w:p>
    <w:p>
      <w:pPr>
        <w:pStyle w:val="50"/>
        <w:ind w:left="0" w:leftChars="0" w:firstLine="0" w:firstLineChars="0"/>
        <w:rPr>
          <w:rFonts w:hint="eastAsia" w:ascii="宋体" w:hAnsi="宋体" w:cs="宋体"/>
          <w:color w:val="auto"/>
          <w:sz w:val="21"/>
          <w:szCs w:val="22"/>
          <w:highlight w:val="none"/>
        </w:rPr>
      </w:pPr>
      <w:r>
        <w:rPr>
          <w:rFonts w:hint="eastAsia" w:ascii="宋体" w:hAnsi="宋体" w:cs="宋体"/>
          <w:color w:val="auto"/>
          <w:sz w:val="21"/>
          <w:szCs w:val="22"/>
          <w:highlight w:val="none"/>
        </w:rPr>
        <w:t>3.如对本表中某种情形的评审意见不一致时，以评标委员会过半数成员的意见作为评标委员会对该情形的认定结论。</w:t>
      </w:r>
    </w:p>
    <w:p>
      <w:pPr>
        <w:pStyle w:val="50"/>
        <w:ind w:left="0" w:leftChars="0" w:firstLine="0" w:firstLineChars="0"/>
        <w:rPr>
          <w:rFonts w:hint="eastAsia" w:ascii="宋体" w:hAnsi="宋体" w:cs="宋体"/>
          <w:color w:val="auto"/>
          <w:sz w:val="21"/>
          <w:szCs w:val="22"/>
          <w:highlight w:val="none"/>
        </w:rPr>
      </w:pPr>
      <w:r>
        <w:rPr>
          <w:rFonts w:hint="eastAsia" w:ascii="宋体" w:hAnsi="宋体" w:cs="宋体"/>
          <w:color w:val="auto"/>
          <w:sz w:val="21"/>
          <w:szCs w:val="22"/>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0"/>
        <w:ind w:left="0" w:leftChars="0" w:firstLine="0" w:firstLineChars="0"/>
        <w:rPr>
          <w:rFonts w:hint="eastAsia" w:ascii="宋体" w:hAnsi="宋体" w:cs="宋体"/>
          <w:color w:val="auto"/>
          <w:sz w:val="21"/>
          <w:szCs w:val="22"/>
          <w:highlight w:val="none"/>
        </w:rPr>
        <w:sectPr>
          <w:footerReference r:id="rId18" w:type="first"/>
          <w:footerReference r:id="rId17" w:type="default"/>
          <w:endnotePr>
            <w:numFmt w:val="decimal"/>
          </w:endnotePr>
          <w:pgSz w:w="16838" w:h="11906" w:orient="landscape"/>
          <w:pgMar w:top="1304" w:right="1531" w:bottom="1304" w:left="1531" w:header="851" w:footer="90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 w:val="21"/>
          <w:szCs w:val="22"/>
          <w:highlight w:val="none"/>
        </w:rPr>
        <w:t>评委签名：</w:t>
      </w:r>
    </w:p>
    <w:p>
      <w:pPr>
        <w:rPr>
          <w:rFonts w:hint="eastAsia"/>
          <w:color w:val="auto"/>
          <w:szCs w:val="21"/>
          <w:highlight w:val="none"/>
        </w:rPr>
      </w:pPr>
      <w:r>
        <w:rPr>
          <w:rFonts w:hint="eastAsia"/>
          <w:color w:val="auto"/>
          <w:szCs w:val="21"/>
          <w:highlight w:val="none"/>
        </w:rPr>
        <w:t>附表四</w:t>
      </w:r>
    </w:p>
    <w:p>
      <w:pPr>
        <w:jc w:val="center"/>
        <w:rPr>
          <w:rFonts w:hint="eastAsia" w:ascii="宋体" w:hAnsi="宋体" w:cs="宋体"/>
          <w:b/>
          <w:sz w:val="36"/>
          <w:szCs w:val="36"/>
          <w:highlight w:val="none"/>
        </w:rPr>
      </w:pPr>
      <w:r>
        <w:rPr>
          <w:rFonts w:hint="eastAsia" w:ascii="宋体" w:hAnsi="宋体" w:cs="宋体"/>
          <w:b/>
          <w:sz w:val="36"/>
          <w:szCs w:val="36"/>
          <w:highlight w:val="none"/>
        </w:rPr>
        <w:t>技术标详细审查评分表</w:t>
      </w:r>
    </w:p>
    <w:tbl>
      <w:tblPr>
        <w:tblStyle w:val="52"/>
        <w:tblW w:w="14608"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093"/>
        <w:gridCol w:w="606"/>
        <w:gridCol w:w="11809"/>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1100" w:type="dxa"/>
            <w:tcBorders>
              <w:top w:val="single" w:color="auto" w:sz="8" w:space="0"/>
            </w:tcBorders>
            <w:noWrap w:val="0"/>
            <w:vAlign w:val="center"/>
          </w:tcPr>
          <w:p>
            <w:pPr>
              <w:widowControl/>
              <w:adjustRightInd w:val="0"/>
              <w:snapToGrid w:val="0"/>
              <w:jc w:val="center"/>
              <w:rPr>
                <w:rFonts w:ascii="宋体" w:hAnsi="宋体" w:cs="宋体"/>
                <w:b/>
                <w:szCs w:val="21"/>
                <w:highlight w:val="none"/>
              </w:rPr>
            </w:pPr>
            <w:r>
              <w:rPr>
                <w:rFonts w:hint="eastAsia" w:ascii="宋体" w:hAnsi="宋体" w:cs="宋体"/>
                <w:b/>
                <w:szCs w:val="21"/>
                <w:highlight w:val="none"/>
              </w:rPr>
              <w:t>评分项目</w:t>
            </w:r>
          </w:p>
        </w:tc>
        <w:tc>
          <w:tcPr>
            <w:tcW w:w="1093" w:type="dxa"/>
            <w:tcBorders>
              <w:top w:val="single" w:color="auto" w:sz="8" w:space="0"/>
            </w:tcBorders>
            <w:noWrap w:val="0"/>
            <w:vAlign w:val="center"/>
          </w:tcPr>
          <w:p>
            <w:pPr>
              <w:widowControl/>
              <w:adjustRightInd w:val="0"/>
              <w:snapToGrid w:val="0"/>
              <w:jc w:val="center"/>
              <w:rPr>
                <w:rFonts w:ascii="宋体" w:hAnsi="宋体" w:cs="宋体"/>
                <w:b/>
                <w:szCs w:val="21"/>
                <w:highlight w:val="none"/>
              </w:rPr>
            </w:pPr>
            <w:r>
              <w:rPr>
                <w:rFonts w:hint="eastAsia" w:ascii="宋体" w:hAnsi="宋体" w:cs="宋体"/>
                <w:b/>
                <w:szCs w:val="21"/>
                <w:highlight w:val="none"/>
              </w:rPr>
              <w:t>评分内容</w:t>
            </w:r>
          </w:p>
        </w:tc>
        <w:tc>
          <w:tcPr>
            <w:tcW w:w="606" w:type="dxa"/>
            <w:tcBorders>
              <w:top w:val="single" w:color="auto" w:sz="8" w:space="0"/>
            </w:tcBorders>
            <w:noWrap w:val="0"/>
            <w:vAlign w:val="center"/>
          </w:tcPr>
          <w:p>
            <w:pPr>
              <w:widowControl/>
              <w:adjustRightInd w:val="0"/>
              <w:snapToGrid w:val="0"/>
              <w:ind w:left="19" w:leftChars="-51" w:hanging="126" w:hangingChars="60"/>
              <w:jc w:val="center"/>
              <w:rPr>
                <w:rFonts w:ascii="宋体" w:hAnsi="宋体" w:cs="宋体"/>
                <w:b/>
                <w:szCs w:val="21"/>
                <w:highlight w:val="none"/>
              </w:rPr>
            </w:pPr>
            <w:r>
              <w:rPr>
                <w:rFonts w:hint="eastAsia" w:ascii="宋体" w:hAnsi="宋体" w:cs="宋体"/>
                <w:b/>
                <w:szCs w:val="21"/>
                <w:highlight w:val="none"/>
              </w:rPr>
              <w:t>分值</w:t>
            </w:r>
          </w:p>
        </w:tc>
        <w:tc>
          <w:tcPr>
            <w:tcW w:w="11809" w:type="dxa"/>
            <w:tcBorders>
              <w:top w:val="single" w:color="auto" w:sz="8" w:space="0"/>
            </w:tcBorders>
            <w:noWrap w:val="0"/>
            <w:vAlign w:val="center"/>
          </w:tcPr>
          <w:p>
            <w:pPr>
              <w:widowControl/>
              <w:adjustRightInd w:val="0"/>
              <w:snapToGrid w:val="0"/>
              <w:jc w:val="center"/>
              <w:rPr>
                <w:rFonts w:ascii="宋体" w:hAnsi="宋体" w:cs="宋体"/>
                <w:b/>
                <w:szCs w:val="21"/>
                <w:highlight w:val="none"/>
              </w:rPr>
            </w:pPr>
            <w:r>
              <w:rPr>
                <w:rFonts w:hint="eastAsia" w:ascii="宋体" w:hAnsi="宋体" w:cs="宋体"/>
                <w:b/>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100" w:type="dxa"/>
            <w:vMerge w:val="restart"/>
            <w:noWrap w:val="0"/>
            <w:vAlign w:val="center"/>
          </w:tcPr>
          <w:p>
            <w:pPr>
              <w:numPr>
                <w:ilvl w:val="0"/>
                <w:numId w:val="8"/>
              </w:numPr>
              <w:adjustRightInd w:val="0"/>
              <w:snapToGrid w:val="0"/>
              <w:jc w:val="center"/>
              <w:rPr>
                <w:rFonts w:ascii="宋体" w:hAnsi="宋体" w:cs="宋体"/>
                <w:szCs w:val="21"/>
                <w:highlight w:val="none"/>
              </w:rPr>
            </w:pPr>
            <w:r>
              <w:rPr>
                <w:rFonts w:hint="eastAsia" w:ascii="宋体" w:hAnsi="宋体" w:cs="宋体"/>
                <w:szCs w:val="21"/>
                <w:highlight w:val="none"/>
              </w:rPr>
              <w:t>企业资信</w:t>
            </w:r>
          </w:p>
          <w:p>
            <w:pPr>
              <w:adjustRightInd w:val="0"/>
              <w:snapToGrid w:val="0"/>
              <w:rPr>
                <w:rFonts w:ascii="宋体" w:hAnsi="宋体" w:cs="宋体"/>
                <w:szCs w:val="21"/>
                <w:highlight w:val="none"/>
              </w:rPr>
            </w:pPr>
            <w:r>
              <w:rPr>
                <w:rFonts w:hint="eastAsia" w:ascii="宋体" w:hAnsi="宋体" w:cs="宋体"/>
                <w:szCs w:val="21"/>
                <w:highlight w:val="none"/>
              </w:rPr>
              <w:t>（30分）</w:t>
            </w:r>
          </w:p>
        </w:tc>
        <w:tc>
          <w:tcPr>
            <w:tcW w:w="1093" w:type="dxa"/>
            <w:noWrap w:val="0"/>
            <w:vAlign w:val="center"/>
          </w:tcPr>
          <w:p>
            <w:pPr>
              <w:ind w:right="134" w:rightChars="64"/>
              <w:jc w:val="center"/>
              <w:rPr>
                <w:rFonts w:ascii="宋体" w:hAnsi="宋体" w:cs="宋体"/>
                <w:szCs w:val="21"/>
                <w:highlight w:val="none"/>
              </w:rPr>
            </w:pPr>
            <w:r>
              <w:rPr>
                <w:rFonts w:hint="eastAsia" w:ascii="宋体" w:hAnsi="宋体" w:cs="宋体"/>
                <w:szCs w:val="21"/>
                <w:highlight w:val="none"/>
              </w:rPr>
              <w:t>企业业绩</w:t>
            </w:r>
          </w:p>
        </w:tc>
        <w:tc>
          <w:tcPr>
            <w:tcW w:w="606" w:type="dxa"/>
            <w:noWrap w:val="0"/>
            <w:vAlign w:val="center"/>
          </w:tcPr>
          <w:p>
            <w:pPr>
              <w:widowControl/>
              <w:snapToGrid w:val="0"/>
              <w:jc w:val="center"/>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highlight w:val="none"/>
                <w:lang w:val="en-US" w:eastAsia="zh-CN"/>
              </w:rPr>
              <w:t>6</w:t>
            </w:r>
          </w:p>
        </w:tc>
        <w:tc>
          <w:tcPr>
            <w:tcW w:w="11809" w:type="dxa"/>
            <w:noWrap w:val="0"/>
            <w:vAlign w:val="center"/>
          </w:tcPr>
          <w:p>
            <w:pPr>
              <w:widowControl/>
              <w:spacing w:line="276" w:lineRule="auto"/>
              <w:rPr>
                <w:rFonts w:ascii="宋体" w:hAnsi="宋体" w:cs="宋体"/>
                <w:szCs w:val="21"/>
                <w:highlight w:val="none"/>
                <w:lang w:val="zh-TW"/>
              </w:rPr>
            </w:pPr>
            <w:r>
              <w:rPr>
                <w:rFonts w:hint="eastAsia" w:ascii="宋体" w:hAnsi="宋体" w:cs="宋体"/>
                <w:szCs w:val="21"/>
                <w:highlight w:val="none"/>
                <w:lang w:val="zh-TW"/>
              </w:rPr>
              <w:t>投标人自2020年1月1日</w:t>
            </w:r>
            <w:r>
              <w:rPr>
                <w:rFonts w:hint="eastAsia" w:ascii="宋体" w:hAnsi="宋体" w:cs="宋体"/>
                <w:szCs w:val="21"/>
                <w:highlight w:val="none"/>
              </w:rPr>
              <w:t>至今完成过质量合格且中标金额大于或等于</w:t>
            </w:r>
            <w:r>
              <w:rPr>
                <w:rFonts w:hint="eastAsia" w:ascii="宋体" w:hAnsi="宋体" w:cs="宋体"/>
                <w:szCs w:val="21"/>
                <w:highlight w:val="none"/>
                <w:lang w:val="en-US" w:eastAsia="zh-CN"/>
              </w:rPr>
              <w:t>300</w:t>
            </w:r>
            <w:r>
              <w:rPr>
                <w:rFonts w:hint="eastAsia" w:ascii="宋体" w:hAnsi="宋体" w:cs="宋体"/>
                <w:szCs w:val="21"/>
                <w:highlight w:val="none"/>
              </w:rPr>
              <w:t>万元的</w:t>
            </w:r>
            <w:r>
              <w:rPr>
                <w:rFonts w:hint="eastAsia" w:ascii="宋体" w:hAnsi="宋体" w:cs="宋体"/>
                <w:szCs w:val="21"/>
                <w:highlight w:val="none"/>
                <w:lang w:val="en-US" w:eastAsia="zh-CN"/>
              </w:rPr>
              <w:t>建筑工程或古建筑工程</w:t>
            </w:r>
            <w:r>
              <w:rPr>
                <w:rFonts w:hint="eastAsia" w:ascii="宋体" w:hAnsi="宋体" w:cs="宋体"/>
                <w:szCs w:val="21"/>
                <w:highlight w:val="none"/>
              </w:rPr>
              <w:t>业绩</w:t>
            </w:r>
            <w:r>
              <w:rPr>
                <w:rFonts w:hint="eastAsia" w:ascii="宋体" w:hAnsi="宋体" w:cs="宋体"/>
                <w:szCs w:val="21"/>
                <w:highlight w:val="none"/>
                <w:lang w:val="zh-TW"/>
              </w:rPr>
              <w:t>，每项得</w:t>
            </w:r>
            <w:r>
              <w:rPr>
                <w:rFonts w:hint="eastAsia" w:ascii="宋体" w:hAnsi="宋体" w:cs="宋体"/>
                <w:szCs w:val="21"/>
                <w:highlight w:val="none"/>
              </w:rPr>
              <w:t>1</w:t>
            </w:r>
            <w:r>
              <w:rPr>
                <w:rFonts w:hint="eastAsia" w:ascii="宋体" w:hAnsi="宋体" w:cs="宋体"/>
                <w:szCs w:val="21"/>
                <w:highlight w:val="none"/>
                <w:lang w:val="zh-TW"/>
              </w:rPr>
              <w:t>分，最多得</w:t>
            </w:r>
            <w:r>
              <w:rPr>
                <w:rFonts w:hint="eastAsia" w:ascii="宋体" w:hAnsi="宋体" w:cs="宋体"/>
                <w:szCs w:val="21"/>
                <w:highlight w:val="none"/>
                <w:lang w:val="en-US" w:eastAsia="zh-CN"/>
              </w:rPr>
              <w:t>6</w:t>
            </w:r>
            <w:r>
              <w:rPr>
                <w:rFonts w:hint="eastAsia" w:ascii="宋体" w:hAnsi="宋体" w:cs="宋体"/>
                <w:szCs w:val="21"/>
                <w:highlight w:val="none"/>
                <w:lang w:val="zh-TW"/>
              </w:rPr>
              <w:t>分。</w:t>
            </w:r>
          </w:p>
          <w:p>
            <w:pPr>
              <w:spacing w:line="276" w:lineRule="auto"/>
              <w:rPr>
                <w:rFonts w:ascii="宋体" w:hAnsi="宋体" w:cs="宋体"/>
                <w:szCs w:val="21"/>
                <w:highlight w:val="none"/>
              </w:rPr>
            </w:pPr>
            <w:r>
              <w:rPr>
                <w:rFonts w:hint="eastAsia" w:ascii="宋体" w:hAnsi="宋体" w:cs="宋体"/>
                <w:szCs w:val="21"/>
                <w:highlight w:val="none"/>
                <w:lang w:val="zh-TW"/>
              </w:rPr>
              <w:t>不满足上述条件者，不得分。本项最高得</w:t>
            </w:r>
            <w:r>
              <w:rPr>
                <w:rFonts w:hint="eastAsia" w:ascii="宋体" w:hAnsi="宋体" w:cs="宋体"/>
                <w:szCs w:val="21"/>
                <w:highlight w:val="none"/>
                <w:lang w:val="en-US" w:eastAsia="zh-CN"/>
              </w:rPr>
              <w:t>6</w:t>
            </w:r>
            <w:r>
              <w:rPr>
                <w:rFonts w:hint="eastAsia" w:ascii="宋体" w:hAnsi="宋体" w:cs="宋体"/>
                <w:szCs w:val="21"/>
                <w:highlight w:val="none"/>
                <w:lang w:val="zh-TW"/>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100" w:type="dxa"/>
            <w:vMerge w:val="continue"/>
            <w:noWrap w:val="0"/>
            <w:vAlign w:val="center"/>
          </w:tcPr>
          <w:p>
            <w:pPr>
              <w:adjustRightInd w:val="0"/>
              <w:snapToGrid w:val="0"/>
              <w:jc w:val="center"/>
              <w:rPr>
                <w:rFonts w:ascii="宋体" w:hAnsi="宋体" w:cs="宋体"/>
                <w:szCs w:val="21"/>
                <w:highlight w:val="none"/>
              </w:rPr>
            </w:pPr>
          </w:p>
        </w:tc>
        <w:tc>
          <w:tcPr>
            <w:tcW w:w="1093" w:type="dxa"/>
            <w:noWrap w:val="0"/>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工程获奖</w:t>
            </w:r>
          </w:p>
        </w:tc>
        <w:tc>
          <w:tcPr>
            <w:tcW w:w="606" w:type="dxa"/>
            <w:noWrap w:val="0"/>
            <w:vAlign w:val="center"/>
          </w:tcPr>
          <w:p>
            <w:pPr>
              <w:widowControl/>
              <w:snapToGrid w:val="0"/>
              <w:jc w:val="center"/>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highlight w:val="none"/>
              </w:rPr>
              <w:t>1</w:t>
            </w:r>
            <w:r>
              <w:rPr>
                <w:rFonts w:hint="eastAsia" w:ascii="宋体" w:hAnsi="宋体" w:cs="宋体"/>
                <w:b w:val="0"/>
                <w:bCs w:val="0"/>
                <w:sz w:val="21"/>
                <w:szCs w:val="21"/>
                <w:highlight w:val="none"/>
                <w:lang w:val="en-US" w:eastAsia="zh-CN"/>
              </w:rPr>
              <w:t>0</w:t>
            </w:r>
          </w:p>
        </w:tc>
        <w:tc>
          <w:tcPr>
            <w:tcW w:w="11809" w:type="dxa"/>
            <w:noWrap w:val="0"/>
            <w:vAlign w:val="center"/>
          </w:tcPr>
          <w:p>
            <w:pPr>
              <w:spacing w:line="276" w:lineRule="auto"/>
              <w:contextualSpacing/>
              <w:rPr>
                <w:rFonts w:ascii="宋体" w:hAnsi="宋体" w:cs="宋体"/>
                <w:szCs w:val="21"/>
                <w:highlight w:val="none"/>
                <w:lang w:val="zh-TW"/>
              </w:rPr>
            </w:pPr>
            <w:r>
              <w:rPr>
                <w:rFonts w:hint="eastAsia" w:ascii="宋体" w:hAnsi="宋体" w:cs="宋体"/>
                <w:szCs w:val="21"/>
                <w:highlight w:val="none"/>
                <w:lang w:val="zh-TW"/>
              </w:rPr>
              <w:t>投标人自2020年1月1日至今</w:t>
            </w:r>
            <w:r>
              <w:rPr>
                <w:rFonts w:hint="eastAsia" w:ascii="宋体" w:hAnsi="宋体" w:cs="宋体"/>
                <w:szCs w:val="21"/>
                <w:highlight w:val="none"/>
                <w:lang w:val="en-US" w:eastAsia="zh-CN"/>
              </w:rPr>
              <w:t>,</w:t>
            </w:r>
            <w:r>
              <w:rPr>
                <w:rFonts w:hint="eastAsia" w:ascii="宋体" w:hAnsi="宋体" w:cs="宋体"/>
                <w:szCs w:val="21"/>
                <w:highlight w:val="none"/>
                <w:lang w:val="zh-TW"/>
              </w:rPr>
              <w:t>获得过国家级</w:t>
            </w:r>
            <w:r>
              <w:rPr>
                <w:rFonts w:hint="eastAsia" w:ascii="宋体" w:hAnsi="宋体" w:cs="宋体"/>
                <w:szCs w:val="21"/>
                <w:highlight w:val="none"/>
                <w:lang w:val="en-US" w:eastAsia="zh-CN"/>
              </w:rPr>
              <w:t>建筑工程或古建筑</w:t>
            </w:r>
            <w:r>
              <w:rPr>
                <w:rFonts w:hint="eastAsia" w:ascii="宋体" w:hAnsi="宋体" w:cs="宋体"/>
                <w:szCs w:val="21"/>
                <w:highlight w:val="none"/>
                <w:lang w:val="zh-TW"/>
              </w:rPr>
              <w:t>工程质量奖项的，每项得</w:t>
            </w:r>
            <w:r>
              <w:rPr>
                <w:rFonts w:hint="eastAsia" w:ascii="宋体" w:hAnsi="宋体" w:cs="宋体"/>
                <w:szCs w:val="21"/>
                <w:highlight w:val="none"/>
                <w:lang w:val="en-US" w:eastAsia="zh-CN"/>
              </w:rPr>
              <w:t>2</w:t>
            </w:r>
            <w:r>
              <w:rPr>
                <w:rFonts w:hint="eastAsia" w:ascii="宋体" w:hAnsi="宋体" w:cs="宋体"/>
                <w:szCs w:val="21"/>
                <w:highlight w:val="none"/>
                <w:lang w:val="zh-TW"/>
              </w:rPr>
              <w:t>分；获得过</w:t>
            </w:r>
            <w:r>
              <w:rPr>
                <w:rFonts w:hint="eastAsia" w:ascii="宋体" w:hAnsi="宋体" w:cs="宋体"/>
                <w:szCs w:val="21"/>
                <w:highlight w:val="none"/>
                <w:lang w:bidi="ar"/>
              </w:rPr>
              <w:t>省级</w:t>
            </w:r>
            <w:r>
              <w:rPr>
                <w:rFonts w:hint="eastAsia" w:ascii="宋体" w:hAnsi="宋体" w:cs="宋体"/>
                <w:szCs w:val="21"/>
                <w:highlight w:val="none"/>
                <w:lang w:val="en-US" w:eastAsia="zh-CN"/>
              </w:rPr>
              <w:t>建筑工程或古建筑</w:t>
            </w:r>
            <w:r>
              <w:rPr>
                <w:rFonts w:hint="eastAsia" w:ascii="宋体" w:hAnsi="宋体" w:cs="宋体"/>
                <w:szCs w:val="21"/>
                <w:highlight w:val="none"/>
                <w:lang w:val="zh-TW"/>
              </w:rPr>
              <w:t>工程质量奖项的，每项得</w:t>
            </w:r>
            <w:r>
              <w:rPr>
                <w:rFonts w:hint="eastAsia" w:ascii="宋体" w:hAnsi="宋体" w:cs="宋体"/>
                <w:szCs w:val="21"/>
                <w:highlight w:val="none"/>
                <w:lang w:val="en-US" w:eastAsia="zh-CN"/>
              </w:rPr>
              <w:t>1</w:t>
            </w:r>
            <w:r>
              <w:rPr>
                <w:rFonts w:hint="eastAsia" w:ascii="宋体" w:hAnsi="宋体" w:cs="宋体"/>
                <w:szCs w:val="21"/>
                <w:highlight w:val="none"/>
                <w:lang w:val="zh-TW"/>
              </w:rPr>
              <w:t>分；获得过</w:t>
            </w:r>
            <w:r>
              <w:rPr>
                <w:rFonts w:hint="eastAsia" w:ascii="宋体" w:hAnsi="宋体" w:cs="宋体"/>
                <w:szCs w:val="21"/>
                <w:highlight w:val="none"/>
                <w:lang w:bidi="ar"/>
              </w:rPr>
              <w:t>市级</w:t>
            </w:r>
            <w:r>
              <w:rPr>
                <w:rFonts w:hint="eastAsia" w:ascii="宋体" w:hAnsi="宋体" w:cs="宋体"/>
                <w:szCs w:val="21"/>
                <w:highlight w:val="none"/>
                <w:lang w:val="en-US" w:eastAsia="zh-CN"/>
              </w:rPr>
              <w:t>建筑工程或古建筑</w:t>
            </w:r>
            <w:r>
              <w:rPr>
                <w:rFonts w:hint="eastAsia" w:ascii="宋体" w:hAnsi="宋体" w:cs="宋体"/>
                <w:szCs w:val="21"/>
                <w:highlight w:val="none"/>
                <w:lang w:val="zh-TW"/>
              </w:rPr>
              <w:t>工程质量奖项的，每项得</w:t>
            </w:r>
            <w:r>
              <w:rPr>
                <w:rFonts w:hint="eastAsia" w:ascii="宋体" w:hAnsi="宋体" w:cs="宋体"/>
                <w:szCs w:val="21"/>
                <w:highlight w:val="none"/>
                <w:lang w:val="en-US" w:eastAsia="zh-CN"/>
              </w:rPr>
              <w:t>0.5</w:t>
            </w:r>
            <w:r>
              <w:rPr>
                <w:rFonts w:hint="eastAsia" w:ascii="宋体" w:hAnsi="宋体" w:cs="宋体"/>
                <w:szCs w:val="21"/>
                <w:highlight w:val="none"/>
                <w:lang w:val="zh-TW"/>
              </w:rPr>
              <w:t>分；最多计取</w:t>
            </w:r>
            <w:r>
              <w:rPr>
                <w:rFonts w:hint="eastAsia" w:ascii="宋体" w:hAnsi="宋体" w:cs="宋体"/>
                <w:szCs w:val="21"/>
                <w:highlight w:val="none"/>
                <w:lang w:val="en-US" w:eastAsia="zh-CN"/>
              </w:rPr>
              <w:t>5</w:t>
            </w:r>
            <w:r>
              <w:rPr>
                <w:rFonts w:hint="eastAsia" w:ascii="宋体" w:hAnsi="宋体" w:cs="宋体"/>
                <w:szCs w:val="21"/>
                <w:highlight w:val="none"/>
                <w:lang w:val="zh-TW"/>
              </w:rPr>
              <w:t>项。</w:t>
            </w:r>
          </w:p>
          <w:p>
            <w:pPr>
              <w:spacing w:line="276" w:lineRule="auto"/>
              <w:contextualSpacing/>
              <w:rPr>
                <w:rFonts w:ascii="宋体" w:hAnsi="宋体" w:cs="宋体"/>
                <w:szCs w:val="21"/>
                <w:highlight w:val="none"/>
              </w:rPr>
            </w:pPr>
            <w:r>
              <w:rPr>
                <w:rFonts w:hint="eastAsia" w:ascii="宋体" w:hAnsi="宋体" w:cs="宋体"/>
                <w:szCs w:val="21"/>
                <w:highlight w:val="none"/>
                <w:lang w:val="zh-TW"/>
              </w:rPr>
              <w:t>不满足上述条件者，不得分。</w:t>
            </w:r>
            <w:r>
              <w:rPr>
                <w:rFonts w:hint="eastAsia" w:ascii="宋体" w:hAnsi="宋体" w:cs="宋体"/>
                <w:szCs w:val="21"/>
                <w:highlight w:val="none"/>
                <w:lang w:val="zh-CN"/>
              </w:rPr>
              <w:t>本项最高得</w:t>
            </w:r>
            <w:r>
              <w:rPr>
                <w:rFonts w:hint="eastAsia" w:ascii="宋体" w:hAnsi="宋体" w:cs="宋体"/>
                <w:szCs w:val="21"/>
                <w:highlight w:val="none"/>
                <w:lang w:val="en-US" w:eastAsia="zh-CN"/>
              </w:rPr>
              <w:t>10</w:t>
            </w:r>
            <w:r>
              <w:rPr>
                <w:rFonts w:hint="eastAsia" w:ascii="宋体" w:hAnsi="宋体" w:cs="宋体"/>
                <w:szCs w:val="21"/>
                <w:highlight w:val="none"/>
                <w:lang w:val="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100" w:type="dxa"/>
            <w:vMerge w:val="continue"/>
            <w:noWrap w:val="0"/>
            <w:vAlign w:val="center"/>
          </w:tcPr>
          <w:p>
            <w:pPr>
              <w:adjustRightInd w:val="0"/>
              <w:snapToGrid w:val="0"/>
              <w:jc w:val="center"/>
              <w:rPr>
                <w:rFonts w:ascii="宋体" w:hAnsi="宋体" w:cs="宋体"/>
                <w:szCs w:val="21"/>
                <w:highlight w:val="none"/>
              </w:rPr>
            </w:pPr>
          </w:p>
        </w:tc>
        <w:tc>
          <w:tcPr>
            <w:tcW w:w="1093" w:type="dxa"/>
            <w:noWrap w:val="0"/>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研发能力</w:t>
            </w:r>
          </w:p>
        </w:tc>
        <w:tc>
          <w:tcPr>
            <w:tcW w:w="606" w:type="dxa"/>
            <w:noWrap w:val="0"/>
            <w:vAlign w:val="center"/>
          </w:tcPr>
          <w:p>
            <w:pPr>
              <w:widowControl/>
              <w:snapToGrid w:val="0"/>
              <w:jc w:val="center"/>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highlight w:val="none"/>
                <w:lang w:val="en-US" w:eastAsia="zh-CN"/>
              </w:rPr>
              <w:t>4</w:t>
            </w:r>
          </w:p>
        </w:tc>
        <w:tc>
          <w:tcPr>
            <w:tcW w:w="11809" w:type="dxa"/>
            <w:noWrap w:val="0"/>
            <w:vAlign w:val="center"/>
          </w:tcPr>
          <w:p>
            <w:pPr>
              <w:spacing w:line="276" w:lineRule="auto"/>
              <w:contextualSpacing/>
              <w:rPr>
                <w:rFonts w:hint="eastAsia" w:ascii="宋体" w:hAnsi="宋体" w:cs="宋体"/>
                <w:szCs w:val="21"/>
                <w:highlight w:val="none"/>
                <w:lang w:val="en-US" w:eastAsia="zh-CN"/>
              </w:rPr>
            </w:pPr>
            <w:r>
              <w:rPr>
                <w:rFonts w:hint="eastAsia" w:ascii="宋体" w:hAnsi="宋体" w:cs="宋体"/>
                <w:szCs w:val="21"/>
                <w:highlight w:val="none"/>
                <w:lang w:val="zh-TW" w:eastAsia="zh-CN"/>
              </w:rPr>
              <w:t>投标人自20</w:t>
            </w:r>
            <w:r>
              <w:rPr>
                <w:rFonts w:hint="eastAsia" w:ascii="宋体" w:hAnsi="宋体" w:cs="宋体"/>
                <w:szCs w:val="21"/>
                <w:highlight w:val="none"/>
                <w:lang w:val="en-US" w:eastAsia="zh-CN"/>
              </w:rPr>
              <w:t>20</w:t>
            </w:r>
            <w:r>
              <w:rPr>
                <w:rFonts w:hint="eastAsia" w:ascii="宋体" w:hAnsi="宋体" w:cs="宋体"/>
                <w:szCs w:val="21"/>
                <w:highlight w:val="none"/>
                <w:lang w:val="zh-TW" w:eastAsia="zh-CN"/>
              </w:rPr>
              <w:t>年1月1日至今曾主编或参编过</w:t>
            </w:r>
            <w:r>
              <w:rPr>
                <w:rFonts w:hint="eastAsia" w:ascii="宋体" w:hAnsi="宋体" w:cs="宋体"/>
                <w:szCs w:val="21"/>
                <w:highlight w:val="none"/>
                <w:lang w:val="en-US" w:eastAsia="zh-CN"/>
              </w:rPr>
              <w:t>建筑工程或古建筑工程技术规范、</w:t>
            </w:r>
            <w:r>
              <w:rPr>
                <w:rFonts w:hint="eastAsia" w:ascii="宋体" w:hAnsi="宋体" w:cs="宋体"/>
                <w:szCs w:val="21"/>
                <w:highlight w:val="none"/>
                <w:lang w:val="zh-TW" w:eastAsia="zh-CN"/>
              </w:rPr>
              <w:t>标准的：每项得</w:t>
            </w:r>
            <w:r>
              <w:rPr>
                <w:rFonts w:hint="eastAsia" w:ascii="宋体" w:hAnsi="宋体" w:cs="宋体"/>
                <w:szCs w:val="21"/>
                <w:highlight w:val="none"/>
                <w:lang w:val="en-US" w:eastAsia="zh-CN"/>
              </w:rPr>
              <w:t>2</w:t>
            </w:r>
            <w:r>
              <w:rPr>
                <w:rFonts w:hint="eastAsia" w:ascii="宋体" w:hAnsi="宋体" w:cs="宋体"/>
                <w:szCs w:val="21"/>
                <w:highlight w:val="none"/>
                <w:lang w:val="zh-TW" w:eastAsia="zh-CN"/>
              </w:rPr>
              <w:t>分；最高得</w:t>
            </w:r>
            <w:r>
              <w:rPr>
                <w:rFonts w:hint="eastAsia" w:ascii="宋体" w:hAnsi="宋体" w:cs="宋体"/>
                <w:szCs w:val="21"/>
                <w:highlight w:val="none"/>
                <w:lang w:val="en-US" w:eastAsia="zh-CN"/>
              </w:rPr>
              <w:t>4</w:t>
            </w:r>
            <w:r>
              <w:rPr>
                <w:rFonts w:hint="eastAsia" w:ascii="宋体" w:hAnsi="宋体" w:cs="宋体"/>
                <w:szCs w:val="21"/>
                <w:highlight w:val="none"/>
                <w:lang w:val="zh-TW" w:eastAsia="zh-CN"/>
              </w:rPr>
              <w:t>分。</w:t>
            </w:r>
          </w:p>
          <w:p>
            <w:pPr>
              <w:spacing w:line="276" w:lineRule="auto"/>
              <w:contextualSpacing/>
              <w:rPr>
                <w:rFonts w:ascii="宋体" w:hAnsi="宋体" w:cs="宋体"/>
                <w:szCs w:val="21"/>
                <w:highlight w:val="none"/>
              </w:rPr>
            </w:pPr>
            <w:r>
              <w:rPr>
                <w:rFonts w:hint="eastAsia" w:ascii="宋体" w:hAnsi="宋体" w:cs="宋体"/>
                <w:szCs w:val="21"/>
                <w:highlight w:val="none"/>
                <w:lang w:val="zh-TW" w:eastAsia="zh-CN"/>
              </w:rPr>
              <w:t>不</w:t>
            </w:r>
            <w:r>
              <w:rPr>
                <w:rFonts w:hint="eastAsia" w:ascii="宋体" w:hAnsi="宋体" w:cs="宋体"/>
                <w:szCs w:val="21"/>
                <w:highlight w:val="none"/>
                <w:lang w:val="zh-CN" w:eastAsia="zh-CN"/>
              </w:rPr>
              <w:t>满足</w:t>
            </w:r>
            <w:r>
              <w:rPr>
                <w:rFonts w:hint="eastAsia" w:ascii="宋体" w:hAnsi="宋体" w:cs="宋体"/>
                <w:szCs w:val="21"/>
                <w:highlight w:val="none"/>
                <w:lang w:val="zh-TW" w:eastAsia="zh-CN"/>
              </w:rPr>
              <w:t>上述条件者，不得分。</w:t>
            </w:r>
            <w:r>
              <w:rPr>
                <w:rFonts w:hint="eastAsia" w:ascii="宋体" w:hAnsi="宋体" w:cs="宋体"/>
                <w:szCs w:val="21"/>
                <w:highlight w:val="none"/>
                <w:lang w:val="zh-CN" w:eastAsia="zh-CN"/>
              </w:rPr>
              <w:t>本项最高得</w:t>
            </w:r>
            <w:r>
              <w:rPr>
                <w:rFonts w:hint="eastAsia" w:ascii="宋体" w:hAnsi="宋体" w:cs="宋体"/>
                <w:szCs w:val="21"/>
                <w:highlight w:val="none"/>
                <w:lang w:val="en-US" w:eastAsia="zh-CN"/>
              </w:rPr>
              <w:t>4</w:t>
            </w:r>
            <w:r>
              <w:rPr>
                <w:rFonts w:hint="eastAsia" w:ascii="宋体" w:hAnsi="宋体" w:cs="宋体"/>
                <w:szCs w:val="21"/>
                <w:highlight w:val="none"/>
                <w:lang w:val="zh-CN" w:eastAsia="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100" w:type="dxa"/>
            <w:vMerge w:val="continue"/>
            <w:noWrap w:val="0"/>
            <w:vAlign w:val="center"/>
          </w:tcPr>
          <w:p>
            <w:pPr>
              <w:adjustRightInd w:val="0"/>
              <w:snapToGrid w:val="0"/>
              <w:jc w:val="center"/>
              <w:rPr>
                <w:rFonts w:ascii="宋体" w:hAnsi="宋体" w:cs="宋体"/>
                <w:szCs w:val="21"/>
                <w:highlight w:val="none"/>
              </w:rPr>
            </w:pPr>
          </w:p>
        </w:tc>
        <w:tc>
          <w:tcPr>
            <w:tcW w:w="1093" w:type="dxa"/>
            <w:noWrap w:val="0"/>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第三方评价</w:t>
            </w:r>
          </w:p>
        </w:tc>
        <w:tc>
          <w:tcPr>
            <w:tcW w:w="606" w:type="dxa"/>
            <w:noWrap w:val="0"/>
            <w:vAlign w:val="center"/>
          </w:tcPr>
          <w:p>
            <w:pPr>
              <w:widowControl/>
              <w:snapToGrid w:val="0"/>
              <w:jc w:val="center"/>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highlight w:val="none"/>
                <w:lang w:val="en-US" w:eastAsia="zh-CN"/>
              </w:rPr>
              <w:t>4</w:t>
            </w:r>
          </w:p>
        </w:tc>
        <w:tc>
          <w:tcPr>
            <w:tcW w:w="11809" w:type="dxa"/>
            <w:noWrap w:val="0"/>
            <w:vAlign w:val="center"/>
          </w:tcPr>
          <w:p>
            <w:pPr>
              <w:spacing w:line="276" w:lineRule="auto"/>
              <w:contextualSpacing/>
              <w:rPr>
                <w:rFonts w:ascii="宋体" w:hAnsi="宋体" w:cs="宋体"/>
                <w:szCs w:val="21"/>
                <w:highlight w:val="none"/>
                <w:lang w:val="zh-TW"/>
              </w:rPr>
            </w:pPr>
            <w:r>
              <w:rPr>
                <w:rFonts w:hint="eastAsia" w:ascii="宋体" w:hAnsi="宋体" w:cs="宋体"/>
                <w:szCs w:val="21"/>
                <w:highlight w:val="none"/>
                <w:lang w:val="zh-TW"/>
              </w:rPr>
              <w:t>投标人</w:t>
            </w:r>
            <w:r>
              <w:rPr>
                <w:rFonts w:hint="eastAsia" w:ascii="宋体" w:hAnsi="宋体" w:cs="宋体"/>
                <w:szCs w:val="21"/>
                <w:highlight w:val="none"/>
              </w:rPr>
              <w:t>同时具有</w:t>
            </w:r>
            <w:r>
              <w:rPr>
                <w:rFonts w:hint="eastAsia" w:ascii="宋体" w:hAnsi="宋体" w:cs="宋体"/>
                <w:szCs w:val="21"/>
                <w:highlight w:val="none"/>
                <w:lang w:val="zh-TW"/>
              </w:rPr>
              <w:t>质量管理体系认证证书、环境管理体系认证证书、职业健康安全管理体系认证证书、知识产权管理体系认证证书、工程施工安全标准化体系认证证书</w:t>
            </w:r>
            <w:r>
              <w:rPr>
                <w:rFonts w:hint="eastAsia" w:ascii="宋体" w:hAnsi="宋体" w:cs="宋体"/>
                <w:szCs w:val="21"/>
                <w:highlight w:val="none"/>
              </w:rPr>
              <w:t>且在有效期内的</w:t>
            </w:r>
            <w:r>
              <w:rPr>
                <w:rFonts w:hint="eastAsia" w:ascii="宋体" w:hAnsi="宋体" w:cs="宋体"/>
                <w:szCs w:val="21"/>
                <w:highlight w:val="none"/>
                <w:lang w:val="zh-TW"/>
              </w:rPr>
              <w:t>得</w:t>
            </w:r>
            <w:r>
              <w:rPr>
                <w:rFonts w:hint="eastAsia" w:ascii="宋体" w:hAnsi="宋体" w:cs="宋体"/>
                <w:szCs w:val="21"/>
                <w:highlight w:val="none"/>
                <w:lang w:val="en-US" w:eastAsia="zh-CN"/>
              </w:rPr>
              <w:t>4</w:t>
            </w:r>
            <w:r>
              <w:rPr>
                <w:rFonts w:hint="eastAsia" w:ascii="宋体" w:hAnsi="宋体" w:cs="宋体"/>
                <w:szCs w:val="21"/>
                <w:highlight w:val="none"/>
                <w:lang w:val="zh-TW"/>
              </w:rPr>
              <w:t>分，每缺少一个扣</w:t>
            </w:r>
            <w:r>
              <w:rPr>
                <w:rFonts w:hint="eastAsia" w:ascii="宋体" w:hAnsi="宋体" w:cs="宋体"/>
                <w:szCs w:val="21"/>
                <w:highlight w:val="none"/>
                <w:lang w:val="en-US" w:eastAsia="zh-CN"/>
              </w:rPr>
              <w:t>2</w:t>
            </w:r>
            <w:r>
              <w:rPr>
                <w:rFonts w:hint="eastAsia" w:ascii="宋体" w:hAnsi="宋体" w:cs="宋体"/>
                <w:szCs w:val="21"/>
                <w:highlight w:val="none"/>
                <w:lang w:val="zh-TW"/>
              </w:rPr>
              <w:t>分，本项扣至0分为止。</w:t>
            </w:r>
          </w:p>
          <w:p>
            <w:pPr>
              <w:spacing w:line="276" w:lineRule="auto"/>
              <w:contextualSpacing/>
              <w:rPr>
                <w:rFonts w:ascii="宋体" w:hAnsi="宋体" w:cs="宋体"/>
                <w:szCs w:val="21"/>
                <w:highlight w:val="none"/>
                <w:lang w:val="zh-TW"/>
              </w:rPr>
            </w:pPr>
            <w:r>
              <w:rPr>
                <w:rFonts w:hint="eastAsia" w:ascii="宋体" w:hAnsi="宋体" w:cs="宋体"/>
                <w:szCs w:val="21"/>
                <w:highlight w:val="none"/>
                <w:lang w:val="zh-TW"/>
              </w:rPr>
              <w:t>不满足以上条件的不得分，本项最高得</w:t>
            </w:r>
            <w:r>
              <w:rPr>
                <w:rFonts w:hint="eastAsia" w:ascii="宋体" w:hAnsi="宋体" w:cs="宋体"/>
                <w:szCs w:val="21"/>
                <w:highlight w:val="none"/>
                <w:lang w:val="en-US" w:eastAsia="zh-CN"/>
              </w:rPr>
              <w:t>4</w:t>
            </w:r>
            <w:r>
              <w:rPr>
                <w:rFonts w:hint="eastAsia" w:ascii="宋体" w:hAnsi="宋体" w:cs="宋体"/>
                <w:szCs w:val="21"/>
                <w:highlight w:val="none"/>
                <w:lang w:val="zh-TW"/>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100" w:type="dxa"/>
            <w:vMerge w:val="continue"/>
            <w:noWrap w:val="0"/>
            <w:vAlign w:val="center"/>
          </w:tcPr>
          <w:p>
            <w:pPr>
              <w:adjustRightInd w:val="0"/>
              <w:snapToGrid w:val="0"/>
              <w:jc w:val="center"/>
              <w:rPr>
                <w:rFonts w:ascii="宋体" w:hAnsi="宋体" w:cs="宋体"/>
                <w:szCs w:val="21"/>
                <w:highlight w:val="none"/>
              </w:rPr>
            </w:pPr>
          </w:p>
        </w:tc>
        <w:tc>
          <w:tcPr>
            <w:tcW w:w="1093" w:type="dxa"/>
            <w:noWrap w:val="0"/>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财务指标</w:t>
            </w:r>
          </w:p>
        </w:tc>
        <w:tc>
          <w:tcPr>
            <w:tcW w:w="606" w:type="dxa"/>
            <w:noWrap w:val="0"/>
            <w:vAlign w:val="center"/>
          </w:tcPr>
          <w:p>
            <w:pPr>
              <w:widowControl/>
              <w:snapToGrid w:val="0"/>
              <w:jc w:val="center"/>
              <w:rPr>
                <w:rFonts w:ascii="宋体" w:hAnsi="宋体" w:cs="宋体"/>
                <w:b w:val="0"/>
                <w:bCs w:val="0"/>
                <w:sz w:val="21"/>
                <w:szCs w:val="21"/>
                <w:highlight w:val="none"/>
              </w:rPr>
            </w:pPr>
            <w:r>
              <w:rPr>
                <w:rFonts w:hint="eastAsia" w:ascii="宋体" w:hAnsi="宋体" w:cs="宋体"/>
                <w:b w:val="0"/>
                <w:bCs w:val="0"/>
                <w:sz w:val="21"/>
                <w:szCs w:val="21"/>
                <w:highlight w:val="none"/>
              </w:rPr>
              <w:t>6</w:t>
            </w:r>
          </w:p>
        </w:tc>
        <w:tc>
          <w:tcPr>
            <w:tcW w:w="11809" w:type="dxa"/>
            <w:noWrap w:val="0"/>
            <w:vAlign w:val="center"/>
          </w:tcPr>
          <w:p>
            <w:pPr>
              <w:spacing w:line="276" w:lineRule="auto"/>
              <w:contextualSpacing/>
              <w:rPr>
                <w:rFonts w:hint="eastAsia" w:ascii="宋体" w:hAnsi="宋体" w:cs="宋体"/>
                <w:szCs w:val="21"/>
                <w:highlight w:val="none"/>
              </w:rPr>
            </w:pPr>
            <w:r>
              <w:rPr>
                <w:rFonts w:hint="eastAsia" w:ascii="宋体" w:hAnsi="宋体" w:cs="宋体"/>
                <w:szCs w:val="21"/>
                <w:highlight w:val="none"/>
              </w:rPr>
              <w:t>投标人近三年（20</w:t>
            </w:r>
            <w:r>
              <w:rPr>
                <w:rFonts w:hint="eastAsia" w:ascii="宋体" w:hAnsi="宋体" w:cs="宋体"/>
                <w:szCs w:val="21"/>
                <w:highlight w:val="none"/>
                <w:lang w:val="en-US" w:eastAsia="zh-CN"/>
              </w:rPr>
              <w:t>20</w:t>
            </w:r>
            <w:r>
              <w:rPr>
                <w:rFonts w:hint="eastAsia" w:ascii="宋体" w:hAnsi="宋体" w:cs="宋体"/>
                <w:szCs w:val="21"/>
                <w:highlight w:val="none"/>
              </w:rPr>
              <w:t>年度至202</w:t>
            </w:r>
            <w:r>
              <w:rPr>
                <w:rFonts w:hint="eastAsia" w:ascii="宋体" w:hAnsi="宋体" w:cs="宋体"/>
                <w:szCs w:val="21"/>
                <w:highlight w:val="none"/>
                <w:lang w:val="en-US" w:eastAsia="zh-CN"/>
              </w:rPr>
              <w:t>2</w:t>
            </w:r>
            <w:r>
              <w:rPr>
                <w:rFonts w:hint="eastAsia" w:ascii="宋体" w:hAnsi="宋体" w:cs="宋体"/>
                <w:szCs w:val="21"/>
                <w:highlight w:val="none"/>
              </w:rPr>
              <w:t>年度）的平均资产负债率从低到高横向对比排名：第一至第五名得6分；第六至第十名得3分；第十一名及以后的得1分。</w:t>
            </w:r>
          </w:p>
          <w:p>
            <w:pPr>
              <w:spacing w:line="276" w:lineRule="auto"/>
              <w:contextualSpacing/>
              <w:rPr>
                <w:rFonts w:ascii="宋体" w:hAnsi="宋体" w:cs="宋体"/>
                <w:szCs w:val="21"/>
                <w:highlight w:val="none"/>
                <w:lang w:val="zh-TW"/>
              </w:rPr>
            </w:pPr>
            <w:r>
              <w:rPr>
                <w:rFonts w:hint="eastAsia" w:ascii="宋体" w:hAnsi="宋体" w:cs="宋体"/>
                <w:szCs w:val="21"/>
                <w:highlight w:val="none"/>
                <w:lang w:val="zh-TW"/>
              </w:rPr>
              <w:t>不</w:t>
            </w:r>
            <w:r>
              <w:rPr>
                <w:rFonts w:hint="eastAsia" w:ascii="宋体" w:hAnsi="宋体" w:cs="宋体"/>
                <w:szCs w:val="21"/>
                <w:highlight w:val="none"/>
                <w:lang w:val="zh-CN"/>
              </w:rPr>
              <w:t>满足</w:t>
            </w:r>
            <w:r>
              <w:rPr>
                <w:rFonts w:hint="eastAsia" w:ascii="宋体" w:hAnsi="宋体" w:cs="宋体"/>
                <w:szCs w:val="21"/>
                <w:highlight w:val="none"/>
                <w:lang w:val="zh-TW"/>
              </w:rPr>
              <w:t>上述条件者，不得分。本项最高得6分。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100" w:type="dxa"/>
            <w:vMerge w:val="restart"/>
            <w:noWrap w:val="0"/>
            <w:vAlign w:val="center"/>
          </w:tcPr>
          <w:p>
            <w:pPr>
              <w:numPr>
                <w:ilvl w:val="0"/>
                <w:numId w:val="8"/>
              </w:numPr>
              <w:adjustRightInd w:val="0"/>
              <w:snapToGrid w:val="0"/>
              <w:jc w:val="center"/>
              <w:rPr>
                <w:rFonts w:ascii="宋体" w:hAnsi="宋体" w:cs="宋体"/>
                <w:szCs w:val="21"/>
                <w:highlight w:val="none"/>
              </w:rPr>
            </w:pPr>
            <w:r>
              <w:rPr>
                <w:rFonts w:hint="eastAsia" w:ascii="宋体" w:hAnsi="宋体" w:cs="宋体"/>
                <w:szCs w:val="21"/>
                <w:highlight w:val="none"/>
              </w:rPr>
              <w:t>项目管理机构能力</w:t>
            </w:r>
          </w:p>
          <w:p>
            <w:pPr>
              <w:adjustRightInd w:val="0"/>
              <w:snapToGrid w:val="0"/>
              <w:rPr>
                <w:rFonts w:ascii="宋体" w:hAnsi="宋体" w:cs="宋体"/>
                <w:szCs w:val="21"/>
                <w:highlight w:val="none"/>
              </w:rPr>
            </w:pPr>
            <w:r>
              <w:rPr>
                <w:rFonts w:hint="eastAsia" w:ascii="宋体" w:hAnsi="宋体" w:cs="宋体"/>
                <w:szCs w:val="21"/>
                <w:highlight w:val="none"/>
              </w:rPr>
              <w:t>（70分）</w:t>
            </w:r>
          </w:p>
        </w:tc>
        <w:tc>
          <w:tcPr>
            <w:tcW w:w="1093" w:type="dxa"/>
            <w:noWrap w:val="0"/>
            <w:vAlign w:val="center"/>
          </w:tcPr>
          <w:p>
            <w:pPr>
              <w:ind w:right="134" w:rightChars="64"/>
              <w:jc w:val="center"/>
              <w:rPr>
                <w:rFonts w:ascii="宋体" w:hAnsi="宋体" w:cs="宋体"/>
                <w:szCs w:val="21"/>
                <w:highlight w:val="none"/>
              </w:rPr>
            </w:pPr>
            <w:r>
              <w:rPr>
                <w:rFonts w:hint="eastAsia" w:ascii="宋体" w:hAnsi="宋体" w:cs="宋体"/>
                <w:szCs w:val="21"/>
                <w:highlight w:val="none"/>
              </w:rPr>
              <w:t>技术负责人</w:t>
            </w:r>
          </w:p>
        </w:tc>
        <w:tc>
          <w:tcPr>
            <w:tcW w:w="606" w:type="dxa"/>
            <w:noWrap w:val="0"/>
            <w:vAlign w:val="center"/>
          </w:tcPr>
          <w:p>
            <w:pPr>
              <w:widowControl/>
              <w:snapToGrid w:val="0"/>
              <w:jc w:val="center"/>
              <w:rPr>
                <w:rFonts w:ascii="宋体" w:hAnsi="宋体" w:cs="宋体"/>
                <w:b w:val="0"/>
                <w:bCs w:val="0"/>
                <w:sz w:val="21"/>
                <w:szCs w:val="21"/>
                <w:highlight w:val="none"/>
              </w:rPr>
            </w:pPr>
            <w:r>
              <w:rPr>
                <w:rFonts w:hint="eastAsia" w:ascii="宋体" w:hAnsi="宋体" w:cs="宋体"/>
                <w:b w:val="0"/>
                <w:bCs w:val="0"/>
                <w:sz w:val="21"/>
                <w:szCs w:val="21"/>
                <w:highlight w:val="none"/>
              </w:rPr>
              <w:t>18</w:t>
            </w:r>
          </w:p>
        </w:tc>
        <w:tc>
          <w:tcPr>
            <w:tcW w:w="11809" w:type="dxa"/>
            <w:noWrap w:val="0"/>
            <w:vAlign w:val="top"/>
          </w:tcPr>
          <w:p>
            <w:pPr>
              <w:keepNext w:val="0"/>
              <w:keepLines w:val="0"/>
              <w:widowControl w:val="0"/>
              <w:suppressLineNumbers w:val="0"/>
              <w:spacing w:before="0" w:beforeAutospacing="0" w:after="0" w:afterAutospacing="0"/>
              <w:ind w:left="0" w:right="0"/>
              <w:jc w:val="both"/>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eastAsia="宋体" w:cs="宋体"/>
                <w:kern w:val="2"/>
                <w:sz w:val="21"/>
                <w:szCs w:val="21"/>
                <w:highlight w:val="none"/>
                <w:lang w:val="en-US" w:eastAsia="zh-CN" w:bidi="ar"/>
              </w:rPr>
              <w:t>具有建筑</w:t>
            </w:r>
            <w:r>
              <w:rPr>
                <w:rFonts w:hint="eastAsia" w:ascii="宋体" w:hAnsi="宋体" w:cs="宋体"/>
                <w:kern w:val="2"/>
                <w:sz w:val="21"/>
                <w:szCs w:val="21"/>
                <w:highlight w:val="none"/>
                <w:lang w:val="en-US" w:eastAsia="zh-CN" w:bidi="ar"/>
              </w:rPr>
              <w:t>工程</w:t>
            </w:r>
            <w:r>
              <w:rPr>
                <w:rFonts w:hint="eastAsia" w:ascii="宋体" w:hAnsi="宋体" w:eastAsia="宋体" w:cs="宋体"/>
                <w:kern w:val="2"/>
                <w:sz w:val="21"/>
                <w:szCs w:val="21"/>
                <w:highlight w:val="none"/>
                <w:lang w:val="en-US" w:eastAsia="zh-CN" w:bidi="ar"/>
              </w:rPr>
              <w:t>相关专业高级（或以上）工程师职称证书10年（或以上）的，得</w:t>
            </w:r>
            <w:r>
              <w:rPr>
                <w:rFonts w:hint="eastAsia" w:ascii="宋体" w:hAnsi="宋体" w:cs="宋体"/>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分；5年（含）-10年(不含）的，得</w:t>
            </w:r>
            <w:r>
              <w:rPr>
                <w:rFonts w:hint="eastAsia" w:ascii="宋体" w:hAnsi="宋体" w:cs="宋体"/>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分；1年（含）-5年（不含）的，得</w:t>
            </w:r>
            <w:r>
              <w:rPr>
                <w:rFonts w:hint="eastAsia" w:ascii="宋体" w:hAnsi="宋体" w:cs="宋体"/>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分</w:t>
            </w:r>
            <w:r>
              <w:rPr>
                <w:rFonts w:hint="eastAsia" w:ascii="宋体" w:hAnsi="宋体" w:cs="宋体"/>
                <w:kern w:val="2"/>
                <w:sz w:val="21"/>
                <w:szCs w:val="21"/>
                <w:highlight w:val="none"/>
                <w:lang w:val="en-US" w:eastAsia="zh-CN" w:bidi="ar"/>
              </w:rPr>
              <w:t>；</w:t>
            </w:r>
            <w:r>
              <w:rPr>
                <w:rFonts w:hint="eastAsia" w:ascii="宋体" w:hAnsi="宋体" w:cs="宋体"/>
                <w:sz w:val="21"/>
                <w:szCs w:val="21"/>
                <w:highlight w:val="none"/>
              </w:rPr>
              <w:t>最高得6分</w:t>
            </w:r>
            <w:r>
              <w:rPr>
                <w:rFonts w:hint="eastAsia" w:ascii="宋体" w:hAnsi="宋体" w:eastAsia="宋体" w:cs="宋体"/>
                <w:kern w:val="2"/>
                <w:sz w:val="21"/>
                <w:szCs w:val="21"/>
                <w:highlight w:val="none"/>
                <w:lang w:val="en-US" w:eastAsia="zh-CN" w:bidi="ar"/>
              </w:rPr>
              <w:t>。时间以职称证发证日期为准。</w:t>
            </w:r>
          </w:p>
          <w:p>
            <w:pPr>
              <w:pStyle w:val="262"/>
              <w:tabs>
                <w:tab w:val="left" w:pos="312"/>
              </w:tabs>
              <w:spacing w:line="276" w:lineRule="auto"/>
              <w:ind w:firstLine="0" w:firstLineChars="0"/>
              <w:rPr>
                <w:rFonts w:ascii="宋体" w:hAnsi="宋体" w:cs="宋体"/>
                <w:sz w:val="21"/>
                <w:szCs w:val="21"/>
                <w:highlight w:val="none"/>
              </w:rPr>
            </w:pPr>
            <w:r>
              <w:rPr>
                <w:rFonts w:hint="eastAsia" w:ascii="宋体" w:hAnsi="宋体" w:cs="宋体"/>
                <w:sz w:val="21"/>
                <w:szCs w:val="21"/>
                <w:highlight w:val="none"/>
              </w:rPr>
              <w:t>2、自2020年1月1日至今作为主要完成人获得过省级或以上建筑行业主管部门颁发的工法证书的，每项得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分，最高得</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w:t>
            </w:r>
          </w:p>
          <w:p>
            <w:pPr>
              <w:pStyle w:val="262"/>
              <w:tabs>
                <w:tab w:val="left" w:pos="312"/>
              </w:tabs>
              <w:spacing w:line="276" w:lineRule="auto"/>
              <w:ind w:firstLine="0" w:firstLineChars="0"/>
              <w:rPr>
                <w:rFonts w:hint="eastAsia" w:ascii="宋体" w:hAnsi="宋体" w:cs="宋体"/>
                <w:sz w:val="21"/>
                <w:szCs w:val="21"/>
                <w:highlight w:val="none"/>
              </w:rPr>
            </w:pPr>
            <w:r>
              <w:rPr>
                <w:rFonts w:hint="eastAsia" w:ascii="宋体" w:hAnsi="宋体" w:cs="宋体"/>
                <w:sz w:val="21"/>
                <w:szCs w:val="21"/>
                <w:highlight w:val="none"/>
              </w:rPr>
              <w:t>不满足上述条件者，不得分。</w:t>
            </w:r>
          </w:p>
          <w:p>
            <w:pPr>
              <w:pStyle w:val="262"/>
              <w:tabs>
                <w:tab w:val="left" w:pos="312"/>
              </w:tabs>
              <w:spacing w:line="276" w:lineRule="auto"/>
              <w:ind w:firstLine="0" w:firstLineChars="0"/>
              <w:rPr>
                <w:rFonts w:ascii="宋体" w:hAnsi="宋体" w:cs="宋体"/>
                <w:sz w:val="21"/>
                <w:szCs w:val="21"/>
                <w:highlight w:val="none"/>
              </w:rPr>
            </w:pPr>
            <w:r>
              <w:rPr>
                <w:rFonts w:hint="eastAsia" w:ascii="宋体" w:hAnsi="宋体" w:cs="宋体"/>
                <w:b/>
                <w:bCs/>
                <w:sz w:val="21"/>
                <w:szCs w:val="21"/>
                <w:highlight w:val="none"/>
              </w:rPr>
              <w:t>本项最高得18分。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100" w:type="dxa"/>
            <w:vMerge w:val="continue"/>
            <w:noWrap w:val="0"/>
            <w:vAlign w:val="center"/>
          </w:tcPr>
          <w:p>
            <w:pPr>
              <w:adjustRightInd w:val="0"/>
              <w:snapToGrid w:val="0"/>
              <w:jc w:val="center"/>
              <w:rPr>
                <w:rFonts w:ascii="宋体" w:hAnsi="宋体" w:cs="宋体"/>
                <w:szCs w:val="21"/>
                <w:highlight w:val="none"/>
              </w:rPr>
            </w:pPr>
          </w:p>
        </w:tc>
        <w:tc>
          <w:tcPr>
            <w:tcW w:w="1093" w:type="dxa"/>
            <w:noWrap w:val="0"/>
            <w:vAlign w:val="center"/>
          </w:tcPr>
          <w:p>
            <w:pPr>
              <w:ind w:right="134" w:rightChars="64"/>
              <w:jc w:val="center"/>
              <w:rPr>
                <w:rFonts w:ascii="宋体" w:hAnsi="宋体" w:cs="宋体"/>
                <w:szCs w:val="21"/>
                <w:highlight w:val="none"/>
              </w:rPr>
            </w:pPr>
            <w:r>
              <w:rPr>
                <w:rFonts w:hint="eastAsia" w:ascii="宋体" w:hAnsi="宋体" w:cs="宋体"/>
                <w:szCs w:val="21"/>
                <w:highlight w:val="none"/>
              </w:rPr>
              <w:t>安全负责人</w:t>
            </w:r>
          </w:p>
        </w:tc>
        <w:tc>
          <w:tcPr>
            <w:tcW w:w="606" w:type="dxa"/>
            <w:noWrap w:val="0"/>
            <w:vAlign w:val="center"/>
          </w:tcPr>
          <w:p>
            <w:pPr>
              <w:widowControl/>
              <w:snapToGrid w:val="0"/>
              <w:jc w:val="center"/>
              <w:rPr>
                <w:rFonts w:ascii="宋体" w:hAnsi="宋体" w:cs="宋体"/>
                <w:b w:val="0"/>
                <w:bCs w:val="0"/>
                <w:sz w:val="21"/>
                <w:szCs w:val="21"/>
                <w:highlight w:val="none"/>
              </w:rPr>
            </w:pPr>
            <w:r>
              <w:rPr>
                <w:rFonts w:hint="eastAsia" w:ascii="宋体" w:hAnsi="宋体" w:cs="宋体"/>
                <w:b w:val="0"/>
                <w:bCs w:val="0"/>
                <w:sz w:val="21"/>
                <w:szCs w:val="21"/>
                <w:highlight w:val="none"/>
              </w:rPr>
              <w:t>18</w:t>
            </w:r>
          </w:p>
        </w:tc>
        <w:tc>
          <w:tcPr>
            <w:tcW w:w="11809" w:type="dxa"/>
            <w:noWrap w:val="0"/>
            <w:vAlign w:val="top"/>
          </w:tcPr>
          <w:p>
            <w:pPr>
              <w:keepNext w:val="0"/>
              <w:keepLines w:val="0"/>
              <w:widowControl w:val="0"/>
              <w:suppressLineNumbers w:val="0"/>
              <w:spacing w:before="0" w:beforeAutospacing="0" w:after="0" w:afterAutospacing="0"/>
              <w:ind w:left="0" w:right="0" w:rightChars="0"/>
              <w:jc w:val="both"/>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eastAsia="宋体" w:cs="宋体"/>
                <w:kern w:val="2"/>
                <w:sz w:val="21"/>
                <w:szCs w:val="21"/>
                <w:highlight w:val="none"/>
                <w:lang w:val="en-US" w:eastAsia="zh-CN" w:bidi="ar"/>
              </w:rPr>
              <w:t>取得安全生产考核合格证（C</w:t>
            </w:r>
            <w:r>
              <w:rPr>
                <w:rFonts w:hint="eastAsia" w:ascii="宋体" w:hAnsi="宋体" w:cs="宋体"/>
                <w:kern w:val="2"/>
                <w:sz w:val="21"/>
                <w:szCs w:val="21"/>
                <w:highlight w:val="none"/>
                <w:lang w:val="en-US" w:eastAsia="zh-CN" w:bidi="ar"/>
              </w:rPr>
              <w:t>类</w:t>
            </w:r>
            <w:r>
              <w:rPr>
                <w:rFonts w:hint="eastAsia" w:ascii="宋体" w:hAnsi="宋体" w:eastAsia="宋体" w:cs="宋体"/>
                <w:kern w:val="2"/>
                <w:sz w:val="21"/>
                <w:szCs w:val="21"/>
                <w:highlight w:val="none"/>
                <w:lang w:val="en-US" w:eastAsia="zh-CN" w:bidi="ar"/>
              </w:rPr>
              <w:t>或C3类）经验年限在15年或以上的，得6分；10年（含）-15年(不含）的，得</w:t>
            </w:r>
            <w:r>
              <w:rPr>
                <w:rFonts w:hint="eastAsia" w:ascii="宋体" w:hAnsi="宋体" w:cs="宋体"/>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分；1年（含）-10年（不含）的，得</w:t>
            </w:r>
            <w:r>
              <w:rPr>
                <w:rFonts w:hint="eastAsia" w:ascii="宋体" w:hAnsi="宋体" w:cs="宋体"/>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分</w:t>
            </w:r>
            <w:r>
              <w:rPr>
                <w:rFonts w:hint="eastAsia" w:ascii="宋体" w:hAnsi="宋体" w:cs="宋体"/>
                <w:kern w:val="2"/>
                <w:sz w:val="21"/>
                <w:szCs w:val="21"/>
                <w:highlight w:val="none"/>
                <w:lang w:val="en-US" w:eastAsia="zh-CN" w:bidi="ar"/>
              </w:rPr>
              <w:t>；</w:t>
            </w:r>
            <w:r>
              <w:rPr>
                <w:rFonts w:hint="eastAsia" w:ascii="宋体" w:hAnsi="宋体" w:cs="宋体"/>
                <w:sz w:val="21"/>
                <w:szCs w:val="21"/>
                <w:highlight w:val="none"/>
              </w:rPr>
              <w:t>最高得6分</w:t>
            </w:r>
            <w:r>
              <w:rPr>
                <w:rFonts w:hint="eastAsia" w:ascii="宋体" w:hAnsi="宋体" w:eastAsia="宋体" w:cs="宋体"/>
                <w:kern w:val="2"/>
                <w:sz w:val="21"/>
                <w:szCs w:val="21"/>
                <w:highlight w:val="none"/>
                <w:lang w:val="en-US" w:eastAsia="zh-CN" w:bidi="ar"/>
              </w:rPr>
              <w:t>。年限以安全生产考核合格证（C</w:t>
            </w:r>
            <w:r>
              <w:rPr>
                <w:rFonts w:hint="eastAsia" w:ascii="宋体" w:hAnsi="宋体" w:cs="宋体"/>
                <w:kern w:val="2"/>
                <w:sz w:val="21"/>
                <w:szCs w:val="21"/>
                <w:highlight w:val="none"/>
                <w:lang w:val="en-US" w:eastAsia="zh-CN" w:bidi="ar"/>
              </w:rPr>
              <w:t>类</w:t>
            </w:r>
            <w:r>
              <w:rPr>
                <w:rFonts w:hint="eastAsia" w:ascii="宋体" w:hAnsi="宋体" w:eastAsia="宋体" w:cs="宋体"/>
                <w:kern w:val="2"/>
                <w:sz w:val="21"/>
                <w:szCs w:val="21"/>
                <w:highlight w:val="none"/>
                <w:lang w:val="en-US" w:eastAsia="zh-CN" w:bidi="ar"/>
              </w:rPr>
              <w:t>或C3类）初次领证日期为准。</w:t>
            </w:r>
          </w:p>
          <w:p>
            <w:pPr>
              <w:pStyle w:val="262"/>
              <w:tabs>
                <w:tab w:val="left" w:pos="312"/>
              </w:tabs>
              <w:spacing w:line="276" w:lineRule="auto"/>
              <w:ind w:firstLine="0" w:firstLineChars="0"/>
              <w:rPr>
                <w:rFonts w:ascii="宋体" w:hAnsi="宋体" w:cs="宋体"/>
                <w:sz w:val="21"/>
                <w:szCs w:val="21"/>
                <w:highlight w:val="none"/>
              </w:rPr>
            </w:pPr>
            <w:r>
              <w:rPr>
                <w:rFonts w:hint="eastAsia" w:ascii="宋体" w:hAnsi="宋体" w:cs="宋体"/>
                <w:sz w:val="21"/>
                <w:szCs w:val="21"/>
                <w:highlight w:val="none"/>
              </w:rPr>
              <w:t>2、自2020年1月1日至今作为主要完成人获得过省级或以上建筑行业主管部门颁发的工法证书的，每项得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分，最高得</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w:t>
            </w:r>
          </w:p>
          <w:p>
            <w:pPr>
              <w:pStyle w:val="262"/>
              <w:tabs>
                <w:tab w:val="left" w:pos="312"/>
              </w:tabs>
              <w:spacing w:line="276" w:lineRule="auto"/>
              <w:ind w:firstLine="0" w:firstLineChars="0"/>
              <w:rPr>
                <w:rFonts w:hint="eastAsia" w:ascii="宋体" w:hAnsi="宋体" w:cs="宋体"/>
                <w:sz w:val="21"/>
                <w:szCs w:val="21"/>
                <w:highlight w:val="none"/>
              </w:rPr>
            </w:pPr>
            <w:r>
              <w:rPr>
                <w:rFonts w:hint="eastAsia" w:ascii="宋体" w:hAnsi="宋体" w:cs="宋体"/>
                <w:sz w:val="21"/>
                <w:szCs w:val="21"/>
                <w:highlight w:val="none"/>
              </w:rPr>
              <w:t>不满足上述条件者，不得分。</w:t>
            </w:r>
          </w:p>
          <w:p>
            <w:pPr>
              <w:pStyle w:val="262"/>
              <w:tabs>
                <w:tab w:val="left" w:pos="312"/>
              </w:tabs>
              <w:spacing w:line="276" w:lineRule="auto"/>
              <w:ind w:firstLine="0" w:firstLineChars="0"/>
              <w:rPr>
                <w:rFonts w:ascii="宋体" w:hAnsi="宋体" w:cs="宋体"/>
                <w:sz w:val="21"/>
                <w:szCs w:val="21"/>
                <w:highlight w:val="none"/>
              </w:rPr>
            </w:pPr>
            <w:r>
              <w:rPr>
                <w:rFonts w:hint="eastAsia" w:ascii="宋体" w:hAnsi="宋体" w:cs="宋体"/>
                <w:b/>
                <w:bCs/>
                <w:sz w:val="21"/>
                <w:szCs w:val="21"/>
                <w:highlight w:val="none"/>
              </w:rPr>
              <w:t>本项最高得18分。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100" w:type="dxa"/>
            <w:vMerge w:val="continue"/>
            <w:noWrap w:val="0"/>
            <w:vAlign w:val="center"/>
          </w:tcPr>
          <w:p>
            <w:pPr>
              <w:adjustRightInd w:val="0"/>
              <w:snapToGrid w:val="0"/>
              <w:jc w:val="center"/>
              <w:rPr>
                <w:rFonts w:ascii="宋体" w:hAnsi="宋体" w:cs="宋体"/>
                <w:szCs w:val="21"/>
                <w:highlight w:val="none"/>
              </w:rPr>
            </w:pPr>
          </w:p>
        </w:tc>
        <w:tc>
          <w:tcPr>
            <w:tcW w:w="1093" w:type="dxa"/>
            <w:noWrap w:val="0"/>
            <w:vAlign w:val="center"/>
          </w:tcPr>
          <w:p>
            <w:pPr>
              <w:ind w:right="134" w:rightChars="64"/>
              <w:jc w:val="center"/>
              <w:rPr>
                <w:rFonts w:ascii="宋体" w:hAnsi="宋体" w:cs="宋体"/>
                <w:szCs w:val="21"/>
                <w:highlight w:val="none"/>
              </w:rPr>
            </w:pPr>
            <w:r>
              <w:rPr>
                <w:rFonts w:hint="eastAsia" w:ascii="宋体" w:hAnsi="宋体" w:cs="宋体"/>
                <w:szCs w:val="21"/>
                <w:highlight w:val="none"/>
              </w:rPr>
              <w:t>质量负责人</w:t>
            </w:r>
          </w:p>
        </w:tc>
        <w:tc>
          <w:tcPr>
            <w:tcW w:w="606" w:type="dxa"/>
            <w:noWrap w:val="0"/>
            <w:vAlign w:val="center"/>
          </w:tcPr>
          <w:p>
            <w:pPr>
              <w:widowControl/>
              <w:snapToGrid w:val="0"/>
              <w:jc w:val="center"/>
              <w:rPr>
                <w:rFonts w:ascii="宋体" w:hAnsi="宋体" w:cs="宋体"/>
                <w:b w:val="0"/>
                <w:bCs w:val="0"/>
                <w:sz w:val="21"/>
                <w:szCs w:val="21"/>
                <w:highlight w:val="none"/>
              </w:rPr>
            </w:pPr>
            <w:r>
              <w:rPr>
                <w:rFonts w:hint="eastAsia" w:ascii="宋体" w:hAnsi="宋体" w:cs="宋体"/>
                <w:b w:val="0"/>
                <w:bCs w:val="0"/>
                <w:sz w:val="21"/>
                <w:szCs w:val="21"/>
                <w:highlight w:val="none"/>
              </w:rPr>
              <w:t>12</w:t>
            </w:r>
          </w:p>
        </w:tc>
        <w:tc>
          <w:tcPr>
            <w:tcW w:w="11809" w:type="dxa"/>
            <w:noWrap w:val="0"/>
            <w:vAlign w:val="top"/>
          </w:tcPr>
          <w:p>
            <w:pPr>
              <w:pStyle w:val="262"/>
              <w:tabs>
                <w:tab w:val="left" w:pos="312"/>
              </w:tabs>
              <w:spacing w:line="276" w:lineRule="auto"/>
              <w:ind w:firstLine="0" w:firstLineChars="0"/>
              <w:rPr>
                <w:rFonts w:ascii="宋体" w:hAnsi="宋体" w:cs="宋体"/>
                <w:sz w:val="21"/>
                <w:szCs w:val="21"/>
                <w:highlight w:val="none"/>
              </w:rPr>
            </w:pPr>
            <w:r>
              <w:rPr>
                <w:rFonts w:hint="eastAsia" w:ascii="宋体" w:hAnsi="宋体" w:cs="宋体"/>
                <w:sz w:val="21"/>
                <w:szCs w:val="21"/>
                <w:highlight w:val="none"/>
              </w:rPr>
              <w:t>1、具有建筑工程相关专业高级或以上</w:t>
            </w:r>
            <w:r>
              <w:rPr>
                <w:rFonts w:hint="eastAsia" w:ascii="宋体" w:hAnsi="宋体" w:eastAsia="宋体" w:cs="宋体"/>
                <w:kern w:val="2"/>
                <w:sz w:val="21"/>
                <w:szCs w:val="21"/>
                <w:highlight w:val="none"/>
                <w:lang w:val="en-US" w:eastAsia="zh-CN" w:bidi="ar"/>
              </w:rPr>
              <w:t>工程师</w:t>
            </w:r>
            <w:r>
              <w:rPr>
                <w:rFonts w:hint="eastAsia" w:ascii="宋体" w:hAnsi="宋体" w:cs="宋体"/>
                <w:sz w:val="21"/>
                <w:szCs w:val="21"/>
                <w:highlight w:val="none"/>
              </w:rPr>
              <w:t>职称证书的，得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分；具有建筑工程相关专业中级</w:t>
            </w:r>
            <w:r>
              <w:rPr>
                <w:rFonts w:hint="eastAsia" w:ascii="宋体" w:hAnsi="宋体" w:eastAsia="宋体" w:cs="宋体"/>
                <w:kern w:val="2"/>
                <w:sz w:val="21"/>
                <w:szCs w:val="21"/>
                <w:highlight w:val="none"/>
                <w:lang w:val="en-US" w:eastAsia="zh-CN" w:bidi="ar"/>
              </w:rPr>
              <w:t>工程师</w:t>
            </w:r>
            <w:r>
              <w:rPr>
                <w:rFonts w:hint="eastAsia" w:ascii="宋体" w:hAnsi="宋体" w:cs="宋体"/>
                <w:sz w:val="21"/>
                <w:szCs w:val="21"/>
                <w:highlight w:val="none"/>
              </w:rPr>
              <w:t>职称证书的，得1分</w:t>
            </w:r>
            <w:r>
              <w:rPr>
                <w:rFonts w:hint="eastAsia" w:ascii="宋体" w:hAnsi="宋体" w:cs="宋体"/>
                <w:kern w:val="2"/>
                <w:sz w:val="21"/>
                <w:szCs w:val="21"/>
                <w:highlight w:val="none"/>
                <w:lang w:val="en-US" w:eastAsia="zh-CN" w:bidi="ar"/>
              </w:rPr>
              <w:t>；</w:t>
            </w:r>
            <w:r>
              <w:rPr>
                <w:rFonts w:hint="eastAsia" w:ascii="宋体" w:hAnsi="宋体" w:cs="宋体"/>
                <w:sz w:val="21"/>
                <w:szCs w:val="21"/>
                <w:highlight w:val="none"/>
              </w:rPr>
              <w:t>最高得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p>
            <w:pPr>
              <w:pStyle w:val="262"/>
              <w:tabs>
                <w:tab w:val="left" w:pos="312"/>
              </w:tabs>
              <w:spacing w:line="276" w:lineRule="auto"/>
              <w:ind w:firstLine="0" w:firstLineChars="0"/>
              <w:rPr>
                <w:rFonts w:ascii="宋体" w:hAnsi="宋体" w:cs="宋体"/>
                <w:sz w:val="21"/>
                <w:szCs w:val="21"/>
                <w:highlight w:val="none"/>
              </w:rPr>
            </w:pPr>
            <w:r>
              <w:rPr>
                <w:rFonts w:hint="eastAsia" w:ascii="宋体" w:hAnsi="宋体" w:cs="宋体"/>
                <w:sz w:val="21"/>
                <w:szCs w:val="21"/>
                <w:highlight w:val="none"/>
              </w:rPr>
              <w:t>2、自2020年1月1日至今作为主要完成人获得过省级或以上建筑行业主管部门颁发的工法证书的，每项得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分，最高得</w:t>
            </w:r>
            <w:r>
              <w:rPr>
                <w:rFonts w:hint="eastAsia" w:ascii="宋体" w:hAnsi="宋体" w:cs="宋体"/>
                <w:sz w:val="21"/>
                <w:szCs w:val="21"/>
                <w:highlight w:val="none"/>
                <w:lang w:val="en-US" w:eastAsia="zh-CN"/>
              </w:rPr>
              <w:t>9</w:t>
            </w:r>
            <w:r>
              <w:rPr>
                <w:rFonts w:hint="eastAsia" w:ascii="宋体" w:hAnsi="宋体" w:cs="宋体"/>
                <w:sz w:val="21"/>
                <w:szCs w:val="21"/>
                <w:highlight w:val="none"/>
              </w:rPr>
              <w:t>分。</w:t>
            </w:r>
          </w:p>
          <w:p>
            <w:pPr>
              <w:pStyle w:val="262"/>
              <w:tabs>
                <w:tab w:val="left" w:pos="312"/>
              </w:tabs>
              <w:spacing w:line="276" w:lineRule="auto"/>
              <w:ind w:firstLine="0" w:firstLineChars="0"/>
              <w:rPr>
                <w:rFonts w:hint="eastAsia" w:ascii="宋体" w:hAnsi="宋体" w:cs="宋体"/>
                <w:sz w:val="21"/>
                <w:szCs w:val="21"/>
                <w:highlight w:val="none"/>
              </w:rPr>
            </w:pPr>
            <w:r>
              <w:rPr>
                <w:rFonts w:hint="eastAsia" w:ascii="宋体" w:hAnsi="宋体" w:cs="宋体"/>
                <w:sz w:val="21"/>
                <w:szCs w:val="21"/>
                <w:highlight w:val="none"/>
              </w:rPr>
              <w:t>不满足上述条件的，不得分。</w:t>
            </w:r>
          </w:p>
          <w:p>
            <w:pPr>
              <w:pStyle w:val="262"/>
              <w:tabs>
                <w:tab w:val="left" w:pos="312"/>
              </w:tabs>
              <w:spacing w:line="276" w:lineRule="auto"/>
              <w:ind w:firstLine="0" w:firstLineChars="0"/>
              <w:rPr>
                <w:rFonts w:ascii="宋体" w:hAnsi="宋体" w:cs="宋体"/>
                <w:sz w:val="21"/>
                <w:szCs w:val="21"/>
                <w:highlight w:val="none"/>
              </w:rPr>
            </w:pPr>
            <w:r>
              <w:rPr>
                <w:rFonts w:hint="eastAsia" w:ascii="宋体" w:hAnsi="宋体" w:cs="宋体"/>
                <w:b/>
                <w:bCs/>
                <w:sz w:val="21"/>
                <w:szCs w:val="21"/>
                <w:highlight w:val="none"/>
              </w:rPr>
              <w:t>本项最高得12分。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100" w:type="dxa"/>
            <w:vMerge w:val="continue"/>
            <w:noWrap w:val="0"/>
            <w:vAlign w:val="center"/>
          </w:tcPr>
          <w:p>
            <w:pPr>
              <w:adjustRightInd w:val="0"/>
              <w:snapToGrid w:val="0"/>
              <w:jc w:val="center"/>
              <w:rPr>
                <w:rFonts w:ascii="宋体" w:hAnsi="宋体" w:cs="宋体"/>
                <w:szCs w:val="21"/>
                <w:highlight w:val="none"/>
              </w:rPr>
            </w:pPr>
          </w:p>
        </w:tc>
        <w:tc>
          <w:tcPr>
            <w:tcW w:w="1093" w:type="dxa"/>
            <w:noWrap w:val="0"/>
            <w:vAlign w:val="center"/>
          </w:tcPr>
          <w:p>
            <w:pPr>
              <w:ind w:right="134" w:rightChars="64"/>
              <w:jc w:val="center"/>
              <w:rPr>
                <w:rFonts w:ascii="宋体" w:hAnsi="宋体" w:cs="宋体"/>
                <w:szCs w:val="21"/>
                <w:highlight w:val="none"/>
              </w:rPr>
            </w:pPr>
            <w:r>
              <w:rPr>
                <w:rFonts w:hint="eastAsia" w:ascii="宋体" w:hAnsi="宋体" w:cs="宋体"/>
                <w:szCs w:val="21"/>
                <w:highlight w:val="none"/>
              </w:rPr>
              <w:t>造价负责人</w:t>
            </w:r>
          </w:p>
        </w:tc>
        <w:tc>
          <w:tcPr>
            <w:tcW w:w="606" w:type="dxa"/>
            <w:noWrap w:val="0"/>
            <w:vAlign w:val="center"/>
          </w:tcPr>
          <w:p>
            <w:pPr>
              <w:widowControl/>
              <w:snapToGrid w:val="0"/>
              <w:jc w:val="center"/>
              <w:rPr>
                <w:rFonts w:ascii="宋体" w:hAnsi="宋体" w:cs="宋体"/>
                <w:b w:val="0"/>
                <w:bCs w:val="0"/>
                <w:sz w:val="21"/>
                <w:szCs w:val="21"/>
                <w:highlight w:val="none"/>
              </w:rPr>
            </w:pPr>
            <w:r>
              <w:rPr>
                <w:rFonts w:hint="eastAsia" w:ascii="宋体" w:hAnsi="宋体" w:cs="宋体"/>
                <w:b w:val="0"/>
                <w:bCs w:val="0"/>
                <w:sz w:val="21"/>
                <w:szCs w:val="21"/>
                <w:highlight w:val="none"/>
              </w:rPr>
              <w:t>12</w:t>
            </w:r>
          </w:p>
        </w:tc>
        <w:tc>
          <w:tcPr>
            <w:tcW w:w="11809" w:type="dxa"/>
            <w:noWrap w:val="0"/>
            <w:vAlign w:val="top"/>
          </w:tcPr>
          <w:p>
            <w:pPr>
              <w:pStyle w:val="262"/>
              <w:tabs>
                <w:tab w:val="left" w:pos="312"/>
              </w:tabs>
              <w:spacing w:line="276" w:lineRule="auto"/>
              <w:ind w:firstLine="0" w:firstLineChars="0"/>
              <w:rPr>
                <w:rFonts w:ascii="宋体" w:hAnsi="宋体" w:cs="宋体"/>
                <w:sz w:val="21"/>
                <w:szCs w:val="21"/>
                <w:highlight w:val="none"/>
              </w:rPr>
            </w:pPr>
            <w:r>
              <w:rPr>
                <w:rFonts w:hint="eastAsia" w:ascii="宋体" w:hAnsi="宋体" w:cs="宋体"/>
                <w:sz w:val="21"/>
                <w:szCs w:val="21"/>
                <w:highlight w:val="none"/>
              </w:rPr>
              <w:t>1、具有造价相关专业高级或以上</w:t>
            </w:r>
            <w:r>
              <w:rPr>
                <w:rFonts w:hint="eastAsia" w:ascii="宋体" w:hAnsi="宋体" w:eastAsia="宋体" w:cs="宋体"/>
                <w:kern w:val="2"/>
                <w:sz w:val="21"/>
                <w:szCs w:val="21"/>
                <w:highlight w:val="none"/>
                <w:lang w:val="en-US" w:eastAsia="zh-CN" w:bidi="ar"/>
              </w:rPr>
              <w:t>工程师</w:t>
            </w:r>
            <w:r>
              <w:rPr>
                <w:rFonts w:hint="eastAsia" w:ascii="宋体" w:hAnsi="宋体" w:cs="宋体"/>
                <w:sz w:val="21"/>
                <w:szCs w:val="21"/>
                <w:highlight w:val="none"/>
              </w:rPr>
              <w:t>职称证书的，得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分；具有造价相关专业中级</w:t>
            </w:r>
            <w:r>
              <w:rPr>
                <w:rFonts w:hint="eastAsia" w:ascii="宋体" w:hAnsi="宋体" w:eastAsia="宋体" w:cs="宋体"/>
                <w:kern w:val="2"/>
                <w:sz w:val="21"/>
                <w:szCs w:val="21"/>
                <w:highlight w:val="none"/>
                <w:lang w:val="en-US" w:eastAsia="zh-CN" w:bidi="ar"/>
              </w:rPr>
              <w:t>工程师</w:t>
            </w:r>
            <w:r>
              <w:rPr>
                <w:rFonts w:hint="eastAsia" w:ascii="宋体" w:hAnsi="宋体" w:cs="宋体"/>
                <w:sz w:val="21"/>
                <w:szCs w:val="21"/>
                <w:highlight w:val="none"/>
              </w:rPr>
              <w:t>职称证书的，得1分</w:t>
            </w:r>
            <w:r>
              <w:rPr>
                <w:rFonts w:hint="eastAsia" w:ascii="宋体" w:hAnsi="宋体" w:cs="宋体"/>
                <w:kern w:val="2"/>
                <w:sz w:val="21"/>
                <w:szCs w:val="21"/>
                <w:highlight w:val="none"/>
                <w:lang w:val="en-US" w:eastAsia="zh-CN" w:bidi="ar"/>
              </w:rPr>
              <w:t>；</w:t>
            </w:r>
            <w:r>
              <w:rPr>
                <w:rFonts w:hint="eastAsia" w:ascii="宋体" w:hAnsi="宋体" w:cs="宋体"/>
                <w:sz w:val="21"/>
                <w:szCs w:val="21"/>
                <w:highlight w:val="none"/>
              </w:rPr>
              <w:t>最高得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p>
            <w:pPr>
              <w:pStyle w:val="262"/>
              <w:tabs>
                <w:tab w:val="left" w:pos="312"/>
              </w:tabs>
              <w:spacing w:line="276" w:lineRule="auto"/>
              <w:ind w:firstLine="0" w:firstLineChars="0"/>
              <w:rPr>
                <w:rFonts w:ascii="宋体" w:hAnsi="宋体" w:cs="宋体"/>
                <w:sz w:val="21"/>
                <w:szCs w:val="21"/>
                <w:highlight w:val="none"/>
              </w:rPr>
            </w:pPr>
            <w:r>
              <w:rPr>
                <w:rFonts w:hint="eastAsia" w:ascii="宋体" w:hAnsi="宋体" w:cs="宋体"/>
                <w:sz w:val="21"/>
                <w:szCs w:val="21"/>
                <w:highlight w:val="none"/>
              </w:rPr>
              <w:t>2、自2020年1月1日至今作为主要完成人获得过省级或以上建筑行业主管部门颁发的工法证书的，每项得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分，最高得</w:t>
            </w:r>
            <w:r>
              <w:rPr>
                <w:rFonts w:hint="eastAsia" w:ascii="宋体" w:hAnsi="宋体" w:cs="宋体"/>
                <w:sz w:val="21"/>
                <w:szCs w:val="21"/>
                <w:highlight w:val="none"/>
                <w:lang w:val="en-US" w:eastAsia="zh-CN"/>
              </w:rPr>
              <w:t>9</w:t>
            </w:r>
            <w:r>
              <w:rPr>
                <w:rFonts w:hint="eastAsia" w:ascii="宋体" w:hAnsi="宋体" w:cs="宋体"/>
                <w:sz w:val="21"/>
                <w:szCs w:val="21"/>
                <w:highlight w:val="none"/>
              </w:rPr>
              <w:t>分。</w:t>
            </w:r>
          </w:p>
          <w:p>
            <w:pPr>
              <w:pStyle w:val="262"/>
              <w:tabs>
                <w:tab w:val="left" w:pos="312"/>
              </w:tabs>
              <w:spacing w:line="276" w:lineRule="auto"/>
              <w:ind w:firstLine="0" w:firstLineChars="0"/>
              <w:rPr>
                <w:rFonts w:hint="eastAsia" w:ascii="宋体" w:hAnsi="宋体" w:cs="宋体"/>
                <w:sz w:val="21"/>
                <w:szCs w:val="21"/>
                <w:highlight w:val="none"/>
              </w:rPr>
            </w:pPr>
            <w:r>
              <w:rPr>
                <w:rFonts w:hint="eastAsia" w:ascii="宋体" w:hAnsi="宋体" w:cs="宋体"/>
                <w:sz w:val="21"/>
                <w:szCs w:val="21"/>
                <w:highlight w:val="none"/>
              </w:rPr>
              <w:t>不满足上述条件者，不得分。</w:t>
            </w:r>
          </w:p>
          <w:p>
            <w:pPr>
              <w:pStyle w:val="262"/>
              <w:tabs>
                <w:tab w:val="left" w:pos="312"/>
              </w:tabs>
              <w:spacing w:line="276" w:lineRule="auto"/>
              <w:ind w:firstLine="0" w:firstLineChars="0"/>
              <w:rPr>
                <w:rFonts w:ascii="宋体" w:hAnsi="宋体" w:cs="宋体"/>
                <w:sz w:val="21"/>
                <w:szCs w:val="21"/>
                <w:highlight w:val="none"/>
              </w:rPr>
            </w:pPr>
            <w:r>
              <w:rPr>
                <w:rFonts w:hint="eastAsia" w:ascii="宋体" w:hAnsi="宋体" w:cs="宋体"/>
                <w:b/>
                <w:bCs/>
                <w:sz w:val="21"/>
                <w:szCs w:val="21"/>
                <w:highlight w:val="none"/>
              </w:rPr>
              <w:t>本项最高得12分。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100" w:type="dxa"/>
            <w:vMerge w:val="continue"/>
            <w:noWrap w:val="0"/>
            <w:vAlign w:val="center"/>
          </w:tcPr>
          <w:p>
            <w:pPr>
              <w:adjustRightInd w:val="0"/>
              <w:snapToGrid w:val="0"/>
              <w:jc w:val="center"/>
              <w:rPr>
                <w:rFonts w:ascii="宋体" w:hAnsi="宋体" w:cs="宋体"/>
                <w:szCs w:val="21"/>
                <w:highlight w:val="none"/>
              </w:rPr>
            </w:pPr>
          </w:p>
        </w:tc>
        <w:tc>
          <w:tcPr>
            <w:tcW w:w="1093" w:type="dxa"/>
            <w:noWrap w:val="0"/>
            <w:vAlign w:val="center"/>
          </w:tcPr>
          <w:p>
            <w:pPr>
              <w:ind w:right="134" w:rightChars="64"/>
              <w:jc w:val="center"/>
              <w:rPr>
                <w:rFonts w:ascii="宋体" w:hAnsi="宋体" w:cs="宋体"/>
                <w:szCs w:val="21"/>
                <w:highlight w:val="none"/>
              </w:rPr>
            </w:pPr>
            <w:r>
              <w:rPr>
                <w:rFonts w:hint="eastAsia" w:ascii="宋体" w:hAnsi="宋体" w:cs="宋体"/>
                <w:szCs w:val="21"/>
                <w:highlight w:val="none"/>
              </w:rPr>
              <w:t>其他人员</w:t>
            </w:r>
          </w:p>
        </w:tc>
        <w:tc>
          <w:tcPr>
            <w:tcW w:w="606" w:type="dxa"/>
            <w:noWrap w:val="0"/>
            <w:vAlign w:val="center"/>
          </w:tcPr>
          <w:p>
            <w:pPr>
              <w:widowControl/>
              <w:snapToGrid w:val="0"/>
              <w:jc w:val="center"/>
              <w:rPr>
                <w:rFonts w:ascii="宋体" w:hAnsi="宋体" w:cs="宋体"/>
                <w:b w:val="0"/>
                <w:bCs w:val="0"/>
                <w:sz w:val="21"/>
                <w:szCs w:val="21"/>
                <w:highlight w:val="none"/>
              </w:rPr>
            </w:pPr>
            <w:r>
              <w:rPr>
                <w:rFonts w:hint="eastAsia" w:ascii="宋体" w:hAnsi="宋体" w:cs="宋体"/>
                <w:b w:val="0"/>
                <w:bCs w:val="0"/>
                <w:sz w:val="21"/>
                <w:szCs w:val="21"/>
                <w:highlight w:val="none"/>
                <w:lang w:val="zh-TW"/>
              </w:rPr>
              <w:t>1</w:t>
            </w:r>
            <w:r>
              <w:rPr>
                <w:rFonts w:hint="eastAsia" w:ascii="宋体" w:hAnsi="宋体" w:cs="宋体"/>
                <w:b w:val="0"/>
                <w:bCs w:val="0"/>
                <w:sz w:val="21"/>
                <w:szCs w:val="21"/>
                <w:highlight w:val="none"/>
              </w:rPr>
              <w:t>0</w:t>
            </w:r>
          </w:p>
        </w:tc>
        <w:tc>
          <w:tcPr>
            <w:tcW w:w="11809" w:type="dxa"/>
            <w:noWrap w:val="0"/>
            <w:vAlign w:val="top"/>
          </w:tcPr>
          <w:p>
            <w:pPr>
              <w:pStyle w:val="262"/>
              <w:tabs>
                <w:tab w:val="left" w:pos="312"/>
              </w:tabs>
              <w:spacing w:line="276" w:lineRule="auto"/>
              <w:ind w:firstLine="0" w:firstLineChars="0"/>
              <w:rPr>
                <w:rFonts w:ascii="宋体" w:hAnsi="宋体" w:cs="宋体"/>
                <w:sz w:val="21"/>
                <w:szCs w:val="21"/>
                <w:highlight w:val="none"/>
                <w:lang w:val="zh-TW"/>
              </w:rPr>
            </w:pPr>
            <w:r>
              <w:rPr>
                <w:rFonts w:hint="eastAsia" w:ascii="宋体" w:hAnsi="宋体" w:cs="宋体"/>
                <w:sz w:val="21"/>
                <w:szCs w:val="21"/>
                <w:highlight w:val="none"/>
                <w:lang w:val="zh-TW"/>
              </w:rPr>
              <w:t>除项目负责人、技术负责人、质量负责人、安全负责人、造价负责人外，拟投入人员中，至少配备：</w:t>
            </w:r>
          </w:p>
          <w:p>
            <w:pPr>
              <w:rPr>
                <w:rFonts w:ascii="宋体" w:hAnsi="宋体" w:cs="宋体"/>
                <w:szCs w:val="21"/>
                <w:highlight w:val="none"/>
                <w:lang w:val="zh-TW"/>
              </w:rPr>
            </w:pPr>
            <w:r>
              <w:rPr>
                <w:rFonts w:hint="eastAsia" w:ascii="宋体" w:hAnsi="宋体" w:cs="宋体"/>
                <w:szCs w:val="21"/>
                <w:highlight w:val="none"/>
                <w:lang w:val="zh-TW"/>
              </w:rPr>
              <w:t>注册安全工程师1人、注册造价工程师1人、</w:t>
            </w:r>
            <w:r>
              <w:rPr>
                <w:rFonts w:hint="eastAsia" w:ascii="宋体" w:hAnsi="宋体" w:cs="宋体"/>
                <w:szCs w:val="21"/>
                <w:highlight w:val="none"/>
                <w:lang w:bidi="ar"/>
              </w:rPr>
              <w:t>注册消防工程师1人</w:t>
            </w:r>
            <w:r>
              <w:rPr>
                <w:rFonts w:hint="eastAsia" w:ascii="宋体" w:hAnsi="宋体" w:cs="宋体"/>
                <w:szCs w:val="21"/>
                <w:highlight w:val="none"/>
                <w:lang w:val="zh-TW"/>
              </w:rPr>
              <w:t>、建筑材料中级或以上工程师1人、</w:t>
            </w:r>
            <w:r>
              <w:rPr>
                <w:rFonts w:hint="eastAsia" w:ascii="宋体" w:hAnsi="宋体" w:cs="宋体"/>
                <w:szCs w:val="21"/>
                <w:highlight w:val="none"/>
                <w:lang w:bidi="ar"/>
              </w:rPr>
              <w:t>结构工程</w:t>
            </w:r>
            <w:r>
              <w:rPr>
                <w:rFonts w:hint="eastAsia" w:ascii="宋体" w:hAnsi="宋体" w:cs="宋体"/>
                <w:szCs w:val="21"/>
                <w:highlight w:val="none"/>
                <w:lang w:val="zh-TW"/>
              </w:rPr>
              <w:t>中级或以上工程师1人、工程测量中级或以上工程师1人。</w:t>
            </w:r>
          </w:p>
          <w:p>
            <w:pPr>
              <w:pStyle w:val="262"/>
              <w:tabs>
                <w:tab w:val="left" w:pos="312"/>
              </w:tabs>
              <w:spacing w:line="276" w:lineRule="auto"/>
              <w:ind w:firstLine="0" w:firstLineChars="0"/>
              <w:rPr>
                <w:rFonts w:ascii="宋体" w:hAnsi="宋体" w:cs="宋体"/>
                <w:sz w:val="21"/>
                <w:szCs w:val="21"/>
                <w:highlight w:val="none"/>
                <w:lang w:val="zh-TW"/>
              </w:rPr>
            </w:pPr>
            <w:r>
              <w:rPr>
                <w:rFonts w:hint="eastAsia" w:ascii="宋体" w:hAnsi="宋体" w:cs="宋体"/>
                <w:sz w:val="21"/>
                <w:szCs w:val="21"/>
                <w:highlight w:val="none"/>
                <w:lang w:val="zh-TW"/>
              </w:rPr>
              <w:t>以上人员不得兼任，全部满足得1</w:t>
            </w:r>
            <w:r>
              <w:rPr>
                <w:rFonts w:hint="eastAsia" w:ascii="宋体" w:hAnsi="宋体" w:cs="宋体"/>
                <w:sz w:val="21"/>
                <w:szCs w:val="21"/>
                <w:highlight w:val="none"/>
              </w:rPr>
              <w:t>0</w:t>
            </w:r>
            <w:r>
              <w:rPr>
                <w:rFonts w:hint="eastAsia" w:ascii="宋体" w:hAnsi="宋体" w:cs="宋体"/>
                <w:sz w:val="21"/>
                <w:szCs w:val="21"/>
                <w:highlight w:val="none"/>
                <w:lang w:val="zh-TW"/>
              </w:rPr>
              <w:t>分，每缺少一名扣</w:t>
            </w:r>
            <w:r>
              <w:rPr>
                <w:rFonts w:hint="eastAsia" w:ascii="宋体" w:hAnsi="宋体" w:cs="宋体"/>
                <w:sz w:val="21"/>
                <w:szCs w:val="21"/>
                <w:highlight w:val="none"/>
              </w:rPr>
              <w:t>2</w:t>
            </w:r>
            <w:r>
              <w:rPr>
                <w:rFonts w:hint="eastAsia" w:ascii="宋体" w:hAnsi="宋体" w:cs="宋体"/>
                <w:sz w:val="21"/>
                <w:szCs w:val="21"/>
                <w:highlight w:val="none"/>
                <w:lang w:val="zh-TW"/>
              </w:rPr>
              <w:t>分，直至扣完为止。</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2193" w:type="dxa"/>
            <w:gridSpan w:val="2"/>
            <w:noWrap w:val="0"/>
            <w:vAlign w:val="center"/>
          </w:tcPr>
          <w:p>
            <w:pPr>
              <w:widowControl/>
              <w:adjustRightInd w:val="0"/>
              <w:snapToGrid w:val="0"/>
              <w:jc w:val="center"/>
              <w:rPr>
                <w:rFonts w:ascii="宋体" w:hAnsi="宋体" w:cs="宋体"/>
                <w:szCs w:val="21"/>
                <w:highlight w:val="none"/>
              </w:rPr>
            </w:pPr>
            <w:r>
              <w:rPr>
                <w:rFonts w:hint="eastAsia" w:ascii="宋体" w:hAnsi="宋体" w:cs="宋体"/>
                <w:szCs w:val="21"/>
                <w:highlight w:val="none"/>
              </w:rPr>
              <w:t>合计</w:t>
            </w:r>
          </w:p>
        </w:tc>
        <w:tc>
          <w:tcPr>
            <w:tcW w:w="606" w:type="dxa"/>
            <w:noWrap w:val="0"/>
            <w:vAlign w:val="center"/>
          </w:tcPr>
          <w:p>
            <w:pPr>
              <w:widowControl/>
              <w:jc w:val="center"/>
              <w:rPr>
                <w:rFonts w:ascii="宋体" w:hAnsi="宋体" w:cs="宋体"/>
                <w:b w:val="0"/>
                <w:bCs w:val="0"/>
                <w:kern w:val="0"/>
                <w:sz w:val="21"/>
                <w:szCs w:val="21"/>
                <w:highlight w:val="none"/>
              </w:rPr>
            </w:pPr>
            <w:r>
              <w:rPr>
                <w:rFonts w:hint="eastAsia" w:ascii="宋体" w:hAnsi="宋体" w:cs="宋体"/>
                <w:b w:val="0"/>
                <w:bCs w:val="0"/>
                <w:kern w:val="0"/>
                <w:sz w:val="21"/>
                <w:szCs w:val="21"/>
                <w:highlight w:val="none"/>
              </w:rPr>
              <w:t>100</w:t>
            </w:r>
          </w:p>
        </w:tc>
        <w:tc>
          <w:tcPr>
            <w:tcW w:w="11809" w:type="dxa"/>
            <w:noWrap w:val="0"/>
            <w:vAlign w:val="center"/>
          </w:tcPr>
          <w:p>
            <w:pPr>
              <w:widowControl/>
              <w:jc w:val="left"/>
              <w:rPr>
                <w:rFonts w:ascii="宋体" w:hAnsi="宋体" w:cs="宋体"/>
                <w:kern w:val="0"/>
                <w:szCs w:val="21"/>
                <w:highlight w:val="none"/>
                <w:lang w:eastAsia="zh-TW"/>
              </w:rPr>
            </w:pPr>
          </w:p>
        </w:tc>
      </w:tr>
    </w:tbl>
    <w:p>
      <w:pPr>
        <w:spacing w:beforeLines="0" w:line="400" w:lineRule="exact"/>
        <w:ind w:firstLine="420" w:firstLineChars="200"/>
        <w:rPr>
          <w:rFonts w:ascii="宋体" w:hAnsi="宋体" w:cs="宋体"/>
          <w:bCs/>
          <w:kern w:val="0"/>
          <w:szCs w:val="21"/>
          <w:highlight w:val="none"/>
          <w:lang w:bidi="ar"/>
        </w:rPr>
      </w:pPr>
      <w:r>
        <w:rPr>
          <w:rFonts w:hint="eastAsia" w:ascii="宋体" w:hAnsi="宋体" w:cs="宋体"/>
          <w:kern w:val="0"/>
          <w:szCs w:val="21"/>
          <w:highlight w:val="none"/>
          <w:lang w:bidi="ar"/>
        </w:rPr>
        <w:t>注：</w:t>
      </w:r>
    </w:p>
    <w:p>
      <w:pPr>
        <w:spacing w:beforeLines="0" w:line="400" w:lineRule="exact"/>
        <w:ind w:firstLine="422" w:firstLineChars="200"/>
        <w:rPr>
          <w:rFonts w:ascii="宋体" w:hAnsi="宋体" w:cs="宋体"/>
          <w:bCs/>
          <w:kern w:val="0"/>
          <w:szCs w:val="21"/>
          <w:highlight w:val="none"/>
          <w:lang w:bidi="ar"/>
        </w:rPr>
      </w:pPr>
      <w:r>
        <w:rPr>
          <w:rFonts w:hint="eastAsia" w:ascii="宋体" w:hAnsi="宋体" w:cs="宋体"/>
          <w:b/>
          <w:bCs/>
          <w:szCs w:val="21"/>
          <w:highlight w:val="none"/>
        </w:rPr>
        <w:t>1、企业业绩：</w:t>
      </w:r>
      <w:r>
        <w:rPr>
          <w:rFonts w:hint="eastAsia" w:ascii="宋体" w:hAnsi="宋体" w:cs="宋体"/>
          <w:bCs/>
          <w:kern w:val="0"/>
          <w:szCs w:val="21"/>
          <w:highlight w:val="none"/>
          <w:lang w:bidi="ar"/>
        </w:rPr>
        <w:t>需提供中标通知书（或免招标证明文件）原件扫描件、施工合同原件扫描件、竣工验收报告或竣工证明原件扫描件或工程竣工验收备案表原件扫描件，完成时间以竣工验收文件为准。不符合上述条件或未提供上述资料的不得分。</w:t>
      </w:r>
    </w:p>
    <w:p>
      <w:pPr>
        <w:spacing w:beforeLines="0" w:line="400" w:lineRule="exact"/>
        <w:ind w:firstLine="422" w:firstLineChars="200"/>
        <w:rPr>
          <w:rFonts w:ascii="宋体" w:hAnsi="宋体" w:cs="宋体"/>
          <w:szCs w:val="21"/>
          <w:highlight w:val="none"/>
        </w:rPr>
      </w:pPr>
      <w:r>
        <w:rPr>
          <w:rFonts w:hint="eastAsia" w:ascii="宋体" w:hAnsi="宋体" w:cs="宋体"/>
          <w:b/>
          <w:bCs/>
          <w:szCs w:val="21"/>
          <w:highlight w:val="none"/>
        </w:rPr>
        <w:t>2、工程奖项：</w:t>
      </w:r>
      <w:r>
        <w:rPr>
          <w:rFonts w:hint="eastAsia" w:ascii="宋体" w:hAnsi="宋体" w:cs="宋体"/>
          <w:bCs/>
          <w:szCs w:val="21"/>
          <w:highlight w:val="none"/>
        </w:rPr>
        <w:t>工程质量奖项国家级：</w:t>
      </w:r>
      <w:r>
        <w:rPr>
          <w:rFonts w:hint="eastAsia" w:ascii="宋体" w:hAnsi="宋体" w:cs="宋体"/>
          <w:szCs w:val="21"/>
          <w:highlight w:val="none"/>
        </w:rPr>
        <w:t>鲁班奖、詹天佑奖、国家优质工程奖等；省级：省级工程优质奖或省优良样板工程奖等；市级：市级工程优质奖等；奖项不含技术创新 QC 成果及技术应用、科技类或</w:t>
      </w:r>
      <w:r>
        <w:rPr>
          <w:rFonts w:hint="eastAsia" w:ascii="宋体" w:hAnsi="宋体" w:cs="宋体"/>
          <w:szCs w:val="21"/>
          <w:highlight w:val="none"/>
          <w:lang w:val="en-US" w:eastAsia="zh-CN"/>
        </w:rPr>
        <w:t>装修</w:t>
      </w:r>
      <w:r>
        <w:rPr>
          <w:rFonts w:hint="eastAsia" w:ascii="宋体" w:hAnsi="宋体" w:cs="宋体"/>
          <w:szCs w:val="21"/>
          <w:highlight w:val="none"/>
        </w:rPr>
        <w:t>类奖项；同一项目只按最高级别奖项计算一次分，不得重复计算；获奖项目为投标人承（参）建项目；获奖时间以发证时间为准，投标人须提供网页公示名单信息截图及获奖证书原件扫描件，并加盖投标人公章，不符合上述条件或未提供上述资料的不得分。</w:t>
      </w:r>
    </w:p>
    <w:p>
      <w:pPr>
        <w:spacing w:beforeLines="0" w:line="400" w:lineRule="exact"/>
        <w:ind w:firstLine="422" w:firstLineChars="200"/>
        <w:rPr>
          <w:rFonts w:ascii="宋体" w:hAnsi="宋体" w:cs="宋体"/>
          <w:b/>
          <w:bCs/>
          <w:strike/>
          <w:szCs w:val="21"/>
          <w:highlight w:val="none"/>
        </w:rPr>
      </w:pPr>
      <w:r>
        <w:rPr>
          <w:rFonts w:hint="eastAsia" w:ascii="宋体" w:hAnsi="宋体" w:cs="宋体"/>
          <w:b/>
          <w:bCs/>
          <w:szCs w:val="21"/>
          <w:highlight w:val="none"/>
        </w:rPr>
        <w:t>3、研发能力</w:t>
      </w:r>
      <w:r>
        <w:rPr>
          <w:rFonts w:hint="eastAsia" w:ascii="宋体" w:hAnsi="宋体" w:cs="宋体"/>
          <w:szCs w:val="21"/>
          <w:highlight w:val="none"/>
        </w:rPr>
        <w:t>：技术规范、标准指的是国家规范/标准、地方（省或市级）规范/标准、行业协会团体规范/标准；证明材料包括名称、编号、目录及编制单位等内容的关键页扫描件，且同时提供“全国标准信息公共服务平台（网址：https://std.samr.gov.cn/）”网页查询截图（时间以规范、标准发布日期为准）。不符合上述条件或未提供上述资料的不得分。</w:t>
      </w:r>
    </w:p>
    <w:p>
      <w:pPr>
        <w:adjustRightInd w:val="0"/>
        <w:snapToGrid w:val="0"/>
        <w:spacing w:before="0" w:beforeLines="0" w:line="400" w:lineRule="exact"/>
        <w:ind w:firstLine="422" w:firstLineChars="200"/>
        <w:rPr>
          <w:rFonts w:ascii="宋体" w:hAnsi="宋体" w:cs="宋体"/>
          <w:szCs w:val="21"/>
          <w:highlight w:val="none"/>
          <w:shd w:val="clear" w:color="auto" w:fill="00B050"/>
        </w:rPr>
      </w:pPr>
      <w:r>
        <w:rPr>
          <w:rFonts w:hint="eastAsia" w:ascii="宋体" w:hAnsi="宋体" w:cs="宋体"/>
          <w:b/>
          <w:bCs/>
          <w:szCs w:val="21"/>
          <w:highlight w:val="none"/>
        </w:rPr>
        <w:t>4、第三方评价：</w:t>
      </w:r>
      <w:r>
        <w:rPr>
          <w:rFonts w:hint="eastAsia" w:ascii="宋体" w:hAnsi="宋体" w:cs="宋体"/>
          <w:szCs w:val="21"/>
          <w:highlight w:val="none"/>
        </w:rPr>
        <w:t>需</w:t>
      </w:r>
      <w:r>
        <w:rPr>
          <w:rFonts w:hint="eastAsia" w:ascii="宋体" w:hAnsi="宋体" w:cs="宋体"/>
          <w:szCs w:val="21"/>
          <w:highlight w:val="none"/>
          <w:lang w:val="zh-TW"/>
        </w:rPr>
        <w:t>提供证书扫描件及公示网页截图并加盖投标人企业电子印章，公示信息必须在中国国家认证认可监督管理委员会官方网站（http://cx.cnca.cn/CertECloud/result/skipResultList）公示可查，时间以证书的发证时间为准，不符合条件或无提供公示网页截图或无加盖投标人企业电子印章的不计分。</w:t>
      </w:r>
      <w:r>
        <w:rPr>
          <w:rFonts w:hint="eastAsia" w:ascii="宋体" w:hAnsi="宋体" w:cs="宋体"/>
          <w:szCs w:val="21"/>
          <w:highlight w:val="none"/>
          <w:lang w:val="zh-CN"/>
        </w:rPr>
        <w:t>否则不予计分。</w:t>
      </w:r>
    </w:p>
    <w:p>
      <w:pPr>
        <w:spacing w:beforeLines="0" w:line="400" w:lineRule="exact"/>
        <w:ind w:firstLine="422" w:firstLineChars="200"/>
        <w:rPr>
          <w:rFonts w:ascii="宋体" w:hAnsi="宋体" w:cs="宋体"/>
          <w:szCs w:val="21"/>
          <w:highlight w:val="none"/>
          <w:lang w:val="zh-CN"/>
        </w:rPr>
      </w:pPr>
      <w:r>
        <w:rPr>
          <w:rFonts w:hint="eastAsia" w:ascii="宋体" w:hAnsi="宋体" w:cs="宋体"/>
          <w:b/>
          <w:bCs/>
          <w:szCs w:val="21"/>
          <w:highlight w:val="none"/>
        </w:rPr>
        <w:t>5、财务指标：</w:t>
      </w:r>
      <w:r>
        <w:rPr>
          <w:rFonts w:hint="eastAsia" w:ascii="宋体" w:hAnsi="宋体" w:cs="宋体"/>
          <w:szCs w:val="21"/>
          <w:highlight w:val="none"/>
          <w:lang w:val="zh-CN"/>
        </w:rPr>
        <w:t>需提供完整的20</w:t>
      </w:r>
      <w:r>
        <w:rPr>
          <w:rFonts w:hint="eastAsia" w:ascii="宋体" w:hAnsi="宋体" w:cs="宋体"/>
          <w:szCs w:val="21"/>
          <w:highlight w:val="none"/>
          <w:lang w:val="en-US" w:eastAsia="zh-CN"/>
        </w:rPr>
        <w:t>20</w:t>
      </w:r>
      <w:r>
        <w:rPr>
          <w:rFonts w:hint="eastAsia" w:ascii="宋体" w:hAnsi="宋体" w:cs="宋体"/>
          <w:szCs w:val="21"/>
          <w:highlight w:val="none"/>
          <w:lang w:val="zh-CN"/>
        </w:rPr>
        <w:t>年度、20</w:t>
      </w:r>
      <w:r>
        <w:rPr>
          <w:rFonts w:hint="eastAsia" w:ascii="宋体" w:hAnsi="宋体" w:cs="宋体"/>
          <w:szCs w:val="21"/>
          <w:highlight w:val="none"/>
        </w:rPr>
        <w:t>2</w:t>
      </w:r>
      <w:r>
        <w:rPr>
          <w:rFonts w:hint="eastAsia" w:ascii="宋体" w:hAnsi="宋体" w:cs="宋体"/>
          <w:szCs w:val="21"/>
          <w:highlight w:val="none"/>
          <w:lang w:val="en-US" w:eastAsia="zh-CN"/>
        </w:rPr>
        <w:t>1</w:t>
      </w:r>
      <w:r>
        <w:rPr>
          <w:rFonts w:hint="eastAsia" w:ascii="宋体" w:hAnsi="宋体" w:cs="宋体"/>
          <w:szCs w:val="21"/>
          <w:highlight w:val="none"/>
          <w:lang w:val="zh-CN"/>
        </w:rPr>
        <w:t>年度、202</w:t>
      </w:r>
      <w:r>
        <w:rPr>
          <w:rFonts w:hint="eastAsia" w:ascii="宋体" w:hAnsi="宋体" w:cs="宋体"/>
          <w:szCs w:val="21"/>
          <w:highlight w:val="none"/>
          <w:lang w:val="en-US" w:eastAsia="zh-CN"/>
        </w:rPr>
        <w:t>2</w:t>
      </w:r>
      <w:r>
        <w:rPr>
          <w:rFonts w:hint="eastAsia" w:ascii="宋体" w:hAnsi="宋体" w:cs="宋体"/>
          <w:szCs w:val="21"/>
          <w:highlight w:val="none"/>
          <w:lang w:val="zh-CN"/>
        </w:rPr>
        <w:t>年度经会计师事务所审计的审计报告原件扫描件。如年度审计报告未经会计师事务所审计或不符合上述情况的，不予计分。资产负债率计算公式：资产负债率=期（年）末负债总额÷期（年）末资产总额×100%。</w:t>
      </w:r>
    </w:p>
    <w:p>
      <w:pPr>
        <w:pStyle w:val="2"/>
        <w:spacing w:beforeLines="0" w:after="0" w:line="400" w:lineRule="exact"/>
        <w:ind w:firstLine="402" w:firstLineChars="200"/>
        <w:rPr>
          <w:rFonts w:ascii="宋体" w:hAnsi="宋体" w:cs="宋体"/>
          <w:szCs w:val="21"/>
          <w:highlight w:val="none"/>
        </w:rPr>
      </w:pPr>
      <w:r>
        <w:rPr>
          <w:rFonts w:hint="eastAsia" w:ascii="宋体" w:hAnsi="宋体" w:cs="宋体"/>
          <w:b/>
          <w:bCs/>
          <w:szCs w:val="21"/>
          <w:highlight w:val="none"/>
        </w:rPr>
        <w:t>6、</w:t>
      </w:r>
      <w:r>
        <w:rPr>
          <w:rFonts w:hint="eastAsia" w:ascii="宋体" w:hAnsi="宋体" w:cs="宋体"/>
          <w:szCs w:val="21"/>
          <w:highlight w:val="none"/>
        </w:rPr>
        <w:t>人员工法奖：需提供经建设行政主管部门认定的获奖证书原件扫描件。且需提供科学技术成果鉴定证书，时间以发证时间为准。不符合上述条件或未提供上述资料的不得分。</w:t>
      </w:r>
    </w:p>
    <w:p>
      <w:pPr>
        <w:pStyle w:val="2"/>
        <w:spacing w:beforeLines="0" w:after="0" w:line="400" w:lineRule="exact"/>
        <w:ind w:firstLine="402" w:firstLineChars="200"/>
        <w:rPr>
          <w:rFonts w:ascii="宋体" w:hAnsi="宋体" w:cs="宋体"/>
          <w:highlight w:val="none"/>
        </w:rPr>
      </w:pPr>
      <w:r>
        <w:rPr>
          <w:rFonts w:hint="eastAsia" w:ascii="宋体" w:hAnsi="宋体" w:cs="宋体"/>
          <w:b/>
          <w:bCs/>
          <w:szCs w:val="21"/>
          <w:highlight w:val="none"/>
        </w:rPr>
        <w:t>7、</w:t>
      </w:r>
      <w:r>
        <w:rPr>
          <w:rFonts w:hint="eastAsia" w:ascii="宋体" w:hAnsi="宋体" w:cs="宋体"/>
          <w:szCs w:val="21"/>
          <w:highlight w:val="none"/>
        </w:rPr>
        <w:t>以上人员须提供相应的注册证（原件扫描件）、职称证（原件扫描件）和2023年</w:t>
      </w:r>
      <w:r>
        <w:rPr>
          <w:rFonts w:hint="eastAsia" w:ascii="宋体" w:hAnsi="宋体" w:cs="宋体"/>
          <w:szCs w:val="21"/>
          <w:highlight w:val="none"/>
          <w:lang w:val="en-US" w:eastAsia="zh-CN"/>
        </w:rPr>
        <w:t>6</w:t>
      </w:r>
      <w:r>
        <w:rPr>
          <w:rFonts w:hint="eastAsia" w:ascii="宋体" w:hAnsi="宋体" w:cs="宋体"/>
          <w:szCs w:val="21"/>
          <w:highlight w:val="none"/>
        </w:rPr>
        <w:t>月的社保缴纳证明材料（原件扫描件）等证明材料并加盖投标人公章，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未提供或所提供的证明资料不符合要求的，则该评分节点不予评审。注册造价工程师是指具备注册造价工程师执业资格，原注册造价工程师自动划分为一级注册造价工程师，详见住房和城乡建设部关于修改《工程造价咨询企业管理办法》《注册造价工程师管理办法》的决定（中华人民共和国住房和城乡建设部令第50号）。</w:t>
      </w:r>
    </w:p>
    <w:p>
      <w:pPr>
        <w:spacing w:beforeLines="0" w:line="400" w:lineRule="exact"/>
        <w:ind w:firstLine="422" w:firstLineChars="200"/>
        <w:rPr>
          <w:rFonts w:ascii="宋体" w:hAnsi="宋体" w:cs="宋体"/>
          <w:szCs w:val="21"/>
          <w:highlight w:val="none"/>
        </w:rPr>
      </w:pPr>
      <w:r>
        <w:rPr>
          <w:rFonts w:hint="eastAsia" w:ascii="宋体" w:hAnsi="宋体" w:cs="宋体"/>
          <w:b/>
          <w:bCs/>
          <w:szCs w:val="21"/>
          <w:highlight w:val="none"/>
          <w:lang w:val="en-US" w:eastAsia="zh-CN"/>
        </w:rPr>
        <w:t>8</w:t>
      </w:r>
      <w:r>
        <w:rPr>
          <w:rFonts w:hint="eastAsia" w:ascii="宋体" w:hAnsi="宋体" w:cs="宋体"/>
          <w:b/>
          <w:bCs/>
          <w:szCs w:val="21"/>
          <w:highlight w:val="none"/>
        </w:rPr>
        <w:t>、</w:t>
      </w:r>
      <w:r>
        <w:rPr>
          <w:rFonts w:hint="eastAsia" w:ascii="宋体" w:hAnsi="宋体" w:cs="宋体"/>
          <w:szCs w:val="21"/>
          <w:highlight w:val="none"/>
        </w:rPr>
        <w:t>所有评委每个分项的分数汇总后去掉一个最高分和一个最低分的算术平均值为投标人的最终得分。分数出现小数点，保留小数点后二位小数，第三位小数四舍五入。</w:t>
      </w:r>
    </w:p>
    <w:p>
      <w:pPr>
        <w:spacing w:beforeLines="0" w:line="400" w:lineRule="exact"/>
        <w:ind w:firstLine="422" w:firstLineChars="200"/>
        <w:rPr>
          <w:rFonts w:ascii="宋体" w:hAnsi="宋体" w:cs="宋体"/>
          <w:b/>
          <w:bCs/>
          <w:szCs w:val="21"/>
          <w:highlight w:val="none"/>
        </w:rPr>
      </w:pPr>
      <w:r>
        <w:rPr>
          <w:rFonts w:hint="eastAsia" w:ascii="宋体" w:hAnsi="宋体" w:cs="宋体"/>
          <w:b/>
          <w:bCs/>
          <w:szCs w:val="21"/>
          <w:highlight w:val="none"/>
        </w:rPr>
        <w:t>评委签名：                                                                       日期：</w:t>
      </w:r>
    </w:p>
    <w:p>
      <w:pPr>
        <w:spacing w:beforeLines="0" w:line="400" w:lineRule="exact"/>
        <w:rPr>
          <w:rFonts w:hint="eastAsia" w:ascii="宋体" w:hAnsi="宋体" w:cs="宋体"/>
          <w:strike w:val="0"/>
          <w:color w:val="auto"/>
          <w:szCs w:val="21"/>
          <w:highlight w:val="none"/>
        </w:rPr>
      </w:pPr>
      <w:r>
        <w:rPr>
          <w:rFonts w:hint="eastAsia" w:ascii="宋体" w:hAnsi="宋体" w:cs="宋体"/>
          <w:strike w:val="0"/>
          <w:color w:val="auto"/>
          <w:szCs w:val="21"/>
          <w:highlight w:val="none"/>
        </w:rPr>
        <w:br w:type="page"/>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cs="宋体"/>
          <w:strike w:val="0"/>
          <w:color w:val="auto"/>
          <w:szCs w:val="21"/>
          <w:highlight w:val="none"/>
        </w:rPr>
      </w:pPr>
      <w:r>
        <w:rPr>
          <w:rFonts w:hint="eastAsia" w:ascii="宋体" w:hAnsi="宋体" w:cs="宋体"/>
          <w:strike w:val="0"/>
          <w:color w:val="auto"/>
          <w:szCs w:val="21"/>
          <w:highlight w:val="none"/>
        </w:rPr>
        <w:t>附表五（适用于加权平均法）</w:t>
      </w:r>
    </w:p>
    <w:p>
      <w:pPr>
        <w:jc w:val="center"/>
        <w:rPr>
          <w:rFonts w:hint="eastAsia" w:ascii="宋体" w:hAnsi="宋体" w:cs="宋体"/>
          <w:b/>
          <w:strike w:val="0"/>
          <w:color w:val="auto"/>
          <w:sz w:val="36"/>
          <w:szCs w:val="36"/>
          <w:highlight w:val="none"/>
        </w:rPr>
      </w:pPr>
      <w:r>
        <w:rPr>
          <w:rFonts w:hint="eastAsia" w:ascii="宋体" w:hAnsi="宋体" w:cs="宋体"/>
          <w:b/>
          <w:strike w:val="0"/>
          <w:color w:val="auto"/>
          <w:sz w:val="36"/>
          <w:szCs w:val="36"/>
          <w:highlight w:val="none"/>
        </w:rPr>
        <w:t>经济标评分表</w:t>
      </w:r>
    </w:p>
    <w:p>
      <w:pPr>
        <w:rPr>
          <w:rFonts w:hint="eastAsia" w:ascii="宋体" w:hAnsi="宋体" w:cs="宋体"/>
          <w:strike w:val="0"/>
          <w:color w:val="auto"/>
          <w:szCs w:val="21"/>
          <w:highlight w:val="none"/>
        </w:rPr>
      </w:pPr>
      <w:r>
        <w:rPr>
          <w:rFonts w:hint="eastAsia" w:ascii="宋体" w:hAnsi="宋体" w:cs="宋体"/>
          <w:strike w:val="0"/>
          <w:color w:val="auto"/>
          <w:szCs w:val="21"/>
          <w:highlight w:val="none"/>
        </w:rPr>
        <w:t>工程名称：</w:t>
      </w:r>
    </w:p>
    <w:tbl>
      <w:tblPr>
        <w:tblStyle w:val="52"/>
        <w:tblW w:w="14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5"/>
        <w:gridCol w:w="895"/>
        <w:gridCol w:w="895"/>
        <w:gridCol w:w="895"/>
        <w:gridCol w:w="895"/>
        <w:gridCol w:w="895"/>
        <w:gridCol w:w="895"/>
        <w:gridCol w:w="895"/>
        <w:gridCol w:w="895"/>
        <w:gridCol w:w="895"/>
        <w:gridCol w:w="895"/>
        <w:gridCol w:w="895"/>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投标人名称</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投标报价</w:t>
            </w:r>
            <w:r>
              <w:rPr>
                <w:rFonts w:ascii="宋体" w:hAnsi="宋体"/>
                <w:szCs w:val="21"/>
                <w:highlight w:val="none"/>
              </w:rPr>
              <w:t>PT</w:t>
            </w:r>
            <w:r>
              <w:rPr>
                <w:rFonts w:hint="eastAsia" w:ascii="宋体" w:hAnsi="宋体"/>
                <w:szCs w:val="21"/>
                <w:highlight w:val="none"/>
              </w:rPr>
              <w:t>（元）</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报价权重</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评标参考价PC（元）</w:t>
            </w:r>
          </w:p>
        </w:tc>
        <w:tc>
          <w:tcPr>
            <w:tcW w:w="10740"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偏差（（</w:t>
            </w:r>
            <w:r>
              <w:rPr>
                <w:rFonts w:ascii="宋体" w:hAnsi="宋体"/>
                <w:szCs w:val="21"/>
                <w:highlight w:val="none"/>
              </w:rPr>
              <w:t>PT-PC</w:t>
            </w:r>
            <w:r>
              <w:rPr>
                <w:rFonts w:hint="eastAsia" w:ascii="宋体" w:hAnsi="宋体"/>
                <w:szCs w:val="21"/>
                <w:highlight w:val="none"/>
              </w:rPr>
              <w:t>）</w:t>
            </w:r>
            <w:r>
              <w:rPr>
                <w:rFonts w:ascii="宋体" w:hAnsi="宋体"/>
                <w:szCs w:val="21"/>
                <w:highlight w:val="none"/>
              </w:rPr>
              <w:t>/PC</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减分（</w:t>
            </w:r>
            <w:r>
              <w:rPr>
                <w:rFonts w:ascii="宋体" w:hAnsi="宋体"/>
                <w:szCs w:val="21"/>
                <w:highlight w:val="none"/>
              </w:rPr>
              <w:t>A</w:t>
            </w:r>
            <w:r>
              <w:rPr>
                <w:rFonts w:hint="eastAsia" w:ascii="宋体" w:hAnsi="宋体"/>
                <w:szCs w:val="21"/>
                <w:highlight w:val="none"/>
              </w:rPr>
              <w:t>）</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得分</w:t>
            </w:r>
            <w:r>
              <w:rPr>
                <w:rFonts w:ascii="宋体" w:hAnsi="宋体"/>
                <w:szCs w:val="21"/>
                <w:highlight w:val="none"/>
              </w:rPr>
              <w:t>(I=100-A)</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得分排名次序</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bl>
    <w:p>
      <w:pPr>
        <w:rPr>
          <w:rFonts w:hint="eastAsia" w:ascii="宋体" w:hAnsi="宋体" w:cs="宋体"/>
          <w:strike w:val="0"/>
          <w:color w:val="auto"/>
          <w:szCs w:val="21"/>
          <w:highlight w:val="none"/>
        </w:rPr>
      </w:pPr>
    </w:p>
    <w:p>
      <w:pPr>
        <w:rPr>
          <w:rFonts w:hint="eastAsia" w:ascii="宋体" w:hAnsi="宋体" w:cs="宋体"/>
          <w:strike w:val="0"/>
          <w:color w:val="auto"/>
          <w:szCs w:val="21"/>
          <w:highlight w:val="none"/>
        </w:rPr>
      </w:pPr>
      <w:r>
        <w:rPr>
          <w:rFonts w:hint="eastAsia" w:ascii="宋体" w:hAnsi="宋体" w:cs="宋体"/>
          <w:strike w:val="0"/>
          <w:color w:val="auto"/>
          <w:szCs w:val="21"/>
          <w:highlight w:val="none"/>
        </w:rPr>
        <w:t>评委签名：</w:t>
      </w:r>
    </w:p>
    <w:p>
      <w:pPr>
        <w:rPr>
          <w:rFonts w:hint="eastAsia" w:ascii="宋体" w:hAnsi="宋体" w:cs="宋体"/>
          <w:b/>
          <w:color w:val="auto"/>
          <w:szCs w:val="21"/>
          <w:highlight w:val="none"/>
        </w:rPr>
      </w:pPr>
      <w:r>
        <w:rPr>
          <w:rFonts w:hint="eastAsia" w:ascii="宋体" w:hAnsi="宋体" w:cs="宋体"/>
          <w:strike w:val="0"/>
          <w:color w:val="auto"/>
          <w:szCs w:val="21"/>
          <w:highlight w:val="none"/>
        </w:rPr>
        <w:br w:type="page"/>
      </w:r>
      <w:r>
        <w:rPr>
          <w:rFonts w:hint="eastAsia" w:ascii="宋体" w:hAnsi="宋体" w:cs="宋体"/>
          <w:color w:val="auto"/>
          <w:szCs w:val="21"/>
          <w:highlight w:val="none"/>
        </w:rPr>
        <w:t>附表六</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52"/>
        <w:tblW w:w="13704" w:type="dxa"/>
        <w:jc w:val="center"/>
        <w:tblLayout w:type="fixed"/>
        <w:tblCellMar>
          <w:top w:w="0" w:type="dxa"/>
          <w:left w:w="108" w:type="dxa"/>
          <w:bottom w:w="0" w:type="dxa"/>
          <w:right w:w="108" w:type="dxa"/>
        </w:tblCellMar>
      </w:tblPr>
      <w:tblGrid>
        <w:gridCol w:w="843"/>
        <w:gridCol w:w="2883"/>
        <w:gridCol w:w="1530"/>
        <w:gridCol w:w="1590"/>
        <w:gridCol w:w="1923"/>
        <w:gridCol w:w="1470"/>
        <w:gridCol w:w="3465"/>
      </w:tblGrid>
      <w:tr>
        <w:tblPrEx>
          <w:tblCellMar>
            <w:top w:w="0" w:type="dxa"/>
            <w:left w:w="108" w:type="dxa"/>
            <w:bottom w:w="0" w:type="dxa"/>
            <w:right w:w="108" w:type="dxa"/>
          </w:tblCellMar>
        </w:tblPrEx>
        <w:trPr>
          <w:trHeight w:val="705"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编号</w:t>
            </w:r>
          </w:p>
        </w:tc>
        <w:tc>
          <w:tcPr>
            <w:tcW w:w="2883"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算术校核项目</w:t>
            </w:r>
          </w:p>
        </w:tc>
        <w:tc>
          <w:tcPr>
            <w:tcW w:w="1530"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修正前投标</w:t>
            </w:r>
          </w:p>
          <w:p>
            <w:pPr>
              <w:rPr>
                <w:rFonts w:ascii="宋体"/>
                <w:kern w:val="0"/>
                <w:highlight w:val="none"/>
              </w:rPr>
            </w:pPr>
            <w:r>
              <w:rPr>
                <w:rFonts w:hint="eastAsia" w:ascii="宋体" w:hAnsi="宋体"/>
                <w:kern w:val="0"/>
                <w:highlight w:val="none"/>
              </w:rPr>
              <w:t>报价A</w:t>
            </w:r>
          </w:p>
        </w:tc>
        <w:tc>
          <w:tcPr>
            <w:tcW w:w="1590"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修正后投标</w:t>
            </w:r>
          </w:p>
          <w:p>
            <w:pPr>
              <w:rPr>
                <w:rFonts w:ascii="宋体"/>
                <w:kern w:val="0"/>
                <w:highlight w:val="none"/>
              </w:rPr>
            </w:pPr>
            <w:r>
              <w:rPr>
                <w:rFonts w:hint="eastAsia" w:ascii="宋体" w:hAnsi="宋体"/>
                <w:kern w:val="0"/>
                <w:highlight w:val="none"/>
              </w:rPr>
              <w:t>报价B</w:t>
            </w:r>
          </w:p>
        </w:tc>
        <w:tc>
          <w:tcPr>
            <w:tcW w:w="1923"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修正率</w:t>
            </w:r>
            <w:r>
              <w:rPr>
                <w:rFonts w:hint="eastAsia" w:ascii="宋体"/>
                <w:kern w:val="0"/>
                <w:highlight w:val="none"/>
              </w:rPr>
              <w:br w:type="textWrapping"/>
            </w:r>
            <w:r>
              <w:rPr>
                <w:rFonts w:hint="eastAsia" w:ascii="宋体" w:hAnsi="宋体"/>
                <w:kern w:val="0"/>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当B&gt;A时，修正后报价与原报价的差额；当B≤A时,R=0</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1</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[单位工程1]</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2</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[单位工程2]</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n</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[单位工程n]</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投标总报价</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∑A=A</w:t>
            </w:r>
            <w:r>
              <w:rPr>
                <w:rFonts w:hint="eastAsia" w:ascii="宋体" w:hAnsi="宋体"/>
                <w:kern w:val="0"/>
                <w:highlight w:val="none"/>
                <w:vertAlign w:val="subscript"/>
              </w:rPr>
              <w:t>1</w:t>
            </w:r>
            <w:r>
              <w:rPr>
                <w:rFonts w:hint="eastAsia" w:ascii="宋体" w:hAnsi="宋体"/>
                <w:kern w:val="0"/>
                <w:highlight w:val="none"/>
              </w:rPr>
              <w:t>+A</w:t>
            </w:r>
            <w:r>
              <w:rPr>
                <w:rFonts w:hint="eastAsia" w:ascii="宋体" w:hAnsi="宋体"/>
                <w:kern w:val="0"/>
                <w:highlight w:val="none"/>
                <w:vertAlign w:val="subscript"/>
              </w:rPr>
              <w:t>2</w:t>
            </w:r>
            <w:r>
              <w:rPr>
                <w:rFonts w:hint="eastAsia" w:ascii="宋体" w:hAnsi="宋体"/>
                <w:kern w:val="0"/>
                <w:highlight w:val="none"/>
              </w:rPr>
              <w:t>+…An；∑B=B</w:t>
            </w:r>
            <w:r>
              <w:rPr>
                <w:rFonts w:hint="eastAsia" w:ascii="宋体" w:hAnsi="宋体"/>
                <w:kern w:val="0"/>
                <w:highlight w:val="none"/>
                <w:vertAlign w:val="subscript"/>
              </w:rPr>
              <w:t>1</w:t>
            </w:r>
            <w:r>
              <w:rPr>
                <w:rFonts w:hint="eastAsia" w:ascii="宋体" w:hAnsi="宋体"/>
                <w:kern w:val="0"/>
                <w:highlight w:val="none"/>
              </w:rPr>
              <w:t>+B</w:t>
            </w:r>
            <w:r>
              <w:rPr>
                <w:rFonts w:hint="eastAsia" w:ascii="宋体" w:hAnsi="宋体"/>
                <w:kern w:val="0"/>
                <w:highlight w:val="none"/>
                <w:vertAlign w:val="subscript"/>
              </w:rPr>
              <w:t>2</w:t>
            </w:r>
            <w:r>
              <w:rPr>
                <w:rFonts w:hint="eastAsia" w:ascii="宋体" w:hAnsi="宋体"/>
                <w:kern w:val="0"/>
                <w:highlight w:val="none"/>
              </w:rPr>
              <w:t>+…Bn</w:t>
            </w:r>
          </w:p>
        </w:tc>
      </w:tr>
    </w:tbl>
    <w:p>
      <w:pPr>
        <w:rPr>
          <w:rFonts w:hint="eastAsia" w:ascii="宋体" w:hAnsi="宋体" w:cs="宋体"/>
          <w:color w:val="auto"/>
          <w:kern w:val="0"/>
          <w:szCs w:val="21"/>
          <w:highlight w:val="none"/>
        </w:rPr>
      </w:pPr>
      <w:r>
        <w:rPr>
          <w:rFonts w:hint="eastAsia" w:ascii="宋体" w:hAnsi="宋体"/>
          <w:kern w:val="0"/>
          <w:highlight w:val="none"/>
        </w:rPr>
        <w:t>修正原则：</w:t>
      </w:r>
      <w:r>
        <w:rPr>
          <w:rFonts w:hint="eastAsia" w:ascii="宋体" w:hAnsi="宋体"/>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hint="eastAsia" w:ascii="宋体" w:hAnsi="宋体" w:cs="宋体"/>
          <w:color w:val="auto"/>
          <w:kern w:val="0"/>
          <w:szCs w:val="21"/>
          <w:highlight w:val="none"/>
        </w:rPr>
      </w:pP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br w:type="page"/>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52"/>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581"/>
        <w:gridCol w:w="2595"/>
        <w:gridCol w:w="3552"/>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bl>
    <w:p>
      <w:pPr>
        <w:rPr>
          <w:rFonts w:hint="eastAsia" w:ascii="宋体" w:hAnsi="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hint="eastAsia" w:ascii="宋体" w:hAnsi="宋体" w:cs="宋体"/>
          <w:color w:val="auto"/>
          <w:szCs w:val="21"/>
          <w:highlight w:val="none"/>
        </w:rPr>
        <w:sectPr>
          <w:headerReference r:id="rId21" w:type="first"/>
          <w:footerReference r:id="rId24" w:type="first"/>
          <w:headerReference r:id="rId19" w:type="default"/>
          <w:footerReference r:id="rId22" w:type="default"/>
          <w:headerReference r:id="rId20" w:type="even"/>
          <w:footerReference r:id="rId23" w:type="even"/>
          <w:endnotePr>
            <w:numFmt w:val="decimal"/>
          </w:endnotePr>
          <w:pgSz w:w="16838" w:h="11906" w:orient="landscape"/>
          <w:pgMar w:top="1304" w:right="1531" w:bottom="1304" w:left="1531" w:header="851" w:footer="907" w:gutter="0"/>
          <w:pgBorders>
            <w:top w:val="none" w:sz="0" w:space="0"/>
            <w:left w:val="none" w:sz="0" w:space="0"/>
            <w:bottom w:val="none" w:sz="0" w:space="0"/>
            <w:right w:val="none" w:sz="0" w:space="0"/>
          </w:pgBorders>
          <w:cols w:space="720" w:num="1"/>
          <w:titlePg/>
          <w:docGrid w:type="lines" w:linePitch="312" w:charSpace="0"/>
        </w:sectPr>
      </w:pPr>
    </w:p>
    <w:p>
      <w:pPr>
        <w:pStyle w:val="3"/>
        <w:jc w:val="center"/>
        <w:rPr>
          <w:rFonts w:hint="eastAsia" w:ascii="宋体" w:hAnsi="宋体" w:cs="宋体"/>
          <w:b/>
          <w:bCs/>
          <w:color w:val="auto"/>
          <w:highlight w:val="none"/>
        </w:rPr>
      </w:pPr>
      <w:bookmarkStart w:id="75" w:name="_Toc29573"/>
      <w:bookmarkStart w:id="76" w:name="_Toc14002"/>
      <w:bookmarkStart w:id="77" w:name="_Toc30943"/>
      <w:bookmarkStart w:id="78" w:name="_Toc2672"/>
      <w:bookmarkStart w:id="79" w:name="_Toc24569"/>
      <w:r>
        <w:rPr>
          <w:rFonts w:hint="eastAsia" w:ascii="宋体" w:hAnsi="宋体" w:cs="宋体"/>
          <w:b/>
          <w:bCs/>
          <w:color w:val="auto"/>
          <w:highlight w:val="none"/>
        </w:rPr>
        <w:t>第三章  合同条款</w:t>
      </w:r>
      <w:bookmarkEnd w:id="75"/>
      <w:bookmarkEnd w:id="76"/>
      <w:bookmarkEnd w:id="77"/>
      <w:bookmarkEnd w:id="78"/>
      <w:bookmarkEnd w:id="79"/>
    </w:p>
    <w:p>
      <w:pPr>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（另册）</w:t>
      </w:r>
    </w:p>
    <w:p>
      <w:pPr>
        <w:widowControl/>
        <w:spacing w:after="240" w:afterLines="100" w:line="360" w:lineRule="auto"/>
        <w:jc w:val="center"/>
        <w:rPr>
          <w:rFonts w:ascii="宋体" w:hAnsi="宋体" w:eastAsia="宋体"/>
          <w:bCs/>
          <w:color w:val="auto"/>
          <w:sz w:val="24"/>
          <w:szCs w:val="24"/>
          <w:highlight w:val="none"/>
        </w:rPr>
      </w:pPr>
    </w:p>
    <w:p>
      <w:pPr>
        <w:spacing w:line="360" w:lineRule="auto"/>
        <w:jc w:val="center"/>
        <w:outlineLvl w:val="0"/>
        <w:rPr>
          <w:rFonts w:hint="eastAsia" w:ascii="宋体" w:hAnsi="宋体" w:eastAsia="宋体" w:cs="宋体"/>
          <w:b/>
          <w:bCs/>
          <w:color w:val="auto"/>
          <w:highlight w:val="none"/>
        </w:rPr>
      </w:pPr>
      <w:r>
        <w:rPr>
          <w:rFonts w:hint="eastAsia" w:ascii="宋体" w:hAnsi="宋体" w:cs="宋体"/>
          <w:b/>
          <w:bCs/>
          <w:color w:val="auto"/>
          <w:sz w:val="32"/>
          <w:szCs w:val="32"/>
          <w:highlight w:val="none"/>
        </w:rPr>
        <w:br w:type="page"/>
      </w:r>
      <w:bookmarkStart w:id="80" w:name="_Toc2701"/>
      <w:bookmarkStart w:id="81" w:name="_Toc22448"/>
      <w:bookmarkStart w:id="82" w:name="_Toc5769"/>
      <w:bookmarkStart w:id="83" w:name="_Toc25077"/>
      <w:bookmarkStart w:id="84" w:name="_Toc17881"/>
      <w:r>
        <w:rPr>
          <w:rFonts w:hint="eastAsia" w:ascii="宋体" w:hAnsi="宋体" w:eastAsia="宋体" w:cs="宋体"/>
          <w:b/>
          <w:bCs/>
          <w:color w:val="auto"/>
          <w:kern w:val="44"/>
          <w:sz w:val="28"/>
          <w:szCs w:val="28"/>
          <w:highlight w:val="none"/>
          <w:lang w:val="en-US" w:eastAsia="zh-CN" w:bidi="ar-SA"/>
        </w:rPr>
        <w:t>第四章  投标文件格式</w:t>
      </w:r>
      <w:bookmarkEnd w:id="80"/>
      <w:bookmarkEnd w:id="81"/>
      <w:bookmarkEnd w:id="82"/>
      <w:bookmarkEnd w:id="83"/>
      <w:bookmarkEnd w:id="84"/>
    </w:p>
    <w:p>
      <w:pPr>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注：本章由招标人自行制定</w:t>
      </w:r>
      <w:r>
        <w:rPr>
          <w:rFonts w:hint="eastAsia" w:ascii="宋体" w:hAnsi="宋体" w:cs="宋体"/>
          <w:color w:val="auto"/>
          <w:sz w:val="24"/>
          <w:szCs w:val="24"/>
          <w:highlight w:val="none"/>
          <w:u w:val="single"/>
        </w:rPr>
        <w:t>，如招标人无提供由投标人自行制定</w:t>
      </w:r>
      <w:r>
        <w:rPr>
          <w:rFonts w:hint="eastAsia" w:ascii="宋体" w:hAnsi="宋体" w:cs="宋体"/>
          <w:color w:val="auto"/>
          <w:sz w:val="24"/>
          <w:szCs w:val="24"/>
          <w:highlight w:val="none"/>
        </w:rPr>
        <w:t>。</w:t>
      </w:r>
    </w:p>
    <w:p>
      <w:pPr>
        <w:autoSpaceDE w:val="0"/>
        <w:autoSpaceDN w:val="0"/>
        <w:adjustRightInd w:val="0"/>
        <w:rPr>
          <w:rFonts w:hint="eastAsia" w:ascii="宋体" w:hAnsi="宋体" w:cs="宋体"/>
          <w:bCs/>
          <w:color w:val="auto"/>
          <w:szCs w:val="21"/>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附件一：</w:t>
      </w:r>
    </w:p>
    <w:p>
      <w:pPr>
        <w:autoSpaceDE w:val="0"/>
        <w:autoSpaceDN w:val="0"/>
        <w:adjustRightInd w:val="0"/>
        <w:rPr>
          <w:rFonts w:hint="eastAsia" w:ascii="宋体" w:hAnsi="宋体" w:cs="宋体"/>
          <w:b/>
          <w:bCs/>
          <w:color w:val="auto"/>
          <w:szCs w:val="21"/>
          <w:highlight w:val="none"/>
          <w:lang w:val="zh-CN"/>
        </w:rPr>
      </w:pPr>
      <w:r>
        <w:rPr>
          <w:rFonts w:hint="eastAsia" w:ascii="宋体" w:hAnsi="宋体" w:cs="宋体"/>
          <w:bCs/>
          <w:color w:val="auto"/>
          <w:szCs w:val="21"/>
          <w:highlight w:val="none"/>
        </w:rPr>
        <w:t>（适用于技术标与经济标同时开启）</w:t>
      </w:r>
    </w:p>
    <w:p>
      <w:pPr>
        <w:autoSpaceDE w:val="0"/>
        <w:autoSpaceDN w:val="0"/>
        <w:adjustRightInd w:val="0"/>
        <w:ind w:left="-540" w:leftChars="-257" w:firstLine="1135" w:firstLineChars="257"/>
        <w:jc w:val="center"/>
        <w:rPr>
          <w:rFonts w:hint="eastAsia"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52"/>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 标 总 工 期</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u w:val="singl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u w:val="singl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u w:val="single"/>
                <w:lang w:val="zh-CN"/>
              </w:rPr>
            </w:pPr>
          </w:p>
        </w:tc>
      </w:tr>
    </w:tbl>
    <w:p>
      <w:pPr>
        <w:tabs>
          <w:tab w:val="left" w:pos="720"/>
        </w:tabs>
        <w:snapToGrid w:val="0"/>
        <w:spacing w:line="360" w:lineRule="auto"/>
        <w:rPr>
          <w:rFonts w:hint="eastAsia" w:ascii="宋体" w:hAnsi="宋体" w:cs="宋体"/>
          <w:color w:val="auto"/>
          <w:sz w:val="24"/>
          <w:szCs w:val="24"/>
          <w:highlight w:val="none"/>
        </w:rPr>
      </w:pPr>
    </w:p>
    <w:p>
      <w:pPr>
        <w:autoSpaceDE w:val="0"/>
        <w:autoSpaceDN w:val="0"/>
        <w:adjustRightInd w:val="0"/>
        <w:rPr>
          <w:rFonts w:hint="eastAsia" w:ascii="宋体" w:hAnsi="宋体" w:cs="宋体"/>
          <w:color w:val="auto"/>
          <w:szCs w:val="21"/>
          <w:highlight w:val="none"/>
        </w:rPr>
      </w:pPr>
      <w:r>
        <w:rPr>
          <w:rFonts w:hint="eastAsia" w:ascii="宋体" w:hAnsi="宋体" w:cs="宋体"/>
          <w:strike/>
          <w:color w:val="auto"/>
          <w:sz w:val="24"/>
          <w:szCs w:val="24"/>
          <w:highlight w:val="none"/>
        </w:rPr>
        <w:br w:type="page"/>
      </w:r>
      <w:r>
        <w:rPr>
          <w:rFonts w:hint="eastAsia" w:ascii="宋体" w:hAnsi="宋体" w:cs="宋体"/>
          <w:color w:val="auto"/>
          <w:sz w:val="24"/>
          <w:szCs w:val="24"/>
          <w:highlight w:val="none"/>
        </w:rPr>
        <w:t>附件二：</w:t>
      </w:r>
    </w:p>
    <w:p>
      <w:pPr>
        <w:tabs>
          <w:tab w:val="left" w:pos="720"/>
        </w:tabs>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投标文件编制人员名单</w:t>
      </w:r>
    </w:p>
    <w:p>
      <w:pPr>
        <w:tabs>
          <w:tab w:val="left" w:pos="720"/>
        </w:tabs>
        <w:snapToGrid w:val="0"/>
        <w:spacing w:line="360" w:lineRule="auto"/>
        <w:rPr>
          <w:rFonts w:hint="eastAsia" w:ascii="宋体" w:hAnsi="宋体" w:cs="宋体"/>
          <w:color w:val="auto"/>
          <w:sz w:val="24"/>
          <w:szCs w:val="24"/>
          <w:highlight w:val="none"/>
        </w:rPr>
      </w:pPr>
    </w:p>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一、参与编制技术标投标文件人员名单</w:t>
      </w:r>
    </w:p>
    <w:tbl>
      <w:tblPr>
        <w:tblStyle w:val="52"/>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495"/>
        <w:gridCol w:w="1800"/>
        <w:gridCol w:w="232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76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bl>
    <w:p>
      <w:pPr>
        <w:tabs>
          <w:tab w:val="left" w:pos="720"/>
        </w:tabs>
        <w:snapToGrid w:val="0"/>
        <w:spacing w:line="360" w:lineRule="auto"/>
        <w:rPr>
          <w:rFonts w:hint="eastAsia" w:ascii="宋体" w:hAnsi="宋体" w:cs="宋体"/>
          <w:color w:val="auto"/>
          <w:sz w:val="24"/>
          <w:szCs w:val="24"/>
          <w:highlight w:val="none"/>
        </w:rPr>
      </w:pPr>
    </w:p>
    <w:p>
      <w:pPr>
        <w:tabs>
          <w:tab w:val="left" w:pos="720"/>
        </w:tabs>
        <w:snapToGrid w:val="0"/>
        <w:spacing w:line="360" w:lineRule="auto"/>
        <w:rPr>
          <w:rFonts w:hint="eastAsia" w:ascii="宋体" w:hAnsi="宋体" w:cs="宋体"/>
          <w:color w:val="auto"/>
          <w:sz w:val="24"/>
          <w:szCs w:val="24"/>
          <w:highlight w:val="none"/>
        </w:rPr>
      </w:pPr>
    </w:p>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二、参与编制经济标投标文件人员名单</w:t>
      </w:r>
    </w:p>
    <w:tbl>
      <w:tblPr>
        <w:tblStyle w:val="52"/>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484"/>
        <w:gridCol w:w="1789"/>
        <w:gridCol w:w="233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749"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bl>
    <w:p>
      <w:pPr>
        <w:tabs>
          <w:tab w:val="left" w:pos="720"/>
        </w:tabs>
        <w:snapToGrid w:val="0"/>
        <w:spacing w:line="360" w:lineRule="auto"/>
        <w:rPr>
          <w:rFonts w:hint="eastAsia" w:ascii="宋体" w:hAnsi="宋体" w:cs="宋体"/>
          <w:color w:val="auto"/>
          <w:sz w:val="24"/>
          <w:szCs w:val="24"/>
          <w:highlight w:val="none"/>
        </w:rPr>
      </w:pPr>
    </w:p>
    <w:p>
      <w:pPr>
        <w:pStyle w:val="50"/>
        <w:spacing w:after="0" w:line="360" w:lineRule="auto"/>
        <w:ind w:left="-2" w:leftChars="-1" w:firstLine="350" w:firstLineChars="175"/>
        <w:jc w:val="left"/>
        <w:rPr>
          <w:rFonts w:hint="eastAsia" w:ascii="宋体" w:hAnsi="宋体" w:cs="宋体"/>
          <w:color w:val="auto"/>
          <w:sz w:val="24"/>
          <w:szCs w:val="24"/>
          <w:highlight w:val="none"/>
        </w:rPr>
      </w:pPr>
      <w:r>
        <w:rPr>
          <w:rFonts w:hint="eastAsia" w:ascii="宋体" w:hAnsi="宋体" w:cs="宋体"/>
          <w:color w:val="auto"/>
          <w:szCs w:val="21"/>
          <w:highlight w:val="none"/>
        </w:rPr>
        <w:t>注：参与编制投标文件所有人员名单应包括如编制技术投标方案、编制各种专业工程量清单投标报价、负责清样校对、负责打印及复印等所有人员在内的人员名单。</w:t>
      </w:r>
    </w:p>
    <w:p>
      <w:pPr>
        <w:tabs>
          <w:tab w:val="left" w:pos="720"/>
        </w:tabs>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附件三：</w:t>
      </w:r>
    </w:p>
    <w:p>
      <w:pPr>
        <w:pStyle w:val="50"/>
        <w:spacing w:after="0" w:line="360" w:lineRule="auto"/>
        <w:ind w:firstLine="0"/>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对投标文件编制的承诺</w:t>
      </w:r>
    </w:p>
    <w:p>
      <w:pPr>
        <w:pStyle w:val="50"/>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pPr>
        <w:pStyle w:val="50"/>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1.被授权人清楚投标文件编制的具体情况，包括技术方案文件、工程量清单、以及投标文件的加密打包的理解；</w:t>
      </w:r>
    </w:p>
    <w:p>
      <w:pPr>
        <w:pStyle w:val="50"/>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pPr>
        <w:pStyle w:val="50"/>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pPr>
        <w:pStyle w:val="50"/>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pPr>
        <w:pStyle w:val="50"/>
        <w:spacing w:after="0"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pPr>
        <w:spacing w:line="360" w:lineRule="auto"/>
        <w:ind w:right="90" w:firstLine="3240" w:firstLineChars="1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r>
        <w:rPr>
          <w:rFonts w:hint="eastAsia" w:ascii="宋体" w:hAnsi="宋体" w:cs="宋体"/>
          <w:color w:val="auto"/>
          <w:sz w:val="24"/>
          <w:szCs w:val="24"/>
          <w:highlight w:val="none"/>
          <w:u w:val="single"/>
        </w:rPr>
        <w:t xml:space="preserve">                  </w:t>
      </w:r>
    </w:p>
    <w:p>
      <w:pPr>
        <w:spacing w:line="360" w:lineRule="auto"/>
        <w:ind w:firstLine="2160" w:firstLineChars="9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r>
        <w:rPr>
          <w:rFonts w:hint="eastAsia" w:ascii="宋体" w:hAnsi="宋体" w:cs="宋体"/>
          <w:color w:val="auto"/>
          <w:sz w:val="24"/>
          <w:szCs w:val="24"/>
          <w:highlight w:val="none"/>
          <w:u w:val="single"/>
        </w:rPr>
        <w:t xml:space="preserve">                  </w:t>
      </w:r>
    </w:p>
    <w:p>
      <w:pPr>
        <w:spacing w:line="360" w:lineRule="auto"/>
        <w:ind w:firstLine="4440" w:firstLineChars="18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年   月   日 </w:t>
      </w:r>
      <w:r>
        <w:rPr>
          <w:rFonts w:hint="eastAsia" w:ascii="宋体" w:hAnsi="宋体" w:cs="宋体"/>
          <w:color w:val="auto"/>
          <w:sz w:val="18"/>
          <w:szCs w:val="18"/>
          <w:highlight w:val="none"/>
        </w:rPr>
        <w:t xml:space="preserve"> </w:t>
      </w:r>
      <w:r>
        <w:rPr>
          <w:rFonts w:hint="eastAsia" w:ascii="宋体" w:hAnsi="宋体" w:cs="宋体"/>
          <w:color w:val="auto"/>
          <w:sz w:val="24"/>
          <w:szCs w:val="24"/>
          <w:highlight w:val="none"/>
        </w:rPr>
        <w:t xml:space="preserve">    </w:t>
      </w:r>
    </w:p>
    <w:p>
      <w:pPr>
        <w:pStyle w:val="50"/>
        <w:spacing w:after="0" w:line="360" w:lineRule="auto"/>
        <w:ind w:firstLine="643" w:firstLineChars="200"/>
        <w:jc w:val="center"/>
        <w:rPr>
          <w:rFonts w:hint="eastAsia" w:ascii="宋体" w:hAnsi="宋体" w:cs="宋体"/>
          <w:b/>
          <w:color w:val="auto"/>
          <w:sz w:val="32"/>
          <w:szCs w:val="32"/>
          <w:highlight w:val="none"/>
        </w:rPr>
      </w:pPr>
    </w:p>
    <w:p>
      <w:pPr>
        <w:pStyle w:val="50"/>
        <w:spacing w:after="0" w:line="360" w:lineRule="auto"/>
        <w:ind w:firstLine="643" w:firstLineChars="200"/>
        <w:jc w:val="center"/>
        <w:rPr>
          <w:rFonts w:hint="eastAsia" w:ascii="宋体" w:hAnsi="宋体" w:cs="宋体"/>
          <w:color w:val="auto"/>
          <w:sz w:val="18"/>
          <w:szCs w:val="18"/>
          <w:highlight w:val="none"/>
        </w:rPr>
      </w:pPr>
      <w:r>
        <w:rPr>
          <w:rFonts w:hint="eastAsia" w:ascii="宋体" w:hAnsi="宋体" w:cs="宋体"/>
          <w:b/>
          <w:color w:val="auto"/>
          <w:sz w:val="32"/>
          <w:szCs w:val="32"/>
          <w:highlight w:val="none"/>
        </w:rPr>
        <w:t>投标文件编制情况</w:t>
      </w:r>
    </w:p>
    <w:p>
      <w:pPr>
        <w:pStyle w:val="50"/>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52"/>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val="0"/>
            <w:vAlign w:val="top"/>
          </w:tcPr>
          <w:p>
            <w:pPr>
              <w:pStyle w:val="50"/>
              <w:spacing w:after="0" w:line="360" w:lineRule="auto"/>
              <w:ind w:firstLine="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投标文件加密打包的电脑     自有    □      外包    □     其他    □</w:t>
            </w:r>
          </w:p>
          <w:p>
            <w:pPr>
              <w:pStyle w:val="50"/>
              <w:spacing w:after="0" w:line="360" w:lineRule="auto"/>
              <w:ind w:firstLine="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电脑类型</w:t>
            </w:r>
          </w:p>
          <w:p>
            <w:pPr>
              <w:pStyle w:val="50"/>
              <w:spacing w:after="0" w:line="360" w:lineRule="auto"/>
              <w:ind w:firstLine="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电脑所属单位</w:t>
            </w:r>
          </w:p>
          <w:p>
            <w:pPr>
              <w:pStyle w:val="50"/>
              <w:spacing w:after="0" w:line="360" w:lineRule="auto"/>
              <w:ind w:firstLine="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电脑所在地址        （如××市××区(县) ××街（路）××号××大厦××房）</w:t>
            </w:r>
          </w:p>
        </w:tc>
      </w:tr>
    </w:tbl>
    <w:p>
      <w:pPr>
        <w:tabs>
          <w:tab w:val="left" w:pos="720"/>
        </w:tabs>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附件四：</w:t>
      </w:r>
    </w:p>
    <w:p>
      <w:pPr>
        <w:tabs>
          <w:tab w:val="left" w:pos="720"/>
        </w:tabs>
        <w:snapToGrid w:val="0"/>
        <w:spacing w:line="360" w:lineRule="auto"/>
        <w:rPr>
          <w:rFonts w:hint="eastAsia" w:ascii="宋体" w:hAnsi="宋体" w:cs="宋体"/>
          <w:color w:val="auto"/>
          <w:sz w:val="24"/>
          <w:szCs w:val="24"/>
          <w:highlight w:val="none"/>
        </w:rPr>
      </w:pPr>
    </w:p>
    <w:p>
      <w:pPr>
        <w:autoSpaceDE w:val="0"/>
        <w:autoSpaceDN w:val="0"/>
        <w:adjustRightInd w:val="0"/>
        <w:spacing w:line="360" w:lineRule="auto"/>
        <w:jc w:val="center"/>
        <w:rPr>
          <w:rFonts w:ascii="宋体" w:hAnsi="宋体" w:cs="宋体"/>
          <w:b/>
          <w:bCs/>
          <w:sz w:val="36"/>
          <w:szCs w:val="36"/>
          <w:highlight w:val="none"/>
          <w:lang w:val="zh-CN"/>
        </w:rPr>
      </w:pPr>
      <w:r>
        <w:rPr>
          <w:rFonts w:hint="eastAsia" w:ascii="宋体" w:hAnsi="宋体" w:cs="宋体"/>
          <w:b/>
          <w:bCs/>
          <w:sz w:val="36"/>
          <w:szCs w:val="36"/>
          <w:highlight w:val="none"/>
        </w:rPr>
        <w:t>施工</w:t>
      </w:r>
      <w:r>
        <w:rPr>
          <w:rFonts w:ascii="宋体" w:hAnsi="宋体" w:cs="宋体"/>
          <w:b/>
          <w:bCs/>
          <w:sz w:val="36"/>
          <w:szCs w:val="36"/>
          <w:highlight w:val="none"/>
          <w:lang w:val="zh-CN"/>
        </w:rPr>
        <w:t>项目管理团队人员信息表</w:t>
      </w:r>
    </w:p>
    <w:p>
      <w:pPr>
        <w:pStyle w:val="2"/>
        <w:rPr>
          <w:rFonts w:hint="eastAsia" w:ascii="宋体" w:hAnsi="宋体" w:cs="宋体"/>
          <w:color w:val="auto"/>
          <w:highlight w:val="none"/>
        </w:rPr>
      </w:pPr>
    </w:p>
    <w:tbl>
      <w:tblPr>
        <w:tblStyle w:val="52"/>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r>
              <w:rPr>
                <w:rFonts w:ascii="宋体" w:hAnsi="宋体"/>
                <w:highlight w:val="none"/>
              </w:rPr>
              <w:t>序号</w:t>
            </w:r>
          </w:p>
        </w:tc>
        <w:tc>
          <w:tcPr>
            <w:tcW w:w="1358" w:type="dxa"/>
            <w:noWrap w:val="0"/>
            <w:vAlign w:val="center"/>
          </w:tcPr>
          <w:p>
            <w:pPr>
              <w:adjustRightInd w:val="0"/>
              <w:snapToGrid w:val="0"/>
              <w:ind w:left="-63" w:leftChars="-30" w:right="-63" w:rightChars="-30"/>
              <w:jc w:val="center"/>
              <w:rPr>
                <w:rFonts w:ascii="宋体" w:hAnsi="宋体"/>
                <w:highlight w:val="none"/>
              </w:rPr>
            </w:pPr>
            <w:r>
              <w:rPr>
                <w:rFonts w:ascii="宋体" w:hAnsi="宋体"/>
                <w:highlight w:val="none"/>
              </w:rPr>
              <w:t>姓名</w:t>
            </w:r>
          </w:p>
        </w:tc>
        <w:tc>
          <w:tcPr>
            <w:tcW w:w="1376" w:type="dxa"/>
            <w:noWrap w:val="0"/>
            <w:vAlign w:val="center"/>
          </w:tcPr>
          <w:p>
            <w:pPr>
              <w:adjustRightInd w:val="0"/>
              <w:snapToGrid w:val="0"/>
              <w:ind w:left="-63" w:leftChars="-30" w:right="-63" w:rightChars="-30"/>
              <w:jc w:val="center"/>
              <w:rPr>
                <w:rFonts w:ascii="宋体" w:hAnsi="宋体"/>
                <w:highlight w:val="none"/>
              </w:rPr>
            </w:pPr>
            <w:r>
              <w:rPr>
                <w:rStyle w:val="145"/>
                <w:rFonts w:hint="default" w:ascii="宋体" w:hAnsi="宋体" w:eastAsia="宋体" w:cs="宋体"/>
                <w:color w:val="auto"/>
                <w:sz w:val="21"/>
                <w:szCs w:val="21"/>
                <w:highlight w:val="none"/>
                <w:lang w:bidi="ar"/>
              </w:rPr>
              <w:t>岗位</w:t>
            </w:r>
          </w:p>
        </w:tc>
        <w:tc>
          <w:tcPr>
            <w:tcW w:w="1462"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职称</w:t>
            </w:r>
          </w:p>
        </w:tc>
        <w:tc>
          <w:tcPr>
            <w:tcW w:w="2783"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职称证书或资格证书编号</w:t>
            </w:r>
          </w:p>
        </w:tc>
        <w:tc>
          <w:tcPr>
            <w:tcW w:w="858"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p>
        </w:tc>
        <w:tc>
          <w:tcPr>
            <w:tcW w:w="1358" w:type="dxa"/>
            <w:noWrap w:val="0"/>
            <w:vAlign w:val="center"/>
          </w:tcPr>
          <w:p>
            <w:pPr>
              <w:adjustRightInd w:val="0"/>
              <w:snapToGrid w:val="0"/>
              <w:ind w:left="-63" w:leftChars="-30" w:right="-63" w:rightChars="-30"/>
              <w:jc w:val="center"/>
              <w:rPr>
                <w:rFonts w:ascii="宋体" w:hAnsi="宋体"/>
                <w:highlight w:val="none"/>
              </w:rPr>
            </w:pPr>
          </w:p>
        </w:tc>
        <w:tc>
          <w:tcPr>
            <w:tcW w:w="1376"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r>
              <w:rPr>
                <w:rFonts w:hint="eastAsia" w:ascii="宋体" w:hAnsi="宋体"/>
                <w:szCs w:val="21"/>
                <w:highlight w:val="none"/>
              </w:rPr>
              <w:t>项目负责人</w:t>
            </w:r>
          </w:p>
        </w:tc>
        <w:tc>
          <w:tcPr>
            <w:tcW w:w="1462"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c>
          <w:tcPr>
            <w:tcW w:w="2783"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c>
          <w:tcPr>
            <w:tcW w:w="858"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p>
        </w:tc>
        <w:tc>
          <w:tcPr>
            <w:tcW w:w="1358" w:type="dxa"/>
            <w:noWrap w:val="0"/>
            <w:vAlign w:val="center"/>
          </w:tcPr>
          <w:p>
            <w:pPr>
              <w:adjustRightInd w:val="0"/>
              <w:snapToGrid w:val="0"/>
              <w:ind w:left="-63" w:leftChars="-30" w:right="-63" w:rightChars="-30"/>
              <w:jc w:val="center"/>
              <w:rPr>
                <w:rFonts w:ascii="宋体" w:hAnsi="宋体"/>
                <w:highlight w:val="none"/>
              </w:rPr>
            </w:pPr>
          </w:p>
        </w:tc>
        <w:tc>
          <w:tcPr>
            <w:tcW w:w="1376"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r>
              <w:rPr>
                <w:rFonts w:hint="eastAsia" w:ascii="宋体" w:hAnsi="宋体"/>
                <w:szCs w:val="21"/>
                <w:highlight w:val="none"/>
              </w:rPr>
              <w:t>专职安全员</w:t>
            </w:r>
          </w:p>
        </w:tc>
        <w:tc>
          <w:tcPr>
            <w:tcW w:w="1462"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c>
          <w:tcPr>
            <w:tcW w:w="2783"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c>
          <w:tcPr>
            <w:tcW w:w="858"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hint="eastAsia" w:ascii="宋体" w:hAnsi="宋体"/>
                <w:highlight w:val="none"/>
              </w:rPr>
            </w:pPr>
          </w:p>
        </w:tc>
        <w:tc>
          <w:tcPr>
            <w:tcW w:w="1358" w:type="dxa"/>
            <w:noWrap w:val="0"/>
            <w:vAlign w:val="center"/>
          </w:tcPr>
          <w:p>
            <w:pPr>
              <w:adjustRightInd w:val="0"/>
              <w:snapToGrid w:val="0"/>
              <w:ind w:left="-63" w:leftChars="-30" w:right="-63" w:rightChars="-30"/>
              <w:jc w:val="center"/>
              <w:rPr>
                <w:rFonts w:hint="eastAsia" w:ascii="宋体" w:hAnsi="宋体" w:eastAsia="宋体"/>
                <w:highlight w:val="none"/>
              </w:rPr>
            </w:pPr>
          </w:p>
        </w:tc>
        <w:tc>
          <w:tcPr>
            <w:tcW w:w="1376" w:type="dxa"/>
            <w:noWrap w:val="0"/>
            <w:vAlign w:val="center"/>
          </w:tcPr>
          <w:p>
            <w:pPr>
              <w:adjustRightInd w:val="0"/>
              <w:snapToGrid w:val="0"/>
              <w:ind w:left="-63" w:leftChars="-30" w:right="-63" w:rightChars="-30"/>
              <w:jc w:val="center"/>
              <w:rPr>
                <w:rFonts w:ascii="宋体" w:hAnsi="宋体"/>
                <w:highlight w:val="none"/>
              </w:rPr>
            </w:pPr>
            <w:r>
              <w:rPr>
                <w:rStyle w:val="145"/>
                <w:rFonts w:hint="default" w:ascii="宋体" w:hAnsi="宋体" w:eastAsia="宋体" w:cs="宋体"/>
                <w:color w:val="auto"/>
                <w:sz w:val="21"/>
                <w:szCs w:val="21"/>
                <w:highlight w:val="none"/>
                <w:lang w:bidi="ar"/>
              </w:rPr>
              <w:t>技术负责人</w:t>
            </w:r>
          </w:p>
        </w:tc>
        <w:tc>
          <w:tcPr>
            <w:tcW w:w="1462" w:type="dxa"/>
            <w:noWrap w:val="0"/>
            <w:vAlign w:val="center"/>
          </w:tcPr>
          <w:p>
            <w:pPr>
              <w:adjustRightInd w:val="0"/>
              <w:snapToGrid w:val="0"/>
              <w:ind w:left="-63" w:leftChars="-30" w:right="-63" w:rightChars="-30"/>
              <w:jc w:val="center"/>
              <w:rPr>
                <w:rFonts w:ascii="宋体" w:hAnsi="宋体"/>
                <w:highlight w:val="none"/>
              </w:rPr>
            </w:pPr>
          </w:p>
        </w:tc>
        <w:tc>
          <w:tcPr>
            <w:tcW w:w="2783" w:type="dxa"/>
            <w:noWrap w:val="0"/>
            <w:vAlign w:val="center"/>
          </w:tcPr>
          <w:p>
            <w:pPr>
              <w:adjustRightInd w:val="0"/>
              <w:snapToGrid w:val="0"/>
              <w:ind w:left="-63" w:leftChars="-30" w:right="-63" w:rightChars="-30"/>
              <w:jc w:val="center"/>
              <w:rPr>
                <w:rFonts w:ascii="宋体" w:hAnsi="宋体"/>
                <w:highlight w:val="none"/>
              </w:rPr>
            </w:pPr>
          </w:p>
        </w:tc>
        <w:tc>
          <w:tcPr>
            <w:tcW w:w="858" w:type="dxa"/>
            <w:noWrap w:val="0"/>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p>
        </w:tc>
        <w:tc>
          <w:tcPr>
            <w:tcW w:w="1358" w:type="dxa"/>
            <w:noWrap w:val="0"/>
            <w:vAlign w:val="center"/>
          </w:tcPr>
          <w:p>
            <w:pPr>
              <w:adjustRightInd w:val="0"/>
              <w:snapToGrid w:val="0"/>
              <w:ind w:left="-63" w:leftChars="-30" w:right="-63" w:rightChars="-30"/>
              <w:jc w:val="center"/>
              <w:rPr>
                <w:rFonts w:hint="eastAsia" w:ascii="宋体" w:hAnsi="宋体" w:eastAsia="宋体"/>
                <w:highlight w:val="none"/>
              </w:rPr>
            </w:pPr>
          </w:p>
        </w:tc>
        <w:tc>
          <w:tcPr>
            <w:tcW w:w="1376" w:type="dxa"/>
            <w:noWrap w:val="0"/>
            <w:vAlign w:val="center"/>
          </w:tcPr>
          <w:p>
            <w:pPr>
              <w:adjustRightInd w:val="0"/>
              <w:snapToGrid w:val="0"/>
              <w:ind w:left="-63" w:leftChars="-30" w:right="-63" w:rightChars="-30"/>
              <w:jc w:val="center"/>
              <w:rPr>
                <w:rFonts w:ascii="宋体" w:hAnsi="宋体"/>
                <w:highlight w:val="none"/>
              </w:rPr>
            </w:pPr>
            <w:r>
              <w:rPr>
                <w:rStyle w:val="145"/>
                <w:rFonts w:hint="default" w:ascii="宋体" w:hAnsi="宋体" w:eastAsia="宋体" w:cs="宋体"/>
                <w:color w:val="auto"/>
                <w:sz w:val="21"/>
                <w:szCs w:val="21"/>
                <w:highlight w:val="none"/>
                <w:lang w:bidi="ar"/>
              </w:rPr>
              <w:t>质量负责人</w:t>
            </w:r>
          </w:p>
        </w:tc>
        <w:tc>
          <w:tcPr>
            <w:tcW w:w="1462" w:type="dxa"/>
            <w:noWrap w:val="0"/>
            <w:vAlign w:val="center"/>
          </w:tcPr>
          <w:p>
            <w:pPr>
              <w:adjustRightInd w:val="0"/>
              <w:snapToGrid w:val="0"/>
              <w:ind w:left="-63" w:leftChars="-30" w:right="-63" w:rightChars="-30"/>
              <w:jc w:val="center"/>
              <w:rPr>
                <w:rFonts w:ascii="宋体" w:hAnsi="宋体"/>
                <w:highlight w:val="none"/>
              </w:rPr>
            </w:pPr>
          </w:p>
        </w:tc>
        <w:tc>
          <w:tcPr>
            <w:tcW w:w="2783" w:type="dxa"/>
            <w:noWrap w:val="0"/>
            <w:vAlign w:val="center"/>
          </w:tcPr>
          <w:p>
            <w:pPr>
              <w:adjustRightInd w:val="0"/>
              <w:snapToGrid w:val="0"/>
              <w:ind w:left="-63" w:leftChars="-30" w:right="-63" w:rightChars="-30"/>
              <w:jc w:val="center"/>
              <w:rPr>
                <w:rFonts w:ascii="宋体" w:hAnsi="宋体"/>
                <w:highlight w:val="none"/>
              </w:rPr>
            </w:pPr>
          </w:p>
        </w:tc>
        <w:tc>
          <w:tcPr>
            <w:tcW w:w="858" w:type="dxa"/>
            <w:noWrap w:val="0"/>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p>
        </w:tc>
        <w:tc>
          <w:tcPr>
            <w:tcW w:w="1358" w:type="dxa"/>
            <w:noWrap w:val="0"/>
            <w:vAlign w:val="center"/>
          </w:tcPr>
          <w:p>
            <w:pPr>
              <w:adjustRightInd w:val="0"/>
              <w:snapToGrid w:val="0"/>
              <w:ind w:left="-63" w:leftChars="-30" w:right="-63" w:rightChars="-30"/>
              <w:jc w:val="center"/>
              <w:rPr>
                <w:rFonts w:hint="eastAsia" w:ascii="宋体" w:hAnsi="宋体" w:eastAsia="宋体"/>
                <w:highlight w:val="none"/>
              </w:rPr>
            </w:pPr>
          </w:p>
        </w:tc>
        <w:tc>
          <w:tcPr>
            <w:tcW w:w="1376" w:type="dxa"/>
            <w:noWrap w:val="0"/>
            <w:vAlign w:val="center"/>
          </w:tcPr>
          <w:p>
            <w:pPr>
              <w:adjustRightInd w:val="0"/>
              <w:snapToGrid w:val="0"/>
              <w:ind w:left="-63" w:leftChars="-30" w:right="-63" w:rightChars="-30"/>
              <w:jc w:val="center"/>
              <w:rPr>
                <w:rFonts w:ascii="宋体" w:hAnsi="宋体"/>
                <w:highlight w:val="none"/>
              </w:rPr>
            </w:pPr>
            <w:r>
              <w:rPr>
                <w:rStyle w:val="145"/>
                <w:rFonts w:hint="default" w:ascii="宋体" w:hAnsi="宋体" w:eastAsia="宋体" w:cs="宋体"/>
                <w:color w:val="auto"/>
                <w:sz w:val="21"/>
                <w:szCs w:val="21"/>
                <w:highlight w:val="none"/>
                <w:lang w:bidi="ar"/>
              </w:rPr>
              <w:t>安全负责人</w:t>
            </w:r>
          </w:p>
        </w:tc>
        <w:tc>
          <w:tcPr>
            <w:tcW w:w="1462" w:type="dxa"/>
            <w:noWrap w:val="0"/>
            <w:vAlign w:val="center"/>
          </w:tcPr>
          <w:p>
            <w:pPr>
              <w:adjustRightInd w:val="0"/>
              <w:snapToGrid w:val="0"/>
              <w:ind w:left="-63" w:leftChars="-30" w:right="-63" w:rightChars="-30"/>
              <w:jc w:val="center"/>
              <w:rPr>
                <w:rFonts w:ascii="宋体" w:hAnsi="宋体"/>
                <w:highlight w:val="none"/>
              </w:rPr>
            </w:pPr>
          </w:p>
        </w:tc>
        <w:tc>
          <w:tcPr>
            <w:tcW w:w="2783" w:type="dxa"/>
            <w:noWrap w:val="0"/>
            <w:vAlign w:val="center"/>
          </w:tcPr>
          <w:p>
            <w:pPr>
              <w:adjustRightInd w:val="0"/>
              <w:snapToGrid w:val="0"/>
              <w:ind w:left="-63" w:leftChars="-30" w:right="-63" w:rightChars="-30"/>
              <w:jc w:val="center"/>
              <w:rPr>
                <w:rFonts w:ascii="宋体" w:hAnsi="宋体"/>
                <w:highlight w:val="none"/>
              </w:rPr>
            </w:pPr>
          </w:p>
        </w:tc>
        <w:tc>
          <w:tcPr>
            <w:tcW w:w="858" w:type="dxa"/>
            <w:noWrap w:val="0"/>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szCs w:val="24"/>
                <w:highlight w:val="none"/>
              </w:rPr>
            </w:pPr>
          </w:p>
        </w:tc>
        <w:tc>
          <w:tcPr>
            <w:tcW w:w="1376" w:type="dxa"/>
            <w:noWrap w:val="0"/>
            <w:vAlign w:val="center"/>
          </w:tcPr>
          <w:p>
            <w:pPr>
              <w:adjustRightInd w:val="0"/>
              <w:snapToGrid w:val="0"/>
              <w:ind w:left="-63" w:leftChars="-30" w:right="-63" w:rightChars="-30"/>
              <w:jc w:val="center"/>
              <w:rPr>
                <w:rFonts w:ascii="宋体" w:hAnsi="宋体"/>
                <w:szCs w:val="24"/>
                <w:highlight w:val="none"/>
              </w:rPr>
            </w:pPr>
            <w:r>
              <w:rPr>
                <w:rStyle w:val="145"/>
                <w:rFonts w:hint="default" w:ascii="宋体" w:hAnsi="宋体" w:eastAsia="宋体" w:cs="宋体"/>
                <w:color w:val="auto"/>
                <w:sz w:val="21"/>
                <w:szCs w:val="21"/>
                <w:highlight w:val="none"/>
                <w:lang w:bidi="ar"/>
              </w:rPr>
              <w:t>造价负责人</w:t>
            </w:r>
          </w:p>
        </w:tc>
        <w:tc>
          <w:tcPr>
            <w:tcW w:w="1462" w:type="dxa"/>
            <w:noWrap w:val="0"/>
            <w:vAlign w:val="center"/>
          </w:tcPr>
          <w:p>
            <w:pPr>
              <w:adjustRightInd w:val="0"/>
              <w:snapToGrid w:val="0"/>
              <w:ind w:left="-63" w:leftChars="-30" w:right="-63" w:rightChars="-30"/>
              <w:jc w:val="center"/>
              <w:rPr>
                <w:rFonts w:ascii="宋体" w:hAnsi="宋体"/>
                <w:szCs w:val="24"/>
                <w:highlight w:val="none"/>
              </w:rPr>
            </w:pPr>
          </w:p>
        </w:tc>
        <w:tc>
          <w:tcPr>
            <w:tcW w:w="2783" w:type="dxa"/>
            <w:noWrap w:val="0"/>
            <w:vAlign w:val="center"/>
          </w:tcPr>
          <w:p>
            <w:pPr>
              <w:adjustRightInd w:val="0"/>
              <w:snapToGrid w:val="0"/>
              <w:ind w:left="-63" w:leftChars="-30" w:right="-63" w:rightChars="-30"/>
              <w:jc w:val="center"/>
              <w:rPr>
                <w:rFonts w:ascii="宋体" w:hAnsi="宋体"/>
                <w:szCs w:val="24"/>
                <w:highlight w:val="none"/>
              </w:rPr>
            </w:pPr>
          </w:p>
        </w:tc>
        <w:tc>
          <w:tcPr>
            <w:tcW w:w="858" w:type="dxa"/>
            <w:noWrap w:val="0"/>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szCs w:val="24"/>
                <w:highlight w:val="none"/>
              </w:rPr>
            </w:pPr>
          </w:p>
        </w:tc>
        <w:tc>
          <w:tcPr>
            <w:tcW w:w="1376" w:type="dxa"/>
            <w:noWrap w:val="0"/>
            <w:vAlign w:val="center"/>
          </w:tcPr>
          <w:p>
            <w:pPr>
              <w:adjustRightInd w:val="0"/>
              <w:snapToGrid w:val="0"/>
              <w:ind w:left="-63" w:leftChars="-30" w:right="-63" w:rightChars="-30"/>
              <w:jc w:val="center"/>
              <w:rPr>
                <w:rFonts w:hint="default" w:ascii="宋体" w:hAnsi="宋体" w:eastAsia="宋体" w:cs="宋体"/>
                <w:color w:val="auto"/>
                <w:kern w:val="2"/>
                <w:sz w:val="21"/>
                <w:szCs w:val="21"/>
                <w:highlight w:val="none"/>
                <w:u w:val="none"/>
                <w:lang w:val="en-US" w:eastAsia="zh-CN" w:bidi="ar"/>
              </w:rPr>
            </w:pPr>
            <w:r>
              <w:rPr>
                <w:rFonts w:ascii="宋体" w:hAnsi="宋体" w:eastAsia="宋体" w:cs="宋体"/>
                <w:kern w:val="0"/>
                <w:szCs w:val="21"/>
                <w:highlight w:val="none"/>
                <w:lang w:bidi="ar"/>
              </w:rPr>
              <w:t>……</w:t>
            </w:r>
          </w:p>
        </w:tc>
        <w:tc>
          <w:tcPr>
            <w:tcW w:w="1462" w:type="dxa"/>
            <w:noWrap w:val="0"/>
            <w:vAlign w:val="center"/>
          </w:tcPr>
          <w:p>
            <w:pPr>
              <w:adjustRightInd w:val="0"/>
              <w:snapToGrid w:val="0"/>
              <w:ind w:left="-63" w:leftChars="-30" w:right="-63" w:rightChars="-30"/>
              <w:jc w:val="center"/>
              <w:rPr>
                <w:rFonts w:ascii="宋体" w:hAnsi="宋体"/>
                <w:szCs w:val="24"/>
                <w:highlight w:val="none"/>
              </w:rPr>
            </w:pPr>
          </w:p>
        </w:tc>
        <w:tc>
          <w:tcPr>
            <w:tcW w:w="2783" w:type="dxa"/>
            <w:noWrap w:val="0"/>
            <w:vAlign w:val="center"/>
          </w:tcPr>
          <w:p>
            <w:pPr>
              <w:adjustRightInd w:val="0"/>
              <w:snapToGrid w:val="0"/>
              <w:ind w:left="-63" w:leftChars="-30" w:right="-63" w:rightChars="-30"/>
              <w:jc w:val="center"/>
              <w:rPr>
                <w:rFonts w:ascii="宋体" w:hAnsi="宋体"/>
                <w:szCs w:val="24"/>
                <w:highlight w:val="none"/>
              </w:rPr>
            </w:pPr>
          </w:p>
        </w:tc>
        <w:tc>
          <w:tcPr>
            <w:tcW w:w="858" w:type="dxa"/>
            <w:noWrap w:val="0"/>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szCs w:val="24"/>
                <w:highlight w:val="none"/>
              </w:rPr>
            </w:pPr>
          </w:p>
        </w:tc>
        <w:tc>
          <w:tcPr>
            <w:tcW w:w="1376" w:type="dxa"/>
            <w:noWrap w:val="0"/>
            <w:vAlign w:val="center"/>
          </w:tcPr>
          <w:p>
            <w:pPr>
              <w:adjustRightInd w:val="0"/>
              <w:snapToGrid w:val="0"/>
              <w:ind w:left="-63" w:leftChars="-30" w:right="-63" w:rightChars="-30"/>
              <w:jc w:val="center"/>
              <w:rPr>
                <w:rFonts w:ascii="宋体" w:hAnsi="宋体"/>
                <w:szCs w:val="24"/>
                <w:highlight w:val="none"/>
              </w:rPr>
            </w:pPr>
          </w:p>
        </w:tc>
        <w:tc>
          <w:tcPr>
            <w:tcW w:w="1462" w:type="dxa"/>
            <w:noWrap w:val="0"/>
            <w:vAlign w:val="center"/>
          </w:tcPr>
          <w:p>
            <w:pPr>
              <w:adjustRightInd w:val="0"/>
              <w:snapToGrid w:val="0"/>
              <w:ind w:left="-63" w:leftChars="-30" w:right="-63" w:rightChars="-30"/>
              <w:jc w:val="center"/>
              <w:rPr>
                <w:rFonts w:ascii="宋体" w:hAnsi="宋体"/>
                <w:szCs w:val="24"/>
                <w:highlight w:val="none"/>
              </w:rPr>
            </w:pPr>
          </w:p>
        </w:tc>
        <w:tc>
          <w:tcPr>
            <w:tcW w:w="2783" w:type="dxa"/>
            <w:noWrap w:val="0"/>
            <w:vAlign w:val="center"/>
          </w:tcPr>
          <w:p>
            <w:pPr>
              <w:adjustRightInd w:val="0"/>
              <w:snapToGrid w:val="0"/>
              <w:ind w:left="-63" w:leftChars="-30" w:right="-63" w:rightChars="-30"/>
              <w:jc w:val="center"/>
              <w:rPr>
                <w:rFonts w:ascii="宋体" w:hAnsi="宋体"/>
                <w:szCs w:val="24"/>
                <w:highlight w:val="none"/>
              </w:rPr>
            </w:pPr>
          </w:p>
        </w:tc>
        <w:tc>
          <w:tcPr>
            <w:tcW w:w="858" w:type="dxa"/>
            <w:noWrap w:val="0"/>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szCs w:val="24"/>
                <w:highlight w:val="none"/>
              </w:rPr>
            </w:pPr>
          </w:p>
        </w:tc>
        <w:tc>
          <w:tcPr>
            <w:tcW w:w="1376" w:type="dxa"/>
            <w:noWrap w:val="0"/>
            <w:vAlign w:val="center"/>
          </w:tcPr>
          <w:p>
            <w:pPr>
              <w:adjustRightInd w:val="0"/>
              <w:snapToGrid w:val="0"/>
              <w:ind w:left="-63" w:leftChars="-30" w:right="-63" w:rightChars="-30"/>
              <w:jc w:val="center"/>
              <w:rPr>
                <w:rFonts w:ascii="宋体" w:hAnsi="宋体"/>
                <w:szCs w:val="24"/>
                <w:highlight w:val="none"/>
              </w:rPr>
            </w:pPr>
          </w:p>
        </w:tc>
        <w:tc>
          <w:tcPr>
            <w:tcW w:w="1462" w:type="dxa"/>
            <w:noWrap w:val="0"/>
            <w:vAlign w:val="center"/>
          </w:tcPr>
          <w:p>
            <w:pPr>
              <w:adjustRightInd w:val="0"/>
              <w:snapToGrid w:val="0"/>
              <w:ind w:left="-63" w:leftChars="-30" w:right="-63" w:rightChars="-30"/>
              <w:jc w:val="center"/>
              <w:rPr>
                <w:rFonts w:ascii="宋体" w:hAnsi="宋体"/>
                <w:szCs w:val="24"/>
                <w:highlight w:val="none"/>
              </w:rPr>
            </w:pPr>
          </w:p>
        </w:tc>
        <w:tc>
          <w:tcPr>
            <w:tcW w:w="2783" w:type="dxa"/>
            <w:noWrap w:val="0"/>
            <w:vAlign w:val="center"/>
          </w:tcPr>
          <w:p>
            <w:pPr>
              <w:adjustRightInd w:val="0"/>
              <w:snapToGrid w:val="0"/>
              <w:ind w:left="-63" w:leftChars="-30" w:right="-63" w:rightChars="-30"/>
              <w:jc w:val="center"/>
              <w:rPr>
                <w:rFonts w:ascii="宋体" w:hAnsi="宋体"/>
                <w:szCs w:val="24"/>
                <w:highlight w:val="none"/>
              </w:rPr>
            </w:pPr>
          </w:p>
        </w:tc>
        <w:tc>
          <w:tcPr>
            <w:tcW w:w="858" w:type="dxa"/>
            <w:noWrap w:val="0"/>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szCs w:val="24"/>
                <w:highlight w:val="none"/>
              </w:rPr>
            </w:pPr>
          </w:p>
        </w:tc>
        <w:tc>
          <w:tcPr>
            <w:tcW w:w="1376" w:type="dxa"/>
            <w:noWrap w:val="0"/>
            <w:vAlign w:val="center"/>
          </w:tcPr>
          <w:p>
            <w:pPr>
              <w:adjustRightInd w:val="0"/>
              <w:snapToGrid w:val="0"/>
              <w:ind w:left="-63" w:leftChars="-30" w:right="-63" w:rightChars="-30"/>
              <w:jc w:val="center"/>
              <w:rPr>
                <w:rFonts w:ascii="宋体" w:hAnsi="宋体"/>
                <w:szCs w:val="24"/>
                <w:highlight w:val="none"/>
              </w:rPr>
            </w:pPr>
          </w:p>
        </w:tc>
        <w:tc>
          <w:tcPr>
            <w:tcW w:w="1462" w:type="dxa"/>
            <w:noWrap w:val="0"/>
            <w:vAlign w:val="center"/>
          </w:tcPr>
          <w:p>
            <w:pPr>
              <w:adjustRightInd w:val="0"/>
              <w:snapToGrid w:val="0"/>
              <w:ind w:left="-63" w:leftChars="-30" w:right="-63" w:rightChars="-30"/>
              <w:jc w:val="center"/>
              <w:rPr>
                <w:rFonts w:ascii="宋体" w:hAnsi="宋体"/>
                <w:szCs w:val="24"/>
                <w:highlight w:val="none"/>
              </w:rPr>
            </w:pPr>
          </w:p>
        </w:tc>
        <w:tc>
          <w:tcPr>
            <w:tcW w:w="2783" w:type="dxa"/>
            <w:noWrap w:val="0"/>
            <w:vAlign w:val="center"/>
          </w:tcPr>
          <w:p>
            <w:pPr>
              <w:adjustRightInd w:val="0"/>
              <w:snapToGrid w:val="0"/>
              <w:ind w:left="-63" w:leftChars="-30" w:right="-63" w:rightChars="-30"/>
              <w:jc w:val="center"/>
              <w:rPr>
                <w:rFonts w:ascii="宋体" w:hAnsi="宋体"/>
                <w:szCs w:val="24"/>
                <w:highlight w:val="none"/>
              </w:rPr>
            </w:pPr>
          </w:p>
        </w:tc>
        <w:tc>
          <w:tcPr>
            <w:tcW w:w="858" w:type="dxa"/>
            <w:noWrap w:val="0"/>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p>
        </w:tc>
        <w:tc>
          <w:tcPr>
            <w:tcW w:w="1358" w:type="dxa"/>
            <w:noWrap w:val="0"/>
            <w:vAlign w:val="center"/>
          </w:tcPr>
          <w:p>
            <w:pPr>
              <w:adjustRightInd w:val="0"/>
              <w:snapToGrid w:val="0"/>
              <w:ind w:left="-63" w:leftChars="-30" w:right="-63" w:rightChars="-30"/>
              <w:jc w:val="center"/>
              <w:rPr>
                <w:rFonts w:ascii="宋体" w:hAnsi="宋体"/>
                <w:highlight w:val="none"/>
              </w:rPr>
            </w:pPr>
          </w:p>
        </w:tc>
        <w:tc>
          <w:tcPr>
            <w:tcW w:w="1376" w:type="dxa"/>
            <w:noWrap w:val="0"/>
            <w:vAlign w:val="center"/>
          </w:tcPr>
          <w:p>
            <w:pPr>
              <w:adjustRightInd w:val="0"/>
              <w:snapToGrid w:val="0"/>
              <w:ind w:left="-63" w:leftChars="-30" w:right="-63" w:rightChars="-30"/>
              <w:jc w:val="center"/>
              <w:rPr>
                <w:rFonts w:ascii="宋体" w:hAnsi="宋体"/>
                <w:highlight w:val="none"/>
              </w:rPr>
            </w:pPr>
          </w:p>
        </w:tc>
        <w:tc>
          <w:tcPr>
            <w:tcW w:w="1462" w:type="dxa"/>
            <w:noWrap w:val="0"/>
            <w:vAlign w:val="center"/>
          </w:tcPr>
          <w:p>
            <w:pPr>
              <w:adjustRightInd w:val="0"/>
              <w:snapToGrid w:val="0"/>
              <w:ind w:left="-63" w:leftChars="-30" w:right="-63" w:rightChars="-30"/>
              <w:jc w:val="center"/>
              <w:rPr>
                <w:rFonts w:ascii="宋体" w:hAnsi="宋体"/>
                <w:highlight w:val="none"/>
              </w:rPr>
            </w:pPr>
          </w:p>
        </w:tc>
        <w:tc>
          <w:tcPr>
            <w:tcW w:w="2783" w:type="dxa"/>
            <w:noWrap w:val="0"/>
            <w:vAlign w:val="center"/>
          </w:tcPr>
          <w:p>
            <w:pPr>
              <w:adjustRightInd w:val="0"/>
              <w:snapToGrid w:val="0"/>
              <w:ind w:left="-63" w:leftChars="-30" w:right="-63" w:rightChars="-30"/>
              <w:jc w:val="center"/>
              <w:rPr>
                <w:rFonts w:ascii="宋体" w:hAnsi="宋体"/>
                <w:highlight w:val="none"/>
              </w:rPr>
            </w:pPr>
          </w:p>
        </w:tc>
        <w:tc>
          <w:tcPr>
            <w:tcW w:w="858" w:type="dxa"/>
            <w:noWrap w:val="0"/>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p>
        </w:tc>
        <w:tc>
          <w:tcPr>
            <w:tcW w:w="1358" w:type="dxa"/>
            <w:noWrap w:val="0"/>
            <w:vAlign w:val="center"/>
          </w:tcPr>
          <w:p>
            <w:pPr>
              <w:adjustRightInd w:val="0"/>
              <w:snapToGrid w:val="0"/>
              <w:ind w:left="-63" w:leftChars="-30" w:right="-63" w:rightChars="-30"/>
              <w:jc w:val="center"/>
              <w:rPr>
                <w:rFonts w:ascii="宋体" w:hAnsi="宋体"/>
                <w:highlight w:val="none"/>
              </w:rPr>
            </w:pPr>
          </w:p>
        </w:tc>
        <w:tc>
          <w:tcPr>
            <w:tcW w:w="1376" w:type="dxa"/>
            <w:noWrap w:val="0"/>
            <w:vAlign w:val="center"/>
          </w:tcPr>
          <w:p>
            <w:pPr>
              <w:adjustRightInd w:val="0"/>
              <w:snapToGrid w:val="0"/>
              <w:ind w:left="-63" w:leftChars="-30" w:right="-63" w:rightChars="-30"/>
              <w:jc w:val="center"/>
              <w:rPr>
                <w:rFonts w:ascii="宋体" w:hAnsi="宋体"/>
                <w:highlight w:val="none"/>
              </w:rPr>
            </w:pPr>
          </w:p>
        </w:tc>
        <w:tc>
          <w:tcPr>
            <w:tcW w:w="1462" w:type="dxa"/>
            <w:noWrap w:val="0"/>
            <w:vAlign w:val="center"/>
          </w:tcPr>
          <w:p>
            <w:pPr>
              <w:adjustRightInd w:val="0"/>
              <w:snapToGrid w:val="0"/>
              <w:ind w:left="-63" w:leftChars="-30" w:right="-63" w:rightChars="-30"/>
              <w:jc w:val="center"/>
              <w:rPr>
                <w:rFonts w:ascii="宋体" w:hAnsi="宋体"/>
                <w:highlight w:val="none"/>
              </w:rPr>
            </w:pPr>
          </w:p>
        </w:tc>
        <w:tc>
          <w:tcPr>
            <w:tcW w:w="2783" w:type="dxa"/>
            <w:noWrap w:val="0"/>
            <w:vAlign w:val="center"/>
          </w:tcPr>
          <w:p>
            <w:pPr>
              <w:adjustRightInd w:val="0"/>
              <w:snapToGrid w:val="0"/>
              <w:ind w:left="-63" w:leftChars="-30" w:right="-63" w:rightChars="-30"/>
              <w:jc w:val="center"/>
              <w:rPr>
                <w:rFonts w:ascii="宋体" w:hAnsi="宋体"/>
                <w:highlight w:val="none"/>
              </w:rPr>
            </w:pPr>
          </w:p>
        </w:tc>
        <w:tc>
          <w:tcPr>
            <w:tcW w:w="858" w:type="dxa"/>
            <w:noWrap w:val="0"/>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hint="eastAsia" w:ascii="宋体" w:hAnsi="宋体"/>
                <w:highlight w:val="none"/>
              </w:rPr>
            </w:pPr>
          </w:p>
        </w:tc>
        <w:tc>
          <w:tcPr>
            <w:tcW w:w="1358" w:type="dxa"/>
            <w:noWrap w:val="0"/>
            <w:vAlign w:val="center"/>
          </w:tcPr>
          <w:p>
            <w:pPr>
              <w:adjustRightInd w:val="0"/>
              <w:snapToGrid w:val="0"/>
              <w:ind w:left="-63" w:leftChars="-30" w:right="-63" w:rightChars="-30"/>
              <w:jc w:val="center"/>
              <w:rPr>
                <w:rFonts w:hint="eastAsia" w:ascii="宋体" w:hAnsi="宋体"/>
                <w:highlight w:val="none"/>
              </w:rPr>
            </w:pPr>
          </w:p>
        </w:tc>
        <w:tc>
          <w:tcPr>
            <w:tcW w:w="1376"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c>
          <w:tcPr>
            <w:tcW w:w="1462" w:type="dxa"/>
            <w:noWrap w:val="0"/>
            <w:vAlign w:val="center"/>
          </w:tcPr>
          <w:p>
            <w:pPr>
              <w:adjustRightInd w:val="0"/>
              <w:snapToGrid w:val="0"/>
              <w:ind w:left="-63" w:leftChars="-30" w:right="-63" w:rightChars="-30"/>
              <w:jc w:val="center"/>
              <w:rPr>
                <w:rFonts w:ascii="宋体" w:hAnsi="宋体"/>
                <w:highlight w:val="none"/>
              </w:rPr>
            </w:pPr>
          </w:p>
        </w:tc>
        <w:tc>
          <w:tcPr>
            <w:tcW w:w="2783" w:type="dxa"/>
            <w:noWrap w:val="0"/>
            <w:vAlign w:val="center"/>
          </w:tcPr>
          <w:p>
            <w:pPr>
              <w:adjustRightInd w:val="0"/>
              <w:snapToGrid w:val="0"/>
              <w:ind w:left="-63" w:leftChars="-30" w:right="-63" w:rightChars="-30"/>
              <w:jc w:val="center"/>
              <w:rPr>
                <w:rFonts w:ascii="宋体" w:hAnsi="宋体"/>
                <w:highlight w:val="none"/>
              </w:rPr>
            </w:pPr>
          </w:p>
        </w:tc>
        <w:tc>
          <w:tcPr>
            <w:tcW w:w="858" w:type="dxa"/>
            <w:noWrap w:val="0"/>
            <w:vAlign w:val="center"/>
          </w:tcPr>
          <w:p>
            <w:pPr>
              <w:adjustRightInd w:val="0"/>
              <w:snapToGrid w:val="0"/>
              <w:ind w:left="-63" w:leftChars="-30" w:right="-63" w:rightChars="-30"/>
              <w:jc w:val="center"/>
              <w:rPr>
                <w:rFonts w:ascii="宋体" w:hAnsi="宋体"/>
                <w:highlight w:val="none"/>
              </w:rPr>
            </w:pPr>
          </w:p>
        </w:tc>
      </w:tr>
    </w:tbl>
    <w:p>
      <w:pPr>
        <w:widowControl/>
        <w:jc w:val="left"/>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备注：</w:t>
      </w:r>
    </w:p>
    <w:p>
      <w:pPr>
        <w:widowControl/>
        <w:jc w:val="left"/>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1、“岗位”要求</w:t>
      </w:r>
      <w:r>
        <w:rPr>
          <w:rStyle w:val="145"/>
          <w:rFonts w:hint="default" w:ascii="宋体" w:hAnsi="宋体" w:eastAsia="宋体" w:cs="宋体"/>
          <w:strike/>
          <w:color w:val="auto"/>
          <w:sz w:val="21"/>
          <w:szCs w:val="21"/>
          <w:highlight w:val="none"/>
          <w:lang w:bidi="ar"/>
        </w:rPr>
        <w:t>（除项目负责人和专职安全员外）</w:t>
      </w:r>
      <w:r>
        <w:rPr>
          <w:rStyle w:val="145"/>
          <w:rFonts w:hint="default" w:ascii="宋体" w:hAnsi="宋体" w:eastAsia="宋体" w:cs="宋体"/>
          <w:color w:val="auto"/>
          <w:sz w:val="21"/>
          <w:szCs w:val="21"/>
          <w:highlight w:val="none"/>
          <w:lang w:bidi="ar"/>
        </w:rPr>
        <w:t>由招标人根据项目管理需要在本表备注中明确提出，如</w:t>
      </w:r>
      <w:r>
        <w:rPr>
          <w:rStyle w:val="145"/>
          <w:rFonts w:hint="default" w:ascii="宋体" w:hAnsi="宋体" w:eastAsia="宋体" w:cs="宋体"/>
          <w:color w:val="auto"/>
          <w:sz w:val="21"/>
          <w:szCs w:val="21"/>
          <w:highlight w:val="none"/>
          <w:u w:val="single"/>
          <w:lang w:bidi="ar"/>
        </w:rPr>
        <w:t>本表所要求人员</w:t>
      </w:r>
      <w:r>
        <w:rPr>
          <w:rStyle w:val="145"/>
          <w:rFonts w:hint="default" w:ascii="宋体" w:hAnsi="宋体" w:eastAsia="宋体" w:cs="宋体"/>
          <w:color w:val="auto"/>
          <w:sz w:val="21"/>
          <w:szCs w:val="21"/>
          <w:highlight w:val="none"/>
          <w:lang w:bidi="ar"/>
        </w:rPr>
        <w:t>等。以上项目管理团队人员信息将由交易系统提取后供各相关单位在履约时比对、查核。</w:t>
      </w:r>
    </w:p>
    <w:p>
      <w:pPr>
        <w:widowControl/>
        <w:jc w:val="left"/>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jc w:val="left"/>
        <w:rPr>
          <w:rStyle w:val="145"/>
          <w:rFonts w:hint="default" w:ascii="宋体" w:hAnsi="宋体" w:eastAsia="宋体" w:cs="宋体"/>
          <w:color w:val="auto"/>
          <w:sz w:val="21"/>
          <w:szCs w:val="21"/>
          <w:highlight w:val="none"/>
          <w:u w:val="single"/>
        </w:rPr>
      </w:pPr>
      <w:r>
        <w:rPr>
          <w:rStyle w:val="145"/>
          <w:rFonts w:hint="default" w:ascii="宋体" w:hAnsi="宋体" w:eastAsia="宋体" w:cs="宋体"/>
          <w:color w:val="auto"/>
          <w:sz w:val="21"/>
          <w:szCs w:val="21"/>
          <w:highlight w:val="none"/>
          <w:u w:val="single"/>
        </w:rPr>
        <w:t>4、如评标办法对投标人拟投入的项目管理团队进行评审的，投标人需按评审要求提供相关证明材料。</w:t>
      </w:r>
    </w:p>
    <w:p>
      <w:pPr>
        <w:widowControl/>
        <w:rPr>
          <w:rFonts w:hint="eastAsia" w:ascii="宋体" w:hAnsi="宋体" w:cs="宋体"/>
          <w:b/>
          <w:color w:val="auto"/>
          <w:kern w:val="0"/>
          <w:sz w:val="32"/>
          <w:szCs w:val="32"/>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w:t>
      </w:r>
    </w:p>
    <w:p>
      <w:pPr>
        <w:jc w:val="center"/>
        <w:rPr>
          <w:rFonts w:hint="eastAsia" w:ascii="宋体" w:hAnsi="宋体" w:eastAsia="宋体" w:cs="宋体"/>
          <w:b/>
          <w:color w:val="auto"/>
          <w:sz w:val="36"/>
          <w:szCs w:val="36"/>
          <w:highlight w:val="none"/>
        </w:rPr>
      </w:pP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响应招标文件所附</w:t>
      </w:r>
      <w:r>
        <w:rPr>
          <w:rFonts w:hint="eastAsia" w:ascii="宋体" w:hAnsi="宋体" w:eastAsia="宋体" w:cs="宋体"/>
          <w:b/>
          <w:color w:val="auto"/>
          <w:sz w:val="36"/>
          <w:szCs w:val="36"/>
          <w:highlight w:val="none"/>
          <w:u w:val="single"/>
        </w:rPr>
        <w:t>施工组织设计要点</w:t>
      </w:r>
      <w:r>
        <w:rPr>
          <w:rFonts w:hint="eastAsia" w:ascii="宋体" w:hAnsi="宋体" w:eastAsia="宋体" w:cs="宋体"/>
          <w:b/>
          <w:color w:val="auto"/>
          <w:sz w:val="36"/>
          <w:szCs w:val="36"/>
          <w:highlight w:val="none"/>
        </w:rPr>
        <w:t>承诺书</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（招标人）</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我方承诺，如中标承建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，将按招标文件所附的本工程</w:t>
      </w:r>
      <w:r>
        <w:rPr>
          <w:rFonts w:hint="eastAsia" w:ascii="宋体" w:hAnsi="宋体" w:eastAsia="宋体" w:cs="宋体"/>
          <w:color w:val="auto"/>
          <w:sz w:val="24"/>
          <w:highlight w:val="none"/>
          <w:u w:val="single"/>
        </w:rPr>
        <w:t>（施工组织设计要点）</w:t>
      </w:r>
      <w:r>
        <w:rPr>
          <w:rFonts w:hint="eastAsia" w:ascii="宋体" w:hAnsi="宋体" w:eastAsia="宋体" w:cs="宋体"/>
          <w:color w:val="auto"/>
          <w:sz w:val="24"/>
          <w:highlight w:val="none"/>
        </w:rPr>
        <w:t>进行响应的基础上自行组织施工。并承诺在中标后按招标文件所附的</w:t>
      </w:r>
      <w:r>
        <w:rPr>
          <w:rFonts w:hint="eastAsia" w:ascii="宋体" w:hAnsi="宋体" w:eastAsia="宋体" w:cs="宋体"/>
          <w:color w:val="auto"/>
          <w:sz w:val="24"/>
          <w:highlight w:val="none"/>
          <w:u w:val="single"/>
        </w:rPr>
        <w:t>（施工组织设计要点）</w:t>
      </w:r>
      <w:r>
        <w:rPr>
          <w:rFonts w:hint="eastAsia" w:ascii="宋体" w:hAnsi="宋体" w:eastAsia="宋体" w:cs="宋体"/>
          <w:color w:val="auto"/>
          <w:sz w:val="24"/>
          <w:highlight w:val="none"/>
        </w:rPr>
        <w:t>基础上编制详细的施工组织设计，按照招标人提出的施工现场建筑垃圾源头减量的具体要求以及建筑垃圾综合利用产品的使用要求提供相应措施，并报经监理单位和建设单位审批后实施。</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3000" w:firstLineChars="12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投标人名称（盖法人公章）：</w:t>
      </w:r>
      <w:r>
        <w:rPr>
          <w:rFonts w:hint="eastAsia" w:ascii="宋体" w:hAnsi="宋体" w:eastAsia="宋体" w:cs="宋体"/>
          <w:color w:val="auto"/>
          <w:sz w:val="24"/>
          <w:highlight w:val="none"/>
          <w:u w:val="single"/>
        </w:rPr>
        <w:t xml:space="preserve">                   </w:t>
      </w:r>
    </w:p>
    <w:p>
      <w:pPr>
        <w:spacing w:line="360" w:lineRule="auto"/>
        <w:ind w:firstLine="3000" w:firstLineChars="12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法定代表人或被授权人（签字或盖章）：</w:t>
      </w:r>
      <w:r>
        <w:rPr>
          <w:rFonts w:hint="eastAsia" w:ascii="宋体" w:hAnsi="宋体" w:eastAsia="宋体" w:cs="宋体"/>
          <w:color w:val="auto"/>
          <w:sz w:val="24"/>
          <w:highlight w:val="none"/>
          <w:u w:val="single"/>
        </w:rPr>
        <w:t xml:space="preserve">         </w:t>
      </w:r>
    </w:p>
    <w:p>
      <w:pPr>
        <w:spacing w:line="360" w:lineRule="auto"/>
        <w:ind w:firstLine="4440" w:firstLineChars="1850"/>
        <w:rPr>
          <w:rFonts w:hint="eastAsia" w:ascii="宋体" w:hAnsi="宋体" w:cs="宋体"/>
          <w:strike/>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widowControl/>
        <w:rPr>
          <w:rFonts w:hint="eastAsia" w:ascii="宋体" w:hAnsi="宋体" w:cs="宋体"/>
          <w:b/>
          <w:color w:val="auto"/>
          <w:kern w:val="0"/>
          <w:sz w:val="32"/>
          <w:szCs w:val="32"/>
          <w:highlight w:val="none"/>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w:t>
      </w:r>
    </w:p>
    <w:p>
      <w:pPr>
        <w:widowControl/>
        <w:jc w:val="center"/>
        <w:rPr>
          <w:rFonts w:hint="eastAsia" w:ascii="宋体" w:hAnsi="宋体" w:cs="宋体"/>
          <w:b/>
          <w:color w:val="auto"/>
          <w:kern w:val="0"/>
          <w:sz w:val="32"/>
          <w:szCs w:val="32"/>
          <w:highlight w:val="none"/>
        </w:rPr>
      </w:pPr>
    </w:p>
    <w:p>
      <w:pPr>
        <w:widowControl/>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工程质量终身责任承诺书</w:t>
      </w:r>
    </w:p>
    <w:p>
      <w:pPr>
        <w:spacing w:after="120"/>
        <w:rPr>
          <w:rFonts w:ascii="宋体" w:hAnsi="宋体"/>
          <w:color w:val="auto"/>
          <w:kern w:val="1"/>
          <w:sz w:val="24"/>
          <w:highlight w:val="none"/>
        </w:rPr>
      </w:pPr>
    </w:p>
    <w:p>
      <w:pPr>
        <w:widowControl/>
        <w:spacing w:after="120" w:line="360" w:lineRule="auto"/>
        <w:ind w:firstLine="480" w:firstLineChars="200"/>
        <w:rPr>
          <w:rFonts w:hint="eastAsia" w:ascii="宋体" w:hAnsi="宋体"/>
          <w:color w:val="auto"/>
          <w:kern w:val="1"/>
          <w:sz w:val="24"/>
          <w:highlight w:val="none"/>
        </w:rPr>
      </w:pPr>
      <w:r>
        <w:rPr>
          <w:rFonts w:hint="eastAsia" w:ascii="宋体" w:hAnsi="宋体"/>
          <w:color w:val="auto"/>
          <w:kern w:val="1"/>
          <w:sz w:val="24"/>
          <w:szCs w:val="24"/>
          <w:highlight w:val="none"/>
        </w:rPr>
        <w:t>本人受</w:t>
      </w:r>
      <w:r>
        <w:rPr>
          <w:rFonts w:hint="eastAsia" w:ascii="宋体" w:hAnsi="宋体"/>
          <w:color w:val="auto"/>
          <w:kern w:val="1"/>
          <w:sz w:val="24"/>
          <w:szCs w:val="24"/>
          <w:highlight w:val="none"/>
          <w:u w:val="single"/>
        </w:rPr>
        <w:t xml:space="preserve">               </w:t>
      </w:r>
      <w:r>
        <w:rPr>
          <w:rFonts w:hint="eastAsia" w:ascii="宋体" w:hAnsi="宋体"/>
          <w:color w:val="auto"/>
          <w:kern w:val="1"/>
          <w:sz w:val="24"/>
          <w:szCs w:val="24"/>
          <w:highlight w:val="none"/>
        </w:rPr>
        <w:t xml:space="preserve"> 单位（法定代表人</w:t>
      </w:r>
      <w:r>
        <w:rPr>
          <w:rFonts w:hint="eastAsia" w:ascii="宋体" w:hAnsi="宋体"/>
          <w:color w:val="auto"/>
          <w:kern w:val="1"/>
          <w:sz w:val="24"/>
          <w:szCs w:val="24"/>
          <w:highlight w:val="none"/>
          <w:u w:val="single"/>
        </w:rPr>
        <w:t xml:space="preserve">             </w:t>
      </w:r>
      <w:r>
        <w:rPr>
          <w:rFonts w:hint="eastAsia" w:ascii="宋体" w:hAnsi="宋体"/>
          <w:color w:val="auto"/>
          <w:kern w:val="1"/>
          <w:sz w:val="24"/>
          <w:szCs w:val="24"/>
          <w:highlight w:val="none"/>
        </w:rPr>
        <w:t>）授权，担任</w:t>
      </w:r>
      <w:r>
        <w:rPr>
          <w:rFonts w:hint="eastAsia" w:ascii="宋体" w:hAnsi="宋体"/>
          <w:color w:val="auto"/>
          <w:kern w:val="1"/>
          <w:sz w:val="24"/>
          <w:szCs w:val="24"/>
          <w:highlight w:val="none"/>
          <w:u w:val="single"/>
        </w:rPr>
        <w:t xml:space="preserve">           </w:t>
      </w:r>
      <w:r>
        <w:rPr>
          <w:rFonts w:hint="eastAsia" w:ascii="宋体" w:hAnsi="宋体"/>
          <w:color w:val="auto"/>
          <w:kern w:val="1"/>
          <w:sz w:val="24"/>
          <w:szCs w:val="24"/>
          <w:highlight w:val="none"/>
        </w:rPr>
        <w:t>工程项目的（施工）项目负责人，对该工程项目的（施工）工作实施组织管理。本人承诺严格依旧国家有关法律法规及标准规范履行职责，并对设计使用年限内的工程质量承担相应终身责任。</w:t>
      </w:r>
    </w:p>
    <w:p>
      <w:pPr>
        <w:widowControl/>
        <w:spacing w:after="120" w:line="360" w:lineRule="auto"/>
        <w:ind w:firstLine="480" w:firstLineChars="200"/>
        <w:rPr>
          <w:rFonts w:ascii="宋体" w:hAnsi="宋体"/>
          <w:color w:val="auto"/>
          <w:kern w:val="1"/>
          <w:sz w:val="24"/>
          <w:highlight w:val="none"/>
        </w:rPr>
      </w:pPr>
    </w:p>
    <w:p>
      <w:pPr>
        <w:widowControl/>
        <w:wordWrap w:val="0"/>
        <w:spacing w:after="120" w:line="360" w:lineRule="auto"/>
        <w:ind w:firstLine="480" w:firstLineChars="200"/>
        <w:jc w:val="right"/>
        <w:rPr>
          <w:rFonts w:ascii="宋体" w:hAnsi="宋体"/>
          <w:color w:val="auto"/>
          <w:kern w:val="1"/>
          <w:sz w:val="24"/>
          <w:highlight w:val="none"/>
        </w:rPr>
      </w:pPr>
      <w:r>
        <w:rPr>
          <w:rFonts w:hint="eastAsia" w:ascii="宋体" w:hAnsi="宋体"/>
          <w:color w:val="auto"/>
          <w:kern w:val="1"/>
          <w:sz w:val="24"/>
          <w:szCs w:val="24"/>
          <w:highlight w:val="none"/>
        </w:rPr>
        <w:t>承诺人签字：</w:t>
      </w:r>
      <w:r>
        <w:rPr>
          <w:rFonts w:hint="eastAsia" w:ascii="宋体" w:hAnsi="宋体"/>
          <w:color w:val="auto"/>
          <w:kern w:val="1"/>
          <w:sz w:val="24"/>
          <w:szCs w:val="24"/>
          <w:highlight w:val="none"/>
          <w:u w:val="single"/>
        </w:rPr>
        <w:t xml:space="preserve">                 </w:t>
      </w:r>
    </w:p>
    <w:p>
      <w:pPr>
        <w:widowControl/>
        <w:wordWrap w:val="0"/>
        <w:spacing w:after="120" w:line="360" w:lineRule="auto"/>
        <w:ind w:firstLine="480" w:firstLineChars="200"/>
        <w:jc w:val="right"/>
        <w:rPr>
          <w:rFonts w:ascii="宋体" w:hAnsi="宋体"/>
          <w:color w:val="auto"/>
          <w:kern w:val="1"/>
          <w:sz w:val="24"/>
          <w:highlight w:val="none"/>
        </w:rPr>
      </w:pPr>
      <w:r>
        <w:rPr>
          <w:rFonts w:hint="eastAsia" w:ascii="宋体" w:hAnsi="宋体"/>
          <w:color w:val="auto"/>
          <w:kern w:val="1"/>
          <w:sz w:val="24"/>
          <w:szCs w:val="24"/>
          <w:highlight w:val="none"/>
        </w:rPr>
        <w:t>身份证号：</w:t>
      </w:r>
      <w:r>
        <w:rPr>
          <w:rFonts w:hint="eastAsia" w:ascii="宋体" w:hAnsi="宋体"/>
          <w:color w:val="auto"/>
          <w:kern w:val="1"/>
          <w:sz w:val="24"/>
          <w:szCs w:val="24"/>
          <w:highlight w:val="none"/>
          <w:u w:val="single"/>
        </w:rPr>
        <w:t xml:space="preserve">                 </w:t>
      </w:r>
    </w:p>
    <w:p>
      <w:pPr>
        <w:widowControl/>
        <w:wordWrap w:val="0"/>
        <w:spacing w:after="120" w:line="360" w:lineRule="auto"/>
        <w:ind w:firstLine="480" w:firstLineChars="200"/>
        <w:jc w:val="right"/>
        <w:rPr>
          <w:rFonts w:ascii="宋体" w:hAnsi="宋体"/>
          <w:color w:val="auto"/>
          <w:kern w:val="1"/>
          <w:sz w:val="24"/>
          <w:highlight w:val="none"/>
        </w:rPr>
      </w:pPr>
      <w:r>
        <w:rPr>
          <w:rFonts w:hint="eastAsia" w:ascii="宋体" w:hAnsi="宋体"/>
          <w:color w:val="auto"/>
          <w:kern w:val="1"/>
          <w:sz w:val="24"/>
          <w:szCs w:val="24"/>
          <w:highlight w:val="none"/>
        </w:rPr>
        <w:t>注册执业资格：</w:t>
      </w:r>
      <w:r>
        <w:rPr>
          <w:rFonts w:hint="eastAsia" w:ascii="宋体" w:hAnsi="宋体"/>
          <w:color w:val="auto"/>
          <w:kern w:val="1"/>
          <w:sz w:val="24"/>
          <w:szCs w:val="24"/>
          <w:highlight w:val="none"/>
          <w:u w:val="single"/>
        </w:rPr>
        <w:t xml:space="preserve">                 </w:t>
      </w:r>
    </w:p>
    <w:p>
      <w:pPr>
        <w:widowControl/>
        <w:wordWrap w:val="0"/>
        <w:spacing w:after="120" w:line="360" w:lineRule="auto"/>
        <w:ind w:firstLine="480" w:firstLineChars="200"/>
        <w:jc w:val="right"/>
        <w:rPr>
          <w:rFonts w:ascii="宋体" w:hAnsi="宋体"/>
          <w:color w:val="auto"/>
          <w:kern w:val="1"/>
          <w:sz w:val="24"/>
          <w:highlight w:val="none"/>
          <w:u w:val="single"/>
        </w:rPr>
      </w:pPr>
      <w:r>
        <w:rPr>
          <w:rFonts w:hint="eastAsia" w:ascii="宋体" w:hAnsi="宋体"/>
          <w:color w:val="auto"/>
          <w:kern w:val="1"/>
          <w:sz w:val="24"/>
          <w:szCs w:val="24"/>
          <w:highlight w:val="none"/>
        </w:rPr>
        <w:t>注册执业证号：</w:t>
      </w:r>
      <w:r>
        <w:rPr>
          <w:rFonts w:hint="eastAsia" w:ascii="宋体" w:hAnsi="宋体"/>
          <w:color w:val="auto"/>
          <w:kern w:val="1"/>
          <w:sz w:val="24"/>
          <w:szCs w:val="24"/>
          <w:highlight w:val="none"/>
          <w:u w:val="single"/>
        </w:rPr>
        <w:t xml:space="preserve">                 </w:t>
      </w:r>
    </w:p>
    <w:p>
      <w:pPr>
        <w:pStyle w:val="2"/>
        <w:ind w:firstLine="5520" w:firstLineChars="2300"/>
        <w:rPr>
          <w:rStyle w:val="64"/>
          <w:rFonts w:hint="eastAsia" w:ascii="宋体" w:hAnsi="宋体" w:cs="宋体"/>
          <w:color w:val="auto"/>
          <w:highlight w:val="none"/>
        </w:rPr>
        <w:sectPr>
          <w:footerReference r:id="rId25" w:type="default"/>
          <w:pgSz w:w="11906" w:h="16838"/>
          <w:pgMar w:top="1304" w:right="1531" w:bottom="1304"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olor w:val="auto"/>
          <w:kern w:val="1"/>
          <w:sz w:val="24"/>
          <w:szCs w:val="24"/>
          <w:highlight w:val="none"/>
        </w:rPr>
        <w:t>签字日期：</w:t>
      </w:r>
      <w:r>
        <w:rPr>
          <w:rFonts w:hint="eastAsia" w:ascii="宋体" w:hAnsi="宋体"/>
          <w:color w:val="auto"/>
          <w:kern w:val="1"/>
          <w:sz w:val="24"/>
          <w:szCs w:val="24"/>
          <w:highlight w:val="none"/>
          <w:u w:val="single"/>
        </w:rPr>
        <w:t xml:space="preserve">     </w:t>
      </w:r>
      <w:r>
        <w:rPr>
          <w:rFonts w:hint="eastAsia" w:ascii="宋体" w:hAnsi="宋体"/>
          <w:color w:val="auto"/>
          <w:kern w:val="1"/>
          <w:sz w:val="24"/>
          <w:szCs w:val="24"/>
          <w:highlight w:val="none"/>
        </w:rPr>
        <w:t>年</w:t>
      </w:r>
      <w:r>
        <w:rPr>
          <w:rFonts w:hint="eastAsia" w:ascii="宋体" w:hAnsi="宋体"/>
          <w:color w:val="auto"/>
          <w:kern w:val="1"/>
          <w:sz w:val="24"/>
          <w:szCs w:val="24"/>
          <w:highlight w:val="none"/>
          <w:u w:val="single"/>
        </w:rPr>
        <w:t xml:space="preserve">   </w:t>
      </w:r>
      <w:r>
        <w:rPr>
          <w:rFonts w:hint="eastAsia" w:ascii="宋体" w:hAnsi="宋体"/>
          <w:color w:val="auto"/>
          <w:kern w:val="1"/>
          <w:sz w:val="24"/>
          <w:szCs w:val="24"/>
          <w:highlight w:val="none"/>
        </w:rPr>
        <w:t>月</w:t>
      </w:r>
      <w:r>
        <w:rPr>
          <w:rFonts w:hint="eastAsia" w:ascii="宋体" w:hAnsi="宋体"/>
          <w:color w:val="auto"/>
          <w:kern w:val="1"/>
          <w:sz w:val="24"/>
          <w:szCs w:val="24"/>
          <w:highlight w:val="none"/>
          <w:u w:val="single"/>
        </w:rPr>
        <w:t xml:space="preserve">   </w:t>
      </w:r>
      <w:r>
        <w:rPr>
          <w:rFonts w:hint="eastAsia" w:ascii="宋体" w:hAnsi="宋体"/>
          <w:color w:val="auto"/>
          <w:kern w:val="1"/>
          <w:sz w:val="24"/>
          <w:szCs w:val="24"/>
          <w:highlight w:val="none"/>
        </w:rPr>
        <w:t>日</w:t>
      </w:r>
    </w:p>
    <w:p>
      <w:pPr>
        <w:pStyle w:val="3"/>
        <w:jc w:val="center"/>
        <w:rPr>
          <w:rFonts w:hint="eastAsia" w:ascii="宋体" w:hAnsi="宋体" w:cs="宋体"/>
          <w:b/>
          <w:bCs/>
          <w:color w:val="auto"/>
          <w:sz w:val="24"/>
          <w:szCs w:val="24"/>
          <w:highlight w:val="none"/>
        </w:rPr>
      </w:pPr>
      <w:bookmarkStart w:id="85" w:name="_Toc27936"/>
      <w:bookmarkStart w:id="86" w:name="_Toc30186"/>
      <w:bookmarkStart w:id="87" w:name="_Toc17951"/>
      <w:bookmarkStart w:id="88" w:name="_Toc14267"/>
      <w:bookmarkStart w:id="89" w:name="_Toc5136"/>
      <w:r>
        <w:rPr>
          <w:rFonts w:hint="eastAsia" w:ascii="宋体" w:hAnsi="宋体" w:cs="宋体"/>
          <w:b/>
          <w:bCs/>
          <w:color w:val="auto"/>
          <w:highlight w:val="none"/>
        </w:rPr>
        <w:t>第五章  技术条件（工程建设标准）</w:t>
      </w:r>
      <w:bookmarkEnd w:id="85"/>
      <w:bookmarkEnd w:id="86"/>
      <w:bookmarkEnd w:id="87"/>
      <w:bookmarkEnd w:id="88"/>
      <w:bookmarkEnd w:id="89"/>
    </w:p>
    <w:p>
      <w:pPr>
        <w:jc w:val="center"/>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按国家省市现行相关规定执行</w:t>
      </w:r>
      <w:r>
        <w:rPr>
          <w:rFonts w:hint="eastAsia" w:ascii="宋体" w:hAnsi="宋体" w:cs="宋体"/>
          <w:b/>
          <w:bCs/>
          <w:color w:val="auto"/>
          <w:sz w:val="24"/>
          <w:szCs w:val="24"/>
          <w:highlight w:val="none"/>
        </w:rPr>
        <w:t>）</w:t>
      </w:r>
    </w:p>
    <w:p>
      <w:pPr>
        <w:jc w:val="center"/>
        <w:rPr>
          <w:rFonts w:hint="eastAsia" w:ascii="宋体" w:hAnsi="宋体" w:eastAsia="宋体" w:cs="宋体"/>
          <w:b/>
          <w:bCs/>
          <w:spacing w:val="20"/>
          <w:sz w:val="30"/>
          <w:szCs w:val="30"/>
          <w:highlight w:val="none"/>
        </w:rPr>
      </w:pPr>
    </w:p>
    <w:p>
      <w:pPr>
        <w:jc w:val="center"/>
        <w:rPr>
          <w:rFonts w:ascii="宋体" w:hAnsi="宋体" w:eastAsia="宋体" w:cs="宋体"/>
          <w:b/>
          <w:bCs/>
          <w:spacing w:val="20"/>
          <w:sz w:val="30"/>
          <w:szCs w:val="30"/>
          <w:highlight w:val="none"/>
        </w:rPr>
      </w:pPr>
      <w:r>
        <w:rPr>
          <w:rFonts w:hint="eastAsia" w:ascii="宋体" w:hAnsi="宋体" w:eastAsia="宋体" w:cs="宋体"/>
          <w:b/>
          <w:bCs/>
          <w:spacing w:val="20"/>
          <w:sz w:val="30"/>
          <w:szCs w:val="30"/>
          <w:highlight w:val="none"/>
        </w:rPr>
        <w:t>施工组织设计要点</w:t>
      </w:r>
    </w:p>
    <w:p>
      <w:pPr>
        <w:jc w:val="center"/>
        <w:rPr>
          <w:rFonts w:ascii="宋体" w:hAnsi="宋体" w:eastAsia="宋体" w:cs="宋体"/>
          <w:b/>
          <w:bCs/>
          <w:spacing w:val="20"/>
          <w:sz w:val="30"/>
          <w:szCs w:val="30"/>
          <w:highlight w:val="none"/>
        </w:rPr>
      </w:pPr>
      <w:r>
        <w:rPr>
          <w:rFonts w:hint="eastAsia" w:ascii="宋体" w:hAnsi="宋体" w:eastAsia="宋体" w:cs="宋体"/>
          <w:b/>
          <w:bCs/>
          <w:spacing w:val="20"/>
          <w:sz w:val="30"/>
          <w:szCs w:val="30"/>
          <w:highlight w:val="none"/>
        </w:rPr>
        <w:t>第一节  编制要求</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一、编制依据</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1、本工程招标文件的有关要求。</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2、国家、广东省、广州市、南沙区有关施工验收规范、质量标准和操作规程等要求。</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3、施工图纸及有关资料。</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二、具体要求</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1、“重合同，守信誉”。按本工程规定的总工期，编制出完善的施工进度控制计划，在投标承诺了工期内完成工程任务。</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2、发挥技术优势，优化管理水平。安排经验丰富的优秀管理人员和高素质的工人参加本项目施工，采用先进的技术设备，优化施工管理，充分发挥施工单位在管理和技术方面的优势。</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p>
    <w:p>
      <w:pPr>
        <w:ind w:firstLine="682" w:firstLineChars="200"/>
        <w:jc w:val="center"/>
        <w:rPr>
          <w:rFonts w:ascii="宋体" w:hAnsi="宋体" w:eastAsia="宋体" w:cs="宋体"/>
          <w:b/>
          <w:bCs/>
          <w:spacing w:val="20"/>
          <w:sz w:val="30"/>
          <w:szCs w:val="30"/>
          <w:highlight w:val="none"/>
        </w:rPr>
      </w:pPr>
      <w:r>
        <w:rPr>
          <w:rFonts w:hint="eastAsia" w:ascii="宋体" w:hAnsi="宋体" w:eastAsia="宋体" w:cs="宋体"/>
          <w:b/>
          <w:bCs/>
          <w:spacing w:val="20"/>
          <w:sz w:val="30"/>
          <w:szCs w:val="30"/>
          <w:highlight w:val="none"/>
        </w:rPr>
        <w:t>第二节  施工要求</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一、施工机构及现场管理要求</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把好工程质量、安全、进度关，确保工程质量等级达到合格，要求委派一名项目负责人，一名技术负责人，对工程的质量、安全、进度和成本，实行高效益、有计划的组织、协调和管理。建立健全的施工组织管理机构。</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二、施工要求</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本工程施工要点如下：</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1、采用先进的施工技术；</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2、投入现代化的施工机械设备；</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3、合理的施工方案和先进的施工组织。</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4、施工过程要求</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A、严格按照国家、省市、地方施工规范要求进行施工。</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B、根据工程进度计划，编制材料订购、质量检测、配方测试，确保材料质量和供应的计划。</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三、项目施工目标</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1、质量目标。确保工程质量一次验收合格。</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2、安全目标。杜绝重大安全事故的发生，控制工伤、轻伤事故在千分之一内。</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3、工期目标。按招标文件目标工期，包括项目实体及相关资料，并经发包方验收合格。 </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w:t>
      </w:r>
    </w:p>
    <w:p>
      <w:pPr>
        <w:ind w:firstLine="682" w:firstLineChars="200"/>
        <w:jc w:val="center"/>
        <w:rPr>
          <w:rFonts w:ascii="宋体" w:hAnsi="宋体" w:eastAsia="宋体" w:cs="宋体"/>
          <w:b/>
          <w:bCs/>
          <w:spacing w:val="20"/>
          <w:sz w:val="30"/>
          <w:szCs w:val="30"/>
          <w:highlight w:val="none"/>
        </w:rPr>
      </w:pPr>
      <w:r>
        <w:rPr>
          <w:rFonts w:hint="eastAsia" w:ascii="宋体" w:hAnsi="宋体" w:eastAsia="宋体" w:cs="宋体"/>
          <w:b/>
          <w:bCs/>
          <w:spacing w:val="20"/>
          <w:sz w:val="30"/>
          <w:szCs w:val="30"/>
          <w:highlight w:val="none"/>
        </w:rPr>
        <w:t>第三节  主要施工方案与施工方法的要求</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一、结构施工要求</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1、工程施工要求</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各分项工程在施工前，均应编制相应的施工技术措施，内容包括施工准备、操作工艺、质量标准、成品保护等。</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2、所有施工项目均应按照国家、省市、地方有关法律法规及规范要求制定施工技术方案后方可施工</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p>
    <w:p>
      <w:pPr>
        <w:ind w:firstLine="682" w:firstLineChars="200"/>
        <w:jc w:val="center"/>
        <w:rPr>
          <w:rFonts w:ascii="宋体" w:hAnsi="宋体" w:eastAsia="宋体" w:cs="宋体"/>
          <w:b/>
          <w:bCs/>
          <w:spacing w:val="20"/>
          <w:sz w:val="30"/>
          <w:szCs w:val="30"/>
          <w:highlight w:val="none"/>
        </w:rPr>
      </w:pPr>
      <w:r>
        <w:rPr>
          <w:rFonts w:hint="eastAsia" w:ascii="宋体" w:hAnsi="宋体" w:eastAsia="宋体" w:cs="宋体"/>
          <w:b/>
          <w:bCs/>
          <w:spacing w:val="20"/>
          <w:sz w:val="30"/>
          <w:szCs w:val="30"/>
          <w:highlight w:val="none"/>
        </w:rPr>
        <w:t>第四节  主要技术组织要求</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一、工程施工中，要严格执行有关技术操作的各项规程，要注意落实下列各点中的技术措施。实行目标管理，明确总目标为合格。</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1、成立以总工程师为首的全面质量和管理小组。</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2、明确并认真落实技术岗位责任制和技术交底制度。</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3、落实图纸会审、定位放线、预检复核、材质验收、成品保护等有关规定。</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4、制定自检，互检（交接检）末检制度。</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5、对工程实行质量预控，施工程序及工艺标准施工。</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6、特殊工种必须持证上岗。</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p>
    <w:p>
      <w:pPr>
        <w:ind w:firstLine="682" w:firstLineChars="200"/>
        <w:jc w:val="center"/>
        <w:rPr>
          <w:rFonts w:ascii="宋体" w:hAnsi="宋体" w:eastAsia="宋体" w:cs="宋体"/>
          <w:b/>
          <w:bCs/>
          <w:spacing w:val="20"/>
          <w:sz w:val="30"/>
          <w:szCs w:val="30"/>
          <w:highlight w:val="none"/>
        </w:rPr>
      </w:pPr>
      <w:r>
        <w:rPr>
          <w:rFonts w:hint="eastAsia" w:ascii="宋体" w:hAnsi="宋体" w:eastAsia="宋体" w:cs="宋体"/>
          <w:b/>
          <w:bCs/>
          <w:spacing w:val="20"/>
          <w:sz w:val="30"/>
          <w:szCs w:val="30"/>
          <w:highlight w:val="none"/>
        </w:rPr>
        <w:t>第五节  质量、工期保证措施</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一、质量保证措施</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1、建立健全结构，施工从设备、材料、半成品、成品进场，施工安装直至交付验收的质量保证体系，并落实到人。</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2、严格贯彻“把关”和“积极预防”相结合的质量管理方法。</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3、本工程实行全面质量管理、文明施工，整个工程实行专业性管理，提前组织培训，统一思想，熟悉操作。</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4、按进度计划施工，严格技术管理，当进度与质量发生矛盾时，要服从质量，承包任务者首先要承包质量。</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5、加强质量监督检查，采取专业检查与自检相结合的检查方法，并以自检为主，坚持贯彻执行自检、互检、交接检的三检制度与挂牌制度，对工程质量要求一丝不苟。</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二、工期保证措施</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1、运用现代化管理方法指导生产、加强动态管理。充分利用已有资源组织材料、人力资源的合理配置。保障各阶段施工的连续性，消除窝工、停工现象。</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2、各工序严格按进度计划施工，项目经理有效协调人力资源，确保施工顺利；</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3、保证倒排工期，充分做好施工前的准备工作；</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4、优化网络计划管理，综合考虑机械、设备、材料的相应关系，使各工种、各工序实施紧密的交叉搭接，对每道工序制定相应的调整措施。</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5、合理配置施工机械设施，提高使用效率，保证各项作业、各工种之间的高度协调，发挥最大的生产潜力，实现工期目标值。</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p>
    <w:p>
      <w:pPr>
        <w:ind w:firstLine="682" w:firstLineChars="200"/>
        <w:jc w:val="center"/>
        <w:rPr>
          <w:rFonts w:ascii="Calibri" w:hAnsi="宋体" w:eastAsia="宋体" w:cs="宋体"/>
          <w:sz w:val="24"/>
          <w:szCs w:val="24"/>
          <w:highlight w:val="none"/>
        </w:rPr>
      </w:pPr>
      <w:r>
        <w:rPr>
          <w:rFonts w:hint="eastAsia" w:ascii="宋体" w:hAnsi="宋体" w:eastAsia="宋体" w:cs="宋体"/>
          <w:b/>
          <w:bCs/>
          <w:spacing w:val="20"/>
          <w:sz w:val="30"/>
          <w:szCs w:val="30"/>
          <w:highlight w:val="none"/>
        </w:rPr>
        <w:t>第六节  投入的主要机械设备及劳动力计划</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根据经建设单位及监理批准的施工进度计划及现场施工情况，投入相应数量的机械设备及劳动力，满足工程进度要求，确保按期完工。</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1、在确保工程质量、安全生产的前提下，优化施工进度计划，动态管理，合理组织，严格控制关键线路节点，确保工期目标。</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2、采用性能完好的机械设备并配齐数量，设现场专业机修班组，定期检查、调试。</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3、现场职工及劳务认真挑选，竞争上岗，确保现场施工人员的岗位技能水平及劳动数量满足工期要求。</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4、根据施工进度控制统筹计划及时合理编制工程施工进度每周计划，直至落实到小时工作安排。</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5、平面按划定的施工区段组织流水施工，将分为多个工作班组，分段流水协调施工。</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p>
    <w:p>
      <w:pPr>
        <w:ind w:firstLine="682" w:firstLineChars="200"/>
        <w:jc w:val="center"/>
        <w:rPr>
          <w:rFonts w:ascii="宋体" w:hAnsi="宋体" w:eastAsia="宋体" w:cs="宋体"/>
          <w:b/>
          <w:bCs/>
          <w:spacing w:val="20"/>
          <w:sz w:val="30"/>
          <w:szCs w:val="30"/>
          <w:highlight w:val="none"/>
        </w:rPr>
      </w:pPr>
      <w:r>
        <w:rPr>
          <w:rFonts w:hint="eastAsia" w:ascii="宋体" w:hAnsi="宋体" w:eastAsia="宋体" w:cs="宋体"/>
          <w:b/>
          <w:bCs/>
          <w:spacing w:val="20"/>
          <w:sz w:val="30"/>
          <w:szCs w:val="30"/>
          <w:highlight w:val="none"/>
        </w:rPr>
        <w:t>第七节  安全文明施工措施</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采取严格的施工管理措施，严格按照《广州市安全文明施工管理标准》、《建筑施工安全检查标准》等管理规定的要求，做好本工程安全文明施工工作。</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安全生产管理</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安全生产目标：达到五无目标，即“无死亡事故，无重大伤人事故，无重大机械事故，无火灾，无中毒事故”。并将一般减微事故发生频率控制在3‰以下。</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安全方针：安全第一，预防为主</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安全和文明施工目标： 力争达到安全生产，文明施工优良工地。</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二、文明施工管理</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文明施工注意事项：</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1、清运渣土的车辆应在在施工封闭范围内停放；清运渣土的车辆应封闭或采用苫布覆盖，出入现场时应有专人指挥。清运渣土的作业时间应遵守有关规定，做到夜间不施工，减少对周围环境的噪音影响。</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2、对地下的各类管线，施工前在地面上设置明显标志，并标明管线用途，行进方向。对检查井、污水井也采取相应的保护措施。</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3、工程完工后，我方将及时将施工渣土清运出场，做到不积压。</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4、执行广东省、广州市有关加强施工现场文明施工管理的规定。</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7、施工现场设置消防车道，并应保持畅通。施工现场道路保持两方向畅通，保证消防车辆能够及时进入事发现场进行救援工作。</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8、对工人进行岗前教育，施工作业应当在批准的施工场地内进行，不得在施工场地范围外堆放物料、机具等。</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pPr>
        <w:widowControl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10、不得在施工现场焚烧油毡、橡胶、油漆、垃圾以及其他产生有毒、有害烟尘和恶臭气体的物质。</w:t>
      </w:r>
    </w:p>
    <w:p>
      <w:pPr>
        <w:pStyle w:val="2"/>
        <w:ind w:firstLine="482" w:firstLineChars="200"/>
        <w:rPr>
          <w:rFonts w:hint="eastAsia" w:ascii="宋体" w:hAnsi="宋体" w:eastAsia="宋体" w:cs="宋体"/>
          <w:b/>
          <w:spacing w:val="20"/>
          <w:szCs w:val="24"/>
          <w:highlight w:val="none"/>
        </w:rPr>
      </w:pPr>
    </w:p>
    <w:p>
      <w:pPr>
        <w:pStyle w:val="2"/>
        <w:ind w:firstLine="482" w:firstLineChars="200"/>
        <w:rPr>
          <w:rFonts w:hint="eastAsia"/>
          <w:highlight w:val="none"/>
        </w:rPr>
      </w:pPr>
      <w:r>
        <w:rPr>
          <w:rFonts w:hint="eastAsia" w:ascii="宋体" w:hAnsi="宋体" w:eastAsia="宋体" w:cs="宋体"/>
          <w:b/>
          <w:spacing w:val="20"/>
          <w:szCs w:val="24"/>
          <w:highlight w:val="none"/>
        </w:rPr>
        <w:t>注 : 除应执行本施工组织设计要点外,应参照国家等现行有关规定及工程建设标准作进一步完善。</w:t>
      </w:r>
    </w:p>
    <w:p>
      <w:pPr>
        <w:bidi w:val="0"/>
        <w:rPr>
          <w:rFonts w:hint="eastAsia"/>
          <w:color w:val="auto"/>
          <w:highlight w:val="none"/>
        </w:rPr>
      </w:pPr>
    </w:p>
    <w:p>
      <w:pPr>
        <w:pStyle w:val="3"/>
        <w:jc w:val="center"/>
        <w:rPr>
          <w:rFonts w:hint="eastAsia" w:ascii="宋体" w:hAnsi="宋体" w:cs="宋体"/>
          <w:b/>
          <w:bCs/>
          <w:color w:val="auto"/>
          <w:highlight w:val="none"/>
        </w:rPr>
      </w:pPr>
      <w:r>
        <w:rPr>
          <w:rFonts w:hint="eastAsia" w:ascii="宋体" w:hAnsi="宋体" w:cs="宋体"/>
          <w:b/>
          <w:bCs/>
          <w:color w:val="auto"/>
          <w:highlight w:val="none"/>
        </w:rPr>
        <w:br w:type="page"/>
      </w:r>
      <w:bookmarkStart w:id="90" w:name="_Toc5991"/>
      <w:bookmarkStart w:id="91" w:name="_Toc27490"/>
      <w:bookmarkStart w:id="92" w:name="_Toc20952"/>
      <w:bookmarkStart w:id="93" w:name="_Toc21254"/>
      <w:bookmarkStart w:id="94" w:name="_Toc8058"/>
      <w:r>
        <w:rPr>
          <w:rFonts w:hint="eastAsia" w:ascii="宋体" w:hAnsi="宋体" w:cs="宋体"/>
          <w:b/>
          <w:bCs/>
          <w:color w:val="auto"/>
          <w:highlight w:val="none"/>
        </w:rPr>
        <w:t>第六章  图纸及勘察资料</w:t>
      </w:r>
      <w:bookmarkEnd w:id="90"/>
      <w:bookmarkEnd w:id="91"/>
      <w:bookmarkEnd w:id="92"/>
      <w:bookmarkEnd w:id="93"/>
      <w:bookmarkEnd w:id="94"/>
    </w:p>
    <w:p>
      <w:pPr>
        <w:jc w:val="center"/>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（另册）</w:t>
      </w:r>
    </w:p>
    <w:p>
      <w:pPr>
        <w:bidi w:val="0"/>
        <w:rPr>
          <w:rFonts w:hint="eastAsia"/>
          <w:color w:val="auto"/>
          <w:highlight w:val="none"/>
        </w:rPr>
      </w:pPr>
    </w:p>
    <w:p>
      <w:pPr>
        <w:pStyle w:val="3"/>
        <w:jc w:val="center"/>
        <w:rPr>
          <w:rFonts w:hint="eastAsia" w:ascii="宋体" w:hAnsi="宋体" w:cs="宋体"/>
          <w:b/>
          <w:bCs/>
          <w:color w:val="auto"/>
          <w:highlight w:val="none"/>
        </w:rPr>
      </w:pPr>
      <w:r>
        <w:rPr>
          <w:rFonts w:hint="eastAsia" w:ascii="宋体" w:hAnsi="宋体" w:cs="宋体"/>
          <w:b/>
          <w:bCs/>
          <w:color w:val="auto"/>
          <w:highlight w:val="none"/>
        </w:rPr>
        <w:br w:type="page"/>
      </w:r>
      <w:bookmarkStart w:id="95" w:name="_Toc6865"/>
      <w:bookmarkStart w:id="96" w:name="_Toc13166"/>
      <w:bookmarkStart w:id="97" w:name="_Toc16001"/>
      <w:bookmarkStart w:id="98" w:name="_Toc9669"/>
      <w:bookmarkStart w:id="99" w:name="_Toc1940"/>
      <w:r>
        <w:rPr>
          <w:rFonts w:hint="eastAsia" w:ascii="宋体" w:hAnsi="宋体" w:cs="宋体"/>
          <w:b/>
          <w:bCs/>
          <w:color w:val="auto"/>
          <w:highlight w:val="none"/>
        </w:rPr>
        <w:t>第七章  工程量清单</w:t>
      </w:r>
      <w:bookmarkEnd w:id="95"/>
      <w:bookmarkEnd w:id="96"/>
      <w:bookmarkEnd w:id="97"/>
      <w:bookmarkEnd w:id="98"/>
      <w:bookmarkEnd w:id="99"/>
    </w:p>
    <w:p>
      <w:pPr>
        <w:jc w:val="center"/>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（另册</w:t>
      </w:r>
      <w:r>
        <w:rPr>
          <w:rFonts w:hint="eastAsia" w:ascii="宋体" w:hAnsi="宋体" w:cs="宋体"/>
          <w:b/>
          <w:bCs/>
          <w:color w:val="auto"/>
          <w:sz w:val="24"/>
          <w:szCs w:val="24"/>
          <w:highlight w:val="none"/>
          <w:lang w:val="en-US" w:eastAsia="zh-CN"/>
        </w:rPr>
        <w:t>）</w:t>
      </w:r>
    </w:p>
    <w:p>
      <w:pPr>
        <w:bidi w:val="0"/>
        <w:rPr>
          <w:rFonts w:hint="eastAsia"/>
          <w:color w:val="auto"/>
          <w:highlight w:val="none"/>
        </w:rPr>
      </w:pPr>
    </w:p>
    <w:p>
      <w:pPr>
        <w:pStyle w:val="3"/>
        <w:jc w:val="center"/>
        <w:rPr>
          <w:rFonts w:hint="eastAsia" w:ascii="宋体" w:hAnsi="宋体" w:cs="宋体"/>
          <w:b/>
          <w:bCs/>
          <w:color w:val="auto"/>
          <w:highlight w:val="none"/>
        </w:rPr>
      </w:pPr>
      <w:r>
        <w:rPr>
          <w:rFonts w:hint="eastAsia" w:ascii="宋体" w:hAnsi="宋体" w:cs="宋体"/>
          <w:b/>
          <w:bCs/>
          <w:color w:val="auto"/>
          <w:highlight w:val="none"/>
        </w:rPr>
        <w:br w:type="page"/>
      </w:r>
      <w:bookmarkStart w:id="100" w:name="_Toc12854"/>
      <w:bookmarkStart w:id="101" w:name="_Toc22983"/>
      <w:bookmarkStart w:id="102" w:name="_Toc8855"/>
      <w:bookmarkStart w:id="103" w:name="_Toc16101"/>
      <w:bookmarkStart w:id="104" w:name="_Toc28904"/>
      <w:r>
        <w:rPr>
          <w:rFonts w:hint="eastAsia" w:ascii="宋体" w:hAnsi="宋体" w:cs="宋体"/>
          <w:b/>
          <w:bCs/>
          <w:color w:val="auto"/>
          <w:highlight w:val="none"/>
        </w:rPr>
        <w:t>第八章  最高投标限价</w:t>
      </w:r>
      <w:bookmarkEnd w:id="100"/>
      <w:bookmarkEnd w:id="101"/>
      <w:bookmarkEnd w:id="102"/>
      <w:bookmarkEnd w:id="103"/>
      <w:bookmarkEnd w:id="104"/>
    </w:p>
    <w:p>
      <w:pPr>
        <w:jc w:val="center"/>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（另册</w:t>
      </w:r>
      <w:r>
        <w:rPr>
          <w:rFonts w:hint="eastAsia" w:ascii="宋体" w:hAnsi="宋体" w:cs="宋体"/>
          <w:b/>
          <w:bCs/>
          <w:color w:val="auto"/>
          <w:sz w:val="24"/>
          <w:szCs w:val="24"/>
          <w:highlight w:val="none"/>
          <w:lang w:val="en-US" w:eastAsia="zh-CN"/>
        </w:rPr>
        <w:t>）</w:t>
      </w:r>
    </w:p>
    <w:p>
      <w:pPr>
        <w:jc w:val="center"/>
        <w:rPr>
          <w:rFonts w:hint="eastAsia" w:ascii="宋体" w:hAnsi="宋体" w:cs="宋体"/>
          <w:color w:val="auto"/>
          <w:highlight w:val="none"/>
        </w:rPr>
      </w:pPr>
    </w:p>
    <w:sectPr>
      <w:pgSz w:w="11906" w:h="16838"/>
      <w:pgMar w:top="1304" w:right="1531" w:bottom="1304"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Calisto MT">
    <w:altName w:val="Segoe Print"/>
    <w:panose1 w:val="02040603050505030304"/>
    <w:charset w:val="00"/>
    <w:family w:val="roman"/>
    <w:pitch w:val="default"/>
    <w:sig w:usb0="00000000"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DejaVu Sans">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jc w:val="right"/>
      <w:rPr>
        <w:rStyle w:val="5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rPr>
                              <w:rFonts w:hint="eastAsia" w:eastAsia="等线"/>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YSh1isQEA&#10;AE8DAAAOAAAAAAAAAAEAIAAAAB4BAABkcnMvZTJvRG9jLnhtbFBLBQYAAAAABgAGAFkBAABBBQAA&#10;AAA=&#10;">
              <v:fill on="f" focussize="0,0"/>
              <v:stroke on="f"/>
              <v:imagedata o:title=""/>
              <o:lock v:ext="edit" aspectratio="f"/>
              <v:textbox inset="0mm,0mm,0mm,0mm" style="mso-fit-shape-to-text:t;">
                <w:txbxContent>
                  <w:p>
                    <w:pPr>
                      <w:pStyle w:val="32"/>
                      <w:rPr>
                        <w:rFonts w:hint="eastAsia" w:eastAsia="等线"/>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ind w:firstLine="392"/>
                          </w:pP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em+H5sQEA&#10;AE8DAAAOAAAAAAAAAAEAIAAAAB4BAABkcnMvZTJvRG9jLnhtbFBLBQYAAAAABgAGAFkBAABBBQAA&#10;AAA=&#10;">
              <v:fill on="f" focussize="0,0"/>
              <v:stroke on="f"/>
              <v:imagedata o:title=""/>
              <o:lock v:ext="edit" aspectratio="f"/>
              <v:textbox inset="0mm,0mm,0mm,0mm" style="mso-fit-shape-to-text:t;">
                <w:txbxContent>
                  <w:p>
                    <w:pPr>
                      <w:pStyle w:val="32"/>
                      <w:ind w:firstLine="392"/>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jc w:val="center"/>
                            <w:rPr>
                              <w:rStyle w:val="57"/>
                            </w:rPr>
                          </w:pPr>
                          <w:r>
                            <w:fldChar w:fldCharType="begin"/>
                          </w:r>
                          <w:r>
                            <w:rPr>
                              <w:rStyle w:val="57"/>
                            </w:rPr>
                            <w:instrText xml:space="preserve">PAGE  </w:instrText>
                          </w:r>
                          <w:r>
                            <w:fldChar w:fldCharType="separate"/>
                          </w:r>
                          <w:r>
                            <w:rPr>
                              <w:rStyle w:val="57"/>
                            </w:rPr>
                            <w:t>34</w:t>
                          </w:r>
                          <w:r>
                            <w:fldChar w:fldCharType="end"/>
                          </w:r>
                        </w:p>
                        <w:p>
                          <w:pPr>
                            <w:pStyle w:val="32"/>
                            <w:ind w:left="-4410" w:leftChars="-2100" w:right="-4439" w:rightChars="-2114"/>
                            <w:rPr>
                              <w:rStyle w:val="57"/>
                            </w:rPr>
                          </w:pP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cn2mDrIB&#10;AABPAwAADgAAAAAAAAABACAAAAAeAQAAZHJzL2Uyb0RvYy54bWxQSwUGAAAAAAYABgBZAQAAQgUA&#10;AAAA&#10;">
              <v:fill on="f" focussize="0,0"/>
              <v:stroke on="f"/>
              <v:imagedata o:title=""/>
              <o:lock v:ext="edit" aspectratio="f"/>
              <v:textbox inset="0mm,0mm,0mm,0mm" style="mso-fit-shape-to-text:t;">
                <w:txbxContent>
                  <w:p>
                    <w:pPr>
                      <w:pStyle w:val="32"/>
                      <w:jc w:val="center"/>
                      <w:rPr>
                        <w:rStyle w:val="57"/>
                      </w:rPr>
                    </w:pPr>
                    <w:r>
                      <w:fldChar w:fldCharType="begin"/>
                    </w:r>
                    <w:r>
                      <w:rPr>
                        <w:rStyle w:val="57"/>
                      </w:rPr>
                      <w:instrText xml:space="preserve">PAGE  </w:instrText>
                    </w:r>
                    <w:r>
                      <w:fldChar w:fldCharType="separate"/>
                    </w:r>
                    <w:r>
                      <w:rPr>
                        <w:rStyle w:val="57"/>
                      </w:rPr>
                      <w:t>34</w:t>
                    </w:r>
                    <w:r>
                      <w:fldChar w:fldCharType="end"/>
                    </w:r>
                  </w:p>
                  <w:p>
                    <w:pPr>
                      <w:pStyle w:val="32"/>
                      <w:ind w:left="-4410" w:leftChars="-2100" w:right="-4439" w:rightChars="-2114"/>
                      <w:rPr>
                        <w:rStyle w:val="57"/>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outside" w:y="1"/>
      <w:rPr>
        <w:rStyle w:val="57"/>
      </w:rPr>
    </w:pPr>
    <w:r>
      <w:fldChar w:fldCharType="begin"/>
    </w:r>
    <w:r>
      <w:rPr>
        <w:rStyle w:val="57"/>
      </w:rPr>
      <w:instrText xml:space="preserve">PAGE  </w:instrText>
    </w:r>
    <w:r>
      <w:fldChar w:fldCharType="separate"/>
    </w:r>
    <w:r>
      <w:rPr>
        <w:rStyle w:val="57"/>
        <w:rFonts w:hint="eastAsia"/>
      </w:rPr>
      <w:t>一</w:t>
    </w:r>
    <w:r>
      <w:rPr>
        <w:rStyle w:val="57"/>
      </w:rPr>
      <w:t>–2</w:t>
    </w:r>
    <w:r>
      <w:fldChar w:fldCharType="end"/>
    </w:r>
  </w:p>
  <w:p>
    <w:pPr>
      <w:pStyle w:val="32"/>
      <w:ind w:right="360" w:firstLine="360"/>
      <w:jc w:val="center"/>
    </w:pPr>
    <w:r>
      <w:rPr>
        <w:sz w:val="20"/>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jc w:val="center"/>
                          </w:pPr>
                          <w:r>
                            <w:fldChar w:fldCharType="begin"/>
                          </w:r>
                          <w:r>
                            <w:rPr>
                              <w:rStyle w:val="57"/>
                            </w:rPr>
                            <w:instrText xml:space="preserve"> PAGE </w:instrText>
                          </w:r>
                          <w:r>
                            <w:fldChar w:fldCharType="separate"/>
                          </w:r>
                          <w:r>
                            <w:rPr>
                              <w:rStyle w:val="57"/>
                            </w:rPr>
                            <w:t>32</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fcOLIBAABPAwAADgAAAGRycy9lMm9Eb2MueG1srVPBbtswDL0P2D8I&#10;ui9yPGA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V1TYnjFmd0+Pl4+PV8eHog8+pjnVs0+Nhg5r3H3DR+hhFHPfkjOrPyUQWb&#10;v6iJYBybvT83WI6JiPxoUS8WFYYExqYL4rOX5z7E9EWCJdloacAJlsby3beYjqlTSq7m4FobU6Zo&#10;3F8OxMwelrkfOWYrjevxJGgN3R71DDj8ljrcTkrMV4e9zXsyGWEy1pOx9UFv+rJIuV70l9uEJAq3&#10;XOEIeyqMUyvqThuW1+LPe8l6+Q9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b+fcOLIB&#10;AABPAwAADgAAAAAAAAABACAAAAAeAQAAZHJzL2Uyb0RvYy54bWxQSwUGAAAAAAYABgBZAQAAQgUA&#10;AAAA&#10;">
              <v:fill on="f" focussize="0,0"/>
              <v:stroke on="f"/>
              <v:imagedata o:title=""/>
              <o:lock v:ext="edit" aspectratio="f"/>
              <v:textbox inset="0mm,0mm,0mm,0mm" style="mso-fit-shape-to-text:t;">
                <w:txbxContent>
                  <w:p>
                    <w:pPr>
                      <w:pStyle w:val="32"/>
                      <w:jc w:val="center"/>
                    </w:pPr>
                    <w:r>
                      <w:fldChar w:fldCharType="begin"/>
                    </w:r>
                    <w:r>
                      <w:rPr>
                        <w:rStyle w:val="57"/>
                      </w:rPr>
                      <w:instrText xml:space="preserve"> PAGE </w:instrText>
                    </w:r>
                    <w:r>
                      <w:fldChar w:fldCharType="separate"/>
                    </w:r>
                    <w:r>
                      <w:rPr>
                        <w:rStyle w:val="57"/>
                      </w:rP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rPr>
                              <w:rStyle w:val="57"/>
                            </w:rPr>
                          </w:pPr>
                          <w:r>
                            <w:fldChar w:fldCharType="begin"/>
                          </w:r>
                          <w:r>
                            <w:rPr>
                              <w:rStyle w:val="57"/>
                            </w:rPr>
                            <w:instrText xml:space="preserve">PAGE  </w:instrText>
                          </w:r>
                          <w:r>
                            <w:fldChar w:fldCharType="separate"/>
                          </w:r>
                          <w:r>
                            <w:rPr>
                              <w:rStyle w:val="57"/>
                            </w:rPr>
                            <w:t>56</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jH/zrIB&#10;AABPAwAADgAAAAAAAAABACAAAAAeAQAAZHJzL2Uyb0RvYy54bWxQSwUGAAAAAAYABgBZAQAAQgUA&#10;AAAA&#10;">
              <v:fill on="f" focussize="0,0"/>
              <v:stroke on="f"/>
              <v:imagedata o:title=""/>
              <o:lock v:ext="edit" aspectratio="f"/>
              <v:textbox inset="0mm,0mm,0mm,0mm" style="mso-fit-shape-to-text:t;">
                <w:txbxContent>
                  <w:p>
                    <w:pPr>
                      <w:pStyle w:val="32"/>
                      <w:rPr>
                        <w:rStyle w:val="57"/>
                      </w:rPr>
                    </w:pPr>
                    <w:r>
                      <w:fldChar w:fldCharType="begin"/>
                    </w:r>
                    <w:r>
                      <w:rPr>
                        <w:rStyle w:val="57"/>
                      </w:rPr>
                      <w:instrText xml:space="preserve">PAGE  </w:instrText>
                    </w:r>
                    <w:r>
                      <w:fldChar w:fldCharType="separate"/>
                    </w:r>
                    <w:r>
                      <w:rPr>
                        <w:rStyle w:val="57"/>
                      </w:rP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rPr>
        <w:rStyle w:val="57"/>
      </w:rPr>
    </w:pPr>
    <w:r>
      <w:fldChar w:fldCharType="begin"/>
    </w:r>
    <w:r>
      <w:rPr>
        <w:rStyle w:val="57"/>
      </w:rPr>
      <w:instrText xml:space="preserve">PAGE  </w:instrText>
    </w:r>
    <w:r>
      <w:fldChar w:fldCharType="separate"/>
    </w:r>
    <w:r>
      <w:rPr>
        <w:rStyle w:val="57"/>
        <w:rFonts w:hint="eastAsia"/>
      </w:rPr>
      <w:t>一</w:t>
    </w:r>
    <w:r>
      <w:rPr>
        <w:rStyle w:val="57"/>
      </w:rPr>
      <w:t>–2</w:t>
    </w:r>
    <w:r>
      <w:fldChar w:fldCharType="end"/>
    </w:r>
  </w:p>
  <w:p>
    <w:pPr>
      <w:pStyle w:val="32"/>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jc w:val="right"/>
      <w:rPr>
        <w:rStyle w:val="5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ind w:firstLine="392"/>
                            <w:jc w:val="right"/>
                          </w:pPr>
                          <w:r>
                            <w:fldChar w:fldCharType="begin"/>
                          </w:r>
                          <w:r>
                            <w:rPr>
                              <w:rStyle w:val="57"/>
                            </w:rPr>
                            <w:instrText xml:space="preserve">PAGE  </w:instrText>
                          </w:r>
                          <w:r>
                            <w:fldChar w:fldCharType="separate"/>
                          </w:r>
                          <w:r>
                            <w:rPr>
                              <w:rStyle w:val="57"/>
                            </w:rP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MhNtBsQEA&#10;AE8DAAAOAAAAAAAAAAEAIAAAAB4BAABkcnMvZTJvRG9jLnhtbFBLBQYAAAAABgAGAFkBAABBBQAA&#10;AAA=&#10;">
              <v:fill on="f" focussize="0,0"/>
              <v:stroke on="f"/>
              <v:imagedata o:title=""/>
              <o:lock v:ext="edit" aspectratio="f"/>
              <v:textbox inset="0mm,0mm,0mm,0mm" style="mso-fit-shape-to-text:t;">
                <w:txbxContent>
                  <w:p>
                    <w:pPr>
                      <w:pStyle w:val="32"/>
                      <w:ind w:firstLine="392"/>
                      <w:jc w:val="right"/>
                    </w:pPr>
                    <w:r>
                      <w:fldChar w:fldCharType="begin"/>
                    </w:r>
                    <w:r>
                      <w:rPr>
                        <w:rStyle w:val="57"/>
                      </w:rPr>
                      <w:instrText xml:space="preserve">PAGE  </w:instrText>
                    </w:r>
                    <w:r>
                      <w:fldChar w:fldCharType="separate"/>
                    </w:r>
                    <w:r>
                      <w:rPr>
                        <w:rStyle w:val="57"/>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ind w:firstLine="392"/>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qKBoWLIB&#10;AABPAwAADgAAAAAAAAABACAAAAAeAQAAZHJzL2Uyb0RvYy54bWxQSwUGAAAAAAYABgBZAQAAQgUA&#10;AAAA&#10;">
              <v:fill on="f" focussize="0,0"/>
              <v:stroke on="f"/>
              <v:imagedata o:title=""/>
              <o:lock v:ext="edit" aspectratio="f"/>
              <v:textbox inset="0mm,0mm,0mm,0mm" style="mso-fit-shape-to-text:t;">
                <w:txbxContent>
                  <w:p>
                    <w:pPr>
                      <w:pStyle w:val="32"/>
                      <w:ind w:firstLine="39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firstLine="360"/>
      <w:jc w:val="center"/>
      <w:rPr>
        <w:rFonts w:eastAsia="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V+&#10;SdAAAAADAQAADwAAAAAAAAABACAAAAAiAAAAZHJzL2Rvd25yZXYueG1sUEsBAhQAFAAAAAgAh07i&#10;QA4USdm4AQAAWAMAAA4AAAAAAAAAAQAgAAAAHwEAAGRycy9lMm9Eb2MueG1sUEsFBgAAAAAGAAYA&#10;WQEAAEkFAAAAAA==&#10;">
              <v:fill on="f" focussize="0,0"/>
              <v:stroke on="f"/>
              <v:imagedata o:title=""/>
              <o:lock v:ext="edit" aspectratio="f"/>
              <v:textbox inset="0mm,0mm,0mm,0mm" style="mso-fit-shape-to-text:t;">
                <w:txbxContent>
                  <w:p>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Pr>
    </w:pPr>
    <w:r>
      <w:fldChar w:fldCharType="begin"/>
    </w:r>
    <w:r>
      <w:rPr>
        <w:rStyle w:val="57"/>
        <w:rFonts w:hint="eastAsia"/>
      </w:rPr>
      <w:instrText xml:space="preserve">PAGE  </w:instrText>
    </w:r>
    <w:r>
      <w:fldChar w:fldCharType="separate"/>
    </w:r>
    <w:r>
      <w:rPr>
        <w:rStyle w:val="57"/>
        <w:rFonts w:hint="eastAsia"/>
      </w:rPr>
      <w:t>一–2</w:t>
    </w:r>
    <w:r>
      <w:fldChar w:fldCharType="end"/>
    </w:r>
  </w:p>
  <w:p>
    <w:pPr>
      <w:pStyle w:val="32"/>
      <w:ind w:right="360" w:firstLine="360"/>
      <w:jc w:val="center"/>
      <w:rPr>
        <w:rFonts w:eastAsia="Times New Roman"/>
      </w:rPr>
    </w:pPr>
    <w:r>
      <w:rPr>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eastAsia="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0"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Pl&#10;fknQAAAAAwEAAA8AAAAAAAAAAQAgAAAAIgAAAGRycy9kb3ducmV2LnhtbFBLAQIUABQAAAAIAIdO&#10;4kDlR9zouQEAAFgDAAAOAAAAAAAAAAEAIAAAAB8BAABkcnMvZTJvRG9jLnhtbFBLBQYAAAAABgAG&#10;AFkBAABKBQAAAAA=&#10;">
              <v:fill on="f" focussize="0,0"/>
              <v:stroke on="f"/>
              <v:imagedata o:title=""/>
              <o:lock v:ext="edit" aspectratio="f"/>
              <v:textbox inset="0mm,0mm,0mm,0mm" style="mso-fit-shape-to-text:t;">
                <w:txbxContent>
                  <w:p>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jc w:val="right"/>
      <w:rPr>
        <w:rStyle w:val="57"/>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ind w:firstLine="392"/>
                            <w:jc w:val="right"/>
                          </w:pPr>
                          <w:r>
                            <w:fldChar w:fldCharType="begin"/>
                          </w:r>
                          <w:r>
                            <w:rPr>
                              <w:rStyle w:val="57"/>
                            </w:rPr>
                            <w:instrText xml:space="preserve">PAGE  </w:instrText>
                          </w:r>
                          <w:r>
                            <w:fldChar w:fldCharType="separate"/>
                          </w:r>
                          <w:r>
                            <w:rPr>
                              <w:rStyle w:val="57"/>
                            </w:rPr>
                            <w:t>31</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VJZ6T7IB&#10;AABPAwAADgAAAAAAAAABACAAAAAeAQAAZHJzL2Uyb0RvYy54bWxQSwUGAAAAAAYABgBZAQAAQgUA&#10;AAAA&#10;">
              <v:fill on="f" focussize="0,0"/>
              <v:stroke on="f"/>
              <v:imagedata o:title=""/>
              <o:lock v:ext="edit" aspectratio="f"/>
              <v:textbox inset="0mm,0mm,0mm,0mm" style="mso-fit-shape-to-text:t;">
                <w:txbxContent>
                  <w:p>
                    <w:pPr>
                      <w:pStyle w:val="32"/>
                      <w:ind w:firstLine="392"/>
                      <w:jc w:val="right"/>
                    </w:pPr>
                    <w:r>
                      <w:fldChar w:fldCharType="begin"/>
                    </w:r>
                    <w:r>
                      <w:rPr>
                        <w:rStyle w:val="57"/>
                      </w:rPr>
                      <w:instrText xml:space="preserve">PAGE  </w:instrText>
                    </w:r>
                    <w:r>
                      <w:fldChar w:fldCharType="separate"/>
                    </w:r>
                    <w:r>
                      <w:rPr>
                        <w:rStyle w:val="57"/>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right"/>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rFonts w:eastAsia="Times New Roman"/>
        <w:i/>
      </w:rPr>
    </w:pPr>
    <w:r>
      <w:rPr>
        <w:i/>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right"/>
      <w:rPr>
        <w:rFonts w:eastAsia="Times New Roman"/>
        <w:i/>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i/>
        <w:iCs/>
      </w:rPr>
    </w:pPr>
    <w:r>
      <w:rPr>
        <w:rFonts w:hint="eastAsia"/>
        <w:i/>
        <w:iCs/>
      </w:rPr>
      <w:t>横枝岗路道路排水改造工程招标文件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848CB1"/>
    <w:multiLevelType w:val="singleLevel"/>
    <w:tmpl w:val="CC848CB1"/>
    <w:lvl w:ilvl="0" w:tentative="0">
      <w:start w:val="1"/>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25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6"/>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2">
    <w:nsid w:val="294D3AC6"/>
    <w:multiLevelType w:val="singleLevel"/>
    <w:tmpl w:val="294D3AC6"/>
    <w:lvl w:ilvl="0" w:tentative="0">
      <w:start w:val="1"/>
      <w:numFmt w:val="decimal"/>
      <w:pStyle w:val="241"/>
      <w:lvlText w:val="（%1）"/>
      <w:lvlJc w:val="left"/>
      <w:pPr>
        <w:tabs>
          <w:tab w:val="left" w:pos="957"/>
        </w:tabs>
        <w:ind w:left="957" w:hanging="525"/>
      </w:pPr>
      <w:rPr>
        <w:rFonts w:hint="eastAsia" w:cs="Times New Roman"/>
      </w:rPr>
    </w:lvl>
  </w:abstractNum>
  <w:abstractNum w:abstractNumId="3">
    <w:nsid w:val="45383389"/>
    <w:multiLevelType w:val="singleLevel"/>
    <w:tmpl w:val="45383389"/>
    <w:lvl w:ilvl="0" w:tentative="0">
      <w:start w:val="1"/>
      <w:numFmt w:val="decimal"/>
      <w:pStyle w:val="309"/>
      <w:lvlText w:val="%1．"/>
      <w:lvlJc w:val="left"/>
      <w:pPr>
        <w:tabs>
          <w:tab w:val="left" w:pos="750"/>
        </w:tabs>
        <w:ind w:left="750" w:hanging="330"/>
      </w:pPr>
      <w:rPr>
        <w:rFonts w:hint="eastAsia" w:cs="Times New Roman"/>
      </w:rPr>
    </w:lvl>
  </w:abstractNum>
  <w:abstractNum w:abstractNumId="4">
    <w:nsid w:val="460450C0"/>
    <w:multiLevelType w:val="singleLevel"/>
    <w:tmpl w:val="460450C0"/>
    <w:lvl w:ilvl="0" w:tentative="0">
      <w:start w:val="1"/>
      <w:numFmt w:val="decimal"/>
      <w:suff w:val="nothing"/>
      <w:lvlText w:val="%1、"/>
      <w:lvlJc w:val="left"/>
    </w:lvl>
  </w:abstractNum>
  <w:abstractNum w:abstractNumId="5">
    <w:nsid w:val="48151F4D"/>
    <w:multiLevelType w:val="singleLevel"/>
    <w:tmpl w:val="48151F4D"/>
    <w:lvl w:ilvl="0" w:tentative="0">
      <w:start w:val="1"/>
      <w:numFmt w:val="decimal"/>
      <w:lvlText w:val="（%1）"/>
      <w:lvlJc w:val="left"/>
      <w:pPr>
        <w:tabs>
          <w:tab w:val="left" w:pos="1053"/>
        </w:tabs>
        <w:ind w:left="1053" w:hanging="528"/>
      </w:pPr>
      <w:rPr>
        <w:rFonts w:hint="eastAsia" w:cs="Times New Roman"/>
      </w:rPr>
    </w:lvl>
  </w:abstractNum>
  <w:abstractNum w:abstractNumId="6">
    <w:nsid w:val="732B9AB6"/>
    <w:multiLevelType w:val="singleLevel"/>
    <w:tmpl w:val="732B9AB6"/>
    <w:lvl w:ilvl="0" w:tentative="0">
      <w:start w:val="1"/>
      <w:numFmt w:val="decimal"/>
      <w:suff w:val="nothing"/>
      <w:lvlText w:val="%1、"/>
      <w:lvlJc w:val="left"/>
    </w:lvl>
  </w:abstractNum>
  <w:abstractNum w:abstractNumId="7">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7"/>
  </w:num>
  <w:num w:numId="3">
    <w:abstractNumId w:val="3"/>
  </w:num>
  <w:num w:numId="4">
    <w:abstractNumId w:val="2"/>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NDNlNDVmZjdjZjllNTgxYTYwNjg3ZmM1MGU0YTIifQ=="/>
  </w:docVars>
  <w:rsids>
    <w:rsidRoot w:val="007B41BE"/>
    <w:rsid w:val="00006F1A"/>
    <w:rsid w:val="00015335"/>
    <w:rsid w:val="00020A10"/>
    <w:rsid w:val="00021215"/>
    <w:rsid w:val="000477E9"/>
    <w:rsid w:val="00057C27"/>
    <w:rsid w:val="00072A2B"/>
    <w:rsid w:val="0007439B"/>
    <w:rsid w:val="00075D0C"/>
    <w:rsid w:val="00075ED5"/>
    <w:rsid w:val="00076837"/>
    <w:rsid w:val="0008002C"/>
    <w:rsid w:val="00082DB5"/>
    <w:rsid w:val="0008329B"/>
    <w:rsid w:val="00087876"/>
    <w:rsid w:val="000905EE"/>
    <w:rsid w:val="000A2DE6"/>
    <w:rsid w:val="000A68CE"/>
    <w:rsid w:val="000B0301"/>
    <w:rsid w:val="000B2911"/>
    <w:rsid w:val="000C1B8F"/>
    <w:rsid w:val="000C6689"/>
    <w:rsid w:val="000D44DB"/>
    <w:rsid w:val="000D4AE2"/>
    <w:rsid w:val="000D640D"/>
    <w:rsid w:val="000E3D52"/>
    <w:rsid w:val="000E5601"/>
    <w:rsid w:val="000F0AF7"/>
    <w:rsid w:val="000F3157"/>
    <w:rsid w:val="000F3ED4"/>
    <w:rsid w:val="00102559"/>
    <w:rsid w:val="001043D3"/>
    <w:rsid w:val="001070F5"/>
    <w:rsid w:val="0011000F"/>
    <w:rsid w:val="00130415"/>
    <w:rsid w:val="00152CF2"/>
    <w:rsid w:val="0016302F"/>
    <w:rsid w:val="00175CD1"/>
    <w:rsid w:val="00177DE9"/>
    <w:rsid w:val="001815B5"/>
    <w:rsid w:val="001952AB"/>
    <w:rsid w:val="001962B9"/>
    <w:rsid w:val="001A06AD"/>
    <w:rsid w:val="001A5C87"/>
    <w:rsid w:val="001C51B2"/>
    <w:rsid w:val="001C78D8"/>
    <w:rsid w:val="001C7C5D"/>
    <w:rsid w:val="002115C4"/>
    <w:rsid w:val="00217AA1"/>
    <w:rsid w:val="00227398"/>
    <w:rsid w:val="002361A8"/>
    <w:rsid w:val="00237E28"/>
    <w:rsid w:val="00240E85"/>
    <w:rsid w:val="002428EE"/>
    <w:rsid w:val="00254D5D"/>
    <w:rsid w:val="002615BB"/>
    <w:rsid w:val="00264048"/>
    <w:rsid w:val="002641DB"/>
    <w:rsid w:val="00265159"/>
    <w:rsid w:val="002652A7"/>
    <w:rsid w:val="00285782"/>
    <w:rsid w:val="00291CE3"/>
    <w:rsid w:val="00296E5A"/>
    <w:rsid w:val="002A13CE"/>
    <w:rsid w:val="002A6C86"/>
    <w:rsid w:val="002A6D0D"/>
    <w:rsid w:val="002B0328"/>
    <w:rsid w:val="002C2022"/>
    <w:rsid w:val="002C61BA"/>
    <w:rsid w:val="002E0A9A"/>
    <w:rsid w:val="002E12E5"/>
    <w:rsid w:val="002F553C"/>
    <w:rsid w:val="003067A4"/>
    <w:rsid w:val="00313B2C"/>
    <w:rsid w:val="00315E5D"/>
    <w:rsid w:val="003174EE"/>
    <w:rsid w:val="00317804"/>
    <w:rsid w:val="0032461E"/>
    <w:rsid w:val="00327B69"/>
    <w:rsid w:val="00330DE6"/>
    <w:rsid w:val="00333F87"/>
    <w:rsid w:val="003348FD"/>
    <w:rsid w:val="00335354"/>
    <w:rsid w:val="003522D1"/>
    <w:rsid w:val="003526C3"/>
    <w:rsid w:val="00366167"/>
    <w:rsid w:val="00371C81"/>
    <w:rsid w:val="00371CB0"/>
    <w:rsid w:val="00382ADD"/>
    <w:rsid w:val="003879A7"/>
    <w:rsid w:val="00394F76"/>
    <w:rsid w:val="003A4B0A"/>
    <w:rsid w:val="003B306A"/>
    <w:rsid w:val="003C0E5C"/>
    <w:rsid w:val="003C3D3C"/>
    <w:rsid w:val="003C6584"/>
    <w:rsid w:val="003D7289"/>
    <w:rsid w:val="003E4322"/>
    <w:rsid w:val="003F0FC4"/>
    <w:rsid w:val="003F571F"/>
    <w:rsid w:val="0040471C"/>
    <w:rsid w:val="004102B2"/>
    <w:rsid w:val="00410BC4"/>
    <w:rsid w:val="00417D6F"/>
    <w:rsid w:val="00432E11"/>
    <w:rsid w:val="00442AB3"/>
    <w:rsid w:val="004518A2"/>
    <w:rsid w:val="00457E48"/>
    <w:rsid w:val="004650D9"/>
    <w:rsid w:val="0048402E"/>
    <w:rsid w:val="00484805"/>
    <w:rsid w:val="00495E52"/>
    <w:rsid w:val="00497010"/>
    <w:rsid w:val="00497050"/>
    <w:rsid w:val="004A1B03"/>
    <w:rsid w:val="004A5F83"/>
    <w:rsid w:val="004A617E"/>
    <w:rsid w:val="004A7340"/>
    <w:rsid w:val="004B5364"/>
    <w:rsid w:val="004C27EC"/>
    <w:rsid w:val="004C524F"/>
    <w:rsid w:val="004D2901"/>
    <w:rsid w:val="004E4052"/>
    <w:rsid w:val="00504DBA"/>
    <w:rsid w:val="00513598"/>
    <w:rsid w:val="00517341"/>
    <w:rsid w:val="00523A2D"/>
    <w:rsid w:val="00525C33"/>
    <w:rsid w:val="0053690D"/>
    <w:rsid w:val="005430F0"/>
    <w:rsid w:val="00563784"/>
    <w:rsid w:val="0056407F"/>
    <w:rsid w:val="005751CA"/>
    <w:rsid w:val="0057528F"/>
    <w:rsid w:val="0057670E"/>
    <w:rsid w:val="00587166"/>
    <w:rsid w:val="00594885"/>
    <w:rsid w:val="00595900"/>
    <w:rsid w:val="0059701B"/>
    <w:rsid w:val="005C56AB"/>
    <w:rsid w:val="005F00FE"/>
    <w:rsid w:val="005F1D1C"/>
    <w:rsid w:val="0060317D"/>
    <w:rsid w:val="006065AF"/>
    <w:rsid w:val="00624AA1"/>
    <w:rsid w:val="006333C6"/>
    <w:rsid w:val="006352BF"/>
    <w:rsid w:val="00635EA2"/>
    <w:rsid w:val="006422D2"/>
    <w:rsid w:val="00656123"/>
    <w:rsid w:val="006617EA"/>
    <w:rsid w:val="00664BC1"/>
    <w:rsid w:val="00667F0C"/>
    <w:rsid w:val="00676A9B"/>
    <w:rsid w:val="006B2956"/>
    <w:rsid w:val="006B6B0D"/>
    <w:rsid w:val="006D0462"/>
    <w:rsid w:val="006E53F2"/>
    <w:rsid w:val="007027A7"/>
    <w:rsid w:val="00704352"/>
    <w:rsid w:val="00722250"/>
    <w:rsid w:val="0073083A"/>
    <w:rsid w:val="00730CB0"/>
    <w:rsid w:val="00736852"/>
    <w:rsid w:val="00747747"/>
    <w:rsid w:val="00747DDB"/>
    <w:rsid w:val="0075408B"/>
    <w:rsid w:val="0076060A"/>
    <w:rsid w:val="0076340B"/>
    <w:rsid w:val="007667B4"/>
    <w:rsid w:val="007836E3"/>
    <w:rsid w:val="007B41BE"/>
    <w:rsid w:val="007C2DCD"/>
    <w:rsid w:val="007D5DB9"/>
    <w:rsid w:val="00805F18"/>
    <w:rsid w:val="008100A9"/>
    <w:rsid w:val="00815D5E"/>
    <w:rsid w:val="00821B8C"/>
    <w:rsid w:val="00826815"/>
    <w:rsid w:val="00826CA9"/>
    <w:rsid w:val="00831B79"/>
    <w:rsid w:val="008449D3"/>
    <w:rsid w:val="00847038"/>
    <w:rsid w:val="008523BA"/>
    <w:rsid w:val="00853529"/>
    <w:rsid w:val="00855DF8"/>
    <w:rsid w:val="0085741F"/>
    <w:rsid w:val="008610B7"/>
    <w:rsid w:val="008624DC"/>
    <w:rsid w:val="0086260D"/>
    <w:rsid w:val="00863329"/>
    <w:rsid w:val="0086516E"/>
    <w:rsid w:val="00875632"/>
    <w:rsid w:val="00880F8B"/>
    <w:rsid w:val="00881879"/>
    <w:rsid w:val="00883788"/>
    <w:rsid w:val="008863FA"/>
    <w:rsid w:val="00896624"/>
    <w:rsid w:val="00897EE5"/>
    <w:rsid w:val="008A0349"/>
    <w:rsid w:val="008A1536"/>
    <w:rsid w:val="008B1C37"/>
    <w:rsid w:val="008B7608"/>
    <w:rsid w:val="008D1573"/>
    <w:rsid w:val="008D6739"/>
    <w:rsid w:val="008F2FDF"/>
    <w:rsid w:val="008F35F8"/>
    <w:rsid w:val="00910925"/>
    <w:rsid w:val="009153D5"/>
    <w:rsid w:val="0092235B"/>
    <w:rsid w:val="009237A8"/>
    <w:rsid w:val="0092698F"/>
    <w:rsid w:val="00947FBF"/>
    <w:rsid w:val="00955AEF"/>
    <w:rsid w:val="009613F8"/>
    <w:rsid w:val="00964203"/>
    <w:rsid w:val="00970EB6"/>
    <w:rsid w:val="009865BE"/>
    <w:rsid w:val="00986F57"/>
    <w:rsid w:val="0099075E"/>
    <w:rsid w:val="00992626"/>
    <w:rsid w:val="00997757"/>
    <w:rsid w:val="009B1F09"/>
    <w:rsid w:val="009B6DEC"/>
    <w:rsid w:val="009D7CE3"/>
    <w:rsid w:val="009F3ED1"/>
    <w:rsid w:val="00A024F5"/>
    <w:rsid w:val="00A35622"/>
    <w:rsid w:val="00A456D5"/>
    <w:rsid w:val="00A610A0"/>
    <w:rsid w:val="00A61EAB"/>
    <w:rsid w:val="00A65B31"/>
    <w:rsid w:val="00A66B33"/>
    <w:rsid w:val="00A733EE"/>
    <w:rsid w:val="00A80E3F"/>
    <w:rsid w:val="00A92FB5"/>
    <w:rsid w:val="00A935F1"/>
    <w:rsid w:val="00AB134C"/>
    <w:rsid w:val="00AB6CD8"/>
    <w:rsid w:val="00AB7559"/>
    <w:rsid w:val="00AD2004"/>
    <w:rsid w:val="00AD2EC9"/>
    <w:rsid w:val="00B15F09"/>
    <w:rsid w:val="00B17F0C"/>
    <w:rsid w:val="00B339F9"/>
    <w:rsid w:val="00B377D8"/>
    <w:rsid w:val="00B5278F"/>
    <w:rsid w:val="00B55CB1"/>
    <w:rsid w:val="00B570F7"/>
    <w:rsid w:val="00B5718B"/>
    <w:rsid w:val="00B66ECB"/>
    <w:rsid w:val="00B81E28"/>
    <w:rsid w:val="00B93351"/>
    <w:rsid w:val="00B96A0C"/>
    <w:rsid w:val="00B977CB"/>
    <w:rsid w:val="00BA1175"/>
    <w:rsid w:val="00BA626F"/>
    <w:rsid w:val="00BB4AFB"/>
    <w:rsid w:val="00BC161C"/>
    <w:rsid w:val="00BD1CE9"/>
    <w:rsid w:val="00BD4E60"/>
    <w:rsid w:val="00BD55AC"/>
    <w:rsid w:val="00BE17C4"/>
    <w:rsid w:val="00BF06E8"/>
    <w:rsid w:val="00BF4609"/>
    <w:rsid w:val="00BF5537"/>
    <w:rsid w:val="00BF5FFE"/>
    <w:rsid w:val="00C06EBE"/>
    <w:rsid w:val="00C12A93"/>
    <w:rsid w:val="00C135F3"/>
    <w:rsid w:val="00C23657"/>
    <w:rsid w:val="00C31D71"/>
    <w:rsid w:val="00C3238B"/>
    <w:rsid w:val="00C32EE0"/>
    <w:rsid w:val="00C349B6"/>
    <w:rsid w:val="00C356CB"/>
    <w:rsid w:val="00C408D3"/>
    <w:rsid w:val="00C46D7B"/>
    <w:rsid w:val="00C51BE4"/>
    <w:rsid w:val="00C65559"/>
    <w:rsid w:val="00C6771C"/>
    <w:rsid w:val="00C834D4"/>
    <w:rsid w:val="00C86130"/>
    <w:rsid w:val="00C86A0D"/>
    <w:rsid w:val="00CA2D54"/>
    <w:rsid w:val="00CB0AB5"/>
    <w:rsid w:val="00CB3EAB"/>
    <w:rsid w:val="00CC2BD7"/>
    <w:rsid w:val="00CD0840"/>
    <w:rsid w:val="00CD09D7"/>
    <w:rsid w:val="00CE3BD3"/>
    <w:rsid w:val="00CE5523"/>
    <w:rsid w:val="00CF7247"/>
    <w:rsid w:val="00D052E8"/>
    <w:rsid w:val="00D1277A"/>
    <w:rsid w:val="00D13F94"/>
    <w:rsid w:val="00D27280"/>
    <w:rsid w:val="00D47795"/>
    <w:rsid w:val="00D501EA"/>
    <w:rsid w:val="00D56E6A"/>
    <w:rsid w:val="00D63F39"/>
    <w:rsid w:val="00D668BF"/>
    <w:rsid w:val="00D85019"/>
    <w:rsid w:val="00D87A48"/>
    <w:rsid w:val="00DA33DC"/>
    <w:rsid w:val="00DC726E"/>
    <w:rsid w:val="00DD087A"/>
    <w:rsid w:val="00DD15DA"/>
    <w:rsid w:val="00DD39F7"/>
    <w:rsid w:val="00DE2532"/>
    <w:rsid w:val="00DE7F75"/>
    <w:rsid w:val="00E0419C"/>
    <w:rsid w:val="00E05A58"/>
    <w:rsid w:val="00E111B7"/>
    <w:rsid w:val="00E1755F"/>
    <w:rsid w:val="00E21904"/>
    <w:rsid w:val="00E31316"/>
    <w:rsid w:val="00E417A7"/>
    <w:rsid w:val="00E42077"/>
    <w:rsid w:val="00E47EC6"/>
    <w:rsid w:val="00E56B1C"/>
    <w:rsid w:val="00E6607A"/>
    <w:rsid w:val="00E6701A"/>
    <w:rsid w:val="00E93861"/>
    <w:rsid w:val="00E97297"/>
    <w:rsid w:val="00EA3E65"/>
    <w:rsid w:val="00EB4D9C"/>
    <w:rsid w:val="00EC04CD"/>
    <w:rsid w:val="00ED21EA"/>
    <w:rsid w:val="00ED6676"/>
    <w:rsid w:val="00EE617E"/>
    <w:rsid w:val="00EF081F"/>
    <w:rsid w:val="00EF59DF"/>
    <w:rsid w:val="00EF67B9"/>
    <w:rsid w:val="00EF7292"/>
    <w:rsid w:val="00F023EF"/>
    <w:rsid w:val="00F0401B"/>
    <w:rsid w:val="00F04099"/>
    <w:rsid w:val="00F05B05"/>
    <w:rsid w:val="00F164CF"/>
    <w:rsid w:val="00F1692E"/>
    <w:rsid w:val="00F51D65"/>
    <w:rsid w:val="00F53525"/>
    <w:rsid w:val="00F60B9A"/>
    <w:rsid w:val="00F64547"/>
    <w:rsid w:val="00F703D9"/>
    <w:rsid w:val="00F811CE"/>
    <w:rsid w:val="00F842F3"/>
    <w:rsid w:val="00F867D6"/>
    <w:rsid w:val="00F93145"/>
    <w:rsid w:val="00F94EA3"/>
    <w:rsid w:val="00FA7B70"/>
    <w:rsid w:val="00FB755A"/>
    <w:rsid w:val="00FC0C2C"/>
    <w:rsid w:val="00FD273B"/>
    <w:rsid w:val="00FD711D"/>
    <w:rsid w:val="00FF1F0E"/>
    <w:rsid w:val="00FF6EB1"/>
    <w:rsid w:val="00FF70D3"/>
    <w:rsid w:val="0132288A"/>
    <w:rsid w:val="01340401"/>
    <w:rsid w:val="01384C43"/>
    <w:rsid w:val="01AB79F4"/>
    <w:rsid w:val="01AD16A8"/>
    <w:rsid w:val="01BA61B0"/>
    <w:rsid w:val="01D573BB"/>
    <w:rsid w:val="01D827B9"/>
    <w:rsid w:val="01E70B0E"/>
    <w:rsid w:val="0202604F"/>
    <w:rsid w:val="021756AB"/>
    <w:rsid w:val="023A0C1C"/>
    <w:rsid w:val="024208A6"/>
    <w:rsid w:val="02437453"/>
    <w:rsid w:val="025450F2"/>
    <w:rsid w:val="02547AA6"/>
    <w:rsid w:val="025E1490"/>
    <w:rsid w:val="026D01A7"/>
    <w:rsid w:val="02824B0D"/>
    <w:rsid w:val="0292705A"/>
    <w:rsid w:val="02BB2BB6"/>
    <w:rsid w:val="02D44769"/>
    <w:rsid w:val="02D4719A"/>
    <w:rsid w:val="03082A0B"/>
    <w:rsid w:val="03223D53"/>
    <w:rsid w:val="03305E1E"/>
    <w:rsid w:val="034B6F5E"/>
    <w:rsid w:val="035D366A"/>
    <w:rsid w:val="035E132E"/>
    <w:rsid w:val="03657BA6"/>
    <w:rsid w:val="0369677B"/>
    <w:rsid w:val="036E2876"/>
    <w:rsid w:val="038B55AE"/>
    <w:rsid w:val="038E6EF8"/>
    <w:rsid w:val="039F0589"/>
    <w:rsid w:val="03A01B6C"/>
    <w:rsid w:val="03AD02FF"/>
    <w:rsid w:val="03CF176F"/>
    <w:rsid w:val="03FB48B1"/>
    <w:rsid w:val="042C07EF"/>
    <w:rsid w:val="0440469B"/>
    <w:rsid w:val="0445039C"/>
    <w:rsid w:val="048B38BC"/>
    <w:rsid w:val="049D5F19"/>
    <w:rsid w:val="04C96D7C"/>
    <w:rsid w:val="04D42ADE"/>
    <w:rsid w:val="04E02384"/>
    <w:rsid w:val="052836FD"/>
    <w:rsid w:val="05345F66"/>
    <w:rsid w:val="053F5515"/>
    <w:rsid w:val="0548762F"/>
    <w:rsid w:val="056B4CBE"/>
    <w:rsid w:val="05CC574A"/>
    <w:rsid w:val="05F97374"/>
    <w:rsid w:val="06024098"/>
    <w:rsid w:val="06412E74"/>
    <w:rsid w:val="064514F9"/>
    <w:rsid w:val="06BE0E86"/>
    <w:rsid w:val="06BE4BFC"/>
    <w:rsid w:val="06EA00C5"/>
    <w:rsid w:val="075703F5"/>
    <w:rsid w:val="075A316D"/>
    <w:rsid w:val="07751A06"/>
    <w:rsid w:val="077D2716"/>
    <w:rsid w:val="078142A4"/>
    <w:rsid w:val="07834C9D"/>
    <w:rsid w:val="07924E0C"/>
    <w:rsid w:val="079F2E01"/>
    <w:rsid w:val="07AE57A4"/>
    <w:rsid w:val="07B86CFE"/>
    <w:rsid w:val="07BB4543"/>
    <w:rsid w:val="07C229D3"/>
    <w:rsid w:val="07D85C5A"/>
    <w:rsid w:val="081E2428"/>
    <w:rsid w:val="081F69D8"/>
    <w:rsid w:val="08312FC7"/>
    <w:rsid w:val="08434891"/>
    <w:rsid w:val="08665790"/>
    <w:rsid w:val="089B432E"/>
    <w:rsid w:val="08A23B9F"/>
    <w:rsid w:val="08AC3ED3"/>
    <w:rsid w:val="08C2021F"/>
    <w:rsid w:val="08D05C04"/>
    <w:rsid w:val="08D265F0"/>
    <w:rsid w:val="08E143F1"/>
    <w:rsid w:val="090B0E8E"/>
    <w:rsid w:val="090F3097"/>
    <w:rsid w:val="09256B29"/>
    <w:rsid w:val="09290EAA"/>
    <w:rsid w:val="095B550B"/>
    <w:rsid w:val="095D5B9F"/>
    <w:rsid w:val="09676399"/>
    <w:rsid w:val="09B36ACF"/>
    <w:rsid w:val="09D662E7"/>
    <w:rsid w:val="09F539CD"/>
    <w:rsid w:val="0A242726"/>
    <w:rsid w:val="0A323426"/>
    <w:rsid w:val="0A3C6420"/>
    <w:rsid w:val="0A8A3523"/>
    <w:rsid w:val="0A912F86"/>
    <w:rsid w:val="0A9A5B5A"/>
    <w:rsid w:val="0ABF1AEC"/>
    <w:rsid w:val="0B17316E"/>
    <w:rsid w:val="0B7E5061"/>
    <w:rsid w:val="0B870F44"/>
    <w:rsid w:val="0B9B0808"/>
    <w:rsid w:val="0BAA59FB"/>
    <w:rsid w:val="0BB11083"/>
    <w:rsid w:val="0BE66A48"/>
    <w:rsid w:val="0BF819C0"/>
    <w:rsid w:val="0C1F15F1"/>
    <w:rsid w:val="0C5E598A"/>
    <w:rsid w:val="0C730A4A"/>
    <w:rsid w:val="0C7D5814"/>
    <w:rsid w:val="0C984991"/>
    <w:rsid w:val="0CAC4C0C"/>
    <w:rsid w:val="0CD51310"/>
    <w:rsid w:val="0D0175B1"/>
    <w:rsid w:val="0D215336"/>
    <w:rsid w:val="0D2719E3"/>
    <w:rsid w:val="0D4E212A"/>
    <w:rsid w:val="0D5A7A00"/>
    <w:rsid w:val="0D8F7FD4"/>
    <w:rsid w:val="0D9C7F7E"/>
    <w:rsid w:val="0DA26C14"/>
    <w:rsid w:val="0DA80C95"/>
    <w:rsid w:val="0DE71533"/>
    <w:rsid w:val="0E29306E"/>
    <w:rsid w:val="0E3B2427"/>
    <w:rsid w:val="0E676C43"/>
    <w:rsid w:val="0EC73CBB"/>
    <w:rsid w:val="0ED11111"/>
    <w:rsid w:val="0ED11617"/>
    <w:rsid w:val="0F32428B"/>
    <w:rsid w:val="0F34709D"/>
    <w:rsid w:val="0F3970C7"/>
    <w:rsid w:val="0F9B09A8"/>
    <w:rsid w:val="0FFA68BF"/>
    <w:rsid w:val="10033074"/>
    <w:rsid w:val="1018426F"/>
    <w:rsid w:val="101A2C21"/>
    <w:rsid w:val="104F4CC6"/>
    <w:rsid w:val="10514053"/>
    <w:rsid w:val="107002C4"/>
    <w:rsid w:val="107A19FF"/>
    <w:rsid w:val="107A6A99"/>
    <w:rsid w:val="108B7D11"/>
    <w:rsid w:val="10E624D4"/>
    <w:rsid w:val="110132F2"/>
    <w:rsid w:val="112618E7"/>
    <w:rsid w:val="112F5DC6"/>
    <w:rsid w:val="114D4DFE"/>
    <w:rsid w:val="11800030"/>
    <w:rsid w:val="11A00F75"/>
    <w:rsid w:val="11E2703C"/>
    <w:rsid w:val="12404BF4"/>
    <w:rsid w:val="126D2B01"/>
    <w:rsid w:val="1275369F"/>
    <w:rsid w:val="129004AD"/>
    <w:rsid w:val="12A00582"/>
    <w:rsid w:val="13031917"/>
    <w:rsid w:val="138035BB"/>
    <w:rsid w:val="138358B3"/>
    <w:rsid w:val="139311CB"/>
    <w:rsid w:val="139A4730"/>
    <w:rsid w:val="13A8278C"/>
    <w:rsid w:val="13B876A8"/>
    <w:rsid w:val="13C5153D"/>
    <w:rsid w:val="13EA31F4"/>
    <w:rsid w:val="14494DDE"/>
    <w:rsid w:val="145C580D"/>
    <w:rsid w:val="14A42F04"/>
    <w:rsid w:val="14B95E37"/>
    <w:rsid w:val="14C70D08"/>
    <w:rsid w:val="14CF3EBF"/>
    <w:rsid w:val="14D10BF7"/>
    <w:rsid w:val="15435428"/>
    <w:rsid w:val="15522363"/>
    <w:rsid w:val="15A06877"/>
    <w:rsid w:val="15A4469B"/>
    <w:rsid w:val="15A44D56"/>
    <w:rsid w:val="15A9645B"/>
    <w:rsid w:val="15CB6F73"/>
    <w:rsid w:val="15E953D1"/>
    <w:rsid w:val="15FF3688"/>
    <w:rsid w:val="16044F47"/>
    <w:rsid w:val="16052814"/>
    <w:rsid w:val="163A5AA9"/>
    <w:rsid w:val="163B37AC"/>
    <w:rsid w:val="16436657"/>
    <w:rsid w:val="16E4148C"/>
    <w:rsid w:val="16EA1B61"/>
    <w:rsid w:val="172E636F"/>
    <w:rsid w:val="17327B00"/>
    <w:rsid w:val="1764543A"/>
    <w:rsid w:val="17746AC4"/>
    <w:rsid w:val="17804C87"/>
    <w:rsid w:val="178D730C"/>
    <w:rsid w:val="17CB0C57"/>
    <w:rsid w:val="17DE7202"/>
    <w:rsid w:val="17E648BC"/>
    <w:rsid w:val="1810761C"/>
    <w:rsid w:val="18536ECA"/>
    <w:rsid w:val="186616EC"/>
    <w:rsid w:val="18714989"/>
    <w:rsid w:val="18721531"/>
    <w:rsid w:val="18C158E2"/>
    <w:rsid w:val="193B7A16"/>
    <w:rsid w:val="194E2AD7"/>
    <w:rsid w:val="19632666"/>
    <w:rsid w:val="19885448"/>
    <w:rsid w:val="198D5B01"/>
    <w:rsid w:val="19905A54"/>
    <w:rsid w:val="199E27FB"/>
    <w:rsid w:val="19A66011"/>
    <w:rsid w:val="1A27276A"/>
    <w:rsid w:val="1A501008"/>
    <w:rsid w:val="1A5F33D2"/>
    <w:rsid w:val="1A616B7D"/>
    <w:rsid w:val="1A6E6471"/>
    <w:rsid w:val="1A7276A4"/>
    <w:rsid w:val="1A801F49"/>
    <w:rsid w:val="1A91505B"/>
    <w:rsid w:val="1A9A1477"/>
    <w:rsid w:val="1AAB12B9"/>
    <w:rsid w:val="1AD40AB9"/>
    <w:rsid w:val="1B0510F1"/>
    <w:rsid w:val="1B0A4A84"/>
    <w:rsid w:val="1B0C138C"/>
    <w:rsid w:val="1B2B5A35"/>
    <w:rsid w:val="1B5C214D"/>
    <w:rsid w:val="1C400A08"/>
    <w:rsid w:val="1C7328CC"/>
    <w:rsid w:val="1C8C20A0"/>
    <w:rsid w:val="1C8D42DD"/>
    <w:rsid w:val="1C9B1DF2"/>
    <w:rsid w:val="1CA415FF"/>
    <w:rsid w:val="1CC54AB8"/>
    <w:rsid w:val="1CD87FC9"/>
    <w:rsid w:val="1CF00F4A"/>
    <w:rsid w:val="1CFD3580"/>
    <w:rsid w:val="1D28080F"/>
    <w:rsid w:val="1D45127A"/>
    <w:rsid w:val="1D7C1969"/>
    <w:rsid w:val="1D7E5192"/>
    <w:rsid w:val="1DC7240D"/>
    <w:rsid w:val="1DC74FC1"/>
    <w:rsid w:val="1DCB7C76"/>
    <w:rsid w:val="1DD24998"/>
    <w:rsid w:val="1DF85FBF"/>
    <w:rsid w:val="1DFF7680"/>
    <w:rsid w:val="1E00393A"/>
    <w:rsid w:val="1E065FA4"/>
    <w:rsid w:val="1E2237AA"/>
    <w:rsid w:val="1E4E37C3"/>
    <w:rsid w:val="1E593C5F"/>
    <w:rsid w:val="1E714C4F"/>
    <w:rsid w:val="1EA12CF1"/>
    <w:rsid w:val="1EAB55A1"/>
    <w:rsid w:val="1EB72F9C"/>
    <w:rsid w:val="1ECA411D"/>
    <w:rsid w:val="1ECD362E"/>
    <w:rsid w:val="1EE30BE5"/>
    <w:rsid w:val="1EE81D26"/>
    <w:rsid w:val="1EF0287C"/>
    <w:rsid w:val="1F3B196F"/>
    <w:rsid w:val="1F6555FC"/>
    <w:rsid w:val="1F961842"/>
    <w:rsid w:val="206016DD"/>
    <w:rsid w:val="206674AA"/>
    <w:rsid w:val="20963B34"/>
    <w:rsid w:val="20993A2F"/>
    <w:rsid w:val="20B35CD5"/>
    <w:rsid w:val="20B84C29"/>
    <w:rsid w:val="20BD010E"/>
    <w:rsid w:val="20E72C69"/>
    <w:rsid w:val="20E93171"/>
    <w:rsid w:val="211E2367"/>
    <w:rsid w:val="212075C0"/>
    <w:rsid w:val="21851CA3"/>
    <w:rsid w:val="21862086"/>
    <w:rsid w:val="21AA703D"/>
    <w:rsid w:val="21B93B97"/>
    <w:rsid w:val="21F637D0"/>
    <w:rsid w:val="22001FFA"/>
    <w:rsid w:val="22321F91"/>
    <w:rsid w:val="22420EB8"/>
    <w:rsid w:val="2244237F"/>
    <w:rsid w:val="224934A6"/>
    <w:rsid w:val="229039BD"/>
    <w:rsid w:val="22DE25CD"/>
    <w:rsid w:val="22F20700"/>
    <w:rsid w:val="23053CF4"/>
    <w:rsid w:val="23167ECF"/>
    <w:rsid w:val="23240186"/>
    <w:rsid w:val="23270169"/>
    <w:rsid w:val="233178A2"/>
    <w:rsid w:val="233305EF"/>
    <w:rsid w:val="23421931"/>
    <w:rsid w:val="23425AA8"/>
    <w:rsid w:val="234A0E32"/>
    <w:rsid w:val="234E425A"/>
    <w:rsid w:val="235C6235"/>
    <w:rsid w:val="236005E1"/>
    <w:rsid w:val="2362371F"/>
    <w:rsid w:val="236F3DD3"/>
    <w:rsid w:val="23AB5944"/>
    <w:rsid w:val="23B17C4A"/>
    <w:rsid w:val="23B474C8"/>
    <w:rsid w:val="23BE270E"/>
    <w:rsid w:val="23ED3176"/>
    <w:rsid w:val="2403572C"/>
    <w:rsid w:val="240B6F5D"/>
    <w:rsid w:val="242541FF"/>
    <w:rsid w:val="24361C3B"/>
    <w:rsid w:val="2438010A"/>
    <w:rsid w:val="243B6686"/>
    <w:rsid w:val="243E4F46"/>
    <w:rsid w:val="24472B61"/>
    <w:rsid w:val="245143B6"/>
    <w:rsid w:val="24516D05"/>
    <w:rsid w:val="24617A1E"/>
    <w:rsid w:val="24BE26EE"/>
    <w:rsid w:val="24C40DD0"/>
    <w:rsid w:val="24EA22BC"/>
    <w:rsid w:val="24F715FE"/>
    <w:rsid w:val="24F80AD2"/>
    <w:rsid w:val="24F84EB4"/>
    <w:rsid w:val="25001582"/>
    <w:rsid w:val="250E7EB7"/>
    <w:rsid w:val="253B45B1"/>
    <w:rsid w:val="254D572E"/>
    <w:rsid w:val="255E5222"/>
    <w:rsid w:val="258306DF"/>
    <w:rsid w:val="258F42A0"/>
    <w:rsid w:val="25C04100"/>
    <w:rsid w:val="25C36084"/>
    <w:rsid w:val="25DA05B9"/>
    <w:rsid w:val="25E87F6B"/>
    <w:rsid w:val="26194434"/>
    <w:rsid w:val="261E1C85"/>
    <w:rsid w:val="263943E5"/>
    <w:rsid w:val="26567156"/>
    <w:rsid w:val="267C2691"/>
    <w:rsid w:val="27311A73"/>
    <w:rsid w:val="2791306A"/>
    <w:rsid w:val="27950104"/>
    <w:rsid w:val="27C3339B"/>
    <w:rsid w:val="27C875B8"/>
    <w:rsid w:val="27DB54EF"/>
    <w:rsid w:val="27E66D4C"/>
    <w:rsid w:val="28562284"/>
    <w:rsid w:val="285D24C3"/>
    <w:rsid w:val="28893937"/>
    <w:rsid w:val="28A42644"/>
    <w:rsid w:val="28BF607D"/>
    <w:rsid w:val="28C90C22"/>
    <w:rsid w:val="28F05539"/>
    <w:rsid w:val="28FE2AB2"/>
    <w:rsid w:val="29453241"/>
    <w:rsid w:val="295F5CB8"/>
    <w:rsid w:val="296B70D1"/>
    <w:rsid w:val="298E7153"/>
    <w:rsid w:val="298F35DB"/>
    <w:rsid w:val="29AC18AF"/>
    <w:rsid w:val="29D3586A"/>
    <w:rsid w:val="29E60EF5"/>
    <w:rsid w:val="2A1000A0"/>
    <w:rsid w:val="2A392761"/>
    <w:rsid w:val="2A43702E"/>
    <w:rsid w:val="2A4B1B1C"/>
    <w:rsid w:val="2A4D7DD8"/>
    <w:rsid w:val="2A6F05B2"/>
    <w:rsid w:val="2A776515"/>
    <w:rsid w:val="2A9675BF"/>
    <w:rsid w:val="2ACD64B2"/>
    <w:rsid w:val="2AEA4F6A"/>
    <w:rsid w:val="2B0347EF"/>
    <w:rsid w:val="2B164D17"/>
    <w:rsid w:val="2B29292B"/>
    <w:rsid w:val="2B2E3E5D"/>
    <w:rsid w:val="2B4B4CCE"/>
    <w:rsid w:val="2B7428DF"/>
    <w:rsid w:val="2B9E5F83"/>
    <w:rsid w:val="2BFC3660"/>
    <w:rsid w:val="2BFF58A2"/>
    <w:rsid w:val="2C032498"/>
    <w:rsid w:val="2C341D16"/>
    <w:rsid w:val="2C3C29F1"/>
    <w:rsid w:val="2CD07DA8"/>
    <w:rsid w:val="2CE455E0"/>
    <w:rsid w:val="2D0D3F93"/>
    <w:rsid w:val="2D1F42D5"/>
    <w:rsid w:val="2D583DDF"/>
    <w:rsid w:val="2D941E82"/>
    <w:rsid w:val="2DD974BA"/>
    <w:rsid w:val="2E1D6BA6"/>
    <w:rsid w:val="2ED131B1"/>
    <w:rsid w:val="2EDD394A"/>
    <w:rsid w:val="2EEF0413"/>
    <w:rsid w:val="2F181F4E"/>
    <w:rsid w:val="2F1C097B"/>
    <w:rsid w:val="2F4C4C59"/>
    <w:rsid w:val="2F67730C"/>
    <w:rsid w:val="2F82110B"/>
    <w:rsid w:val="2F8B34F0"/>
    <w:rsid w:val="30114936"/>
    <w:rsid w:val="301A4C11"/>
    <w:rsid w:val="30676AFF"/>
    <w:rsid w:val="30707EAF"/>
    <w:rsid w:val="30C25DAA"/>
    <w:rsid w:val="30CA08D3"/>
    <w:rsid w:val="30E06760"/>
    <w:rsid w:val="30FB3191"/>
    <w:rsid w:val="31070CE5"/>
    <w:rsid w:val="31306C96"/>
    <w:rsid w:val="31351DB1"/>
    <w:rsid w:val="315A4B45"/>
    <w:rsid w:val="31726B5D"/>
    <w:rsid w:val="319005ED"/>
    <w:rsid w:val="31941523"/>
    <w:rsid w:val="319A581C"/>
    <w:rsid w:val="31A85FFD"/>
    <w:rsid w:val="31B233E3"/>
    <w:rsid w:val="31E86CA7"/>
    <w:rsid w:val="31FD6D03"/>
    <w:rsid w:val="324967E6"/>
    <w:rsid w:val="32626D6F"/>
    <w:rsid w:val="32862EB4"/>
    <w:rsid w:val="328A0EAF"/>
    <w:rsid w:val="328E477D"/>
    <w:rsid w:val="329A0A0D"/>
    <w:rsid w:val="32A2269E"/>
    <w:rsid w:val="32A61CCB"/>
    <w:rsid w:val="32A92DD7"/>
    <w:rsid w:val="32CF4AC3"/>
    <w:rsid w:val="32DC622C"/>
    <w:rsid w:val="33251A7F"/>
    <w:rsid w:val="332D1A35"/>
    <w:rsid w:val="33336F1A"/>
    <w:rsid w:val="334E4210"/>
    <w:rsid w:val="338D7359"/>
    <w:rsid w:val="33DF6B01"/>
    <w:rsid w:val="33F62E53"/>
    <w:rsid w:val="33F924A6"/>
    <w:rsid w:val="3415234E"/>
    <w:rsid w:val="348B02D6"/>
    <w:rsid w:val="34BF4CED"/>
    <w:rsid w:val="34C04E4B"/>
    <w:rsid w:val="34D65820"/>
    <w:rsid w:val="34DD1293"/>
    <w:rsid w:val="34E06B9F"/>
    <w:rsid w:val="34F97281"/>
    <w:rsid w:val="3508011E"/>
    <w:rsid w:val="3514459B"/>
    <w:rsid w:val="356316EA"/>
    <w:rsid w:val="35A93E43"/>
    <w:rsid w:val="35AD57E7"/>
    <w:rsid w:val="35B12D05"/>
    <w:rsid w:val="35FF5C21"/>
    <w:rsid w:val="3613068B"/>
    <w:rsid w:val="36832E36"/>
    <w:rsid w:val="368376EA"/>
    <w:rsid w:val="368E7C55"/>
    <w:rsid w:val="36983CC8"/>
    <w:rsid w:val="36CE11B8"/>
    <w:rsid w:val="36D776BA"/>
    <w:rsid w:val="371203D6"/>
    <w:rsid w:val="37131C77"/>
    <w:rsid w:val="37283E32"/>
    <w:rsid w:val="37297CA1"/>
    <w:rsid w:val="3731220A"/>
    <w:rsid w:val="3747162A"/>
    <w:rsid w:val="379C2032"/>
    <w:rsid w:val="37BE3BB1"/>
    <w:rsid w:val="380C136D"/>
    <w:rsid w:val="383A0F28"/>
    <w:rsid w:val="383E0C74"/>
    <w:rsid w:val="383F58ED"/>
    <w:rsid w:val="3893525C"/>
    <w:rsid w:val="38BF17B4"/>
    <w:rsid w:val="38DB34CE"/>
    <w:rsid w:val="39021142"/>
    <w:rsid w:val="392352E7"/>
    <w:rsid w:val="392E0EED"/>
    <w:rsid w:val="395B4E7C"/>
    <w:rsid w:val="39A56CE9"/>
    <w:rsid w:val="39C90197"/>
    <w:rsid w:val="39CC3997"/>
    <w:rsid w:val="39CD484C"/>
    <w:rsid w:val="39EC31CE"/>
    <w:rsid w:val="39EF3796"/>
    <w:rsid w:val="39F465F0"/>
    <w:rsid w:val="3A0F61A5"/>
    <w:rsid w:val="3A107CC9"/>
    <w:rsid w:val="3AD71F81"/>
    <w:rsid w:val="3B4A5E15"/>
    <w:rsid w:val="3B7B3AE6"/>
    <w:rsid w:val="3BB11488"/>
    <w:rsid w:val="3BC86FE8"/>
    <w:rsid w:val="3BDF0FE9"/>
    <w:rsid w:val="3C0B160B"/>
    <w:rsid w:val="3C4A505B"/>
    <w:rsid w:val="3C4E4D54"/>
    <w:rsid w:val="3C621531"/>
    <w:rsid w:val="3C6748E0"/>
    <w:rsid w:val="3C746980"/>
    <w:rsid w:val="3C8111E3"/>
    <w:rsid w:val="3CB21BF2"/>
    <w:rsid w:val="3CC10C58"/>
    <w:rsid w:val="3CC51207"/>
    <w:rsid w:val="3CD1311A"/>
    <w:rsid w:val="3CDB29CF"/>
    <w:rsid w:val="3CFE0DE8"/>
    <w:rsid w:val="3D4604FF"/>
    <w:rsid w:val="3D8A5141"/>
    <w:rsid w:val="3DB11A96"/>
    <w:rsid w:val="3DE139D0"/>
    <w:rsid w:val="3E142466"/>
    <w:rsid w:val="3E4E645D"/>
    <w:rsid w:val="3E5A26EC"/>
    <w:rsid w:val="3E6542EA"/>
    <w:rsid w:val="3EB80B60"/>
    <w:rsid w:val="3EF42BDD"/>
    <w:rsid w:val="3EF671D6"/>
    <w:rsid w:val="3EF9295A"/>
    <w:rsid w:val="3F185670"/>
    <w:rsid w:val="3F636833"/>
    <w:rsid w:val="3F8A7432"/>
    <w:rsid w:val="3FB757BD"/>
    <w:rsid w:val="3FCA5204"/>
    <w:rsid w:val="3FD2735B"/>
    <w:rsid w:val="3FE368C0"/>
    <w:rsid w:val="3FF554B7"/>
    <w:rsid w:val="4003283C"/>
    <w:rsid w:val="40684E5A"/>
    <w:rsid w:val="40793B50"/>
    <w:rsid w:val="40875FBF"/>
    <w:rsid w:val="40933050"/>
    <w:rsid w:val="40CE7C69"/>
    <w:rsid w:val="40EA5F75"/>
    <w:rsid w:val="411169EC"/>
    <w:rsid w:val="41177102"/>
    <w:rsid w:val="414F0D21"/>
    <w:rsid w:val="41950207"/>
    <w:rsid w:val="419E6AB5"/>
    <w:rsid w:val="41DF354F"/>
    <w:rsid w:val="42391EED"/>
    <w:rsid w:val="4298263D"/>
    <w:rsid w:val="42AA6ACA"/>
    <w:rsid w:val="42D52E1F"/>
    <w:rsid w:val="42E66D3C"/>
    <w:rsid w:val="42E72BF9"/>
    <w:rsid w:val="433E5304"/>
    <w:rsid w:val="43466A90"/>
    <w:rsid w:val="43A1090D"/>
    <w:rsid w:val="43BC787D"/>
    <w:rsid w:val="43DC3583"/>
    <w:rsid w:val="43E04AF5"/>
    <w:rsid w:val="43E73EDC"/>
    <w:rsid w:val="43EB2A7A"/>
    <w:rsid w:val="43FB2F59"/>
    <w:rsid w:val="44022C46"/>
    <w:rsid w:val="44044B33"/>
    <w:rsid w:val="44054EC0"/>
    <w:rsid w:val="440A2023"/>
    <w:rsid w:val="4430448B"/>
    <w:rsid w:val="444B7414"/>
    <w:rsid w:val="446D459D"/>
    <w:rsid w:val="44797438"/>
    <w:rsid w:val="449A6B72"/>
    <w:rsid w:val="44C676EA"/>
    <w:rsid w:val="45103535"/>
    <w:rsid w:val="451231DA"/>
    <w:rsid w:val="45222A6A"/>
    <w:rsid w:val="452C3927"/>
    <w:rsid w:val="453A2776"/>
    <w:rsid w:val="45416348"/>
    <w:rsid w:val="455F59F2"/>
    <w:rsid w:val="456670E8"/>
    <w:rsid w:val="45A70FC7"/>
    <w:rsid w:val="46096E2C"/>
    <w:rsid w:val="46120C13"/>
    <w:rsid w:val="46306E30"/>
    <w:rsid w:val="465805B7"/>
    <w:rsid w:val="468A0016"/>
    <w:rsid w:val="46973645"/>
    <w:rsid w:val="469B24B0"/>
    <w:rsid w:val="46F24D18"/>
    <w:rsid w:val="46F9684D"/>
    <w:rsid w:val="47082F6C"/>
    <w:rsid w:val="471A6947"/>
    <w:rsid w:val="47535501"/>
    <w:rsid w:val="476237A3"/>
    <w:rsid w:val="478C47D7"/>
    <w:rsid w:val="47B80A73"/>
    <w:rsid w:val="47D054E1"/>
    <w:rsid w:val="48151DFA"/>
    <w:rsid w:val="48231A30"/>
    <w:rsid w:val="486940BF"/>
    <w:rsid w:val="486A5B45"/>
    <w:rsid w:val="487A768E"/>
    <w:rsid w:val="48814461"/>
    <w:rsid w:val="48913DBA"/>
    <w:rsid w:val="489B4E50"/>
    <w:rsid w:val="48A8504A"/>
    <w:rsid w:val="48B739C6"/>
    <w:rsid w:val="48C45B39"/>
    <w:rsid w:val="48C72F42"/>
    <w:rsid w:val="48DE51DA"/>
    <w:rsid w:val="48F85A59"/>
    <w:rsid w:val="48FE2851"/>
    <w:rsid w:val="494320D3"/>
    <w:rsid w:val="495E6F98"/>
    <w:rsid w:val="497534B4"/>
    <w:rsid w:val="49B2797F"/>
    <w:rsid w:val="49DA38A0"/>
    <w:rsid w:val="4A01564A"/>
    <w:rsid w:val="4A225023"/>
    <w:rsid w:val="4A361A71"/>
    <w:rsid w:val="4A6B1714"/>
    <w:rsid w:val="4A6E2928"/>
    <w:rsid w:val="4AA27259"/>
    <w:rsid w:val="4AB848AD"/>
    <w:rsid w:val="4AB92DA8"/>
    <w:rsid w:val="4ABB5584"/>
    <w:rsid w:val="4AE46A56"/>
    <w:rsid w:val="4B124441"/>
    <w:rsid w:val="4B2A769A"/>
    <w:rsid w:val="4B31733A"/>
    <w:rsid w:val="4B423067"/>
    <w:rsid w:val="4B55120F"/>
    <w:rsid w:val="4B661614"/>
    <w:rsid w:val="4B6907A1"/>
    <w:rsid w:val="4B7A43D1"/>
    <w:rsid w:val="4B8B4546"/>
    <w:rsid w:val="4B946B9A"/>
    <w:rsid w:val="4BC36227"/>
    <w:rsid w:val="4BFB4BF6"/>
    <w:rsid w:val="4C12608F"/>
    <w:rsid w:val="4C3C1EB1"/>
    <w:rsid w:val="4C3F7799"/>
    <w:rsid w:val="4C912CFA"/>
    <w:rsid w:val="4C931577"/>
    <w:rsid w:val="4CA74C54"/>
    <w:rsid w:val="4CCA6F70"/>
    <w:rsid w:val="4CDD20F3"/>
    <w:rsid w:val="4CE62A1A"/>
    <w:rsid w:val="4CF460E9"/>
    <w:rsid w:val="4D4E263B"/>
    <w:rsid w:val="4D730A7F"/>
    <w:rsid w:val="4D8C1B97"/>
    <w:rsid w:val="4DA578A0"/>
    <w:rsid w:val="4DA57C69"/>
    <w:rsid w:val="4DB4585C"/>
    <w:rsid w:val="4DB471C6"/>
    <w:rsid w:val="4DBC175A"/>
    <w:rsid w:val="4DC0329F"/>
    <w:rsid w:val="4DC87576"/>
    <w:rsid w:val="4DE73B54"/>
    <w:rsid w:val="4DED2DDA"/>
    <w:rsid w:val="4DF66BB7"/>
    <w:rsid w:val="4E013DEC"/>
    <w:rsid w:val="4E901E9C"/>
    <w:rsid w:val="4EA94181"/>
    <w:rsid w:val="4EAF36D3"/>
    <w:rsid w:val="4EB82B45"/>
    <w:rsid w:val="4EC315CD"/>
    <w:rsid w:val="4ECE6320"/>
    <w:rsid w:val="4F0A2E63"/>
    <w:rsid w:val="4F102BB5"/>
    <w:rsid w:val="4F231210"/>
    <w:rsid w:val="4F251E2F"/>
    <w:rsid w:val="4F541A82"/>
    <w:rsid w:val="4F5D3ED4"/>
    <w:rsid w:val="4F9040CA"/>
    <w:rsid w:val="4F9E1131"/>
    <w:rsid w:val="4FB073E4"/>
    <w:rsid w:val="4FCB21FA"/>
    <w:rsid w:val="4FEC1592"/>
    <w:rsid w:val="4FF2301A"/>
    <w:rsid w:val="500B3969"/>
    <w:rsid w:val="501773AC"/>
    <w:rsid w:val="501D5AB1"/>
    <w:rsid w:val="50685559"/>
    <w:rsid w:val="506C11F9"/>
    <w:rsid w:val="50CC67E3"/>
    <w:rsid w:val="51010F15"/>
    <w:rsid w:val="51051697"/>
    <w:rsid w:val="510D0EFD"/>
    <w:rsid w:val="510D475D"/>
    <w:rsid w:val="512345F5"/>
    <w:rsid w:val="513544C2"/>
    <w:rsid w:val="5139066E"/>
    <w:rsid w:val="517D7BEB"/>
    <w:rsid w:val="519A1E57"/>
    <w:rsid w:val="51A15B22"/>
    <w:rsid w:val="51AD32A1"/>
    <w:rsid w:val="51C536B3"/>
    <w:rsid w:val="51FA2841"/>
    <w:rsid w:val="52156C24"/>
    <w:rsid w:val="521B72A5"/>
    <w:rsid w:val="524D4853"/>
    <w:rsid w:val="52590390"/>
    <w:rsid w:val="52805844"/>
    <w:rsid w:val="529A2D6C"/>
    <w:rsid w:val="52B256B5"/>
    <w:rsid w:val="52B730F6"/>
    <w:rsid w:val="52DA3B6A"/>
    <w:rsid w:val="52F326C6"/>
    <w:rsid w:val="53116184"/>
    <w:rsid w:val="532375F6"/>
    <w:rsid w:val="532A1F5C"/>
    <w:rsid w:val="53371361"/>
    <w:rsid w:val="53596D1B"/>
    <w:rsid w:val="538815F7"/>
    <w:rsid w:val="53A91191"/>
    <w:rsid w:val="53C032F2"/>
    <w:rsid w:val="542550E7"/>
    <w:rsid w:val="54B5325B"/>
    <w:rsid w:val="54B934D9"/>
    <w:rsid w:val="54CA39EB"/>
    <w:rsid w:val="54E35B7C"/>
    <w:rsid w:val="54E95EC9"/>
    <w:rsid w:val="550F5EEE"/>
    <w:rsid w:val="55166920"/>
    <w:rsid w:val="5523662D"/>
    <w:rsid w:val="552B5A4D"/>
    <w:rsid w:val="55387CCB"/>
    <w:rsid w:val="554964D1"/>
    <w:rsid w:val="55555F09"/>
    <w:rsid w:val="555C7E77"/>
    <w:rsid w:val="55626A08"/>
    <w:rsid w:val="55A105ED"/>
    <w:rsid w:val="55A131FC"/>
    <w:rsid w:val="55E62793"/>
    <w:rsid w:val="55F76D30"/>
    <w:rsid w:val="55F94CD6"/>
    <w:rsid w:val="560E354A"/>
    <w:rsid w:val="56260878"/>
    <w:rsid w:val="5639155A"/>
    <w:rsid w:val="569E7A85"/>
    <w:rsid w:val="56D15CDE"/>
    <w:rsid w:val="56E26349"/>
    <w:rsid w:val="56F07953"/>
    <w:rsid w:val="56F57BAF"/>
    <w:rsid w:val="571B0FBA"/>
    <w:rsid w:val="57214138"/>
    <w:rsid w:val="573079FF"/>
    <w:rsid w:val="575C47AE"/>
    <w:rsid w:val="57777883"/>
    <w:rsid w:val="57940052"/>
    <w:rsid w:val="57A31A70"/>
    <w:rsid w:val="57AE464A"/>
    <w:rsid w:val="57D668D6"/>
    <w:rsid w:val="57E047E4"/>
    <w:rsid w:val="57E4116F"/>
    <w:rsid w:val="585D0E02"/>
    <w:rsid w:val="58650750"/>
    <w:rsid w:val="58716663"/>
    <w:rsid w:val="58755414"/>
    <w:rsid w:val="58856FCD"/>
    <w:rsid w:val="58967499"/>
    <w:rsid w:val="58E45917"/>
    <w:rsid w:val="58EC0C26"/>
    <w:rsid w:val="5915212E"/>
    <w:rsid w:val="59482155"/>
    <w:rsid w:val="59823DFB"/>
    <w:rsid w:val="598B60BC"/>
    <w:rsid w:val="59A9006E"/>
    <w:rsid w:val="59B47B55"/>
    <w:rsid w:val="59F37FC5"/>
    <w:rsid w:val="5A2D70FA"/>
    <w:rsid w:val="5A78146B"/>
    <w:rsid w:val="5A7F266F"/>
    <w:rsid w:val="5A86336D"/>
    <w:rsid w:val="5A8871EF"/>
    <w:rsid w:val="5A937EAF"/>
    <w:rsid w:val="5AB137B8"/>
    <w:rsid w:val="5ABD4091"/>
    <w:rsid w:val="5AC60F27"/>
    <w:rsid w:val="5AEA288A"/>
    <w:rsid w:val="5B286A45"/>
    <w:rsid w:val="5B2E5A3C"/>
    <w:rsid w:val="5B3678AD"/>
    <w:rsid w:val="5B421E78"/>
    <w:rsid w:val="5B460D50"/>
    <w:rsid w:val="5B662DD9"/>
    <w:rsid w:val="5B7853A3"/>
    <w:rsid w:val="5B814437"/>
    <w:rsid w:val="5B8C6B22"/>
    <w:rsid w:val="5B8F03EB"/>
    <w:rsid w:val="5BA3149E"/>
    <w:rsid w:val="5BA45F9A"/>
    <w:rsid w:val="5BBB10E9"/>
    <w:rsid w:val="5BD82CA0"/>
    <w:rsid w:val="5BE7197D"/>
    <w:rsid w:val="5BF37A20"/>
    <w:rsid w:val="5C144168"/>
    <w:rsid w:val="5C1D6BE3"/>
    <w:rsid w:val="5C34329B"/>
    <w:rsid w:val="5C6B0AA1"/>
    <w:rsid w:val="5C7B1A0A"/>
    <w:rsid w:val="5C9D7258"/>
    <w:rsid w:val="5CA15820"/>
    <w:rsid w:val="5CB66C54"/>
    <w:rsid w:val="5CFD0715"/>
    <w:rsid w:val="5D09512A"/>
    <w:rsid w:val="5D14050A"/>
    <w:rsid w:val="5D172CA4"/>
    <w:rsid w:val="5D2C603A"/>
    <w:rsid w:val="5D4162EC"/>
    <w:rsid w:val="5D431E2E"/>
    <w:rsid w:val="5D4B508E"/>
    <w:rsid w:val="5D564D6F"/>
    <w:rsid w:val="5DFB7ED7"/>
    <w:rsid w:val="5E08667B"/>
    <w:rsid w:val="5E0C7890"/>
    <w:rsid w:val="5E1B44AC"/>
    <w:rsid w:val="5E384ACE"/>
    <w:rsid w:val="5E58127F"/>
    <w:rsid w:val="5E6E4CBF"/>
    <w:rsid w:val="5E9C0882"/>
    <w:rsid w:val="5EC8269D"/>
    <w:rsid w:val="5ED5786C"/>
    <w:rsid w:val="5F251480"/>
    <w:rsid w:val="5F2A0C65"/>
    <w:rsid w:val="5F4953D8"/>
    <w:rsid w:val="5F856503"/>
    <w:rsid w:val="5F9C052F"/>
    <w:rsid w:val="5FAE4FD1"/>
    <w:rsid w:val="5FCB523A"/>
    <w:rsid w:val="5FF02C6C"/>
    <w:rsid w:val="602844EF"/>
    <w:rsid w:val="603E4596"/>
    <w:rsid w:val="60500FA8"/>
    <w:rsid w:val="606D5820"/>
    <w:rsid w:val="607D344D"/>
    <w:rsid w:val="608D00DF"/>
    <w:rsid w:val="60A26592"/>
    <w:rsid w:val="60C32C51"/>
    <w:rsid w:val="60C93644"/>
    <w:rsid w:val="60F50A86"/>
    <w:rsid w:val="60FB32DA"/>
    <w:rsid w:val="61064E33"/>
    <w:rsid w:val="611E4A5F"/>
    <w:rsid w:val="61217355"/>
    <w:rsid w:val="61412388"/>
    <w:rsid w:val="618A7364"/>
    <w:rsid w:val="619E6348"/>
    <w:rsid w:val="61B60BAE"/>
    <w:rsid w:val="61F700EF"/>
    <w:rsid w:val="61F91807"/>
    <w:rsid w:val="625409B0"/>
    <w:rsid w:val="62847F3C"/>
    <w:rsid w:val="6285725C"/>
    <w:rsid w:val="630E271A"/>
    <w:rsid w:val="63162CDE"/>
    <w:rsid w:val="63254DC7"/>
    <w:rsid w:val="632637D9"/>
    <w:rsid w:val="632744DE"/>
    <w:rsid w:val="63315D8B"/>
    <w:rsid w:val="63363A6F"/>
    <w:rsid w:val="633E2C44"/>
    <w:rsid w:val="63420A33"/>
    <w:rsid w:val="635E6959"/>
    <w:rsid w:val="637C517D"/>
    <w:rsid w:val="63814187"/>
    <w:rsid w:val="63CC1AEC"/>
    <w:rsid w:val="63F53896"/>
    <w:rsid w:val="63FC310E"/>
    <w:rsid w:val="641476B8"/>
    <w:rsid w:val="644510D7"/>
    <w:rsid w:val="647E66F8"/>
    <w:rsid w:val="64B7332D"/>
    <w:rsid w:val="65087404"/>
    <w:rsid w:val="65226F3B"/>
    <w:rsid w:val="654A6F89"/>
    <w:rsid w:val="657C7C64"/>
    <w:rsid w:val="65821B82"/>
    <w:rsid w:val="6593698D"/>
    <w:rsid w:val="65A85F93"/>
    <w:rsid w:val="65CE3E56"/>
    <w:rsid w:val="65D6186D"/>
    <w:rsid w:val="65EA307F"/>
    <w:rsid w:val="65F53153"/>
    <w:rsid w:val="65FD4A13"/>
    <w:rsid w:val="663401D0"/>
    <w:rsid w:val="66382EF7"/>
    <w:rsid w:val="663A6CF4"/>
    <w:rsid w:val="664D6053"/>
    <w:rsid w:val="664E6A7D"/>
    <w:rsid w:val="66806EE2"/>
    <w:rsid w:val="668332C9"/>
    <w:rsid w:val="66AE3579"/>
    <w:rsid w:val="66DC5157"/>
    <w:rsid w:val="67003C27"/>
    <w:rsid w:val="670850A7"/>
    <w:rsid w:val="67266236"/>
    <w:rsid w:val="676F2BA5"/>
    <w:rsid w:val="677A4468"/>
    <w:rsid w:val="67BE7D6F"/>
    <w:rsid w:val="67C031E7"/>
    <w:rsid w:val="67D143AA"/>
    <w:rsid w:val="67D345A3"/>
    <w:rsid w:val="67E47A65"/>
    <w:rsid w:val="68016A6B"/>
    <w:rsid w:val="68090B7B"/>
    <w:rsid w:val="680E4CDF"/>
    <w:rsid w:val="68623411"/>
    <w:rsid w:val="68646674"/>
    <w:rsid w:val="68962BCC"/>
    <w:rsid w:val="689A34AB"/>
    <w:rsid w:val="68B91C8F"/>
    <w:rsid w:val="68BC72C5"/>
    <w:rsid w:val="68DC48E0"/>
    <w:rsid w:val="68DD233E"/>
    <w:rsid w:val="69022C1A"/>
    <w:rsid w:val="69155734"/>
    <w:rsid w:val="694A731E"/>
    <w:rsid w:val="695B2C36"/>
    <w:rsid w:val="69774A45"/>
    <w:rsid w:val="69A81E0E"/>
    <w:rsid w:val="69AA5889"/>
    <w:rsid w:val="69B206E0"/>
    <w:rsid w:val="69ED1242"/>
    <w:rsid w:val="69F121DE"/>
    <w:rsid w:val="6A22511A"/>
    <w:rsid w:val="6A376AFB"/>
    <w:rsid w:val="6A390836"/>
    <w:rsid w:val="6A451CC2"/>
    <w:rsid w:val="6A5E4F9A"/>
    <w:rsid w:val="6A896BE5"/>
    <w:rsid w:val="6A900A08"/>
    <w:rsid w:val="6A9D3E38"/>
    <w:rsid w:val="6AF75B58"/>
    <w:rsid w:val="6AFA13E0"/>
    <w:rsid w:val="6AFA6FBB"/>
    <w:rsid w:val="6AFA7658"/>
    <w:rsid w:val="6B3168EC"/>
    <w:rsid w:val="6B473025"/>
    <w:rsid w:val="6B89521A"/>
    <w:rsid w:val="6BCC6E33"/>
    <w:rsid w:val="6BE22125"/>
    <w:rsid w:val="6C1369AA"/>
    <w:rsid w:val="6C1A53FF"/>
    <w:rsid w:val="6C6F4D3D"/>
    <w:rsid w:val="6C950AE3"/>
    <w:rsid w:val="6C956C96"/>
    <w:rsid w:val="6CB163B6"/>
    <w:rsid w:val="6CB730A4"/>
    <w:rsid w:val="6CD61291"/>
    <w:rsid w:val="6CDB405E"/>
    <w:rsid w:val="6CE9060B"/>
    <w:rsid w:val="6D0268D6"/>
    <w:rsid w:val="6D2617EC"/>
    <w:rsid w:val="6D280C63"/>
    <w:rsid w:val="6D57712D"/>
    <w:rsid w:val="6DCD7F6B"/>
    <w:rsid w:val="6DF502B9"/>
    <w:rsid w:val="6DFA70C2"/>
    <w:rsid w:val="6DFB709A"/>
    <w:rsid w:val="6E3A32CE"/>
    <w:rsid w:val="6E3D0B6A"/>
    <w:rsid w:val="6E466662"/>
    <w:rsid w:val="6E6B71DB"/>
    <w:rsid w:val="6EA362F4"/>
    <w:rsid w:val="6EB0191A"/>
    <w:rsid w:val="6F1C23DC"/>
    <w:rsid w:val="6F2110D0"/>
    <w:rsid w:val="6F3F6F1C"/>
    <w:rsid w:val="6F5A6368"/>
    <w:rsid w:val="6F6824B9"/>
    <w:rsid w:val="6F6B6036"/>
    <w:rsid w:val="6F7576D0"/>
    <w:rsid w:val="6F764F7F"/>
    <w:rsid w:val="6F984159"/>
    <w:rsid w:val="6FA21116"/>
    <w:rsid w:val="6FB91228"/>
    <w:rsid w:val="6FD45E95"/>
    <w:rsid w:val="70081199"/>
    <w:rsid w:val="700B0D0E"/>
    <w:rsid w:val="701557A9"/>
    <w:rsid w:val="70322E6E"/>
    <w:rsid w:val="709236FE"/>
    <w:rsid w:val="70AF29F5"/>
    <w:rsid w:val="70B0634F"/>
    <w:rsid w:val="70B80716"/>
    <w:rsid w:val="70BD7B8B"/>
    <w:rsid w:val="70C2541E"/>
    <w:rsid w:val="70D36B8C"/>
    <w:rsid w:val="7112397F"/>
    <w:rsid w:val="713676EA"/>
    <w:rsid w:val="713F279B"/>
    <w:rsid w:val="715B2C94"/>
    <w:rsid w:val="715C640D"/>
    <w:rsid w:val="716E12E0"/>
    <w:rsid w:val="717B7C74"/>
    <w:rsid w:val="71842260"/>
    <w:rsid w:val="71933B17"/>
    <w:rsid w:val="71962347"/>
    <w:rsid w:val="719A03AB"/>
    <w:rsid w:val="71B765A5"/>
    <w:rsid w:val="71B85AE2"/>
    <w:rsid w:val="71DE3CBC"/>
    <w:rsid w:val="721E3C48"/>
    <w:rsid w:val="722A0D19"/>
    <w:rsid w:val="723D4B43"/>
    <w:rsid w:val="72A008F2"/>
    <w:rsid w:val="72A87DF6"/>
    <w:rsid w:val="72DC74A1"/>
    <w:rsid w:val="72E516D6"/>
    <w:rsid w:val="72FA5912"/>
    <w:rsid w:val="734A53A3"/>
    <w:rsid w:val="73A9330E"/>
    <w:rsid w:val="73A96097"/>
    <w:rsid w:val="73CE5EEA"/>
    <w:rsid w:val="73D32E8F"/>
    <w:rsid w:val="73E06E92"/>
    <w:rsid w:val="73FD6586"/>
    <w:rsid w:val="740B66A0"/>
    <w:rsid w:val="7419563A"/>
    <w:rsid w:val="74705A35"/>
    <w:rsid w:val="747405C4"/>
    <w:rsid w:val="7476575A"/>
    <w:rsid w:val="74A416B3"/>
    <w:rsid w:val="74AF129E"/>
    <w:rsid w:val="74B4443F"/>
    <w:rsid w:val="74CE35BD"/>
    <w:rsid w:val="750C27EE"/>
    <w:rsid w:val="75447E53"/>
    <w:rsid w:val="756E5407"/>
    <w:rsid w:val="75E421E3"/>
    <w:rsid w:val="75F47043"/>
    <w:rsid w:val="76026D8D"/>
    <w:rsid w:val="761C736A"/>
    <w:rsid w:val="7704215A"/>
    <w:rsid w:val="7753414A"/>
    <w:rsid w:val="77644E3D"/>
    <w:rsid w:val="77764CBC"/>
    <w:rsid w:val="778D06EB"/>
    <w:rsid w:val="77CE6580"/>
    <w:rsid w:val="77FB4FB1"/>
    <w:rsid w:val="78026215"/>
    <w:rsid w:val="783A6203"/>
    <w:rsid w:val="78531AE7"/>
    <w:rsid w:val="78D200FA"/>
    <w:rsid w:val="78DC42FD"/>
    <w:rsid w:val="78F04373"/>
    <w:rsid w:val="790F36EE"/>
    <w:rsid w:val="791D5FBB"/>
    <w:rsid w:val="797C7612"/>
    <w:rsid w:val="797E7DFC"/>
    <w:rsid w:val="79DA1E6F"/>
    <w:rsid w:val="79FA43CB"/>
    <w:rsid w:val="79FA7173"/>
    <w:rsid w:val="79FD1061"/>
    <w:rsid w:val="7A027F64"/>
    <w:rsid w:val="7A9101BF"/>
    <w:rsid w:val="7A982BC4"/>
    <w:rsid w:val="7AE86EFD"/>
    <w:rsid w:val="7AE961E6"/>
    <w:rsid w:val="7AEF684B"/>
    <w:rsid w:val="7B0253A3"/>
    <w:rsid w:val="7B240A9F"/>
    <w:rsid w:val="7B400F9B"/>
    <w:rsid w:val="7B715700"/>
    <w:rsid w:val="7B787442"/>
    <w:rsid w:val="7B8600CE"/>
    <w:rsid w:val="7B8955CC"/>
    <w:rsid w:val="7BAF116A"/>
    <w:rsid w:val="7BB62DAE"/>
    <w:rsid w:val="7BB66493"/>
    <w:rsid w:val="7BCF48E4"/>
    <w:rsid w:val="7BDA1655"/>
    <w:rsid w:val="7BF96742"/>
    <w:rsid w:val="7C210970"/>
    <w:rsid w:val="7C356FDB"/>
    <w:rsid w:val="7C362E0E"/>
    <w:rsid w:val="7C503141"/>
    <w:rsid w:val="7C900D2C"/>
    <w:rsid w:val="7C9761F6"/>
    <w:rsid w:val="7C9F542C"/>
    <w:rsid w:val="7CA76A3B"/>
    <w:rsid w:val="7CF35643"/>
    <w:rsid w:val="7D054576"/>
    <w:rsid w:val="7D083865"/>
    <w:rsid w:val="7D21002C"/>
    <w:rsid w:val="7D3326A5"/>
    <w:rsid w:val="7D5753B4"/>
    <w:rsid w:val="7D7607EF"/>
    <w:rsid w:val="7DA40CBD"/>
    <w:rsid w:val="7DB4432B"/>
    <w:rsid w:val="7DF7660D"/>
    <w:rsid w:val="7E4176AB"/>
    <w:rsid w:val="7E447767"/>
    <w:rsid w:val="7E6C1BD9"/>
    <w:rsid w:val="7EC11AD2"/>
    <w:rsid w:val="7EFA4763"/>
    <w:rsid w:val="7F15004C"/>
    <w:rsid w:val="7F5B2758"/>
    <w:rsid w:val="7F872E0C"/>
    <w:rsid w:val="7F8819A0"/>
    <w:rsid w:val="7FBD61A9"/>
    <w:rsid w:val="7FD351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4"/>
    <w:link w:val="64"/>
    <w:qFormat/>
    <w:uiPriority w:val="0"/>
    <w:pPr>
      <w:keepNext/>
      <w:keepLines/>
      <w:spacing w:after="120" w:line="360" w:lineRule="auto"/>
      <w:outlineLvl w:val="0"/>
    </w:pPr>
    <w:rPr>
      <w:kern w:val="44"/>
      <w:sz w:val="28"/>
      <w:szCs w:val="28"/>
    </w:rPr>
  </w:style>
  <w:style w:type="paragraph" w:styleId="4">
    <w:name w:val="heading 2"/>
    <w:basedOn w:val="1"/>
    <w:next w:val="1"/>
    <w:link w:val="65"/>
    <w:qFormat/>
    <w:uiPriority w:val="0"/>
    <w:pPr>
      <w:keepNext/>
      <w:keepLines/>
      <w:numPr>
        <w:ilvl w:val="1"/>
        <w:numId w:val="0"/>
      </w:numPr>
      <w:spacing w:before="120" w:after="120" w:line="415" w:lineRule="auto"/>
      <w:ind w:left="454"/>
      <w:jc w:val="center"/>
      <w:outlineLvl w:val="1"/>
    </w:pPr>
    <w:rPr>
      <w:rFonts w:ascii="Arial" w:hAnsi="Arial"/>
      <w:b/>
      <w:color w:val="000000"/>
      <w:kern w:val="0"/>
      <w:sz w:val="24"/>
      <w:szCs w:val="24"/>
    </w:rPr>
  </w:style>
  <w:style w:type="paragraph" w:styleId="5">
    <w:name w:val="heading 3"/>
    <w:basedOn w:val="1"/>
    <w:next w:val="1"/>
    <w:link w:val="66"/>
    <w:qFormat/>
    <w:uiPriority w:val="0"/>
    <w:pPr>
      <w:widowControl/>
      <w:spacing w:before="100" w:beforeAutospacing="1" w:after="100" w:afterAutospacing="1"/>
      <w:jc w:val="left"/>
      <w:outlineLvl w:val="2"/>
    </w:pPr>
    <w:rPr>
      <w:rFonts w:ascii="宋体" w:hAnsi="宋体"/>
      <w:kern w:val="0"/>
      <w:sz w:val="27"/>
      <w:szCs w:val="27"/>
    </w:rPr>
  </w:style>
  <w:style w:type="paragraph" w:styleId="6">
    <w:name w:val="heading 4"/>
    <w:basedOn w:val="5"/>
    <w:next w:val="7"/>
    <w:link w:val="67"/>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olor w:val="000000"/>
      <w:kern w:val="2"/>
      <w:sz w:val="21"/>
      <w:szCs w:val="21"/>
    </w:rPr>
  </w:style>
  <w:style w:type="paragraph" w:styleId="8">
    <w:name w:val="heading 5"/>
    <w:basedOn w:val="6"/>
    <w:next w:val="7"/>
    <w:link w:val="69"/>
    <w:qFormat/>
    <w:uiPriority w:val="0"/>
    <w:pPr>
      <w:numPr>
        <w:ilvl w:val="4"/>
        <w:numId w:val="1"/>
      </w:numPr>
      <w:spacing w:line="240" w:lineRule="exact"/>
      <w:outlineLvl w:val="4"/>
    </w:pPr>
  </w:style>
  <w:style w:type="paragraph" w:styleId="9">
    <w:name w:val="heading 6"/>
    <w:basedOn w:val="1"/>
    <w:next w:val="1"/>
    <w:link w:val="70"/>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7"/>
    <w:link w:val="71"/>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7"/>
    <w:link w:val="7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7"/>
    <w:link w:val="73"/>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77"/>
    <w:qFormat/>
    <w:uiPriority w:val="0"/>
    <w:pPr>
      <w:spacing w:after="120"/>
    </w:pPr>
    <w:rPr>
      <w:kern w:val="0"/>
      <w:sz w:val="20"/>
      <w:szCs w:val="20"/>
    </w:rPr>
  </w:style>
  <w:style w:type="paragraph" w:styleId="7">
    <w:name w:val="Normal Indent"/>
    <w:basedOn w:val="1"/>
    <w:next w:val="1"/>
    <w:link w:val="68"/>
    <w:qFormat/>
    <w:uiPriority w:val="0"/>
    <w:pPr>
      <w:ind w:firstLine="420"/>
    </w:pPr>
    <w:rPr>
      <w:szCs w:val="20"/>
    </w:rPr>
  </w:style>
  <w:style w:type="paragraph" w:styleId="13">
    <w:name w:val="toc 7"/>
    <w:basedOn w:val="1"/>
    <w:next w:val="1"/>
    <w:qFormat/>
    <w:uiPriority w:val="0"/>
    <w:pPr>
      <w:ind w:left="2520" w:leftChars="1200"/>
    </w:pPr>
    <w:rPr>
      <w:rFonts w:ascii="Times New Roman" w:hAnsi="Times New Roman"/>
      <w:szCs w:val="24"/>
    </w:r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numPr>
        <w:ilvl w:val="0"/>
        <w:numId w:val="3"/>
      </w:numPr>
      <w:tabs>
        <w:tab w:val="left" w:pos="360"/>
      </w:tabs>
    </w:pPr>
    <w:rPr>
      <w:rFonts w:ascii="Times New Roman" w:hAnsi="Times New Roman"/>
      <w:szCs w:val="24"/>
    </w:rPr>
  </w:style>
  <w:style w:type="paragraph" w:styleId="16">
    <w:name w:val="Document Map"/>
    <w:basedOn w:val="1"/>
    <w:link w:val="74"/>
    <w:qFormat/>
    <w:uiPriority w:val="0"/>
    <w:pPr>
      <w:shd w:val="clear" w:color="auto" w:fill="000080"/>
    </w:pPr>
    <w:rPr>
      <w:kern w:val="0"/>
      <w:sz w:val="20"/>
      <w:szCs w:val="20"/>
    </w:rPr>
  </w:style>
  <w:style w:type="paragraph" w:styleId="17">
    <w:name w:val="annotation text"/>
    <w:basedOn w:val="1"/>
    <w:link w:val="75"/>
    <w:qFormat/>
    <w:uiPriority w:val="0"/>
    <w:pPr>
      <w:spacing w:line="360" w:lineRule="auto"/>
      <w:ind w:firstLine="523" w:firstLineChars="218"/>
      <w:jc w:val="left"/>
    </w:pPr>
    <w:rPr>
      <w:rFonts w:ascii="宋体" w:hAnsi="宋体"/>
      <w:kern w:val="0"/>
      <w:sz w:val="24"/>
      <w:szCs w:val="24"/>
    </w:rPr>
  </w:style>
  <w:style w:type="paragraph" w:styleId="18">
    <w:name w:val="Body Text 3"/>
    <w:basedOn w:val="1"/>
    <w:link w:val="76"/>
    <w:unhideWhenUsed/>
    <w:qFormat/>
    <w:uiPriority w:val="0"/>
    <w:rPr>
      <w:rFonts w:ascii="仿宋_GB2312"/>
      <w:kern w:val="0"/>
      <w:sz w:val="16"/>
      <w:szCs w:val="16"/>
    </w:rPr>
  </w:style>
  <w:style w:type="paragraph" w:styleId="19">
    <w:name w:val="Body Text Indent"/>
    <w:basedOn w:val="1"/>
    <w:link w:val="78"/>
    <w:qFormat/>
    <w:uiPriority w:val="0"/>
    <w:pPr>
      <w:ind w:firstLine="570"/>
    </w:pPr>
    <w:rPr>
      <w:kern w:val="0"/>
      <w:sz w:val="28"/>
      <w:szCs w:val="20"/>
    </w:rPr>
  </w:style>
  <w:style w:type="paragraph" w:styleId="20">
    <w:name w:val="List 2"/>
    <w:basedOn w:val="1"/>
    <w:qFormat/>
    <w:uiPriority w:val="0"/>
    <w:pPr>
      <w:spacing w:line="500" w:lineRule="exact"/>
      <w:ind w:left="1" w:firstLine="539"/>
    </w:pPr>
    <w:rPr>
      <w:rFonts w:ascii="Times New Roman" w:hAnsi="Times New Roman"/>
      <w:sz w:val="28"/>
      <w:szCs w:val="20"/>
    </w:rPr>
  </w:style>
  <w:style w:type="paragraph" w:styleId="21">
    <w:name w:val="Block Text"/>
    <w:basedOn w:val="1"/>
    <w:qFormat/>
    <w:uiPriority w:val="0"/>
    <w:pPr>
      <w:tabs>
        <w:tab w:val="left" w:pos="720"/>
      </w:tabs>
      <w:snapToGrid w:val="0"/>
      <w:spacing w:line="360" w:lineRule="auto"/>
      <w:ind w:left="-178" w:leftChars="-85" w:rightChars="-159" w:firstLine="540" w:firstLineChars="225"/>
    </w:pPr>
    <w:rPr>
      <w:rFonts w:ascii="Times New Roman" w:hAnsi="Times New Roman"/>
      <w:sz w:val="24"/>
      <w:szCs w:val="20"/>
    </w:rPr>
  </w:style>
  <w:style w:type="paragraph" w:styleId="22">
    <w:name w:val="List Bullet 2"/>
    <w:basedOn w:val="15"/>
    <w:qFormat/>
    <w:uiPriority w:val="0"/>
    <w:pPr>
      <w:widowControl/>
      <w:numPr>
        <w:ilvl w:val="0"/>
        <w:numId w:val="4"/>
      </w:numPr>
      <w:tabs>
        <w:tab w:val="left" w:pos="432"/>
      </w:tabs>
      <w:spacing w:after="220" w:line="220" w:lineRule="atLeast"/>
      <w:ind w:left="2160" w:right="720" w:hanging="432"/>
      <w:jc w:val="left"/>
    </w:pPr>
    <w:rPr>
      <w:kern w:val="0"/>
      <w:szCs w:val="20"/>
    </w:rPr>
  </w:style>
  <w:style w:type="paragraph" w:styleId="23">
    <w:name w:val="index 4"/>
    <w:basedOn w:val="1"/>
    <w:next w:val="1"/>
    <w:qFormat/>
    <w:uiPriority w:val="0"/>
    <w:pPr>
      <w:ind w:left="600" w:leftChars="600"/>
    </w:pPr>
    <w:rPr>
      <w:rFonts w:ascii="Times New Roman" w:hAnsi="Times New Roman"/>
      <w:szCs w:val="24"/>
    </w:rPr>
  </w:style>
  <w:style w:type="paragraph" w:styleId="24">
    <w:name w:val="toc 5"/>
    <w:basedOn w:val="1"/>
    <w:next w:val="1"/>
    <w:qFormat/>
    <w:uiPriority w:val="0"/>
    <w:pPr>
      <w:ind w:left="1680" w:leftChars="800"/>
    </w:pPr>
    <w:rPr>
      <w:rFonts w:ascii="Times New Roman" w:hAnsi="Times New Roman"/>
      <w:szCs w:val="24"/>
    </w:rPr>
  </w:style>
  <w:style w:type="paragraph" w:styleId="25">
    <w:name w:val="toc 3"/>
    <w:basedOn w:val="1"/>
    <w:next w:val="1"/>
    <w:qFormat/>
    <w:uiPriority w:val="0"/>
    <w:pPr>
      <w:snapToGrid w:val="0"/>
      <w:spacing w:line="360" w:lineRule="auto"/>
      <w:ind w:left="400" w:leftChars="400"/>
      <w:jc w:val="left"/>
    </w:pPr>
    <w:rPr>
      <w:rFonts w:ascii="Times New Roman" w:hAnsi="Times New Roman"/>
      <w:sz w:val="24"/>
      <w:szCs w:val="20"/>
    </w:rPr>
  </w:style>
  <w:style w:type="paragraph" w:styleId="26">
    <w:name w:val="Plain Text"/>
    <w:basedOn w:val="1"/>
    <w:link w:val="63"/>
    <w:qFormat/>
    <w:uiPriority w:val="0"/>
    <w:rPr>
      <w:rFonts w:ascii="宋体" w:hAnsi="Courier New"/>
      <w:kern w:val="0"/>
      <w:sz w:val="20"/>
      <w:szCs w:val="20"/>
    </w:rPr>
  </w:style>
  <w:style w:type="paragraph" w:styleId="27">
    <w:name w:val="toc 8"/>
    <w:basedOn w:val="1"/>
    <w:next w:val="1"/>
    <w:qFormat/>
    <w:uiPriority w:val="0"/>
    <w:pPr>
      <w:ind w:left="2940" w:leftChars="1400"/>
    </w:pPr>
    <w:rPr>
      <w:rFonts w:ascii="Times New Roman" w:hAnsi="Times New Roman"/>
      <w:szCs w:val="24"/>
    </w:rPr>
  </w:style>
  <w:style w:type="paragraph" w:styleId="28">
    <w:name w:val="Date"/>
    <w:basedOn w:val="1"/>
    <w:next w:val="1"/>
    <w:link w:val="79"/>
    <w:qFormat/>
    <w:uiPriority w:val="0"/>
    <w:rPr>
      <w:kern w:val="0"/>
      <w:sz w:val="20"/>
      <w:szCs w:val="20"/>
    </w:rPr>
  </w:style>
  <w:style w:type="paragraph" w:styleId="29">
    <w:name w:val="Body Text Indent 2"/>
    <w:basedOn w:val="1"/>
    <w:link w:val="80"/>
    <w:qFormat/>
    <w:uiPriority w:val="0"/>
    <w:pPr>
      <w:spacing w:line="400" w:lineRule="exact"/>
      <w:ind w:left="425"/>
    </w:pPr>
    <w:rPr>
      <w:color w:val="000000"/>
      <w:kern w:val="0"/>
      <w:sz w:val="24"/>
      <w:szCs w:val="20"/>
    </w:rPr>
  </w:style>
  <w:style w:type="paragraph" w:styleId="30">
    <w:name w:val="endnote text"/>
    <w:basedOn w:val="1"/>
    <w:link w:val="81"/>
    <w:qFormat/>
    <w:uiPriority w:val="0"/>
    <w:pPr>
      <w:snapToGrid w:val="0"/>
      <w:jc w:val="left"/>
    </w:pPr>
    <w:rPr>
      <w:kern w:val="0"/>
      <w:sz w:val="20"/>
      <w:szCs w:val="20"/>
    </w:rPr>
  </w:style>
  <w:style w:type="paragraph" w:styleId="31">
    <w:name w:val="Balloon Text"/>
    <w:basedOn w:val="1"/>
    <w:link w:val="82"/>
    <w:qFormat/>
    <w:uiPriority w:val="0"/>
    <w:rPr>
      <w:kern w:val="0"/>
      <w:sz w:val="18"/>
      <w:szCs w:val="18"/>
    </w:rPr>
  </w:style>
  <w:style w:type="paragraph" w:styleId="32">
    <w:name w:val="footer"/>
    <w:basedOn w:val="1"/>
    <w:link w:val="83"/>
    <w:unhideWhenUsed/>
    <w:qFormat/>
    <w:uiPriority w:val="99"/>
    <w:pPr>
      <w:tabs>
        <w:tab w:val="center" w:pos="4153"/>
        <w:tab w:val="right" w:pos="8306"/>
      </w:tabs>
      <w:snapToGrid w:val="0"/>
      <w:jc w:val="left"/>
    </w:pPr>
    <w:rPr>
      <w:rFonts w:ascii="Calibri" w:hAnsi="Calibri"/>
      <w:kern w:val="0"/>
      <w:sz w:val="18"/>
      <w:szCs w:val="18"/>
    </w:rPr>
  </w:style>
  <w:style w:type="paragraph" w:styleId="33">
    <w:name w:val="envelope return"/>
    <w:basedOn w:val="1"/>
    <w:qFormat/>
    <w:uiPriority w:val="0"/>
    <w:pPr>
      <w:snapToGrid w:val="0"/>
    </w:pPr>
    <w:rPr>
      <w:rFonts w:ascii="Arial" w:hAnsi="Arial" w:eastAsia="宋体" w:cs="Times New Roman"/>
      <w:szCs w:val="24"/>
      <w:lang w:bidi="ar-SA"/>
    </w:rPr>
  </w:style>
  <w:style w:type="paragraph" w:styleId="34">
    <w:name w:val="header"/>
    <w:basedOn w:val="1"/>
    <w:link w:val="84"/>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5">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6">
    <w:name w:val="toc 4"/>
    <w:basedOn w:val="1"/>
    <w:next w:val="1"/>
    <w:qFormat/>
    <w:uiPriority w:val="0"/>
    <w:pPr>
      <w:ind w:left="1260" w:leftChars="600"/>
    </w:pPr>
    <w:rPr>
      <w:rFonts w:ascii="Times New Roman" w:hAnsi="Times New Roman"/>
      <w:szCs w:val="24"/>
    </w:rPr>
  </w:style>
  <w:style w:type="paragraph" w:styleId="37">
    <w:name w:val="Subtitle"/>
    <w:basedOn w:val="1"/>
    <w:next w:val="1"/>
    <w:link w:val="85"/>
    <w:qFormat/>
    <w:uiPriority w:val="11"/>
    <w:pPr>
      <w:widowControl/>
      <w:spacing w:after="60"/>
      <w:jc w:val="center"/>
      <w:outlineLvl w:val="1"/>
    </w:pPr>
    <w:rPr>
      <w:rFonts w:ascii="Cambria" w:hAnsi="Cambria"/>
      <w:b/>
      <w:bCs/>
      <w:kern w:val="28"/>
      <w:sz w:val="32"/>
      <w:szCs w:val="32"/>
    </w:rPr>
  </w:style>
  <w:style w:type="paragraph" w:styleId="38">
    <w:name w:val="List"/>
    <w:basedOn w:val="1"/>
    <w:qFormat/>
    <w:uiPriority w:val="0"/>
    <w:pPr>
      <w:jc w:val="center"/>
    </w:pPr>
    <w:rPr>
      <w:rFonts w:ascii="Times New Roman" w:hAnsi="Times New Roman"/>
      <w:szCs w:val="20"/>
    </w:rPr>
  </w:style>
  <w:style w:type="paragraph" w:styleId="39">
    <w:name w:val="footnote text"/>
    <w:basedOn w:val="1"/>
    <w:link w:val="86"/>
    <w:qFormat/>
    <w:uiPriority w:val="0"/>
    <w:pPr>
      <w:snapToGrid w:val="0"/>
      <w:spacing w:line="360" w:lineRule="auto"/>
      <w:ind w:firstLine="523" w:firstLineChars="218"/>
      <w:jc w:val="left"/>
    </w:pPr>
    <w:rPr>
      <w:rFonts w:ascii="宋体" w:hAnsi="宋体"/>
      <w:kern w:val="0"/>
      <w:sz w:val="18"/>
      <w:szCs w:val="18"/>
    </w:rPr>
  </w:style>
  <w:style w:type="paragraph" w:styleId="40">
    <w:name w:val="toc 6"/>
    <w:basedOn w:val="1"/>
    <w:next w:val="1"/>
    <w:qFormat/>
    <w:uiPriority w:val="0"/>
    <w:pPr>
      <w:ind w:left="2100" w:leftChars="1000"/>
    </w:pPr>
    <w:rPr>
      <w:rFonts w:ascii="Times New Roman" w:hAnsi="Times New Roman"/>
      <w:szCs w:val="24"/>
    </w:rPr>
  </w:style>
  <w:style w:type="paragraph" w:styleId="41">
    <w:name w:val="Body Text Indent 3"/>
    <w:basedOn w:val="1"/>
    <w:link w:val="87"/>
    <w:qFormat/>
    <w:uiPriority w:val="0"/>
    <w:pPr>
      <w:numPr>
        <w:ilvl w:val="1"/>
        <w:numId w:val="0"/>
      </w:numPr>
      <w:tabs>
        <w:tab w:val="left" w:pos="0"/>
      </w:tabs>
      <w:spacing w:line="400" w:lineRule="exact"/>
      <w:ind w:left="563" w:leftChars="228" w:hanging="84" w:hangingChars="35"/>
    </w:pPr>
    <w:rPr>
      <w:color w:val="000000"/>
      <w:kern w:val="0"/>
      <w:sz w:val="24"/>
      <w:szCs w:val="20"/>
    </w:rPr>
  </w:style>
  <w:style w:type="paragraph" w:styleId="42">
    <w:name w:val="toc 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styleId="43">
    <w:name w:val="toc 9"/>
    <w:basedOn w:val="1"/>
    <w:next w:val="1"/>
    <w:qFormat/>
    <w:uiPriority w:val="0"/>
    <w:pPr>
      <w:ind w:left="3360" w:leftChars="1600"/>
    </w:pPr>
    <w:rPr>
      <w:rFonts w:ascii="Times New Roman" w:hAnsi="Times New Roman"/>
      <w:szCs w:val="24"/>
    </w:rPr>
  </w:style>
  <w:style w:type="paragraph" w:styleId="44">
    <w:name w:val="Body Text 2"/>
    <w:basedOn w:val="1"/>
    <w:link w:val="88"/>
    <w:qFormat/>
    <w:uiPriority w:val="0"/>
    <w:rPr>
      <w:rFonts w:ascii="宋体" w:hAnsi="宋体"/>
      <w:kern w:val="0"/>
      <w:sz w:val="20"/>
      <w:szCs w:val="24"/>
      <w:u w:val="single"/>
    </w:rPr>
  </w:style>
  <w:style w:type="paragraph" w:styleId="45">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46">
    <w:name w:val="Normal (Web)"/>
    <w:basedOn w:val="1"/>
    <w:qFormat/>
    <w:uiPriority w:val="99"/>
    <w:rPr>
      <w:sz w:val="24"/>
      <w:szCs w:val="20"/>
    </w:rPr>
  </w:style>
  <w:style w:type="paragraph" w:styleId="47">
    <w:name w:val="index 1"/>
    <w:basedOn w:val="1"/>
    <w:next w:val="1"/>
    <w:qFormat/>
    <w:uiPriority w:val="0"/>
    <w:rPr>
      <w:rFonts w:ascii="Times New Roman" w:hAnsi="Times New Roman" w:eastAsia="仿宋_GB2312"/>
      <w:sz w:val="28"/>
      <w:szCs w:val="20"/>
    </w:rPr>
  </w:style>
  <w:style w:type="paragraph" w:styleId="48">
    <w:name w:val="Title"/>
    <w:basedOn w:val="1"/>
    <w:link w:val="90"/>
    <w:qFormat/>
    <w:uiPriority w:val="0"/>
    <w:pPr>
      <w:spacing w:before="120" w:after="60"/>
      <w:jc w:val="center"/>
    </w:pPr>
    <w:rPr>
      <w:rFonts w:ascii="Arial" w:hAnsi="Arial"/>
      <w:b/>
      <w:kern w:val="0"/>
      <w:sz w:val="44"/>
      <w:szCs w:val="20"/>
    </w:rPr>
  </w:style>
  <w:style w:type="paragraph" w:styleId="49">
    <w:name w:val="annotation subject"/>
    <w:basedOn w:val="17"/>
    <w:next w:val="17"/>
    <w:link w:val="91"/>
    <w:qFormat/>
    <w:uiPriority w:val="0"/>
    <w:rPr>
      <w:b/>
      <w:bCs/>
    </w:rPr>
  </w:style>
  <w:style w:type="paragraph" w:styleId="50">
    <w:name w:val="Body Text First Indent"/>
    <w:basedOn w:val="2"/>
    <w:link w:val="92"/>
    <w:qFormat/>
    <w:uiPriority w:val="0"/>
    <w:pPr>
      <w:ind w:firstLine="420"/>
    </w:pPr>
  </w:style>
  <w:style w:type="paragraph" w:styleId="51">
    <w:name w:val="Body Text First Indent 2"/>
    <w:basedOn w:val="19"/>
    <w:qFormat/>
    <w:uiPriority w:val="0"/>
    <w:pPr>
      <w:spacing w:after="120"/>
      <w:ind w:left="420" w:leftChars="200" w:firstLine="420" w:firstLineChars="200"/>
    </w:pPr>
    <w:rPr>
      <w:kern w:val="2"/>
      <w:sz w:val="21"/>
      <w:szCs w:val="22"/>
    </w:rPr>
  </w:style>
  <w:style w:type="table" w:styleId="53">
    <w:name w:val="Table Grid"/>
    <w:basedOn w:val="5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rPr>
  </w:style>
  <w:style w:type="character" w:styleId="56">
    <w:name w:val="endnote reference"/>
    <w:qFormat/>
    <w:uiPriority w:val="0"/>
    <w:rPr>
      <w:vertAlign w:val="superscript"/>
    </w:rPr>
  </w:style>
  <w:style w:type="character" w:styleId="57">
    <w:name w:val="page number"/>
    <w:qFormat/>
    <w:uiPriority w:val="0"/>
    <w:rPr>
      <w:rFonts w:cs="Times New Roman"/>
    </w:rPr>
  </w:style>
  <w:style w:type="character" w:styleId="58">
    <w:name w:val="FollowedHyperlink"/>
    <w:unhideWhenUsed/>
    <w:qFormat/>
    <w:uiPriority w:val="0"/>
    <w:rPr>
      <w:color w:val="954F72"/>
      <w:u w:val="single"/>
    </w:rPr>
  </w:style>
  <w:style w:type="character" w:styleId="59">
    <w:name w:val="Emphasis"/>
    <w:qFormat/>
    <w:uiPriority w:val="0"/>
    <w:rPr>
      <w:i/>
      <w:iCs/>
    </w:rPr>
  </w:style>
  <w:style w:type="character" w:styleId="60">
    <w:name w:val="Hyperlink"/>
    <w:qFormat/>
    <w:uiPriority w:val="0"/>
    <w:rPr>
      <w:color w:val="0000FF"/>
      <w:u w:val="single"/>
    </w:rPr>
  </w:style>
  <w:style w:type="character" w:styleId="61">
    <w:name w:val="annotation reference"/>
    <w:qFormat/>
    <w:uiPriority w:val="0"/>
    <w:rPr>
      <w:sz w:val="21"/>
      <w:szCs w:val="21"/>
    </w:rPr>
  </w:style>
  <w:style w:type="character" w:styleId="62">
    <w:name w:val="footnote reference"/>
    <w:qFormat/>
    <w:uiPriority w:val="0"/>
    <w:rPr>
      <w:vertAlign w:val="superscript"/>
    </w:rPr>
  </w:style>
  <w:style w:type="character" w:customStyle="1" w:styleId="63">
    <w:name w:val="纯文本 Char"/>
    <w:link w:val="26"/>
    <w:qFormat/>
    <w:uiPriority w:val="0"/>
    <w:rPr>
      <w:rFonts w:ascii="宋体" w:hAnsi="Courier New" w:eastAsia="宋体" w:cs="Times New Roman"/>
      <w:szCs w:val="20"/>
    </w:rPr>
  </w:style>
  <w:style w:type="character" w:customStyle="1" w:styleId="64">
    <w:name w:val="标题 1 Char"/>
    <w:link w:val="3"/>
    <w:qFormat/>
    <w:uiPriority w:val="0"/>
    <w:rPr>
      <w:rFonts w:ascii="Arial" w:hAnsi="Arial" w:eastAsia="宋体"/>
      <w:b/>
      <w:kern w:val="44"/>
      <w:sz w:val="28"/>
      <w:szCs w:val="28"/>
    </w:rPr>
  </w:style>
  <w:style w:type="character" w:customStyle="1" w:styleId="65">
    <w:name w:val="标题 2 Char"/>
    <w:link w:val="4"/>
    <w:qFormat/>
    <w:uiPriority w:val="0"/>
    <w:rPr>
      <w:rFonts w:ascii="Arial" w:hAnsi="Arial" w:eastAsia="宋体" w:cs="Times New Roman"/>
      <w:b/>
      <w:color w:val="000000"/>
      <w:sz w:val="24"/>
      <w:szCs w:val="24"/>
    </w:rPr>
  </w:style>
  <w:style w:type="character" w:customStyle="1" w:styleId="66">
    <w:name w:val="标题 3 Char"/>
    <w:link w:val="5"/>
    <w:qFormat/>
    <w:uiPriority w:val="0"/>
    <w:rPr>
      <w:rFonts w:ascii="宋体" w:hAnsi="宋体" w:eastAsia="宋体" w:cs="宋体"/>
      <w:kern w:val="0"/>
      <w:sz w:val="27"/>
      <w:szCs w:val="27"/>
    </w:rPr>
  </w:style>
  <w:style w:type="character" w:customStyle="1" w:styleId="67">
    <w:name w:val="标题 4 Char"/>
    <w:link w:val="6"/>
    <w:qFormat/>
    <w:uiPriority w:val="0"/>
    <w:rPr>
      <w:rFonts w:ascii="Arial" w:hAnsi="Arial" w:eastAsia="宋体"/>
      <w:color w:val="000000"/>
      <w:kern w:val="2"/>
      <w:sz w:val="21"/>
      <w:szCs w:val="21"/>
    </w:rPr>
  </w:style>
  <w:style w:type="character" w:customStyle="1" w:styleId="68">
    <w:name w:val="正文缩进 Char"/>
    <w:link w:val="7"/>
    <w:qFormat/>
    <w:uiPriority w:val="0"/>
    <w:rPr>
      <w:rFonts w:ascii="Times New Roman" w:hAnsi="Times New Roman" w:eastAsia="宋体"/>
      <w:kern w:val="2"/>
      <w:sz w:val="21"/>
    </w:rPr>
  </w:style>
  <w:style w:type="character" w:customStyle="1" w:styleId="69">
    <w:name w:val="标题 5 Char"/>
    <w:link w:val="8"/>
    <w:qFormat/>
    <w:uiPriority w:val="0"/>
    <w:rPr>
      <w:rFonts w:ascii="Arial" w:hAnsi="Arial" w:eastAsia="宋体"/>
      <w:color w:val="000000"/>
      <w:kern w:val="2"/>
      <w:sz w:val="21"/>
      <w:szCs w:val="21"/>
    </w:rPr>
  </w:style>
  <w:style w:type="character" w:customStyle="1" w:styleId="70">
    <w:name w:val="标题 6 Char"/>
    <w:link w:val="9"/>
    <w:qFormat/>
    <w:uiPriority w:val="0"/>
    <w:rPr>
      <w:rFonts w:ascii="Arial" w:hAnsi="Arial" w:eastAsia="黑体"/>
      <w:b/>
      <w:bCs/>
      <w:kern w:val="2"/>
      <w:sz w:val="24"/>
      <w:szCs w:val="24"/>
    </w:rPr>
  </w:style>
  <w:style w:type="character" w:customStyle="1" w:styleId="71">
    <w:name w:val="标题 7 Char"/>
    <w:link w:val="10"/>
    <w:qFormat/>
    <w:uiPriority w:val="0"/>
    <w:rPr>
      <w:rFonts w:ascii="Times New Roman" w:hAnsi="Times New Roman" w:eastAsia="宋体"/>
      <w:b/>
      <w:kern w:val="2"/>
      <w:sz w:val="24"/>
    </w:rPr>
  </w:style>
  <w:style w:type="character" w:customStyle="1" w:styleId="72">
    <w:name w:val="标题 8 Char"/>
    <w:link w:val="11"/>
    <w:qFormat/>
    <w:uiPriority w:val="0"/>
    <w:rPr>
      <w:rFonts w:ascii="Arial" w:hAnsi="Arial" w:eastAsia="黑体"/>
      <w:kern w:val="2"/>
      <w:sz w:val="24"/>
    </w:rPr>
  </w:style>
  <w:style w:type="character" w:customStyle="1" w:styleId="73">
    <w:name w:val="标题 9 Char"/>
    <w:link w:val="12"/>
    <w:qFormat/>
    <w:uiPriority w:val="0"/>
    <w:rPr>
      <w:rFonts w:ascii="Arial" w:hAnsi="Arial" w:eastAsia="黑体"/>
      <w:kern w:val="2"/>
      <w:sz w:val="21"/>
    </w:rPr>
  </w:style>
  <w:style w:type="character" w:customStyle="1" w:styleId="74">
    <w:name w:val="文档结构图 Char"/>
    <w:link w:val="16"/>
    <w:qFormat/>
    <w:uiPriority w:val="0"/>
    <w:rPr>
      <w:rFonts w:ascii="Times New Roman" w:hAnsi="Times New Roman" w:eastAsia="宋体" w:cs="Times New Roman"/>
      <w:szCs w:val="20"/>
      <w:shd w:val="clear" w:color="auto" w:fill="000080"/>
    </w:rPr>
  </w:style>
  <w:style w:type="character" w:customStyle="1" w:styleId="75">
    <w:name w:val="批注文字 Char"/>
    <w:link w:val="17"/>
    <w:qFormat/>
    <w:uiPriority w:val="0"/>
    <w:rPr>
      <w:rFonts w:ascii="宋体" w:hAnsi="宋体" w:eastAsia="宋体" w:cs="Times New Roman"/>
      <w:sz w:val="24"/>
      <w:szCs w:val="24"/>
    </w:rPr>
  </w:style>
  <w:style w:type="character" w:customStyle="1" w:styleId="76">
    <w:name w:val="正文文本 3 Char1"/>
    <w:link w:val="18"/>
    <w:qFormat/>
    <w:uiPriority w:val="0"/>
    <w:rPr>
      <w:rFonts w:ascii="仿宋_GB2312" w:hAnsi="Times New Roman"/>
      <w:sz w:val="16"/>
      <w:szCs w:val="16"/>
    </w:rPr>
  </w:style>
  <w:style w:type="character" w:customStyle="1" w:styleId="77">
    <w:name w:val="正文文本 Char"/>
    <w:link w:val="2"/>
    <w:qFormat/>
    <w:uiPriority w:val="0"/>
    <w:rPr>
      <w:rFonts w:ascii="Times New Roman" w:hAnsi="Times New Roman" w:eastAsia="宋体" w:cs="Times New Roman"/>
      <w:szCs w:val="20"/>
    </w:rPr>
  </w:style>
  <w:style w:type="character" w:customStyle="1" w:styleId="78">
    <w:name w:val="正文文本缩进 Char"/>
    <w:link w:val="19"/>
    <w:qFormat/>
    <w:uiPriority w:val="0"/>
    <w:rPr>
      <w:rFonts w:ascii="Times New Roman" w:hAnsi="Times New Roman" w:eastAsia="宋体" w:cs="Times New Roman"/>
      <w:sz w:val="28"/>
      <w:szCs w:val="20"/>
    </w:rPr>
  </w:style>
  <w:style w:type="character" w:customStyle="1" w:styleId="79">
    <w:name w:val="日期 Char"/>
    <w:link w:val="28"/>
    <w:qFormat/>
    <w:uiPriority w:val="0"/>
    <w:rPr>
      <w:rFonts w:ascii="Times New Roman" w:hAnsi="Times New Roman" w:eastAsia="宋体" w:cs="Times New Roman"/>
      <w:szCs w:val="20"/>
    </w:rPr>
  </w:style>
  <w:style w:type="character" w:customStyle="1" w:styleId="80">
    <w:name w:val="正文文本缩进 2 Char"/>
    <w:link w:val="29"/>
    <w:qFormat/>
    <w:uiPriority w:val="0"/>
    <w:rPr>
      <w:rFonts w:ascii="Times New Roman" w:hAnsi="Times New Roman" w:eastAsia="宋体" w:cs="Times New Roman"/>
      <w:color w:val="000000"/>
      <w:sz w:val="24"/>
      <w:szCs w:val="20"/>
    </w:rPr>
  </w:style>
  <w:style w:type="character" w:customStyle="1" w:styleId="81">
    <w:name w:val="尾注文本 Char"/>
    <w:link w:val="30"/>
    <w:qFormat/>
    <w:uiPriority w:val="0"/>
    <w:rPr>
      <w:rFonts w:ascii="Times New Roman" w:hAnsi="Times New Roman" w:eastAsia="宋体" w:cs="Times New Roman"/>
      <w:szCs w:val="20"/>
    </w:rPr>
  </w:style>
  <w:style w:type="character" w:customStyle="1" w:styleId="82">
    <w:name w:val="批注框文本 Char"/>
    <w:link w:val="31"/>
    <w:qFormat/>
    <w:uiPriority w:val="0"/>
    <w:rPr>
      <w:rFonts w:ascii="Times New Roman" w:hAnsi="Times New Roman" w:eastAsia="宋体" w:cs="Times New Roman"/>
      <w:sz w:val="18"/>
      <w:szCs w:val="18"/>
    </w:rPr>
  </w:style>
  <w:style w:type="character" w:customStyle="1" w:styleId="83">
    <w:name w:val="页脚 Char"/>
    <w:link w:val="32"/>
    <w:qFormat/>
    <w:uiPriority w:val="99"/>
    <w:rPr>
      <w:rFonts w:ascii="Calibri" w:hAnsi="Calibri" w:eastAsia="宋体" w:cs="Times New Roman"/>
      <w:sz w:val="18"/>
      <w:szCs w:val="18"/>
    </w:rPr>
  </w:style>
  <w:style w:type="character" w:customStyle="1" w:styleId="84">
    <w:name w:val="页眉 Char"/>
    <w:link w:val="34"/>
    <w:qFormat/>
    <w:uiPriority w:val="0"/>
    <w:rPr>
      <w:rFonts w:ascii="Calibri" w:hAnsi="Calibri" w:eastAsia="宋体" w:cs="Times New Roman"/>
      <w:sz w:val="18"/>
      <w:szCs w:val="18"/>
    </w:rPr>
  </w:style>
  <w:style w:type="character" w:customStyle="1" w:styleId="85">
    <w:name w:val="副标题 Char1"/>
    <w:link w:val="37"/>
    <w:qFormat/>
    <w:uiPriority w:val="11"/>
    <w:rPr>
      <w:rFonts w:ascii="Cambria" w:hAnsi="Cambria"/>
      <w:b/>
      <w:bCs/>
      <w:kern w:val="28"/>
      <w:sz w:val="32"/>
      <w:szCs w:val="32"/>
    </w:rPr>
  </w:style>
  <w:style w:type="character" w:customStyle="1" w:styleId="86">
    <w:name w:val="脚注文本 Char"/>
    <w:link w:val="39"/>
    <w:qFormat/>
    <w:uiPriority w:val="0"/>
    <w:rPr>
      <w:rFonts w:ascii="宋体" w:hAnsi="宋体" w:eastAsia="宋体" w:cs="Times New Roman"/>
      <w:sz w:val="18"/>
      <w:szCs w:val="18"/>
    </w:rPr>
  </w:style>
  <w:style w:type="character" w:customStyle="1" w:styleId="87">
    <w:name w:val="正文文本缩进 3 Char"/>
    <w:link w:val="41"/>
    <w:qFormat/>
    <w:uiPriority w:val="0"/>
    <w:rPr>
      <w:rFonts w:ascii="Times New Roman" w:hAnsi="Times New Roman" w:eastAsia="宋体" w:cs="Times New Roman"/>
      <w:color w:val="000000"/>
      <w:sz w:val="24"/>
      <w:szCs w:val="20"/>
    </w:rPr>
  </w:style>
  <w:style w:type="character" w:customStyle="1" w:styleId="88">
    <w:name w:val="正文文本 2 Char"/>
    <w:link w:val="44"/>
    <w:qFormat/>
    <w:uiPriority w:val="0"/>
    <w:rPr>
      <w:rFonts w:ascii="宋体" w:hAnsi="宋体" w:eastAsia="宋体" w:cs="Times New Roman"/>
      <w:szCs w:val="24"/>
      <w:u w:val="single"/>
    </w:rPr>
  </w:style>
  <w:style w:type="character" w:customStyle="1" w:styleId="89">
    <w:name w:val="HTML 预设格式 Char1"/>
    <w:link w:val="45"/>
    <w:qFormat/>
    <w:uiPriority w:val="0"/>
    <w:rPr>
      <w:rFonts w:ascii="Courier New" w:hAnsi="Courier New" w:cs="Courier New"/>
    </w:rPr>
  </w:style>
  <w:style w:type="character" w:customStyle="1" w:styleId="90">
    <w:name w:val="标题 Char"/>
    <w:link w:val="48"/>
    <w:qFormat/>
    <w:uiPriority w:val="0"/>
    <w:rPr>
      <w:rFonts w:ascii="Arial" w:hAnsi="Arial" w:eastAsia="宋体" w:cs="Times New Roman"/>
      <w:b/>
      <w:sz w:val="44"/>
      <w:szCs w:val="20"/>
    </w:rPr>
  </w:style>
  <w:style w:type="character" w:customStyle="1" w:styleId="91">
    <w:name w:val="批注主题 Char"/>
    <w:link w:val="49"/>
    <w:qFormat/>
    <w:uiPriority w:val="0"/>
    <w:rPr>
      <w:rFonts w:ascii="宋体" w:hAnsi="宋体" w:eastAsia="宋体" w:cs="Times New Roman"/>
      <w:b/>
      <w:bCs/>
      <w:sz w:val="24"/>
      <w:szCs w:val="24"/>
    </w:rPr>
  </w:style>
  <w:style w:type="character" w:customStyle="1" w:styleId="92">
    <w:name w:val="正文首行缩进 Char"/>
    <w:link w:val="50"/>
    <w:qFormat/>
    <w:uiPriority w:val="0"/>
  </w:style>
  <w:style w:type="paragraph" w:customStyle="1" w:styleId="93">
    <w:name w:val="表格文字"/>
    <w:basedOn w:val="1"/>
    <w:qFormat/>
    <w:uiPriority w:val="0"/>
    <w:pPr>
      <w:spacing w:before="25" w:after="25"/>
    </w:pPr>
    <w:rPr>
      <w:bCs/>
      <w:spacing w:val="10"/>
      <w:kern w:val="0"/>
      <w:sz w:val="24"/>
      <w:szCs w:val="20"/>
    </w:rPr>
  </w:style>
  <w:style w:type="character" w:customStyle="1" w:styleId="94">
    <w:name w:val="Book Title"/>
    <w:qFormat/>
    <w:uiPriority w:val="0"/>
    <w:rPr>
      <w:b/>
      <w:bCs/>
      <w:smallCaps/>
      <w:spacing w:val="5"/>
    </w:rPr>
  </w:style>
  <w:style w:type="character" w:customStyle="1" w:styleId="95">
    <w:name w:val="标题 2 Char1"/>
    <w:qFormat/>
    <w:uiPriority w:val="0"/>
    <w:rPr>
      <w:rFonts w:ascii="仿宋_GB2312" w:hAnsi="宋体" w:eastAsia="仿宋_GB2312" w:cs="宋体"/>
      <w:b/>
      <w:kern w:val="2"/>
      <w:sz w:val="30"/>
      <w:szCs w:val="30"/>
    </w:rPr>
  </w:style>
  <w:style w:type="character" w:customStyle="1" w:styleId="96">
    <w:name w:val="正文文本 2 Char1"/>
    <w:semiHidden/>
    <w:qFormat/>
    <w:uiPriority w:val="99"/>
    <w:rPr>
      <w:rFonts w:ascii="仿宋_GB2312" w:hAnsi="Times New Roman" w:eastAsia="宋体" w:cs="Times New Roman"/>
      <w:szCs w:val="32"/>
    </w:rPr>
  </w:style>
  <w:style w:type="character" w:customStyle="1" w:styleId="97">
    <w:name w:val="font21"/>
    <w:basedOn w:val="54"/>
    <w:qFormat/>
    <w:uiPriority w:val="0"/>
    <w:rPr>
      <w:rFonts w:hint="eastAsia" w:ascii="仿宋" w:hAnsi="仿宋" w:eastAsia="仿宋" w:cs="仿宋"/>
      <w:b/>
      <w:color w:val="000000"/>
      <w:sz w:val="28"/>
      <w:szCs w:val="28"/>
      <w:u w:val="none"/>
    </w:rPr>
  </w:style>
  <w:style w:type="character" w:customStyle="1" w:styleId="98">
    <w:name w:val=" Char Char20"/>
    <w:qFormat/>
    <w:uiPriority w:val="0"/>
    <w:rPr>
      <w:rFonts w:ascii="宋体" w:hAnsi="Arial" w:eastAsia="宋体" w:cs="Times New Roman"/>
      <w:bCs/>
      <w:kern w:val="0"/>
      <w:sz w:val="28"/>
      <w:szCs w:val="32"/>
    </w:rPr>
  </w:style>
  <w:style w:type="character" w:customStyle="1" w:styleId="99">
    <w:name w:val="标题 4 Char1"/>
    <w:qFormat/>
    <w:uiPriority w:val="0"/>
    <w:rPr>
      <w:rFonts w:ascii="Arial" w:hAnsi="Arial" w:eastAsia="楷体_GB2312"/>
      <w:kern w:val="2"/>
      <w:sz w:val="32"/>
      <w:szCs w:val="32"/>
    </w:rPr>
  </w:style>
  <w:style w:type="character" w:customStyle="1" w:styleId="100">
    <w:name w:val="正文文本缩进 2 字符"/>
    <w:semiHidden/>
    <w:qFormat/>
    <w:uiPriority w:val="99"/>
    <w:rPr>
      <w:rFonts w:ascii="Calibri" w:hAnsi="Calibri" w:eastAsia="宋体" w:cs="Times New Roman"/>
    </w:rPr>
  </w:style>
  <w:style w:type="character" w:customStyle="1" w:styleId="101">
    <w:name w:val=" Char Char21"/>
    <w:qFormat/>
    <w:uiPriority w:val="0"/>
    <w:rPr>
      <w:rFonts w:ascii="宋体" w:hAnsi="Times New Roman" w:eastAsia="宋体" w:cs="Times New Roman"/>
      <w:bCs/>
      <w:snapToGrid/>
      <w:kern w:val="0"/>
      <w:sz w:val="28"/>
      <w:szCs w:val="44"/>
    </w:rPr>
  </w:style>
  <w:style w:type="character" w:customStyle="1" w:styleId="102">
    <w:name w:val="标题 2 字符"/>
    <w:semiHidden/>
    <w:qFormat/>
    <w:uiPriority w:val="9"/>
    <w:rPr>
      <w:rFonts w:ascii="等线 Light" w:hAnsi="等线 Light" w:eastAsia="等线 Light" w:cs="Times New Roman"/>
      <w:b/>
      <w:bCs/>
      <w:sz w:val="32"/>
      <w:szCs w:val="32"/>
    </w:rPr>
  </w:style>
  <w:style w:type="character" w:customStyle="1" w:styleId="103">
    <w:name w:val="标题 6 字符"/>
    <w:semiHidden/>
    <w:qFormat/>
    <w:uiPriority w:val="9"/>
    <w:rPr>
      <w:rFonts w:ascii="等线 Light" w:hAnsi="等线 Light" w:eastAsia="等线 Light" w:cs="Times New Roman"/>
      <w:b/>
      <w:bCs/>
      <w:sz w:val="24"/>
      <w:szCs w:val="24"/>
    </w:rPr>
  </w:style>
  <w:style w:type="character" w:customStyle="1" w:styleId="104">
    <w:name w:val="批注文字 Char1"/>
    <w:qFormat/>
    <w:uiPriority w:val="0"/>
    <w:rPr>
      <w:rFonts w:ascii="仿宋_GB2312" w:hAnsi="Times New Roman" w:eastAsia="宋体" w:cs="Times New Roman"/>
      <w:szCs w:val="32"/>
    </w:rPr>
  </w:style>
  <w:style w:type="character" w:customStyle="1" w:styleId="105">
    <w:name w:val="ggnr1"/>
    <w:qFormat/>
    <w:uiPriority w:val="0"/>
    <w:rPr>
      <w:sz w:val="26"/>
    </w:rPr>
  </w:style>
  <w:style w:type="character" w:customStyle="1" w:styleId="106">
    <w:name w:val="副标题 Char2"/>
    <w:qFormat/>
    <w:uiPriority w:val="0"/>
    <w:rPr>
      <w:rFonts w:ascii="Calibri Light" w:hAnsi="Calibri Light" w:eastAsia="宋体" w:cs="Times New Roman"/>
      <w:b/>
      <w:bCs/>
      <w:kern w:val="28"/>
      <w:sz w:val="32"/>
      <w:szCs w:val="32"/>
    </w:rPr>
  </w:style>
  <w:style w:type="character" w:customStyle="1" w:styleId="107">
    <w:name w:val="+标题3 Char"/>
    <w:link w:val="108"/>
    <w:qFormat/>
    <w:uiPriority w:val="0"/>
    <w:rPr>
      <w:b/>
      <w:bCs/>
      <w:sz w:val="24"/>
      <w:szCs w:val="28"/>
    </w:rPr>
  </w:style>
  <w:style w:type="paragraph" w:customStyle="1" w:styleId="108">
    <w:name w:val="+标题3"/>
    <w:basedOn w:val="5"/>
    <w:link w:val="107"/>
    <w:qFormat/>
    <w:uiPriority w:val="0"/>
    <w:pPr>
      <w:keepNext/>
      <w:keepLines/>
      <w:widowControl w:val="0"/>
      <w:numPr>
        <w:ilvl w:val="2"/>
        <w:numId w:val="5"/>
      </w:numPr>
      <w:tabs>
        <w:tab w:val="left" w:pos="1053"/>
        <w:tab w:val="left" w:pos="1900"/>
      </w:tabs>
      <w:spacing w:before="0" w:beforeAutospacing="0" w:after="0" w:afterAutospacing="0" w:line="360" w:lineRule="auto"/>
      <w:jc w:val="both"/>
    </w:pPr>
    <w:rPr>
      <w:rFonts w:ascii="Times New Roman" w:hAnsi="Times New Roman"/>
      <w:b/>
      <w:bCs/>
      <w:sz w:val="24"/>
      <w:szCs w:val="28"/>
    </w:rPr>
  </w:style>
  <w:style w:type="character" w:customStyle="1" w:styleId="109">
    <w:name w:val="标题5 Char Char"/>
    <w:qFormat/>
    <w:uiPriority w:val="0"/>
    <w:rPr>
      <w:rFonts w:ascii="Arial" w:hAnsi="Arial"/>
      <w:b/>
      <w:bCs/>
      <w:sz w:val="24"/>
      <w:szCs w:val="32"/>
      <w:lang w:bidi="ar-SA"/>
    </w:rPr>
  </w:style>
  <w:style w:type="character" w:customStyle="1" w:styleId="110">
    <w:name w:val="批注主题 Char1"/>
    <w:qFormat/>
    <w:uiPriority w:val="0"/>
    <w:rPr>
      <w:rFonts w:ascii="仿宋_GB2312" w:hAnsi="Times New Roman" w:eastAsia="宋体" w:cs="Times New Roman"/>
      <w:b/>
      <w:bCs/>
      <w:szCs w:val="32"/>
    </w:rPr>
  </w:style>
  <w:style w:type="character" w:customStyle="1" w:styleId="111">
    <w:name w:val="尾注文本 Char1"/>
    <w:qFormat/>
    <w:uiPriority w:val="0"/>
    <w:rPr>
      <w:rFonts w:ascii="仿宋_GB2312" w:hAnsi="Times New Roman" w:eastAsia="宋体" w:cs="Times New Roman"/>
      <w:szCs w:val="32"/>
    </w:rPr>
  </w:style>
  <w:style w:type="character" w:customStyle="1" w:styleId="112">
    <w:name w:val="批注框文本 字符"/>
    <w:semiHidden/>
    <w:qFormat/>
    <w:uiPriority w:val="99"/>
    <w:rPr>
      <w:rFonts w:ascii="Calibri" w:hAnsi="Calibri" w:eastAsia="宋体" w:cs="Times New Roman"/>
      <w:sz w:val="18"/>
      <w:szCs w:val="18"/>
    </w:rPr>
  </w:style>
  <w:style w:type="character" w:customStyle="1" w:styleId="113">
    <w:name w:val="Subtle Emphasis"/>
    <w:qFormat/>
    <w:uiPriority w:val="0"/>
    <w:rPr>
      <w:i/>
      <w:iCs/>
      <w:color w:val="808080"/>
    </w:rPr>
  </w:style>
  <w:style w:type="character" w:customStyle="1" w:styleId="114">
    <w:name w:val="标题 5 字符"/>
    <w:semiHidden/>
    <w:qFormat/>
    <w:uiPriority w:val="9"/>
    <w:rPr>
      <w:rFonts w:ascii="Calibri" w:hAnsi="Calibri" w:eastAsia="宋体" w:cs="Times New Roman"/>
      <w:b/>
      <w:bCs/>
      <w:sz w:val="28"/>
      <w:szCs w:val="28"/>
    </w:rPr>
  </w:style>
  <w:style w:type="character" w:customStyle="1" w:styleId="115">
    <w:name w:val="明显引用 Char1"/>
    <w:link w:val="116"/>
    <w:qFormat/>
    <w:uiPriority w:val="0"/>
    <w:rPr>
      <w:rFonts w:ascii="仿宋_GB2312" w:hAnsi="Times New Roman"/>
      <w:b/>
      <w:bCs/>
      <w:i/>
      <w:iCs/>
      <w:color w:val="4F81BD"/>
      <w:szCs w:val="32"/>
    </w:rPr>
  </w:style>
  <w:style w:type="paragraph" w:customStyle="1" w:styleId="116">
    <w:name w:val="Intense Quote"/>
    <w:basedOn w:val="1"/>
    <w:next w:val="1"/>
    <w:link w:val="115"/>
    <w:qFormat/>
    <w:uiPriority w:val="0"/>
    <w:pPr>
      <w:widowControl/>
      <w:ind w:left="720" w:right="720"/>
      <w:jc w:val="left"/>
    </w:pPr>
    <w:rPr>
      <w:rFonts w:ascii="仿宋_GB2312"/>
      <w:b/>
      <w:bCs/>
      <w:i/>
      <w:iCs/>
      <w:color w:val="4F81BD"/>
      <w:kern w:val="0"/>
      <w:sz w:val="20"/>
      <w:szCs w:val="32"/>
    </w:rPr>
  </w:style>
  <w:style w:type="character" w:customStyle="1" w:styleId="117">
    <w:name w:val="标题 9 字符"/>
    <w:semiHidden/>
    <w:qFormat/>
    <w:uiPriority w:val="9"/>
    <w:rPr>
      <w:rFonts w:ascii="等线 Light" w:hAnsi="等线 Light" w:eastAsia="等线 Light" w:cs="Times New Roman"/>
      <w:szCs w:val="21"/>
    </w:rPr>
  </w:style>
  <w:style w:type="character" w:customStyle="1" w:styleId="118">
    <w:name w:val="样式 标题 3h3section:3Level 3 HeadH3level_3PIM 33rd level3H... Char"/>
    <w:link w:val="119"/>
    <w:qFormat/>
    <w:locked/>
    <w:uiPriority w:val="0"/>
    <w:rPr>
      <w:rFonts w:ascii="Arial" w:hAnsi="Arial"/>
      <w:b/>
      <w:sz w:val="24"/>
      <w:szCs w:val="28"/>
    </w:rPr>
  </w:style>
  <w:style w:type="paragraph" w:customStyle="1" w:styleId="119">
    <w:name w:val="样式 标题 3h3section:3Level 3 HeadH3level_3PIM 33rd level3H..."/>
    <w:basedOn w:val="5"/>
    <w:link w:val="118"/>
    <w:qFormat/>
    <w:uiPriority w:val="0"/>
    <w:pPr>
      <w:keepNext/>
      <w:numPr>
        <w:ilvl w:val="3"/>
        <w:numId w:val="1"/>
      </w:numPr>
      <w:tabs>
        <w:tab w:val="left" w:pos="1680"/>
        <w:tab w:val="left" w:pos="2310"/>
      </w:tabs>
      <w:adjustRightInd w:val="0"/>
      <w:spacing w:before="0" w:beforeAutospacing="0" w:after="0" w:afterAutospacing="0" w:line="416" w:lineRule="atLeast"/>
    </w:pPr>
    <w:rPr>
      <w:rFonts w:ascii="Arial" w:hAnsi="Arial"/>
      <w:b/>
      <w:sz w:val="24"/>
      <w:szCs w:val="28"/>
    </w:rPr>
  </w:style>
  <w:style w:type="character" w:customStyle="1" w:styleId="120">
    <w:name w:val="Intense Emphasis"/>
    <w:qFormat/>
    <w:uiPriority w:val="0"/>
    <w:rPr>
      <w:b/>
      <w:bCs/>
      <w:i/>
      <w:iCs/>
      <w:color w:val="4F81BD"/>
    </w:rPr>
  </w:style>
  <w:style w:type="character" w:customStyle="1" w:styleId="121">
    <w:name w:val="标题 字符"/>
    <w:qFormat/>
    <w:uiPriority w:val="10"/>
    <w:rPr>
      <w:rFonts w:ascii="等线 Light" w:hAnsi="等线 Light" w:eastAsia="等线 Light" w:cs="Times New Roman"/>
      <w:b/>
      <w:bCs/>
      <w:sz w:val="32"/>
      <w:szCs w:val="32"/>
    </w:rPr>
  </w:style>
  <w:style w:type="character" w:customStyle="1" w:styleId="122">
    <w:name w:val="标题 Char1"/>
    <w:qFormat/>
    <w:uiPriority w:val="0"/>
    <w:rPr>
      <w:rFonts w:ascii="Cambria" w:hAnsi="Cambria" w:eastAsia="宋体" w:cs="Times New Roman"/>
      <w:b/>
      <w:bCs/>
      <w:sz w:val="32"/>
      <w:szCs w:val="32"/>
    </w:rPr>
  </w:style>
  <w:style w:type="character" w:customStyle="1" w:styleId="123">
    <w:name w:val="脚注文本 Char2"/>
    <w:qFormat/>
    <w:uiPriority w:val="0"/>
    <w:rPr>
      <w:rFonts w:eastAsia="楷体_GB2312"/>
      <w:kern w:val="2"/>
      <w:sz w:val="18"/>
      <w:szCs w:val="18"/>
    </w:rPr>
  </w:style>
  <w:style w:type="character" w:customStyle="1" w:styleId="124">
    <w:name w:val="正文文本 2 字符"/>
    <w:semiHidden/>
    <w:qFormat/>
    <w:uiPriority w:val="99"/>
    <w:rPr>
      <w:rFonts w:ascii="Calibri" w:hAnsi="Calibri" w:eastAsia="宋体" w:cs="Times New Roman"/>
    </w:rPr>
  </w:style>
  <w:style w:type="character" w:customStyle="1" w:styleId="125">
    <w:name w:val=" Char Char24"/>
    <w:qFormat/>
    <w:locked/>
    <w:uiPriority w:val="0"/>
    <w:rPr>
      <w:rFonts w:ascii="仿宋_GB2312" w:hAnsi="宋体" w:eastAsia="仿宋_GB2312" w:cs="宋体"/>
      <w:b/>
      <w:bCs/>
      <w:kern w:val="2"/>
      <w:sz w:val="30"/>
      <w:szCs w:val="30"/>
      <w:lang w:val="en-US" w:eastAsia="zh-CN" w:bidi="ar-SA"/>
    </w:rPr>
  </w:style>
  <w:style w:type="character" w:customStyle="1" w:styleId="126">
    <w:name w:val="脚注文本 字符"/>
    <w:semiHidden/>
    <w:qFormat/>
    <w:uiPriority w:val="99"/>
    <w:rPr>
      <w:rFonts w:ascii="Calibri" w:hAnsi="Calibri" w:eastAsia="宋体" w:cs="Times New Roman"/>
      <w:sz w:val="18"/>
      <w:szCs w:val="18"/>
    </w:rPr>
  </w:style>
  <w:style w:type="character" w:customStyle="1" w:styleId="127">
    <w:name w:val="标题6 Char"/>
    <w:link w:val="128"/>
    <w:qFormat/>
    <w:uiPriority w:val="0"/>
    <w:rPr>
      <w:rFonts w:ascii="宋体" w:hAnsi="宋体" w:eastAsia="黑体"/>
      <w:sz w:val="32"/>
      <w:szCs w:val="32"/>
    </w:rPr>
  </w:style>
  <w:style w:type="paragraph" w:customStyle="1" w:styleId="128">
    <w:name w:val="标题6"/>
    <w:basedOn w:val="1"/>
    <w:link w:val="127"/>
    <w:qFormat/>
    <w:uiPriority w:val="0"/>
    <w:pPr>
      <w:keepNext/>
      <w:keepLines/>
      <w:spacing w:line="400" w:lineRule="exact"/>
      <w:jc w:val="center"/>
      <w:outlineLvl w:val="2"/>
    </w:pPr>
    <w:rPr>
      <w:rFonts w:ascii="宋体" w:hAnsi="宋体" w:eastAsia="黑体"/>
      <w:kern w:val="0"/>
      <w:sz w:val="32"/>
      <w:szCs w:val="32"/>
    </w:rPr>
  </w:style>
  <w:style w:type="character" w:customStyle="1" w:styleId="129">
    <w:name w:val="正文文本缩进 2 Char2"/>
    <w:qFormat/>
    <w:uiPriority w:val="0"/>
    <w:rPr>
      <w:rFonts w:eastAsia="楷体_GB2312"/>
      <w:kern w:val="2"/>
      <w:sz w:val="21"/>
    </w:rPr>
  </w:style>
  <w:style w:type="character" w:customStyle="1" w:styleId="130">
    <w:name w:val="尾注文本 Char Char"/>
    <w:qFormat/>
    <w:uiPriority w:val="0"/>
    <w:rPr>
      <w:rFonts w:ascii="宋体" w:hAnsi="宋体" w:eastAsia="宋体"/>
      <w:kern w:val="2"/>
      <w:sz w:val="21"/>
      <w:lang w:val="en-US" w:eastAsia="zh-CN" w:bidi="ar-SA"/>
    </w:rPr>
  </w:style>
  <w:style w:type="character" w:customStyle="1" w:styleId="131">
    <w:name w:val="正文文本 3 Char"/>
    <w:qFormat/>
    <w:uiPriority w:val="0"/>
    <w:rPr>
      <w:rFonts w:ascii="宋体"/>
      <w:sz w:val="24"/>
    </w:rPr>
  </w:style>
  <w:style w:type="character" w:customStyle="1" w:styleId="132">
    <w:name w:val="标题 3 Char1"/>
    <w:qFormat/>
    <w:uiPriority w:val="0"/>
    <w:rPr>
      <w:rFonts w:ascii="楷体_GB2312" w:hAnsi="宋体" w:eastAsia="楷体_GB2312" w:cs="宋体"/>
      <w:b/>
      <w:kern w:val="2"/>
      <w:sz w:val="32"/>
      <w:szCs w:val="32"/>
    </w:rPr>
  </w:style>
  <w:style w:type="character" w:customStyle="1" w:styleId="133">
    <w:name w:val="正文文本缩进 3 Char1"/>
    <w:qFormat/>
    <w:uiPriority w:val="0"/>
    <w:rPr>
      <w:rFonts w:ascii="仿宋_GB2312" w:hAnsi="Times New Roman" w:eastAsia="宋体" w:cs="Times New Roman"/>
      <w:sz w:val="16"/>
      <w:szCs w:val="16"/>
    </w:rPr>
  </w:style>
  <w:style w:type="character" w:customStyle="1" w:styleId="134">
    <w:name w:val="apple-converted-space"/>
    <w:basedOn w:val="54"/>
    <w:qFormat/>
    <w:uiPriority w:val="0"/>
  </w:style>
  <w:style w:type="character" w:customStyle="1" w:styleId="135">
    <w:name w:val="页眉 字符"/>
    <w:semiHidden/>
    <w:qFormat/>
    <w:uiPriority w:val="99"/>
    <w:rPr>
      <w:rFonts w:ascii="Calibri" w:hAnsi="Calibri" w:eastAsia="宋体" w:cs="Times New Roman"/>
      <w:sz w:val="18"/>
      <w:szCs w:val="18"/>
    </w:rPr>
  </w:style>
  <w:style w:type="character" w:customStyle="1" w:styleId="136">
    <w:name w:val="正文文本缩进 3 Char2"/>
    <w:qFormat/>
    <w:uiPriority w:val="0"/>
    <w:rPr>
      <w:rFonts w:eastAsia="楷体_GB2312"/>
      <w:kern w:val="2"/>
      <w:sz w:val="16"/>
      <w:szCs w:val="16"/>
    </w:rPr>
  </w:style>
  <w:style w:type="character" w:customStyle="1" w:styleId="137">
    <w:name w:val="引用 Char"/>
    <w:qFormat/>
    <w:uiPriority w:val="0"/>
    <w:rPr>
      <w:i/>
      <w:sz w:val="24"/>
    </w:rPr>
  </w:style>
  <w:style w:type="character" w:customStyle="1" w:styleId="138">
    <w:name w:val="标题 Char Char"/>
    <w:qFormat/>
    <w:uiPriority w:val="0"/>
    <w:rPr>
      <w:rFonts w:ascii="Arial" w:hAnsi="Arial" w:eastAsia="楷体_GB2312"/>
      <w:b/>
      <w:kern w:val="2"/>
      <w:sz w:val="44"/>
      <w:lang w:val="en-US" w:eastAsia="zh-CN" w:bidi="ar-SA"/>
    </w:rPr>
  </w:style>
  <w:style w:type="character" w:customStyle="1" w:styleId="139">
    <w:name w:val="文一 Char"/>
    <w:link w:val="140"/>
    <w:qFormat/>
    <w:uiPriority w:val="0"/>
    <w:rPr>
      <w:spacing w:val="4"/>
      <w:sz w:val="24"/>
      <w:szCs w:val="24"/>
    </w:rPr>
  </w:style>
  <w:style w:type="paragraph" w:customStyle="1" w:styleId="140">
    <w:name w:val="文一"/>
    <w:basedOn w:val="1"/>
    <w:link w:val="139"/>
    <w:qFormat/>
    <w:uiPriority w:val="0"/>
    <w:pPr>
      <w:topLinePunct/>
      <w:adjustRightInd w:val="0"/>
      <w:snapToGrid w:val="0"/>
      <w:spacing w:line="360" w:lineRule="auto"/>
      <w:ind w:firstLine="200" w:firstLineChars="200"/>
    </w:pPr>
    <w:rPr>
      <w:spacing w:val="4"/>
      <w:kern w:val="0"/>
      <w:sz w:val="24"/>
      <w:szCs w:val="24"/>
    </w:rPr>
  </w:style>
  <w:style w:type="character" w:customStyle="1" w:styleId="141">
    <w:name w:val="样式 Char"/>
    <w:basedOn w:val="142"/>
    <w:link w:val="144"/>
    <w:qFormat/>
    <w:uiPriority w:val="0"/>
  </w:style>
  <w:style w:type="character" w:customStyle="1" w:styleId="142">
    <w:name w:val="标题5 Char"/>
    <w:link w:val="143"/>
    <w:qFormat/>
    <w:uiPriority w:val="0"/>
    <w:rPr>
      <w:rFonts w:ascii="Arial" w:hAnsi="Arial" w:eastAsia="黑体"/>
      <w:bCs/>
      <w:sz w:val="24"/>
      <w:szCs w:val="32"/>
    </w:rPr>
  </w:style>
  <w:style w:type="paragraph" w:customStyle="1" w:styleId="143">
    <w:name w:val="标题5"/>
    <w:basedOn w:val="8"/>
    <w:link w:val="142"/>
    <w:qFormat/>
    <w:uiPriority w:val="0"/>
    <w:pPr>
      <w:keepNext w:val="0"/>
      <w:keepLines w:val="0"/>
      <w:widowControl/>
      <w:numPr>
        <w:ilvl w:val="0"/>
        <w:numId w:val="0"/>
      </w:numPr>
      <w:tabs>
        <w:tab w:val="left" w:pos="2310"/>
        <w:tab w:val="left" w:pos="2730"/>
      </w:tabs>
      <w:spacing w:beforeLines="0" w:afterLines="0" w:line="240" w:lineRule="auto"/>
      <w:jc w:val="center"/>
    </w:pPr>
    <w:rPr>
      <w:rFonts w:eastAsia="黑体"/>
      <w:bCs/>
      <w:color w:val="auto"/>
      <w:kern w:val="0"/>
      <w:sz w:val="24"/>
      <w:szCs w:val="32"/>
    </w:rPr>
  </w:style>
  <w:style w:type="paragraph" w:customStyle="1" w:styleId="144">
    <w:name w:val="样式"/>
    <w:basedOn w:val="143"/>
    <w:link w:val="141"/>
    <w:qFormat/>
    <w:uiPriority w:val="0"/>
    <w:rPr>
      <w:lang w:val="en-US" w:eastAsia="zh-CN"/>
    </w:rPr>
  </w:style>
  <w:style w:type="character" w:customStyle="1" w:styleId="145">
    <w:name w:val="font11"/>
    <w:basedOn w:val="54"/>
    <w:qFormat/>
    <w:uiPriority w:val="0"/>
    <w:rPr>
      <w:rFonts w:hint="eastAsia" w:ascii="仿宋" w:hAnsi="仿宋" w:eastAsia="仿宋" w:cs="仿宋"/>
      <w:color w:val="000000"/>
      <w:sz w:val="28"/>
      <w:szCs w:val="28"/>
      <w:u w:val="none"/>
    </w:rPr>
  </w:style>
  <w:style w:type="character" w:customStyle="1" w:styleId="146">
    <w:name w:val="标题 5 Char1"/>
    <w:qFormat/>
    <w:uiPriority w:val="0"/>
    <w:rPr>
      <w:rFonts w:ascii="Arial" w:hAnsi="Arial" w:eastAsia="楷体_GB2312"/>
      <w:kern w:val="2"/>
      <w:sz w:val="32"/>
      <w:szCs w:val="32"/>
    </w:rPr>
  </w:style>
  <w:style w:type="character" w:customStyle="1" w:styleId="147">
    <w:name w:val="明显引用 Char"/>
    <w:qFormat/>
    <w:uiPriority w:val="0"/>
    <w:rPr>
      <w:b/>
      <w:i/>
      <w:sz w:val="24"/>
    </w:rPr>
  </w:style>
  <w:style w:type="character" w:customStyle="1" w:styleId="148">
    <w:name w:val="批注框文本 Char1"/>
    <w:qFormat/>
    <w:uiPriority w:val="0"/>
    <w:rPr>
      <w:rFonts w:ascii="仿宋_GB2312" w:hAnsi="Times New Roman" w:eastAsia="宋体" w:cs="Times New Roman"/>
      <w:sz w:val="18"/>
      <w:szCs w:val="18"/>
    </w:rPr>
  </w:style>
  <w:style w:type="character" w:customStyle="1" w:styleId="149">
    <w:name w:val="批注主题 字符"/>
    <w:semiHidden/>
    <w:qFormat/>
    <w:uiPriority w:val="99"/>
    <w:rPr>
      <w:rFonts w:ascii="Calibri" w:hAnsi="Calibri" w:eastAsia="宋体" w:cs="Times New Roman"/>
      <w:b/>
      <w:bCs/>
    </w:rPr>
  </w:style>
  <w:style w:type="character" w:customStyle="1" w:styleId="150">
    <w:name w:val=" Char Char22"/>
    <w:qFormat/>
    <w:uiPriority w:val="0"/>
    <w:rPr>
      <w:rFonts w:ascii="楷体_GB2312" w:hAnsi="宋体" w:eastAsia="楷体_GB2312" w:cs="宋体"/>
      <w:b/>
      <w:kern w:val="2"/>
      <w:sz w:val="32"/>
      <w:szCs w:val="32"/>
      <w:lang w:val="en-US" w:eastAsia="zh-CN" w:bidi="ar-SA"/>
    </w:rPr>
  </w:style>
  <w:style w:type="character" w:customStyle="1" w:styleId="151">
    <w:name w:val="正文文本 字符"/>
    <w:semiHidden/>
    <w:qFormat/>
    <w:uiPriority w:val="99"/>
    <w:rPr>
      <w:rFonts w:ascii="Calibri" w:hAnsi="Calibri" w:eastAsia="宋体" w:cs="Times New Roman"/>
    </w:rPr>
  </w:style>
  <w:style w:type="character" w:customStyle="1" w:styleId="152">
    <w:name w:val="普通文字 Char Char1"/>
    <w:qFormat/>
    <w:locked/>
    <w:uiPriority w:val="0"/>
    <w:rPr>
      <w:rFonts w:ascii="宋体" w:hAnsi="Courier New" w:eastAsia="楷体_GB2312"/>
      <w:kern w:val="2"/>
      <w:sz w:val="21"/>
      <w:szCs w:val="24"/>
      <w:lang w:val="en-US" w:eastAsia="zh-CN" w:bidi="ar-SA"/>
    </w:rPr>
  </w:style>
  <w:style w:type="character" w:customStyle="1" w:styleId="153">
    <w:name w:val="页脚 字符"/>
    <w:semiHidden/>
    <w:qFormat/>
    <w:uiPriority w:val="99"/>
    <w:rPr>
      <w:rFonts w:ascii="Calibri" w:hAnsi="Calibri" w:eastAsia="宋体" w:cs="Times New Roman"/>
      <w:sz w:val="18"/>
      <w:szCs w:val="18"/>
    </w:rPr>
  </w:style>
  <w:style w:type="character" w:customStyle="1" w:styleId="154">
    <w:name w:val="HTML 预设格式 Char2"/>
    <w:qFormat/>
    <w:uiPriority w:val="0"/>
    <w:rPr>
      <w:rFonts w:ascii="Courier New" w:hAnsi="Courier New" w:eastAsia="宋体" w:cs="Courier New"/>
      <w:kern w:val="2"/>
    </w:rPr>
  </w:style>
  <w:style w:type="character" w:customStyle="1" w:styleId="155">
    <w:name w:val="Endnote Text Char"/>
    <w:qFormat/>
    <w:locked/>
    <w:uiPriority w:val="0"/>
    <w:rPr>
      <w:rFonts w:cs="Times New Roman"/>
      <w:kern w:val="2"/>
      <w:sz w:val="21"/>
    </w:rPr>
  </w:style>
  <w:style w:type="character" w:customStyle="1" w:styleId="156">
    <w:name w:val=" Char Char19"/>
    <w:qFormat/>
    <w:uiPriority w:val="0"/>
    <w:rPr>
      <w:rFonts w:ascii="Arial" w:hAnsi="Arial" w:eastAsia="楷体_GB2312"/>
      <w:kern w:val="2"/>
      <w:sz w:val="32"/>
      <w:szCs w:val="32"/>
      <w:lang w:val="en-US" w:eastAsia="zh-CN" w:bidi="ar-SA"/>
    </w:rPr>
  </w:style>
  <w:style w:type="character" w:customStyle="1" w:styleId="157">
    <w:name w:val="文档结构图 字符"/>
    <w:semiHidden/>
    <w:qFormat/>
    <w:uiPriority w:val="99"/>
    <w:rPr>
      <w:rFonts w:ascii="Microsoft YaHei UI" w:hAnsi="Calibri" w:eastAsia="Microsoft YaHei UI" w:cs="Times New Roman"/>
      <w:sz w:val="18"/>
      <w:szCs w:val="18"/>
    </w:rPr>
  </w:style>
  <w:style w:type="character" w:customStyle="1" w:styleId="158">
    <w:name w:val="标题4 Char Char"/>
    <w:link w:val="159"/>
    <w:qFormat/>
    <w:uiPriority w:val="0"/>
    <w:rPr>
      <w:rFonts w:ascii="Arial" w:hAnsi="Arial"/>
      <w:b/>
      <w:bCs/>
      <w:sz w:val="24"/>
      <w:szCs w:val="32"/>
    </w:rPr>
  </w:style>
  <w:style w:type="paragraph" w:customStyle="1" w:styleId="159">
    <w:name w:val="标题4"/>
    <w:basedOn w:val="4"/>
    <w:next w:val="23"/>
    <w:link w:val="158"/>
    <w:qFormat/>
    <w:uiPriority w:val="0"/>
    <w:pPr>
      <w:numPr>
        <w:ilvl w:val="0"/>
        <w:numId w:val="0"/>
      </w:numPr>
      <w:spacing w:before="260" w:after="260" w:line="413" w:lineRule="auto"/>
      <w:jc w:val="both"/>
    </w:pPr>
    <w:rPr>
      <w:bCs/>
      <w:color w:val="auto"/>
      <w:szCs w:val="32"/>
    </w:rPr>
  </w:style>
  <w:style w:type="character" w:customStyle="1" w:styleId="160">
    <w:name w:val="页脚 Char1"/>
    <w:qFormat/>
    <w:uiPriority w:val="0"/>
    <w:rPr>
      <w:rFonts w:eastAsia="楷体_GB2312"/>
      <w:kern w:val="2"/>
      <w:sz w:val="18"/>
      <w:szCs w:val="18"/>
    </w:rPr>
  </w:style>
  <w:style w:type="character" w:customStyle="1" w:styleId="161">
    <w:name w:val="标题 8 字符"/>
    <w:semiHidden/>
    <w:qFormat/>
    <w:uiPriority w:val="9"/>
    <w:rPr>
      <w:rFonts w:ascii="等线 Light" w:hAnsi="等线 Light" w:eastAsia="等线 Light" w:cs="Times New Roman"/>
      <w:sz w:val="24"/>
      <w:szCs w:val="24"/>
    </w:rPr>
  </w:style>
  <w:style w:type="character" w:customStyle="1" w:styleId="162">
    <w:name w:val="标题 7 字符"/>
    <w:semiHidden/>
    <w:qFormat/>
    <w:uiPriority w:val="9"/>
    <w:rPr>
      <w:rFonts w:ascii="Calibri" w:hAnsi="Calibri" w:eastAsia="宋体" w:cs="Times New Roman"/>
      <w:b/>
      <w:bCs/>
      <w:sz w:val="24"/>
      <w:szCs w:val="24"/>
    </w:rPr>
  </w:style>
  <w:style w:type="character" w:customStyle="1" w:styleId="163">
    <w:name w:val="textcontents"/>
    <w:qFormat/>
    <w:uiPriority w:val="0"/>
    <w:rPr>
      <w:rFonts w:cs="Times New Roman"/>
    </w:rPr>
  </w:style>
  <w:style w:type="character" w:customStyle="1" w:styleId="164">
    <w:name w:val="HTML 预设格式 Char"/>
    <w:qFormat/>
    <w:uiPriority w:val="0"/>
    <w:rPr>
      <w:rFonts w:ascii="宋体" w:hAnsi="宋体" w:cs="宋体"/>
      <w:sz w:val="24"/>
      <w:szCs w:val="24"/>
    </w:rPr>
  </w:style>
  <w:style w:type="character" w:customStyle="1" w:styleId="165">
    <w:name w:val="纯文本 Char1"/>
    <w:semiHidden/>
    <w:qFormat/>
    <w:uiPriority w:val="99"/>
    <w:rPr>
      <w:rFonts w:ascii="宋体" w:hAnsi="Courier New" w:eastAsia="宋体" w:cs="Courier New"/>
      <w:szCs w:val="21"/>
    </w:rPr>
  </w:style>
  <w:style w:type="character" w:customStyle="1" w:styleId="166">
    <w:name w:val="正文首行缩进 Char2"/>
    <w:qFormat/>
    <w:uiPriority w:val="0"/>
    <w:rPr>
      <w:rFonts w:hint="eastAsia" w:ascii="楷体_GB2312" w:eastAsia="楷体_GB2312" w:cs="楷体_GB2312"/>
      <w:lang w:val="en-US" w:eastAsia="zh-CN" w:bidi="ar"/>
    </w:rPr>
  </w:style>
  <w:style w:type="character" w:customStyle="1" w:styleId="167">
    <w:name w:val="正文文本缩进 Char1"/>
    <w:qFormat/>
    <w:uiPriority w:val="0"/>
    <w:rPr>
      <w:rFonts w:ascii="仿宋_GB2312" w:hAnsi="Times New Roman" w:eastAsia="宋体" w:cs="Times New Roman"/>
      <w:szCs w:val="32"/>
    </w:rPr>
  </w:style>
  <w:style w:type="character" w:customStyle="1" w:styleId="168">
    <w:name w:val="普通文字 Char Char"/>
    <w:qFormat/>
    <w:uiPriority w:val="0"/>
    <w:rPr>
      <w:rFonts w:ascii="宋体" w:hAnsi="Courier New" w:eastAsia="楷体_GB2312"/>
      <w:kern w:val="2"/>
      <w:sz w:val="21"/>
      <w:lang w:val="en-US" w:eastAsia="zh-CN" w:bidi="ar-SA"/>
    </w:rPr>
  </w:style>
  <w:style w:type="character" w:customStyle="1" w:styleId="169">
    <w:name w:val="正文文本 Char1"/>
    <w:qFormat/>
    <w:uiPriority w:val="0"/>
    <w:rPr>
      <w:rFonts w:ascii="仿宋_GB2312" w:hAnsi="Times New Roman" w:eastAsia="宋体" w:cs="Times New Roman"/>
      <w:szCs w:val="32"/>
    </w:rPr>
  </w:style>
  <w:style w:type="character" w:customStyle="1" w:styleId="170">
    <w:name w:val="无间隔 Char"/>
    <w:link w:val="171"/>
    <w:qFormat/>
    <w:locked/>
    <w:uiPriority w:val="0"/>
    <w:rPr>
      <w:rFonts w:eastAsia="Times New Roman"/>
      <w:sz w:val="22"/>
      <w:lang w:val="en-US" w:eastAsia="zh-CN" w:bidi="ar-SA"/>
    </w:rPr>
  </w:style>
  <w:style w:type="paragraph" w:customStyle="1" w:styleId="171">
    <w:name w:val="No Spacing"/>
    <w:link w:val="170"/>
    <w:qFormat/>
    <w:uiPriority w:val="0"/>
    <w:rPr>
      <w:rFonts w:ascii="Times New Roman" w:hAnsi="Times New Roman" w:eastAsia="Times New Roman" w:cs="Times New Roman"/>
      <w:sz w:val="22"/>
      <w:lang w:val="en-US" w:eastAsia="zh-CN" w:bidi="ar-SA"/>
    </w:rPr>
  </w:style>
  <w:style w:type="character" w:customStyle="1" w:styleId="172">
    <w:name w:val="正文文本 3 Char2"/>
    <w:qFormat/>
    <w:uiPriority w:val="0"/>
    <w:rPr>
      <w:rFonts w:eastAsia="楷体_GB2312"/>
      <w:kern w:val="2"/>
      <w:sz w:val="16"/>
      <w:szCs w:val="16"/>
    </w:rPr>
  </w:style>
  <w:style w:type="character" w:customStyle="1" w:styleId="173">
    <w:name w:val="正文文本缩进 字符"/>
    <w:semiHidden/>
    <w:qFormat/>
    <w:uiPriority w:val="99"/>
    <w:rPr>
      <w:rFonts w:ascii="Calibri" w:hAnsi="Calibri" w:eastAsia="宋体" w:cs="Times New Roman"/>
    </w:rPr>
  </w:style>
  <w:style w:type="character" w:customStyle="1" w:styleId="174">
    <w:name w:val="UserStyle_52"/>
    <w:qFormat/>
    <w:uiPriority w:val="0"/>
  </w:style>
  <w:style w:type="character" w:customStyle="1" w:styleId="175">
    <w:name w:val="标题 1 Char1"/>
    <w:qFormat/>
    <w:locked/>
    <w:uiPriority w:val="0"/>
    <w:rPr>
      <w:rFonts w:ascii="宋体" w:hAnsi="宋体" w:eastAsia="楷体_GB2312" w:cs="宋体"/>
      <w:b/>
      <w:bCs/>
      <w:kern w:val="2"/>
      <w:sz w:val="32"/>
      <w:szCs w:val="32"/>
      <w:lang w:val="en-US" w:eastAsia="zh-CN" w:bidi="ar-SA"/>
    </w:rPr>
  </w:style>
  <w:style w:type="character" w:customStyle="1" w:styleId="176">
    <w:name w:val="日期 字符"/>
    <w:semiHidden/>
    <w:qFormat/>
    <w:uiPriority w:val="99"/>
    <w:rPr>
      <w:rFonts w:ascii="Calibri" w:hAnsi="Calibri" w:eastAsia="宋体" w:cs="Times New Roman"/>
    </w:rPr>
  </w:style>
  <w:style w:type="character" w:customStyle="1" w:styleId="177">
    <w:name w:val="正文文本缩进 2 Char1"/>
    <w:qFormat/>
    <w:uiPriority w:val="0"/>
    <w:rPr>
      <w:rFonts w:ascii="仿宋_GB2312" w:hAnsi="Times New Roman" w:eastAsia="宋体" w:cs="Times New Roman"/>
      <w:szCs w:val="32"/>
    </w:rPr>
  </w:style>
  <w:style w:type="character" w:customStyle="1" w:styleId="178">
    <w:name w:val="text_neiye_21"/>
    <w:qFormat/>
    <w:uiPriority w:val="0"/>
    <w:rPr>
      <w:rFonts w:hint="eastAsia" w:ascii="方正小标宋简体" w:eastAsia="方正小标宋简体"/>
      <w:color w:val="000000"/>
      <w:sz w:val="38"/>
      <w:szCs w:val="38"/>
    </w:rPr>
  </w:style>
  <w:style w:type="character" w:customStyle="1" w:styleId="179">
    <w:name w:val="NormalCharacter"/>
    <w:basedOn w:val="54"/>
    <w:qFormat/>
    <w:uiPriority w:val="0"/>
  </w:style>
  <w:style w:type="character" w:customStyle="1" w:styleId="180">
    <w:name w:val="批注文字 字符"/>
    <w:semiHidden/>
    <w:qFormat/>
    <w:uiPriority w:val="99"/>
    <w:rPr>
      <w:rFonts w:ascii="Calibri" w:hAnsi="Calibri" w:eastAsia="宋体" w:cs="Times New Roman"/>
    </w:rPr>
  </w:style>
  <w:style w:type="character" w:customStyle="1" w:styleId="181">
    <w:name w:val="Subtle Reference"/>
    <w:qFormat/>
    <w:uiPriority w:val="0"/>
    <w:rPr>
      <w:smallCaps/>
      <w:color w:val="C0504D"/>
      <w:u w:val="single"/>
    </w:rPr>
  </w:style>
  <w:style w:type="character" w:customStyle="1" w:styleId="182">
    <w:name w:val="列出段落 Char"/>
    <w:link w:val="183"/>
    <w:qFormat/>
    <w:uiPriority w:val="0"/>
    <w:rPr>
      <w:sz w:val="24"/>
    </w:rPr>
  </w:style>
  <w:style w:type="paragraph" w:customStyle="1" w:styleId="183">
    <w:name w:val="List Paragraph2"/>
    <w:basedOn w:val="1"/>
    <w:link w:val="182"/>
    <w:qFormat/>
    <w:uiPriority w:val="0"/>
    <w:pPr>
      <w:spacing w:beforeLines="50" w:afterLines="50" w:line="288" w:lineRule="auto"/>
      <w:ind w:firstLine="420" w:firstLineChars="200"/>
    </w:pPr>
    <w:rPr>
      <w:kern w:val="0"/>
      <w:sz w:val="24"/>
      <w:szCs w:val="20"/>
    </w:rPr>
  </w:style>
  <w:style w:type="character" w:customStyle="1" w:styleId="184">
    <w:name w:val="正文首行缩进 字符"/>
    <w:basedOn w:val="151"/>
    <w:semiHidden/>
    <w:qFormat/>
    <w:uiPriority w:val="99"/>
  </w:style>
  <w:style w:type="character" w:customStyle="1" w:styleId="185">
    <w:name w:val="脚注文本 Char1"/>
    <w:qFormat/>
    <w:uiPriority w:val="0"/>
    <w:rPr>
      <w:rFonts w:ascii="仿宋_GB2312" w:hAnsi="Times New Roman" w:eastAsia="宋体" w:cs="Times New Roman"/>
      <w:sz w:val="18"/>
      <w:szCs w:val="18"/>
    </w:rPr>
  </w:style>
  <w:style w:type="character" w:customStyle="1" w:styleId="186">
    <w:name w:val="批注文字 Char Char"/>
    <w:qFormat/>
    <w:uiPriority w:val="0"/>
    <w:rPr>
      <w:rFonts w:ascii="宋体" w:hAnsi="Times New Roman" w:eastAsia="宋体" w:cs="Times New Roman"/>
      <w:sz w:val="28"/>
      <w:szCs w:val="20"/>
    </w:rPr>
  </w:style>
  <w:style w:type="character" w:customStyle="1" w:styleId="187">
    <w:name w:val="正文首行缩进 Char1"/>
    <w:qFormat/>
    <w:locked/>
    <w:uiPriority w:val="99"/>
    <w:rPr>
      <w:rFonts w:eastAsia="宋体"/>
      <w:kern w:val="2"/>
      <w:sz w:val="21"/>
      <w:lang w:val="en-US" w:eastAsia="zh-CN" w:bidi="ar-SA"/>
    </w:rPr>
  </w:style>
  <w:style w:type="character" w:customStyle="1" w:styleId="188">
    <w:name w:val="纯文本 字符"/>
    <w:semiHidden/>
    <w:qFormat/>
    <w:uiPriority w:val="99"/>
    <w:rPr>
      <w:rFonts w:ascii="等线" w:hAnsi="Courier New" w:cs="Courier New"/>
    </w:rPr>
  </w:style>
  <w:style w:type="character" w:customStyle="1" w:styleId="189">
    <w:name w:val=" Char Char18"/>
    <w:qFormat/>
    <w:uiPriority w:val="0"/>
    <w:rPr>
      <w:rFonts w:ascii="Arial" w:hAnsi="Arial" w:eastAsia="楷体_GB2312"/>
      <w:kern w:val="2"/>
      <w:sz w:val="32"/>
      <w:szCs w:val="32"/>
      <w:lang w:val="en-US" w:eastAsia="zh-CN" w:bidi="ar-SA"/>
    </w:rPr>
  </w:style>
  <w:style w:type="character" w:customStyle="1" w:styleId="190">
    <w:name w:val="Char Char4"/>
    <w:link w:val="191"/>
    <w:qFormat/>
    <w:locked/>
    <w:uiPriority w:val="0"/>
    <w:rPr>
      <w:rFonts w:ascii="Tahoma" w:hAnsi="Tahoma" w:eastAsia="宋体"/>
      <w:kern w:val="2"/>
      <w:sz w:val="24"/>
    </w:rPr>
  </w:style>
  <w:style w:type="paragraph" w:customStyle="1" w:styleId="191">
    <w:name w:val="Char"/>
    <w:basedOn w:val="1"/>
    <w:link w:val="190"/>
    <w:qFormat/>
    <w:uiPriority w:val="0"/>
    <w:rPr>
      <w:rFonts w:ascii="Tahoma" w:hAnsi="Tahoma"/>
      <w:sz w:val="24"/>
      <w:szCs w:val="20"/>
    </w:rPr>
  </w:style>
  <w:style w:type="character" w:customStyle="1" w:styleId="192">
    <w:name w:val="标题 4 字符"/>
    <w:semiHidden/>
    <w:qFormat/>
    <w:uiPriority w:val="9"/>
    <w:rPr>
      <w:rFonts w:ascii="等线 Light" w:hAnsi="等线 Light" w:eastAsia="等线 Light" w:cs="Times New Roman"/>
      <w:b/>
      <w:bCs/>
      <w:sz w:val="28"/>
      <w:szCs w:val="28"/>
    </w:rPr>
  </w:style>
  <w:style w:type="character" w:customStyle="1" w:styleId="193">
    <w:name w:val="页眉 Char1"/>
    <w:qFormat/>
    <w:uiPriority w:val="0"/>
    <w:rPr>
      <w:rFonts w:eastAsia="楷体_GB2312"/>
      <w:kern w:val="2"/>
      <w:sz w:val="18"/>
      <w:szCs w:val="18"/>
    </w:rPr>
  </w:style>
  <w:style w:type="character" w:customStyle="1" w:styleId="194">
    <w:name w:val="引用 Char1"/>
    <w:link w:val="195"/>
    <w:qFormat/>
    <w:uiPriority w:val="0"/>
    <w:rPr>
      <w:rFonts w:ascii="仿宋_GB2312" w:hAnsi="Times New Roman"/>
      <w:i/>
      <w:iCs/>
      <w:color w:val="000000"/>
      <w:szCs w:val="32"/>
    </w:rPr>
  </w:style>
  <w:style w:type="paragraph" w:customStyle="1" w:styleId="195">
    <w:name w:val="Quote"/>
    <w:basedOn w:val="1"/>
    <w:next w:val="1"/>
    <w:link w:val="194"/>
    <w:qFormat/>
    <w:uiPriority w:val="0"/>
    <w:pPr>
      <w:widowControl/>
      <w:jc w:val="left"/>
    </w:pPr>
    <w:rPr>
      <w:rFonts w:ascii="仿宋_GB2312"/>
      <w:i/>
      <w:iCs/>
      <w:color w:val="000000"/>
      <w:kern w:val="0"/>
      <w:sz w:val="20"/>
      <w:szCs w:val="32"/>
    </w:rPr>
  </w:style>
  <w:style w:type="character" w:customStyle="1" w:styleId="196">
    <w:name w:val="标题 3 字符"/>
    <w:semiHidden/>
    <w:qFormat/>
    <w:uiPriority w:val="9"/>
    <w:rPr>
      <w:rFonts w:ascii="Calibri" w:hAnsi="Calibri" w:eastAsia="宋体" w:cs="Times New Roman"/>
      <w:b/>
      <w:bCs/>
      <w:sz w:val="32"/>
      <w:szCs w:val="32"/>
    </w:rPr>
  </w:style>
  <w:style w:type="character" w:customStyle="1" w:styleId="197">
    <w:name w:val="text_neiye_31"/>
    <w:qFormat/>
    <w:uiPriority w:val="0"/>
    <w:rPr>
      <w:rFonts w:hint="eastAsia" w:ascii="仿宋_GB2312" w:eastAsia="仿宋_GB2312"/>
      <w:color w:val="000000"/>
      <w:sz w:val="30"/>
      <w:szCs w:val="30"/>
    </w:rPr>
  </w:style>
  <w:style w:type="character" w:customStyle="1" w:styleId="198">
    <w:name w:val="日期 Char1"/>
    <w:qFormat/>
    <w:uiPriority w:val="0"/>
    <w:rPr>
      <w:rFonts w:ascii="仿宋_GB2312" w:hAnsi="Times New Roman" w:eastAsia="宋体" w:cs="Times New Roman"/>
      <w:szCs w:val="32"/>
    </w:rPr>
  </w:style>
  <w:style w:type="character" w:customStyle="1" w:styleId="199">
    <w:name w:val=" Char Char23"/>
    <w:qFormat/>
    <w:uiPriority w:val="0"/>
    <w:rPr>
      <w:rFonts w:eastAsia="楷体_GB2312"/>
      <w:b/>
      <w:kern w:val="2"/>
      <w:sz w:val="36"/>
      <w:szCs w:val="36"/>
      <w:lang w:val="en-US" w:eastAsia="zh-CN" w:bidi="ar-SA"/>
    </w:rPr>
  </w:style>
  <w:style w:type="character" w:customStyle="1" w:styleId="200">
    <w:name w:val="正文文本缩进 3 字符"/>
    <w:semiHidden/>
    <w:qFormat/>
    <w:uiPriority w:val="99"/>
    <w:rPr>
      <w:rFonts w:ascii="Calibri" w:hAnsi="Calibri" w:eastAsia="宋体" w:cs="Times New Roman"/>
      <w:sz w:val="16"/>
      <w:szCs w:val="16"/>
    </w:rPr>
  </w:style>
  <w:style w:type="character" w:customStyle="1" w:styleId="201">
    <w:name w:val=" Char Char Char"/>
    <w:qFormat/>
    <w:uiPriority w:val="0"/>
    <w:rPr>
      <w:rFonts w:ascii="Arial" w:hAnsi="Arial" w:eastAsia="宋体"/>
      <w:kern w:val="44"/>
      <w:sz w:val="24"/>
      <w:lang w:val="en-US" w:eastAsia="zh-CN" w:bidi="ar-SA"/>
    </w:rPr>
  </w:style>
  <w:style w:type="character" w:customStyle="1" w:styleId="202">
    <w:name w:val="标题 1 Char Char"/>
    <w:qFormat/>
    <w:uiPriority w:val="0"/>
    <w:rPr>
      <w:rFonts w:ascii="仿宋_GB2312" w:hAnsi="宋体" w:eastAsia="仿宋_GB2312" w:cs="宋体"/>
      <w:b/>
      <w:bCs/>
      <w:kern w:val="2"/>
      <w:sz w:val="30"/>
      <w:szCs w:val="30"/>
      <w:lang w:val="en-US" w:eastAsia="zh-CN" w:bidi="ar-SA"/>
    </w:rPr>
  </w:style>
  <w:style w:type="character" w:customStyle="1" w:styleId="203">
    <w:name w:val="正文文本 3 Char3"/>
    <w:qFormat/>
    <w:uiPriority w:val="0"/>
    <w:rPr>
      <w:rFonts w:ascii="Calibri" w:hAnsi="Calibri" w:eastAsia="宋体"/>
      <w:kern w:val="2"/>
      <w:sz w:val="16"/>
      <w:szCs w:val="16"/>
    </w:rPr>
  </w:style>
  <w:style w:type="character" w:customStyle="1" w:styleId="204">
    <w:name w:val="Intense Reference"/>
    <w:qFormat/>
    <w:uiPriority w:val="0"/>
    <w:rPr>
      <w:b/>
      <w:bCs/>
      <w:smallCaps/>
      <w:color w:val="C0504D"/>
      <w:spacing w:val="5"/>
      <w:u w:val="single"/>
    </w:rPr>
  </w:style>
  <w:style w:type="character" w:customStyle="1" w:styleId="205">
    <w:name w:val="副标题 Char"/>
    <w:qFormat/>
    <w:uiPriority w:val="0"/>
    <w:rPr>
      <w:rFonts w:ascii="Arial" w:hAnsi="Arial" w:eastAsia="黑体"/>
      <w:b/>
      <w:bCs/>
      <w:sz w:val="32"/>
      <w:szCs w:val="32"/>
    </w:rPr>
  </w:style>
  <w:style w:type="character" w:customStyle="1" w:styleId="206">
    <w:name w:val=" Char Char11"/>
    <w:qFormat/>
    <w:uiPriority w:val="0"/>
    <w:rPr>
      <w:rFonts w:ascii="宋体" w:hAnsi="Courier New" w:eastAsia="宋体" w:cs="Times New Roman"/>
      <w:szCs w:val="20"/>
    </w:rPr>
  </w:style>
  <w:style w:type="character" w:customStyle="1" w:styleId="207">
    <w:name w:val="文档结构图 Char1"/>
    <w:qFormat/>
    <w:uiPriority w:val="0"/>
    <w:rPr>
      <w:rFonts w:ascii="宋体" w:hAnsi="Times New Roman" w:eastAsia="宋体" w:cs="Times New Roman"/>
      <w:sz w:val="18"/>
      <w:szCs w:val="18"/>
    </w:rPr>
  </w:style>
  <w:style w:type="character" w:customStyle="1" w:styleId="208">
    <w:name w:val="尾注文本 字符"/>
    <w:semiHidden/>
    <w:qFormat/>
    <w:uiPriority w:val="99"/>
    <w:rPr>
      <w:rFonts w:ascii="Calibri" w:hAnsi="Calibri" w:eastAsia="宋体" w:cs="Times New Roman"/>
    </w:rPr>
  </w:style>
  <w:style w:type="character" w:customStyle="1" w:styleId="209">
    <w:name w:val="标提1 Char"/>
    <w:link w:val="210"/>
    <w:qFormat/>
    <w:uiPriority w:val="0"/>
    <w:rPr>
      <w:rFonts w:eastAsia="黑体"/>
      <w:b/>
      <w:kern w:val="44"/>
      <w:sz w:val="24"/>
      <w:szCs w:val="24"/>
    </w:rPr>
  </w:style>
  <w:style w:type="paragraph" w:customStyle="1" w:styleId="210">
    <w:name w:val="标提1"/>
    <w:basedOn w:val="3"/>
    <w:next w:val="1"/>
    <w:link w:val="209"/>
    <w:qFormat/>
    <w:uiPriority w:val="0"/>
    <w:pPr>
      <w:spacing w:after="0" w:line="240" w:lineRule="auto"/>
      <w:jc w:val="both"/>
    </w:pPr>
    <w:rPr>
      <w:rFonts w:ascii="Times New Roman" w:hAnsi="Times New Roman" w:eastAsia="黑体"/>
      <w:sz w:val="24"/>
      <w:szCs w:val="24"/>
    </w:rPr>
  </w:style>
  <w:style w:type="character" w:customStyle="1" w:styleId="211">
    <w:name w:val="text_neiye_32"/>
    <w:qFormat/>
    <w:uiPriority w:val="0"/>
    <w:rPr>
      <w:rFonts w:hint="eastAsia" w:ascii="仿宋_GB2312" w:eastAsia="仿宋_GB2312"/>
      <w:color w:val="000000"/>
      <w:sz w:val="30"/>
      <w:szCs w:val="30"/>
    </w:rPr>
  </w:style>
  <w:style w:type="character" w:customStyle="1" w:styleId="212">
    <w:name w:val="标题 1 字符"/>
    <w:qFormat/>
    <w:uiPriority w:val="9"/>
    <w:rPr>
      <w:rFonts w:ascii="Calibri" w:hAnsi="Calibri" w:eastAsia="宋体" w:cs="Times New Roman"/>
      <w:b/>
      <w:bCs/>
      <w:kern w:val="44"/>
      <w:sz w:val="44"/>
      <w:szCs w:val="44"/>
    </w:rPr>
  </w:style>
  <w:style w:type="paragraph" w:customStyle="1" w:styleId="213">
    <w:name w:val="自正文2"/>
    <w:basedOn w:val="1"/>
    <w:qFormat/>
    <w:uiPriority w:val="0"/>
    <w:pPr>
      <w:ind w:firstLine="598" w:firstLineChars="249"/>
    </w:pPr>
    <w:rPr>
      <w:rFonts w:ascii="宋体" w:hAnsi="宋体"/>
      <w:snapToGrid w:val="0"/>
      <w:color w:val="000000"/>
      <w:sz w:val="24"/>
      <w:szCs w:val="20"/>
    </w:rPr>
  </w:style>
  <w:style w:type="paragraph" w:customStyle="1" w:styleId="214">
    <w:name w:val="+标题4"/>
    <w:basedOn w:val="6"/>
    <w:qFormat/>
    <w:uiPriority w:val="0"/>
    <w:pPr>
      <w:numPr>
        <w:ilvl w:val="3"/>
        <w:numId w:val="5"/>
      </w:numPr>
      <w:tabs>
        <w:tab w:val="left" w:pos="1053"/>
        <w:tab w:val="left" w:pos="1720"/>
        <w:tab w:val="left" w:pos="2310"/>
      </w:tabs>
      <w:spacing w:beforeLines="0" w:afterLines="0"/>
      <w:jc w:val="both"/>
    </w:pPr>
    <w:rPr>
      <w:rFonts w:ascii="Times New Roman" w:hAnsi="Times New Roman"/>
      <w:b/>
      <w:bCs/>
      <w:color w:val="auto"/>
      <w:sz w:val="24"/>
      <w:szCs w:val="28"/>
    </w:rPr>
  </w:style>
  <w:style w:type="paragraph" w:customStyle="1" w:styleId="215">
    <w:name w:val="B"/>
    <w:basedOn w:val="1"/>
    <w:qFormat/>
    <w:uiPriority w:val="0"/>
    <w:pPr>
      <w:widowControl/>
      <w:tabs>
        <w:tab w:val="left" w:pos="1200"/>
      </w:tabs>
      <w:spacing w:before="240" w:line="240" w:lineRule="atLeast"/>
    </w:pPr>
    <w:rPr>
      <w:rFonts w:ascii="Times New Roman" w:hAnsi="Times New Roman"/>
      <w:sz w:val="24"/>
      <w:szCs w:val="24"/>
    </w:rPr>
  </w:style>
  <w:style w:type="paragraph" w:customStyle="1" w:styleId="216">
    <w:name w:val="文档结构图1"/>
    <w:basedOn w:val="1"/>
    <w:qFormat/>
    <w:uiPriority w:val="0"/>
    <w:pPr>
      <w:shd w:val="clear" w:color="auto" w:fill="000080"/>
      <w:suppressAutoHyphens/>
    </w:pPr>
    <w:rPr>
      <w:rFonts w:ascii="Times New Roman" w:hAnsi="Times New Roman"/>
      <w:kern w:val="1"/>
      <w:szCs w:val="20"/>
      <w:lang w:eastAsia="ar-SA"/>
    </w:rPr>
  </w:style>
  <w:style w:type="paragraph" w:customStyle="1" w:styleId="217">
    <w:name w:val="普通(网站)1"/>
    <w:basedOn w:val="1"/>
    <w:qFormat/>
    <w:uiPriority w:val="0"/>
    <w:pPr>
      <w:widowControl/>
      <w:suppressAutoHyphens/>
      <w:spacing w:before="284" w:after="280" w:line="360" w:lineRule="auto"/>
      <w:jc w:val="left"/>
    </w:pPr>
    <w:rPr>
      <w:rFonts w:ascii="宋体" w:hAnsi="宋体"/>
      <w:kern w:val="1"/>
      <w:sz w:val="24"/>
      <w:szCs w:val="20"/>
      <w:lang w:eastAsia="ar-SA"/>
    </w:rPr>
  </w:style>
  <w:style w:type="paragraph" w:customStyle="1" w:styleId="218">
    <w:name w:val="表格内容"/>
    <w:basedOn w:val="1"/>
    <w:qFormat/>
    <w:uiPriority w:val="0"/>
    <w:pPr>
      <w:suppressLineNumbers/>
      <w:suppressAutoHyphens/>
    </w:pPr>
    <w:rPr>
      <w:rFonts w:ascii="Times New Roman" w:hAnsi="Times New Roman"/>
      <w:kern w:val="1"/>
      <w:szCs w:val="20"/>
      <w:lang w:eastAsia="ar-SA"/>
    </w:rPr>
  </w:style>
  <w:style w:type="paragraph" w:customStyle="1" w:styleId="219">
    <w:name w:val="自正文4"/>
    <w:basedOn w:val="1"/>
    <w:qFormat/>
    <w:uiPriority w:val="0"/>
    <w:pPr>
      <w:tabs>
        <w:tab w:val="left" w:pos="1440"/>
        <w:tab w:val="left" w:pos="2760"/>
        <w:tab w:val="left" w:pos="4200"/>
      </w:tabs>
      <w:spacing w:after="120" w:line="360" w:lineRule="auto"/>
      <w:ind w:left="480" w:firstLine="600"/>
      <w:jc w:val="left"/>
    </w:pPr>
    <w:rPr>
      <w:rFonts w:ascii="楷体_GB2312" w:hAnsi="华文仿宋" w:eastAsia="楷体_GB2312"/>
      <w:kern w:val="0"/>
      <w:szCs w:val="20"/>
    </w:rPr>
  </w:style>
  <w:style w:type="paragraph" w:customStyle="1" w:styleId="220">
    <w:name w:val="样式 标题 3 + (中文) 黑体 小四 非加粗 段前: 7.8 磅 段后: 0 磅 行距: 固定值 20 磅"/>
    <w:basedOn w:val="5"/>
    <w:qFormat/>
    <w:uiPriority w:val="0"/>
    <w:pPr>
      <w:keepNext/>
      <w:keepLines/>
      <w:widowControl w:val="0"/>
      <w:spacing w:before="0" w:beforeAutospacing="0" w:after="0" w:afterAutospacing="0" w:line="400" w:lineRule="exact"/>
      <w:jc w:val="both"/>
    </w:pPr>
    <w:rPr>
      <w:rFonts w:ascii="Times New Roman" w:hAnsi="Times New Roman" w:eastAsia="黑体"/>
      <w:kern w:val="2"/>
      <w:sz w:val="24"/>
      <w:szCs w:val="20"/>
    </w:rPr>
  </w:style>
  <w:style w:type="paragraph" w:customStyle="1" w:styleId="221">
    <w:name w:val="正题"/>
    <w:basedOn w:val="140"/>
    <w:next w:val="140"/>
    <w:qFormat/>
    <w:uiPriority w:val="0"/>
    <w:pPr>
      <w:ind w:firstLine="0" w:firstLineChars="0"/>
      <w:jc w:val="center"/>
    </w:pPr>
    <w:rPr>
      <w:rFonts w:eastAsia="黑体"/>
      <w:b/>
      <w:sz w:val="36"/>
      <w:szCs w:val="36"/>
    </w:rPr>
  </w:style>
  <w:style w:type="paragraph" w:customStyle="1" w:styleId="222">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223">
    <w:name w:val="List Paragraph1"/>
    <w:basedOn w:val="1"/>
    <w:qFormat/>
    <w:uiPriority w:val="0"/>
    <w:pPr>
      <w:ind w:firstLine="420" w:firstLineChars="200"/>
    </w:pPr>
  </w:style>
  <w:style w:type="paragraph" w:customStyle="1" w:styleId="224">
    <w:name w:val="_Style 11"/>
    <w:basedOn w:val="1"/>
    <w:qFormat/>
    <w:uiPriority w:val="0"/>
    <w:rPr>
      <w:rFonts w:ascii="Times New Roman" w:hAnsi="Times New Roman"/>
      <w:sz w:val="30"/>
      <w:szCs w:val="24"/>
    </w:rPr>
  </w:style>
  <w:style w:type="paragraph" w:customStyle="1" w:styleId="225">
    <w:name w:val="默认段落字体 Para Char"/>
    <w:basedOn w:val="1"/>
    <w:qFormat/>
    <w:uiPriority w:val="0"/>
    <w:pPr>
      <w:spacing w:line="360" w:lineRule="auto"/>
      <w:jc w:val="left"/>
    </w:pPr>
    <w:rPr>
      <w:rFonts w:ascii="Times New Roman" w:hAnsi="Times New Roman" w:eastAsia="仿宋_GB2312"/>
      <w:b/>
      <w:sz w:val="32"/>
      <w:szCs w:val="20"/>
    </w:rPr>
  </w:style>
  <w:style w:type="paragraph" w:customStyle="1" w:styleId="226">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227">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仿宋_GB2312" w:hAnsi="宋体" w:eastAsia="仿宋_GB2312"/>
      <w:color w:val="000000"/>
      <w:kern w:val="0"/>
      <w:sz w:val="24"/>
      <w:szCs w:val="20"/>
    </w:rPr>
  </w:style>
  <w:style w:type="paragraph" w:customStyle="1" w:styleId="228">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29">
    <w:name w:val="样式 标题 2 + Times New Roman 四号 非加粗 段前: 5 磅 段后: 0 磅 行距: 固定值 20..."/>
    <w:basedOn w:val="4"/>
    <w:qFormat/>
    <w:uiPriority w:val="0"/>
    <w:pPr>
      <w:numPr>
        <w:ilvl w:val="0"/>
        <w:numId w:val="0"/>
      </w:numPr>
      <w:spacing w:before="100" w:after="0" w:line="400" w:lineRule="exact"/>
      <w:jc w:val="both"/>
    </w:pPr>
    <w:rPr>
      <w:rFonts w:ascii="Times New Roman" w:hAnsi="Times New Roman" w:eastAsia="黑体" w:cs="宋体"/>
      <w:b w:val="0"/>
      <w:color w:val="auto"/>
      <w:kern w:val="0"/>
      <w:sz w:val="28"/>
      <w:szCs w:val="20"/>
    </w:rPr>
  </w:style>
  <w:style w:type="paragraph" w:customStyle="1" w:styleId="230">
    <w:name w:val="正文正"/>
    <w:basedOn w:val="1"/>
    <w:qFormat/>
    <w:uiPriority w:val="0"/>
    <w:pPr>
      <w:spacing w:line="560" w:lineRule="exact"/>
      <w:ind w:firstLine="561"/>
    </w:pPr>
    <w:rPr>
      <w:rFonts w:eastAsia="仿宋_GB2312"/>
      <w:sz w:val="28"/>
      <w:szCs w:val="24"/>
    </w:rPr>
  </w:style>
  <w:style w:type="paragraph" w:customStyle="1" w:styleId="231">
    <w:name w:val="Plain Text"/>
    <w:basedOn w:val="1"/>
    <w:qFormat/>
    <w:uiPriority w:val="0"/>
    <w:pPr>
      <w:adjustRightInd w:val="0"/>
      <w:textAlignment w:val="baseline"/>
    </w:pPr>
    <w:rPr>
      <w:rFonts w:ascii="宋体" w:hAnsi="Times New Roman" w:eastAsia="楷体_GB2312"/>
      <w:kern w:val="0"/>
      <w:sz w:val="24"/>
      <w:szCs w:val="20"/>
    </w:rPr>
  </w:style>
  <w:style w:type="paragraph" w:customStyle="1" w:styleId="232">
    <w:name w:val="xl35"/>
    <w:basedOn w:val="1"/>
    <w:qFormat/>
    <w:uiPriority w:val="0"/>
    <w:pPr>
      <w:widowControl/>
      <w:pBdr>
        <w:top w:val="single" w:color="000000" w:sz="4" w:space="0"/>
        <w:left w:val="single" w:color="000000" w:sz="4" w:space="0"/>
      </w:pBdr>
      <w:spacing w:before="100" w:beforeAutospacing="1" w:after="100" w:afterAutospacing="1"/>
      <w:jc w:val="left"/>
      <w:textAlignment w:val="center"/>
    </w:pPr>
    <w:rPr>
      <w:rFonts w:ascii="宋体" w:hAnsi="宋体"/>
      <w:kern w:val="0"/>
      <w:sz w:val="24"/>
      <w:szCs w:val="20"/>
    </w:rPr>
  </w:style>
  <w:style w:type="paragraph" w:customStyle="1" w:styleId="233">
    <w:name w:val="批注文字1"/>
    <w:basedOn w:val="1"/>
    <w:qFormat/>
    <w:uiPriority w:val="0"/>
    <w:pPr>
      <w:suppressAutoHyphens/>
      <w:jc w:val="left"/>
    </w:pPr>
    <w:rPr>
      <w:rFonts w:ascii="Times New Roman" w:hAnsi="Times New Roman"/>
      <w:kern w:val="1"/>
      <w:szCs w:val="20"/>
      <w:lang w:eastAsia="ar-SA"/>
    </w:rPr>
  </w:style>
  <w:style w:type="paragraph" w:customStyle="1" w:styleId="234">
    <w:name w:val="xl34"/>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235">
    <w:name w:val="Char1"/>
    <w:basedOn w:val="1"/>
    <w:qFormat/>
    <w:uiPriority w:val="0"/>
    <w:pPr>
      <w:numPr>
        <w:ilvl w:val="0"/>
        <w:numId w:val="1"/>
      </w:numPr>
    </w:pPr>
    <w:rPr>
      <w:rFonts w:ascii="Times New Roman" w:hAnsi="Times New Roman"/>
      <w:sz w:val="24"/>
      <w:szCs w:val="24"/>
    </w:rPr>
  </w:style>
  <w:style w:type="paragraph" w:customStyle="1" w:styleId="236">
    <w:name w:val="xl39"/>
    <w:basedOn w:val="1"/>
    <w:qFormat/>
    <w:uiPriority w:val="0"/>
    <w:pPr>
      <w:widowControl/>
      <w:pBdr>
        <w:bottom w:val="single" w:color="000000" w:sz="4" w:space="0"/>
      </w:pBdr>
      <w:spacing w:before="100" w:beforeAutospacing="1" w:after="100" w:afterAutospacing="1"/>
      <w:jc w:val="left"/>
    </w:pPr>
    <w:rPr>
      <w:rFonts w:ascii="宋体" w:hAnsi="宋体"/>
      <w:kern w:val="0"/>
      <w:sz w:val="24"/>
      <w:szCs w:val="20"/>
    </w:rPr>
  </w:style>
  <w:style w:type="paragraph" w:customStyle="1" w:styleId="237">
    <w:name w:val="正文文本缩进 21"/>
    <w:basedOn w:val="1"/>
    <w:qFormat/>
    <w:uiPriority w:val="0"/>
    <w:pPr>
      <w:suppressAutoHyphens/>
      <w:spacing w:after="120" w:line="480" w:lineRule="auto"/>
      <w:ind w:left="420"/>
    </w:pPr>
    <w:rPr>
      <w:rFonts w:ascii="Times New Roman" w:hAnsi="Times New Roman"/>
      <w:kern w:val="1"/>
      <w:szCs w:val="20"/>
      <w:lang w:eastAsia="ar-SA"/>
    </w:rPr>
  </w:style>
  <w:style w:type="paragraph" w:customStyle="1" w:styleId="23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39">
    <w:name w:val=" Char"/>
    <w:basedOn w:val="1"/>
    <w:qFormat/>
    <w:uiPriority w:val="0"/>
    <w:pPr>
      <w:ind w:left="567" w:hanging="279"/>
    </w:pPr>
    <w:rPr>
      <w:rFonts w:ascii="Times New Roman" w:hAnsi="Times New Roman"/>
      <w:sz w:val="24"/>
      <w:szCs w:val="24"/>
    </w:rPr>
  </w:style>
  <w:style w:type="paragraph" w:customStyle="1" w:styleId="240">
    <w:name w:val="正文 + 行距: 最小值 26 磅"/>
    <w:basedOn w:val="1"/>
    <w:qFormat/>
    <w:uiPriority w:val="0"/>
    <w:pPr>
      <w:snapToGrid w:val="0"/>
      <w:spacing w:line="520" w:lineRule="atLeast"/>
    </w:pPr>
    <w:rPr>
      <w:rFonts w:ascii="Times New Roman" w:hAnsi="Times New Roman" w:eastAsia="楷体_GB2312"/>
      <w:sz w:val="24"/>
      <w:szCs w:val="20"/>
    </w:rPr>
  </w:style>
  <w:style w:type="paragraph" w:customStyle="1" w:styleId="241">
    <w:name w:val="+▲"/>
    <w:basedOn w:val="242"/>
    <w:qFormat/>
    <w:uiPriority w:val="0"/>
    <w:pPr>
      <w:numPr>
        <w:ilvl w:val="0"/>
        <w:numId w:val="4"/>
      </w:numPr>
      <w:tabs>
        <w:tab w:val="left" w:pos="900"/>
      </w:tabs>
      <w:ind w:firstLineChars="0"/>
    </w:pPr>
  </w:style>
  <w:style w:type="paragraph" w:customStyle="1" w:styleId="242">
    <w:name w:val="+正文"/>
    <w:basedOn w:val="1"/>
    <w:qFormat/>
    <w:uiPriority w:val="0"/>
    <w:pPr>
      <w:spacing w:line="360" w:lineRule="auto"/>
      <w:ind w:firstLine="200" w:firstLineChars="200"/>
    </w:pPr>
    <w:rPr>
      <w:rFonts w:ascii="Times New Roman" w:hAnsi="Times New Roman"/>
      <w:sz w:val="24"/>
      <w:szCs w:val="28"/>
    </w:rPr>
  </w:style>
  <w:style w:type="paragraph" w:customStyle="1" w:styleId="243">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244">
    <w:name w:val="p0"/>
    <w:basedOn w:val="1"/>
    <w:qFormat/>
    <w:uiPriority w:val="0"/>
    <w:pPr>
      <w:widowControl/>
    </w:pPr>
    <w:rPr>
      <w:rFonts w:ascii="Times New Roman" w:hAnsi="Times New Roman"/>
      <w:kern w:val="0"/>
      <w:szCs w:val="21"/>
    </w:rPr>
  </w:style>
  <w:style w:type="paragraph" w:customStyle="1" w:styleId="245">
    <w:name w:val="列表项目符号 21"/>
    <w:basedOn w:val="246"/>
    <w:qFormat/>
    <w:uiPriority w:val="0"/>
    <w:pPr>
      <w:widowControl/>
      <w:tabs>
        <w:tab w:val="left" w:pos="360"/>
      </w:tabs>
      <w:spacing w:after="220" w:line="220" w:lineRule="atLeast"/>
      <w:ind w:left="360" w:right="720"/>
      <w:jc w:val="left"/>
    </w:pPr>
  </w:style>
  <w:style w:type="paragraph" w:customStyle="1" w:styleId="246">
    <w:name w:val="列表项目符号1"/>
    <w:basedOn w:val="1"/>
    <w:qFormat/>
    <w:uiPriority w:val="0"/>
    <w:pPr>
      <w:tabs>
        <w:tab w:val="left" w:pos="360"/>
      </w:tabs>
      <w:suppressAutoHyphens/>
    </w:pPr>
    <w:rPr>
      <w:rFonts w:ascii="Times New Roman" w:hAnsi="Times New Roman"/>
      <w:kern w:val="1"/>
      <w:szCs w:val="20"/>
      <w:lang w:eastAsia="ar-SA"/>
    </w:rPr>
  </w:style>
  <w:style w:type="paragraph" w:customStyle="1" w:styleId="247">
    <w:name w:val="BodyText1I"/>
    <w:basedOn w:val="248"/>
    <w:qFormat/>
    <w:uiPriority w:val="0"/>
    <w:pPr>
      <w:ind w:firstLine="420"/>
    </w:pPr>
  </w:style>
  <w:style w:type="paragraph" w:customStyle="1" w:styleId="248">
    <w:name w:val="BodyText"/>
    <w:basedOn w:val="1"/>
    <w:qFormat/>
    <w:uiPriority w:val="0"/>
    <w:pPr>
      <w:spacing w:after="120"/>
    </w:pPr>
    <w:rPr>
      <w:rFonts w:ascii="Times New Roman" w:hAnsi="Times New Roman"/>
      <w:kern w:val="0"/>
      <w:sz w:val="20"/>
      <w:szCs w:val="20"/>
    </w:rPr>
  </w:style>
  <w:style w:type="paragraph" w:customStyle="1" w:styleId="249">
    <w:name w:val="内容目录 10"/>
    <w:basedOn w:val="250"/>
    <w:qFormat/>
    <w:uiPriority w:val="0"/>
    <w:pPr>
      <w:tabs>
        <w:tab w:val="right" w:leader="dot" w:pos="9637"/>
      </w:tabs>
      <w:ind w:left="2547"/>
    </w:pPr>
  </w:style>
  <w:style w:type="paragraph" w:customStyle="1" w:styleId="250">
    <w:name w:val="目录"/>
    <w:basedOn w:val="1"/>
    <w:qFormat/>
    <w:uiPriority w:val="0"/>
    <w:pPr>
      <w:suppressLineNumbers/>
      <w:suppressAutoHyphens/>
    </w:pPr>
    <w:rPr>
      <w:rFonts w:ascii="Times New Roman" w:hAnsi="Times New Roman"/>
      <w:kern w:val="1"/>
      <w:szCs w:val="20"/>
      <w:lang w:eastAsia="ar-SA"/>
    </w:rPr>
  </w:style>
  <w:style w:type="paragraph" w:customStyle="1" w:styleId="251">
    <w:name w:val="font8"/>
    <w:basedOn w:val="1"/>
    <w:qFormat/>
    <w:uiPriority w:val="0"/>
    <w:pPr>
      <w:widowControl/>
      <w:spacing w:before="100" w:beforeAutospacing="1" w:after="100" w:afterAutospacing="1"/>
      <w:jc w:val="left"/>
    </w:pPr>
    <w:rPr>
      <w:rFonts w:ascii="Times New Roman" w:hAnsi="Times New Roman"/>
      <w:kern w:val="0"/>
      <w:sz w:val="24"/>
      <w:szCs w:val="20"/>
    </w:rPr>
  </w:style>
  <w:style w:type="paragraph" w:customStyle="1" w:styleId="252">
    <w:name w:val="xl28"/>
    <w:basedOn w:val="1"/>
    <w:qFormat/>
    <w:uiPriority w:val="0"/>
    <w:pPr>
      <w:widowControl/>
      <w:pBdr>
        <w:bottom w:val="single" w:color="000000" w:sz="4" w:space="0"/>
      </w:pBdr>
      <w:spacing w:before="100" w:beforeAutospacing="1" w:after="100" w:afterAutospacing="1"/>
      <w:jc w:val="left"/>
      <w:textAlignment w:val="center"/>
    </w:pPr>
    <w:rPr>
      <w:rFonts w:hint="eastAsia" w:ascii="仿宋_GB2312" w:hAnsi="宋体" w:eastAsia="仿宋_GB2312"/>
      <w:kern w:val="0"/>
      <w:sz w:val="24"/>
      <w:szCs w:val="20"/>
    </w:rPr>
  </w:style>
  <w:style w:type="paragraph" w:customStyle="1" w:styleId="253">
    <w:name w:val="TOC Heading"/>
    <w:basedOn w:val="3"/>
    <w:next w:val="1"/>
    <w:qFormat/>
    <w:uiPriority w:val="0"/>
    <w:pPr>
      <w:widowControl/>
      <w:spacing w:before="480" w:after="0" w:line="276" w:lineRule="auto"/>
      <w:jc w:val="left"/>
      <w:outlineLvl w:val="9"/>
    </w:pPr>
    <w:rPr>
      <w:rFonts w:ascii="Cambria" w:hAnsi="Cambria"/>
      <w:bCs/>
      <w:color w:val="365F91"/>
      <w:kern w:val="0"/>
    </w:rPr>
  </w:style>
  <w:style w:type="paragraph" w:customStyle="1" w:styleId="254">
    <w:name w:val="自正文3"/>
    <w:basedOn w:val="1"/>
    <w:qFormat/>
    <w:uiPriority w:val="0"/>
    <w:pPr>
      <w:tabs>
        <w:tab w:val="left" w:pos="851"/>
      </w:tabs>
      <w:ind w:firstLine="454"/>
    </w:pPr>
    <w:rPr>
      <w:rFonts w:ascii="Times New Roman" w:hAnsi="Times New Roman"/>
      <w:szCs w:val="20"/>
    </w:rPr>
  </w:style>
  <w:style w:type="paragraph" w:customStyle="1" w:styleId="255">
    <w:name w:val="xl33"/>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256">
    <w:name w:val="Normal_0"/>
    <w:qFormat/>
    <w:uiPriority w:val="0"/>
    <w:rPr>
      <w:rFonts w:ascii="Times New Roman" w:hAnsi="Times New Roman" w:eastAsia="Times New Roman" w:cs="Times New Roman"/>
      <w:sz w:val="24"/>
      <w:szCs w:val="24"/>
      <w:lang w:val="en-US" w:eastAsia="zh-CN" w:bidi="ar-SA"/>
    </w:rPr>
  </w:style>
  <w:style w:type="paragraph" w:customStyle="1" w:styleId="257">
    <w:name w:val=" Char1 Char Char1 Char Char Char Char Char Char Char Char Char Char"/>
    <w:basedOn w:val="1"/>
    <w:qFormat/>
    <w:uiPriority w:val="0"/>
    <w:pPr>
      <w:numPr>
        <w:ilvl w:val="0"/>
        <w:numId w:val="1"/>
      </w:numPr>
      <w:tabs>
        <w:tab w:val="left" w:pos="1080"/>
        <w:tab w:val="left" w:pos="1350"/>
      </w:tabs>
    </w:pPr>
    <w:rPr>
      <w:rFonts w:ascii="Times New Roman" w:hAnsi="Times New Roman"/>
      <w:szCs w:val="20"/>
    </w:rPr>
  </w:style>
  <w:style w:type="paragraph" w:customStyle="1" w:styleId="258">
    <w:name w:val="样式 首行缩进:  2 字符"/>
    <w:basedOn w:val="1"/>
    <w:qFormat/>
    <w:uiPriority w:val="0"/>
    <w:pPr>
      <w:spacing w:line="360" w:lineRule="auto"/>
      <w:ind w:firstLine="420" w:firstLineChars="200"/>
    </w:pPr>
    <w:rPr>
      <w:rFonts w:ascii="仿宋_GB2312" w:hAnsi="Times New Roman"/>
      <w:sz w:val="30"/>
      <w:szCs w:val="32"/>
    </w:rPr>
  </w:style>
  <w:style w:type="paragraph" w:customStyle="1" w:styleId="259">
    <w:name w:val="+标题2"/>
    <w:basedOn w:val="4"/>
    <w:qFormat/>
    <w:uiPriority w:val="0"/>
    <w:pPr>
      <w:numPr>
        <w:ilvl w:val="1"/>
        <w:numId w:val="5"/>
      </w:numPr>
      <w:tabs>
        <w:tab w:val="left" w:pos="1053"/>
        <w:tab w:val="left" w:pos="1480"/>
      </w:tabs>
      <w:spacing w:line="360" w:lineRule="auto"/>
      <w:jc w:val="both"/>
    </w:pPr>
    <w:rPr>
      <w:rFonts w:ascii="Times New Roman" w:hAnsi="Times New Roman"/>
      <w:bCs/>
      <w:color w:val="auto"/>
      <w:szCs w:val="28"/>
    </w:rPr>
  </w:style>
  <w:style w:type="paragraph" w:customStyle="1" w:styleId="260">
    <w:name w:val="_Style 259"/>
    <w:semiHidden/>
    <w:qFormat/>
    <w:uiPriority w:val="99"/>
    <w:rPr>
      <w:rFonts w:ascii="Times New Roman" w:hAnsi="Times New Roman" w:eastAsia="宋体" w:cs="Times New Roman"/>
      <w:kern w:val="2"/>
      <w:sz w:val="21"/>
      <w:lang w:val="en-US" w:eastAsia="zh-CN" w:bidi="ar-SA"/>
    </w:rPr>
  </w:style>
  <w:style w:type="paragraph" w:customStyle="1" w:styleId="261">
    <w:name w:val="Char Char Char Char Char Char Char Char Char Char"/>
    <w:basedOn w:val="1"/>
    <w:qFormat/>
    <w:uiPriority w:val="0"/>
    <w:pPr>
      <w:widowControl/>
      <w:spacing w:after="160" w:line="240" w:lineRule="exact"/>
      <w:jc w:val="left"/>
    </w:pPr>
    <w:rPr>
      <w:rFonts w:ascii="Times New Roman" w:hAnsi="Times New Roman" w:eastAsia="楷体_GB2312"/>
      <w:szCs w:val="20"/>
    </w:rPr>
  </w:style>
  <w:style w:type="paragraph" w:customStyle="1" w:styleId="262">
    <w:name w:val="_Style 3"/>
    <w:basedOn w:val="1"/>
    <w:next w:val="41"/>
    <w:qFormat/>
    <w:uiPriority w:val="0"/>
    <w:pPr>
      <w:ind w:firstLine="420" w:firstLineChars="200"/>
    </w:pPr>
    <w:rPr>
      <w:sz w:val="20"/>
      <w:szCs w:val="24"/>
    </w:rPr>
  </w:style>
  <w:style w:type="paragraph" w:customStyle="1" w:styleId="26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4">
    <w:name w:val=" 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265">
    <w:name w:val="xl40"/>
    <w:basedOn w:val="1"/>
    <w:qFormat/>
    <w:uiPriority w:val="0"/>
    <w:pPr>
      <w:widowControl/>
      <w:pBdr>
        <w:bottom w:val="single" w:color="000000" w:sz="4" w:space="0"/>
        <w:right w:val="single" w:color="000000" w:sz="4" w:space="0"/>
      </w:pBdr>
      <w:spacing w:before="100" w:beforeAutospacing="1" w:after="100" w:afterAutospacing="1"/>
      <w:jc w:val="left"/>
    </w:pPr>
    <w:rPr>
      <w:rFonts w:ascii="宋体" w:hAnsi="宋体"/>
      <w:kern w:val="0"/>
      <w:sz w:val="24"/>
      <w:szCs w:val="20"/>
    </w:rPr>
  </w:style>
  <w:style w:type="paragraph" w:customStyle="1" w:styleId="266">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仿宋_GB2312" w:hAnsi="宋体" w:eastAsia="仿宋_GB2312"/>
      <w:b/>
      <w:color w:val="000000"/>
      <w:kern w:val="0"/>
      <w:sz w:val="24"/>
      <w:szCs w:val="20"/>
    </w:rPr>
  </w:style>
  <w:style w:type="paragraph" w:customStyle="1" w:styleId="267">
    <w:name w:val="日期1"/>
    <w:basedOn w:val="1"/>
    <w:next w:val="1"/>
    <w:qFormat/>
    <w:uiPriority w:val="0"/>
    <w:pPr>
      <w:suppressAutoHyphens/>
      <w:ind w:left="100"/>
    </w:pPr>
    <w:rPr>
      <w:rFonts w:ascii="Times New Roman" w:hAnsi="Times New Roman"/>
      <w:kern w:val="1"/>
      <w:szCs w:val="20"/>
      <w:lang w:eastAsia="ar-SA"/>
    </w:rPr>
  </w:style>
  <w:style w:type="paragraph" w:customStyle="1" w:styleId="268">
    <w:name w:val="自标题2"/>
    <w:basedOn w:val="48"/>
    <w:qFormat/>
    <w:uiPriority w:val="0"/>
    <w:pPr>
      <w:spacing w:before="0" w:after="0"/>
      <w:jc w:val="both"/>
    </w:pPr>
    <w:rPr>
      <w:rFonts w:ascii="宋体" w:hAnsi="宋体"/>
      <w:b w:val="0"/>
      <w:sz w:val="24"/>
    </w:rPr>
  </w:style>
  <w:style w:type="paragraph" w:customStyle="1" w:styleId="269">
    <w:name w:val="文二"/>
    <w:basedOn w:val="1"/>
    <w:qFormat/>
    <w:uiPriority w:val="0"/>
    <w:pPr>
      <w:jc w:val="left"/>
    </w:pPr>
    <w:rPr>
      <w:rFonts w:ascii="宋体" w:hAnsi="宋体"/>
      <w:szCs w:val="21"/>
    </w:rPr>
  </w:style>
  <w:style w:type="paragraph" w:customStyle="1" w:styleId="270">
    <w:name w:val="xl38"/>
    <w:basedOn w:val="1"/>
    <w:qFormat/>
    <w:uiPriority w:val="0"/>
    <w:pPr>
      <w:widowControl/>
      <w:pBdr>
        <w:left w:val="single" w:color="000000" w:sz="4" w:space="0"/>
        <w:bottom w:val="single" w:color="000000" w:sz="4" w:space="0"/>
      </w:pBdr>
      <w:spacing w:before="100" w:beforeAutospacing="1" w:after="100" w:afterAutospacing="1"/>
      <w:jc w:val="left"/>
      <w:textAlignment w:val="center"/>
    </w:pPr>
    <w:rPr>
      <w:rFonts w:ascii="Times New Roman" w:hAnsi="Times New Roman"/>
      <w:kern w:val="0"/>
      <w:sz w:val="24"/>
      <w:szCs w:val="20"/>
    </w:rPr>
  </w:style>
  <w:style w:type="paragraph" w:customStyle="1" w:styleId="271">
    <w:name w:val="xl31"/>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272">
    <w:name w:val="公文标题"/>
    <w:basedOn w:val="5"/>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273">
    <w:name w:val="Char Char Char Char"/>
    <w:basedOn w:val="1"/>
    <w:qFormat/>
    <w:uiPriority w:val="0"/>
    <w:rPr>
      <w:rFonts w:ascii="Times New Roman" w:hAnsi="Times New Roman"/>
      <w:sz w:val="30"/>
      <w:szCs w:val="24"/>
    </w:rPr>
  </w:style>
  <w:style w:type="paragraph" w:customStyle="1" w:styleId="274">
    <w:name w:val="Char2 Char Char Char Char"/>
    <w:basedOn w:val="1"/>
    <w:qFormat/>
    <w:uiPriority w:val="0"/>
    <w:rPr>
      <w:rFonts w:ascii="Times New Roman" w:hAnsi="Times New Roman"/>
      <w:szCs w:val="24"/>
    </w:rPr>
  </w:style>
  <w:style w:type="paragraph" w:customStyle="1" w:styleId="275">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6">
    <w:name w:val="xl36"/>
    <w:basedOn w:val="1"/>
    <w:qFormat/>
    <w:uiPriority w:val="0"/>
    <w:pPr>
      <w:widowControl/>
      <w:pBdr>
        <w:top w:val="single" w:color="000000" w:sz="4" w:space="0"/>
      </w:pBdr>
      <w:spacing w:before="100" w:beforeAutospacing="1" w:after="100" w:afterAutospacing="1"/>
      <w:jc w:val="left"/>
      <w:textAlignment w:val="center"/>
    </w:pPr>
    <w:rPr>
      <w:rFonts w:ascii="宋体" w:hAnsi="宋体"/>
      <w:kern w:val="0"/>
      <w:sz w:val="24"/>
      <w:szCs w:val="20"/>
    </w:rPr>
  </w:style>
  <w:style w:type="paragraph" w:customStyle="1" w:styleId="277">
    <w:name w:val="自标题3"/>
    <w:basedOn w:val="1"/>
    <w:qFormat/>
    <w:uiPriority w:val="0"/>
    <w:rPr>
      <w:rFonts w:ascii="Times New Roman" w:hAnsi="Times New Roman"/>
      <w:szCs w:val="20"/>
    </w:rPr>
  </w:style>
  <w:style w:type="paragraph" w:customStyle="1" w:styleId="278">
    <w:name w:val="Default"/>
    <w:qFormat/>
    <w:uiPriority w:val="0"/>
    <w:pPr>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9">
    <w:name w:val="xl27"/>
    <w:basedOn w:val="1"/>
    <w:qFormat/>
    <w:uiPriority w:val="0"/>
    <w:pPr>
      <w:widowControl/>
      <w:pBdr>
        <w:bottom w:val="single" w:color="000000" w:sz="4" w:space="0"/>
      </w:pBdr>
      <w:spacing w:before="100" w:beforeAutospacing="1" w:after="100" w:afterAutospacing="1"/>
      <w:jc w:val="left"/>
      <w:textAlignment w:val="center"/>
    </w:pPr>
    <w:rPr>
      <w:rFonts w:hint="eastAsia" w:ascii="仿宋_GB2312" w:hAnsi="宋体" w:eastAsia="仿宋_GB2312"/>
      <w:color w:val="000000"/>
      <w:kern w:val="0"/>
      <w:sz w:val="24"/>
      <w:szCs w:val="20"/>
    </w:rPr>
  </w:style>
  <w:style w:type="paragraph" w:customStyle="1" w:styleId="280">
    <w:name w:val="正文首行缩进 New New"/>
    <w:basedOn w:val="2"/>
    <w:qFormat/>
    <w:uiPriority w:val="0"/>
    <w:pPr>
      <w:ind w:firstLine="420"/>
    </w:pPr>
    <w:rPr>
      <w:rFonts w:eastAsia="楷体_GB2312"/>
    </w:rPr>
  </w:style>
  <w:style w:type="paragraph" w:customStyle="1" w:styleId="281">
    <w:name w:val="xl37"/>
    <w:basedOn w:val="1"/>
    <w:qFormat/>
    <w:uiPriority w:val="0"/>
    <w:pPr>
      <w:widowControl/>
      <w:pBdr>
        <w:top w:val="single" w:color="000000" w:sz="4" w:space="0"/>
        <w:right w:val="single" w:color="000000" w:sz="4" w:space="0"/>
      </w:pBdr>
      <w:spacing w:before="100" w:beforeAutospacing="1" w:after="100" w:afterAutospacing="1"/>
      <w:jc w:val="left"/>
      <w:textAlignment w:val="center"/>
    </w:pPr>
    <w:rPr>
      <w:rFonts w:ascii="宋体" w:hAnsi="宋体"/>
      <w:kern w:val="0"/>
      <w:sz w:val="24"/>
      <w:szCs w:val="20"/>
    </w:rPr>
  </w:style>
  <w:style w:type="paragraph" w:customStyle="1" w:styleId="282">
    <w:name w:val="标签"/>
    <w:basedOn w:val="1"/>
    <w:qFormat/>
    <w:uiPriority w:val="0"/>
    <w:pPr>
      <w:suppressLineNumbers/>
      <w:suppressAutoHyphens/>
      <w:spacing w:before="120" w:after="120"/>
    </w:pPr>
    <w:rPr>
      <w:rFonts w:ascii="Times New Roman" w:hAnsi="Times New Roman"/>
      <w:i/>
      <w:iCs/>
      <w:kern w:val="1"/>
      <w:sz w:val="24"/>
      <w:szCs w:val="24"/>
      <w:lang w:eastAsia="ar-SA"/>
    </w:rPr>
  </w:style>
  <w:style w:type="paragraph" w:customStyle="1" w:styleId="283">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84">
    <w:name w:val="font7"/>
    <w:basedOn w:val="1"/>
    <w:qFormat/>
    <w:uiPriority w:val="0"/>
    <w:pPr>
      <w:widowControl/>
      <w:spacing w:before="100" w:beforeAutospacing="1" w:after="100" w:afterAutospacing="1"/>
      <w:jc w:val="left"/>
    </w:pPr>
    <w:rPr>
      <w:rFonts w:ascii="Times New Roman" w:hAnsi="Times New Roman"/>
      <w:color w:val="000000"/>
      <w:kern w:val="0"/>
      <w:sz w:val="40"/>
      <w:szCs w:val="20"/>
    </w:rPr>
  </w:style>
  <w:style w:type="paragraph" w:customStyle="1" w:styleId="285">
    <w:name w:val="_Style 25"/>
    <w:basedOn w:val="1"/>
    <w:next w:val="1"/>
    <w:qFormat/>
    <w:uiPriority w:val="0"/>
  </w:style>
  <w:style w:type="paragraph" w:customStyle="1" w:styleId="286">
    <w:name w:val="表格"/>
    <w:basedOn w:val="1"/>
    <w:qFormat/>
    <w:uiPriority w:val="0"/>
    <w:pPr>
      <w:jc w:val="center"/>
      <w:textAlignment w:val="center"/>
    </w:pPr>
    <w:rPr>
      <w:rFonts w:ascii="华文细黑" w:hAnsi="华文细黑"/>
      <w:kern w:val="0"/>
      <w:szCs w:val="20"/>
    </w:rPr>
  </w:style>
  <w:style w:type="paragraph" w:customStyle="1" w:styleId="287">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styleId="288">
    <w:name w:val="List Paragraph"/>
    <w:basedOn w:val="1"/>
    <w:qFormat/>
    <w:uiPriority w:val="34"/>
    <w:pPr>
      <w:ind w:firstLine="420" w:firstLineChars="200"/>
    </w:pPr>
    <w:rPr>
      <w:rFonts w:ascii="Times New Roman" w:hAnsi="Times New Roman"/>
      <w:szCs w:val="20"/>
    </w:rPr>
  </w:style>
  <w:style w:type="paragraph" w:customStyle="1" w:styleId="289">
    <w:name w:val="font6"/>
    <w:basedOn w:val="1"/>
    <w:qFormat/>
    <w:uiPriority w:val="0"/>
    <w:pPr>
      <w:widowControl/>
      <w:spacing w:before="100" w:beforeAutospacing="1" w:after="100" w:afterAutospacing="1"/>
      <w:jc w:val="left"/>
    </w:pPr>
    <w:rPr>
      <w:rFonts w:hint="eastAsia" w:ascii="宋体" w:hAnsi="宋体"/>
      <w:color w:val="000000"/>
      <w:kern w:val="0"/>
      <w:sz w:val="40"/>
      <w:szCs w:val="20"/>
    </w:rPr>
  </w:style>
  <w:style w:type="paragraph" w:customStyle="1" w:styleId="290">
    <w:name w:val="3 Char Char Char Char Char Char Char"/>
    <w:basedOn w:val="1"/>
    <w:qFormat/>
    <w:uiPriority w:val="0"/>
    <w:pPr>
      <w:adjustRightInd w:val="0"/>
      <w:snapToGrid w:val="0"/>
      <w:spacing w:line="400" w:lineRule="exact"/>
      <w:ind w:firstLine="200" w:firstLineChars="200"/>
    </w:pPr>
    <w:rPr>
      <w:rFonts w:ascii="Times New Roman" w:hAnsi="Times New Roman"/>
      <w:sz w:val="24"/>
      <w:szCs w:val="20"/>
    </w:rPr>
  </w:style>
  <w:style w:type="paragraph" w:customStyle="1" w:styleId="291">
    <w:name w:val="发文落款"/>
    <w:basedOn w:val="263"/>
    <w:qFormat/>
    <w:uiPriority w:val="0"/>
    <w:pPr>
      <w:ind w:left="4094" w:right="607" w:firstLine="0"/>
      <w:jc w:val="center"/>
    </w:pPr>
  </w:style>
  <w:style w:type="paragraph" w:customStyle="1" w:styleId="292">
    <w:name w:val="章节二"/>
    <w:basedOn w:val="140"/>
    <w:next w:val="140"/>
    <w:qFormat/>
    <w:uiPriority w:val="0"/>
    <w:pPr>
      <w:spacing w:beforeLines="50" w:afterLines="50" w:line="240" w:lineRule="auto"/>
      <w:ind w:firstLine="0" w:firstLineChars="0"/>
      <w:jc w:val="center"/>
      <w:outlineLvl w:val="1"/>
    </w:pPr>
    <w:rPr>
      <w:rFonts w:eastAsia="黑体"/>
      <w:b/>
      <w:sz w:val="30"/>
      <w:szCs w:val="30"/>
    </w:rPr>
  </w:style>
  <w:style w:type="paragraph" w:customStyle="1" w:styleId="293">
    <w:name w:val="_Style 292"/>
    <w:basedOn w:val="3"/>
    <w:next w:val="1"/>
    <w:qFormat/>
    <w:uiPriority w:val="39"/>
    <w:pPr>
      <w:widowControl/>
      <w:spacing w:before="480" w:after="0" w:line="276" w:lineRule="auto"/>
      <w:outlineLvl w:val="9"/>
    </w:pPr>
    <w:rPr>
      <w:rFonts w:ascii="Cambria" w:hAnsi="Cambria"/>
      <w:color w:val="365F91"/>
      <w:kern w:val="0"/>
    </w:rPr>
  </w:style>
  <w:style w:type="paragraph" w:customStyle="1" w:styleId="294">
    <w:name w:val="章节三"/>
    <w:basedOn w:val="140"/>
    <w:next w:val="140"/>
    <w:qFormat/>
    <w:uiPriority w:val="0"/>
    <w:pPr>
      <w:spacing w:beforeLines="50" w:afterLines="50" w:line="240" w:lineRule="auto"/>
      <w:ind w:firstLine="0" w:firstLineChars="0"/>
      <w:jc w:val="left"/>
      <w:outlineLvl w:val="2"/>
    </w:pPr>
    <w:rPr>
      <w:rFonts w:ascii="黑体" w:hAnsi="宋体" w:eastAsia="黑体"/>
      <w:b/>
    </w:rPr>
  </w:style>
  <w:style w:type="paragraph" w:customStyle="1" w:styleId="295">
    <w:name w:val="正文文本缩进 31"/>
    <w:basedOn w:val="1"/>
    <w:qFormat/>
    <w:uiPriority w:val="0"/>
    <w:pPr>
      <w:suppressAutoHyphens/>
      <w:spacing w:after="120"/>
      <w:ind w:left="420"/>
    </w:pPr>
    <w:rPr>
      <w:rFonts w:ascii="Times New Roman" w:hAnsi="Times New Roman"/>
      <w:kern w:val="1"/>
      <w:sz w:val="16"/>
      <w:szCs w:val="20"/>
      <w:lang w:eastAsia="ar-SA"/>
    </w:rPr>
  </w:style>
  <w:style w:type="paragraph" w:customStyle="1" w:styleId="296">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7">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仿宋_GB2312" w:hAnsi="宋体" w:eastAsia="仿宋_GB2312"/>
      <w:b/>
      <w:kern w:val="0"/>
      <w:sz w:val="24"/>
      <w:szCs w:val="20"/>
    </w:rPr>
  </w:style>
  <w:style w:type="paragraph" w:customStyle="1" w:styleId="298">
    <w:name w:val="正文 New"/>
    <w:qFormat/>
    <w:uiPriority w:val="0"/>
    <w:pPr>
      <w:widowControl w:val="0"/>
      <w:jc w:val="both"/>
    </w:pPr>
    <w:rPr>
      <w:rFonts w:ascii="Times New Roman" w:hAnsi="Times New Roman" w:eastAsia="楷体_GB2312" w:cs="Times New Roman"/>
      <w:kern w:val="2"/>
      <w:sz w:val="21"/>
      <w:szCs w:val="22"/>
      <w:lang w:val="en-US" w:eastAsia="zh-CN" w:bidi="ar-SA"/>
    </w:rPr>
  </w:style>
  <w:style w:type="paragraph" w:customStyle="1" w:styleId="299">
    <w:name w:val="xl29"/>
    <w:basedOn w:val="1"/>
    <w:qFormat/>
    <w:uiPriority w:val="0"/>
    <w:pPr>
      <w:widowControl/>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300">
    <w:name w:val=" Char Char Char1 Char"/>
    <w:basedOn w:val="16"/>
    <w:qFormat/>
    <w:uiPriority w:val="0"/>
    <w:rPr>
      <w:rFonts w:ascii="Tahoma" w:hAnsi="Tahoma"/>
      <w:sz w:val="24"/>
    </w:rPr>
  </w:style>
  <w:style w:type="paragraph" w:customStyle="1" w:styleId="301">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2">
    <w:name w:val="PlainText"/>
    <w:basedOn w:val="1"/>
    <w:qFormat/>
    <w:uiPriority w:val="0"/>
    <w:pPr>
      <w:textAlignment w:val="baseline"/>
    </w:pPr>
    <w:rPr>
      <w:rFonts w:ascii="宋体" w:hAnsi="Courier New" w:cs="Calibri"/>
      <w:color w:val="000000"/>
      <w:kern w:val="0"/>
      <w:sz w:val="20"/>
      <w:szCs w:val="20"/>
    </w:rPr>
  </w:style>
  <w:style w:type="paragraph" w:customStyle="1" w:styleId="303">
    <w:name w:val="正文文本 21"/>
    <w:basedOn w:val="1"/>
    <w:qFormat/>
    <w:uiPriority w:val="0"/>
    <w:pPr>
      <w:suppressAutoHyphens/>
    </w:pPr>
    <w:rPr>
      <w:rFonts w:ascii="Times New Roman" w:hAnsi="Times New Roman" w:eastAsia="楷体_GB2312"/>
      <w:b/>
      <w:kern w:val="1"/>
      <w:szCs w:val="20"/>
      <w:lang w:eastAsia="ar-SA"/>
    </w:rPr>
  </w:style>
  <w:style w:type="paragraph" w:customStyle="1" w:styleId="304">
    <w:name w:val="纯文本1"/>
    <w:basedOn w:val="1"/>
    <w:qFormat/>
    <w:uiPriority w:val="0"/>
    <w:pPr>
      <w:suppressAutoHyphens/>
    </w:pPr>
    <w:rPr>
      <w:rFonts w:ascii="宋体" w:hAnsi="宋体"/>
      <w:kern w:val="1"/>
      <w:szCs w:val="20"/>
      <w:lang w:eastAsia="ar-SA"/>
    </w:rPr>
  </w:style>
  <w:style w:type="paragraph" w:customStyle="1" w:styleId="305">
    <w:name w:val="正文首行缩进 New"/>
    <w:basedOn w:val="2"/>
    <w:qFormat/>
    <w:uiPriority w:val="0"/>
    <w:pPr>
      <w:ind w:firstLine="420"/>
    </w:pPr>
    <w:rPr>
      <w:rFonts w:eastAsia="楷体_GB2312"/>
    </w:rPr>
  </w:style>
  <w:style w:type="paragraph" w:customStyle="1" w:styleId="306">
    <w:name w:val="标题1"/>
    <w:basedOn w:val="1"/>
    <w:next w:val="2"/>
    <w:qFormat/>
    <w:uiPriority w:val="0"/>
    <w:pPr>
      <w:keepNext/>
      <w:suppressAutoHyphens/>
      <w:spacing w:before="240" w:after="120"/>
    </w:pPr>
    <w:rPr>
      <w:rFonts w:ascii="DejaVu Sans" w:hAnsi="DejaVu Sans" w:eastAsia="DejaVu Sans" w:cs="DejaVu Sans"/>
      <w:kern w:val="1"/>
      <w:sz w:val="28"/>
      <w:szCs w:val="28"/>
      <w:lang w:eastAsia="ar-SA"/>
    </w:rPr>
  </w:style>
  <w:style w:type="paragraph" w:customStyle="1" w:styleId="307">
    <w:name w:val="xl25"/>
    <w:basedOn w:val="1"/>
    <w:qFormat/>
    <w:uiPriority w:val="0"/>
    <w:pPr>
      <w:widowControl/>
      <w:spacing w:before="100" w:beforeAutospacing="1" w:after="100" w:afterAutospacing="1"/>
      <w:jc w:val="center"/>
      <w:textAlignment w:val="center"/>
    </w:pPr>
    <w:rPr>
      <w:rFonts w:ascii="宋体" w:hAnsi="宋体"/>
      <w:color w:val="000000"/>
      <w:kern w:val="0"/>
      <w:sz w:val="40"/>
      <w:szCs w:val="20"/>
    </w:rPr>
  </w:style>
  <w:style w:type="paragraph" w:customStyle="1" w:styleId="308">
    <w:name w:val="Char Char Char1 Char"/>
    <w:basedOn w:val="16"/>
    <w:qFormat/>
    <w:uiPriority w:val="0"/>
    <w:rPr>
      <w:rFonts w:ascii="Tahoma" w:hAnsi="Tahoma"/>
      <w:sz w:val="24"/>
      <w:szCs w:val="24"/>
    </w:rPr>
  </w:style>
  <w:style w:type="paragraph" w:customStyle="1" w:styleId="309">
    <w:name w:val="xl26"/>
    <w:basedOn w:val="1"/>
    <w:qFormat/>
    <w:uiPriority w:val="0"/>
    <w:pPr>
      <w:widowControl/>
      <w:numPr>
        <w:ilvl w:val="0"/>
        <w:numId w:val="3"/>
      </w:numPr>
      <w:pBdr>
        <w:left w:val="single" w:color="auto" w:sz="4" w:space="0"/>
        <w:bottom w:val="single" w:color="auto" w:sz="4" w:space="0"/>
        <w:right w:val="single" w:color="auto" w:sz="4" w:space="0"/>
      </w:pBdr>
      <w:tabs>
        <w:tab w:val="left" w:pos="360"/>
        <w:tab w:val="left" w:pos="840"/>
      </w:tabs>
      <w:spacing w:before="100" w:beforeAutospacing="1" w:after="100" w:afterAutospacing="1"/>
      <w:ind w:left="0" w:firstLine="0"/>
      <w:jc w:val="center"/>
    </w:pPr>
    <w:rPr>
      <w:rFonts w:ascii="宋体" w:hAnsi="宋体"/>
      <w:kern w:val="0"/>
      <w:sz w:val="24"/>
      <w:szCs w:val="24"/>
    </w:rPr>
  </w:style>
  <w:style w:type="paragraph" w:customStyle="1" w:styleId="310">
    <w:name w:val="xl32"/>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311">
    <w:name w:val="xl2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312">
    <w:name w:val=" Char Char Char Char"/>
    <w:basedOn w:val="1"/>
    <w:qFormat/>
    <w:uiPriority w:val="0"/>
    <w:pPr>
      <w:spacing w:afterLines="50" w:line="520" w:lineRule="exact"/>
      <w:jc w:val="center"/>
    </w:pPr>
    <w:rPr>
      <w:rFonts w:ascii="Times New Roman" w:hAnsi="Times New Roman"/>
      <w:szCs w:val="24"/>
    </w:rPr>
  </w:style>
  <w:style w:type="paragraph" w:customStyle="1" w:styleId="313">
    <w:name w:val="公文抬头"/>
    <w:basedOn w:val="7"/>
    <w:qFormat/>
    <w:uiPriority w:val="0"/>
    <w:pPr>
      <w:ind w:firstLine="0"/>
    </w:pPr>
    <w:rPr>
      <w:rFonts w:ascii="仿宋_GB2312" w:eastAsia="仿宋_GB2312"/>
      <w:sz w:val="30"/>
      <w:szCs w:val="24"/>
    </w:rPr>
  </w:style>
  <w:style w:type="paragraph" w:customStyle="1" w:styleId="314">
    <w:name w:val="xl30"/>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24"/>
      <w:szCs w:val="20"/>
    </w:rPr>
  </w:style>
  <w:style w:type="paragraph" w:customStyle="1" w:styleId="315">
    <w:name w:val="表头"/>
    <w:basedOn w:val="1"/>
    <w:qFormat/>
    <w:uiPriority w:val="0"/>
    <w:pPr>
      <w:spacing w:line="360" w:lineRule="auto"/>
      <w:jc w:val="center"/>
    </w:pPr>
    <w:rPr>
      <w:rFonts w:ascii="黑体" w:hAnsi="Times New Roman" w:eastAsia="黑体"/>
      <w:kern w:val="0"/>
      <w:sz w:val="24"/>
      <w:szCs w:val="20"/>
    </w:rPr>
  </w:style>
  <w:style w:type="paragraph" w:customStyle="1" w:styleId="316">
    <w:name w:val="自正文1"/>
    <w:basedOn w:val="1"/>
    <w:qFormat/>
    <w:uiPriority w:val="0"/>
    <w:pPr>
      <w:tabs>
        <w:tab w:val="left" w:pos="1395"/>
      </w:tabs>
      <w:ind w:left="315"/>
    </w:pPr>
    <w:rPr>
      <w:rFonts w:ascii="仿宋_GB2312" w:hAnsi="Times New Roman"/>
      <w:szCs w:val="32"/>
    </w:rPr>
  </w:style>
  <w:style w:type="paragraph" w:customStyle="1" w:styleId="317">
    <w:name w:val="xl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318">
    <w:name w:val="表格标题"/>
    <w:basedOn w:val="218"/>
    <w:qFormat/>
    <w:uiPriority w:val="0"/>
    <w:pPr>
      <w:jc w:val="center"/>
    </w:pPr>
    <w:rPr>
      <w:b/>
      <w:bCs/>
    </w:rPr>
  </w:style>
  <w:style w:type="character" w:customStyle="1" w:styleId="319">
    <w:name w:val="s15"/>
    <w:qFormat/>
    <w:uiPriority w:val="0"/>
    <w:rPr>
      <w:color w:val="2131A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oleObject" Target="embeddings/oleObject2.bin"/><Relationship Id="rId31" Type="http://schemas.openxmlformats.org/officeDocument/2006/relationships/image" Target="media/image4.e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39315</Words>
  <Characters>41886</Characters>
  <Lines>238</Lines>
  <Paragraphs>67</Paragraphs>
  <TotalTime>11</TotalTime>
  <ScaleCrop>false</ScaleCrop>
  <LinksUpToDate>false</LinksUpToDate>
  <CharactersWithSpaces>43690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2021-12-30T07:39:00Z</dcterms:created>
  <dc:creator>Administrator</dc:creator>
  <cp:lastModifiedBy>~</cp:lastModifiedBy>
  <cp:lastPrinted>2023-07-24T08:39:33Z</cp:lastPrinted>
  <dcterms:modified xsi:type="dcterms:W3CDTF">2023-07-24T08:39:55Z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FA75518D01B346B28988B14DA77ACE8B</vt:lpwstr>
  </property>
  <property fmtid="{D5CDD505-2E9C-101B-9397-08002B2CF9AE}" pid="4" name="commondata">
    <vt:lpwstr>eyJoZGlkIjoiOGZhZmRjYjhhNTYxYzQ5ZTI4ODk1MTVkZGVhNmU2NWIifQ==</vt:lpwstr>
  </property>
</Properties>
</file>