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color w:val="000000" w:themeColor="text1"/>
          <w:sz w:val="11"/>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widowControl/>
        <w:spacing w:line="360" w:lineRule="auto"/>
        <w:jc w:val="center"/>
        <w:rPr>
          <w:rFonts w:hint="eastAsia" w:eastAsia="宋体"/>
          <w:b/>
          <w:color w:val="000000" w:themeColor="text1"/>
          <w:kern w:val="2"/>
          <w:sz w:val="48"/>
          <w:szCs w:val="48"/>
          <w:highlight w:val="none"/>
          <w:lang w:val="en-US" w:eastAsia="zh-CN" w:bidi="ar-SA"/>
          <w14:textFill>
            <w14:solidFill>
              <w14:schemeClr w14:val="tx1"/>
            </w14:solidFill>
          </w14:textFill>
        </w:rPr>
      </w:pPr>
      <w:r>
        <w:rPr>
          <w:rFonts w:hint="eastAsia"/>
          <w:b/>
          <w:color w:val="000000" w:themeColor="text1"/>
          <w:sz w:val="48"/>
          <w:szCs w:val="48"/>
          <w:highlight w:val="none"/>
          <w:lang w:eastAsia="zh-CN"/>
          <w14:textFill>
            <w14:solidFill>
              <w14:schemeClr w14:val="tx1"/>
            </w14:solidFill>
          </w14:textFill>
        </w:rPr>
        <w:t>站前街铁路片区（站西小区、西站小区、克山小区）微改造项目</w:t>
      </w:r>
      <w:r>
        <w:rPr>
          <w:rFonts w:hint="eastAsia"/>
          <w:b/>
          <w:color w:val="000000" w:themeColor="text1"/>
          <w:sz w:val="48"/>
          <w:szCs w:val="48"/>
          <w:highlight w:val="none"/>
          <w14:textFill>
            <w14:solidFill>
              <w14:schemeClr w14:val="tx1"/>
            </w14:solidFill>
          </w14:textFill>
        </w:rPr>
        <w:t>施工监理</w:t>
      </w:r>
    </w:p>
    <w:p>
      <w:pPr>
        <w:tabs>
          <w:tab w:val="left" w:pos="3149"/>
        </w:tabs>
        <w:spacing w:before="71" w:line="360" w:lineRule="auto"/>
        <w:ind w:right="459"/>
        <w:jc w:val="center"/>
        <w:rPr>
          <w:color w:val="000000" w:themeColor="text1"/>
          <w:sz w:val="28"/>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pStyle w:val="10"/>
        <w:spacing w:line="360" w:lineRule="auto"/>
        <w:rPr>
          <w:color w:val="000000" w:themeColor="text1"/>
          <w:sz w:val="20"/>
          <w:highlight w:val="none"/>
          <w14:textFill>
            <w14:solidFill>
              <w14:schemeClr w14:val="tx1"/>
            </w14:solidFill>
          </w14:textFill>
        </w:rPr>
      </w:pPr>
    </w:p>
    <w:p>
      <w:pPr>
        <w:spacing w:before="168" w:line="360" w:lineRule="auto"/>
        <w:ind w:right="459"/>
        <w:jc w:val="center"/>
        <w:rPr>
          <w:color w:val="000000" w:themeColor="text1"/>
          <w:sz w:val="44"/>
          <w:highlight w:val="none"/>
          <w14:textFill>
            <w14:solidFill>
              <w14:schemeClr w14:val="tx1"/>
            </w14:solidFill>
          </w14:textFill>
        </w:rPr>
      </w:pPr>
      <w:r>
        <w:rPr>
          <w:rFonts w:hint="eastAsia"/>
          <w:b/>
          <w:color w:val="000000" w:themeColor="text1"/>
          <w:spacing w:val="26"/>
          <w:kern w:val="2"/>
          <w:sz w:val="110"/>
          <w:highlight w:val="none"/>
          <w:lang w:val="en-US" w:bidi="ar-SA"/>
          <w14:textFill>
            <w14:solidFill>
              <w14:schemeClr w14:val="tx1"/>
            </w14:solidFill>
          </w14:textFill>
        </w:rPr>
        <w:t>招标文件</w:t>
      </w: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spacing w:line="360" w:lineRule="auto"/>
        <w:ind w:firstLine="945"/>
        <w:rPr>
          <w:rFonts w:hint="eastAsia" w:eastAsia="宋体"/>
          <w:color w:val="000000" w:themeColor="text1"/>
          <w:sz w:val="30"/>
          <w:highlight w:val="none"/>
          <w:u w:val="single"/>
          <w:lang w:eastAsia="zh-CN"/>
          <w14:textFill>
            <w14:solidFill>
              <w14:schemeClr w14:val="tx1"/>
            </w14:solidFill>
          </w14:textFill>
        </w:rPr>
      </w:pPr>
      <w:r>
        <w:rPr>
          <w:rFonts w:hint="eastAsia"/>
          <w:color w:val="000000" w:themeColor="text1"/>
          <w:sz w:val="30"/>
          <w:highlight w:val="none"/>
          <w14:textFill>
            <w14:solidFill>
              <w14:schemeClr w14:val="tx1"/>
            </w14:solidFill>
          </w14:textFill>
        </w:rPr>
        <w:t>招  标 单 位：</w:t>
      </w:r>
      <w:r>
        <w:rPr>
          <w:rFonts w:hint="eastAsia"/>
          <w:color w:val="000000" w:themeColor="text1"/>
          <w:sz w:val="30"/>
          <w:highlight w:val="none"/>
          <w:u w:val="single"/>
          <w:lang w:val="en-US" w:eastAsia="zh-CN"/>
          <w14:textFill>
            <w14:solidFill>
              <w14:schemeClr w14:val="tx1"/>
            </w14:solidFill>
          </w14:textFill>
        </w:rPr>
        <w:t>广州市荔湾区人民政府站前街道办事处</w:t>
      </w:r>
    </w:p>
    <w:p>
      <w:pPr>
        <w:spacing w:line="360" w:lineRule="auto"/>
        <w:ind w:firstLine="945"/>
        <w:rPr>
          <w:rFonts w:hint="eastAsia" w:eastAsia="宋体"/>
          <w:color w:val="000000" w:themeColor="text1"/>
          <w:sz w:val="30"/>
          <w:highlight w:val="none"/>
          <w:u w:val="single"/>
          <w:lang w:eastAsia="zh-CN"/>
          <w14:textFill>
            <w14:solidFill>
              <w14:schemeClr w14:val="tx1"/>
            </w14:solidFill>
          </w14:textFill>
        </w:rPr>
      </w:pPr>
      <w:r>
        <w:rPr>
          <w:rFonts w:hint="eastAsia"/>
          <w:color w:val="000000" w:themeColor="text1"/>
          <w:sz w:val="30"/>
          <w:highlight w:val="none"/>
          <w14:textFill>
            <w14:solidFill>
              <w14:schemeClr w14:val="tx1"/>
            </w14:solidFill>
          </w14:textFill>
        </w:rPr>
        <w:t>招标代理单位：</w:t>
      </w:r>
      <w:r>
        <w:rPr>
          <w:rFonts w:hint="eastAsia"/>
          <w:color w:val="000000" w:themeColor="text1"/>
          <w:sz w:val="30"/>
          <w:highlight w:val="none"/>
          <w:u w:val="single"/>
          <w:lang w:val="en-US" w:eastAsia="zh-CN"/>
          <w14:textFill>
            <w14:solidFill>
              <w14:schemeClr w14:val="tx1"/>
            </w14:solidFill>
          </w14:textFill>
        </w:rPr>
        <w:t>广州市南悦工程顾问有限公司</w:t>
      </w:r>
    </w:p>
    <w:p>
      <w:pPr>
        <w:spacing w:line="360" w:lineRule="auto"/>
        <w:ind w:firstLine="945"/>
        <w:rPr>
          <w:b/>
          <w:color w:val="000000" w:themeColor="text1"/>
          <w:spacing w:val="26"/>
          <w:kern w:val="2"/>
          <w:sz w:val="110"/>
          <w:highlight w:val="none"/>
          <w:lang w:val="en-US" w:bidi="ar-SA"/>
          <w14:textFill>
            <w14:solidFill>
              <w14:schemeClr w14:val="tx1"/>
            </w14:solidFill>
          </w14:textFill>
        </w:rPr>
      </w:pPr>
      <w:r>
        <w:rPr>
          <w:rFonts w:hint="eastAsia"/>
          <w:color w:val="000000" w:themeColor="text1"/>
          <w:sz w:val="32"/>
          <w:highlight w:val="none"/>
          <w14:textFill>
            <w14:solidFill>
              <w14:schemeClr w14:val="tx1"/>
            </w14:solidFill>
          </w14:textFill>
        </w:rPr>
        <w:t>日       期：</w:t>
      </w:r>
      <w:r>
        <w:rPr>
          <w:rFonts w:hint="eastAsia"/>
          <w:color w:val="000000" w:themeColor="text1"/>
          <w:sz w:val="30"/>
          <w:highlight w:val="none"/>
          <w:u w:val="single"/>
          <w14:textFill>
            <w14:solidFill>
              <w14:schemeClr w14:val="tx1"/>
            </w14:solidFill>
          </w14:textFill>
        </w:rPr>
        <w:t>202</w:t>
      </w:r>
      <w:r>
        <w:rPr>
          <w:rFonts w:hint="eastAsia"/>
          <w:color w:val="000000" w:themeColor="text1"/>
          <w:sz w:val="30"/>
          <w:highlight w:val="none"/>
          <w:u w:val="single"/>
          <w:lang w:val="en-US"/>
          <w14:textFill>
            <w14:solidFill>
              <w14:schemeClr w14:val="tx1"/>
            </w14:solidFill>
          </w14:textFill>
        </w:rPr>
        <w:t>3</w:t>
      </w:r>
      <w:r>
        <w:rPr>
          <w:rFonts w:hint="eastAsia"/>
          <w:color w:val="000000" w:themeColor="text1"/>
          <w:sz w:val="30"/>
          <w:highlight w:val="none"/>
          <w:u w:val="single"/>
          <w14:textFill>
            <w14:solidFill>
              <w14:schemeClr w14:val="tx1"/>
            </w14:solidFill>
          </w14:textFill>
        </w:rPr>
        <w:t>年</w:t>
      </w:r>
      <w:r>
        <w:rPr>
          <w:rFonts w:hint="eastAsia"/>
          <w:color w:val="000000" w:themeColor="text1"/>
          <w:sz w:val="30"/>
          <w:highlight w:val="none"/>
          <w:u w:val="single"/>
          <w:lang w:val="en-US" w:eastAsia="zh-CN"/>
          <w14:textFill>
            <w14:solidFill>
              <w14:schemeClr w14:val="tx1"/>
            </w14:solidFill>
          </w14:textFill>
        </w:rPr>
        <w:t>7</w:t>
      </w:r>
      <w:r>
        <w:rPr>
          <w:rFonts w:hint="eastAsia"/>
          <w:color w:val="000000" w:themeColor="text1"/>
          <w:sz w:val="30"/>
          <w:highlight w:val="none"/>
          <w:u w:val="single"/>
          <w14:textFill>
            <w14:solidFill>
              <w14:schemeClr w14:val="tx1"/>
            </w14:solidFill>
          </w14:textFill>
        </w:rPr>
        <w:t>月</w:t>
      </w:r>
    </w:p>
    <w:p>
      <w:pPr>
        <w:pStyle w:val="10"/>
        <w:spacing w:line="360" w:lineRule="auto"/>
        <w:jc w:val="center"/>
        <w:rPr>
          <w:b/>
          <w:color w:val="000000" w:themeColor="text1"/>
          <w:kern w:val="2"/>
          <w:sz w:val="32"/>
          <w:szCs w:val="32"/>
          <w:highlight w:val="none"/>
          <w:lang w:val="en-US"/>
          <w14:textFill>
            <w14:solidFill>
              <w14:schemeClr w14:val="tx1"/>
            </w14:solidFill>
          </w14:textFill>
        </w:rPr>
        <w:sectPr>
          <w:pgSz w:w="11906" w:h="16838"/>
          <w:pgMar w:top="1440" w:right="1080" w:bottom="1440" w:left="1080" w:header="851" w:footer="992" w:gutter="0"/>
          <w:cols w:space="425" w:num="1"/>
          <w:docGrid w:type="lines" w:linePitch="312" w:charSpace="0"/>
        </w:sectPr>
      </w:pPr>
    </w:p>
    <w:p>
      <w:pPr>
        <w:tabs>
          <w:tab w:val="left" w:pos="559"/>
        </w:tabs>
        <w:spacing w:before="39" w:line="360" w:lineRule="auto"/>
        <w:ind w:right="457"/>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目</w:t>
      </w:r>
      <w:r>
        <w:rPr>
          <w:rFonts w:hint="eastAsia"/>
          <w:b/>
          <w:bCs/>
          <w:color w:val="000000" w:themeColor="text1"/>
          <w:sz w:val="36"/>
          <w:szCs w:val="36"/>
          <w:highlight w:val="none"/>
          <w14:textFill>
            <w14:solidFill>
              <w14:schemeClr w14:val="tx1"/>
            </w14:solidFill>
          </w14:textFill>
        </w:rPr>
        <w:tab/>
      </w:r>
      <w:r>
        <w:rPr>
          <w:rFonts w:hint="eastAsia"/>
          <w:b/>
          <w:bCs/>
          <w:color w:val="000000" w:themeColor="text1"/>
          <w:sz w:val="36"/>
          <w:szCs w:val="36"/>
          <w:highlight w:val="none"/>
          <w14:textFill>
            <w14:solidFill>
              <w14:schemeClr w14:val="tx1"/>
            </w14:solidFill>
          </w14:textFill>
        </w:rPr>
        <w:t>录</w:t>
      </w:r>
    </w:p>
    <w:sdt>
      <w:sdtPr>
        <w:rPr>
          <w:color w:val="000000" w:themeColor="text1"/>
          <w:sz w:val="21"/>
          <w:szCs w:val="21"/>
          <w:highlight w:val="none"/>
          <w14:textFill>
            <w14:solidFill>
              <w14:schemeClr w14:val="tx1"/>
            </w14:solidFill>
          </w14:textFill>
        </w:rPr>
        <w:id w:val="147482415"/>
        <w15:color w:val="DBDBDB"/>
        <w:docPartObj>
          <w:docPartGallery w:val="Table of Contents"/>
          <w:docPartUnique/>
        </w:docPartObj>
      </w:sdtPr>
      <w:sdtEndPr>
        <w:rPr>
          <w:color w:val="000000" w:themeColor="text1"/>
          <w:sz w:val="21"/>
          <w:szCs w:val="21"/>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p>
        <w:p>
          <w:pPr>
            <w:pStyle w:val="37"/>
            <w:tabs>
              <w:tab w:val="right" w:leader="dot" w:pos="974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"_Toc9078"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"_Toc19406" </w:instrText>
          </w:r>
          <w:r>
            <w:rPr>
              <w:highlight w:val="none"/>
            </w:rPr>
            <w:fldChar w:fldCharType="separate"/>
          </w:r>
          <w:r>
            <w:rPr>
              <w:rFonts w:hint="eastAsia" w:ascii="Calibri" w:hAnsi="Calibri"/>
              <w:color w:val="000000" w:themeColor="text1"/>
              <w:kern w:val="44"/>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"_Toc32062"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"_Toc757" </w:instrText>
          </w:r>
          <w:r>
            <w:rPr>
              <w:highlight w:val="none"/>
            </w:rPr>
            <w:fldChar w:fldCharType="separate"/>
          </w:r>
          <w:r>
            <w:rPr>
              <w:rFonts w:hint="eastAsia"/>
              <w:color w:val="000000" w:themeColor="text1"/>
              <w:highlight w:val="none"/>
              <w14:textFill>
                <w14:solidFill>
                  <w14:schemeClr w14:val="tx1"/>
                </w14:solidFill>
              </w14:textFill>
            </w:rPr>
            <w:t>附件一：开标记录表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"_Toc5989" </w:instrText>
          </w:r>
          <w:r>
            <w:rPr>
              <w:highlight w:val="none"/>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评标办法（综合评估法）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"_Toc20041" </w:instrText>
          </w:r>
          <w:r>
            <w:rPr>
              <w:highlight w:val="none"/>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评标办法前附表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"_Toc24117"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"_Toc7448"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"_Toc12073"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第五章 委托人要求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"_Toc31926"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746"/>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"_Toc30980" </w:instrText>
          </w:r>
          <w:r>
            <w:rPr>
              <w:highlight w:val="none"/>
            </w:rPr>
            <w:fldChar w:fldCharType="separate"/>
          </w:r>
          <w:r>
            <w:rPr>
              <w:rFonts w:hint="eastAsia" w:ascii="宋体" w:hAnsi="宋体" w:cs="宋体"/>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6"/>
            <w:tabs>
              <w:tab w:val="left" w:leader="dot" w:pos="8526"/>
            </w:tabs>
            <w:spacing w:before="304" w:line="360" w:lineRule="auto"/>
            <w:ind w:right="70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pPr>
        <w:pStyle w:val="3"/>
        <w:spacing w:line="360" w:lineRule="auto"/>
        <w:rPr>
          <w:rFonts w:ascii="宋体" w:hAnsi="宋体" w:eastAsia="宋体" w:cs="宋体"/>
          <w:color w:val="000000" w:themeColor="text1"/>
          <w:highlight w:val="none"/>
          <w14:textFill>
            <w14:solidFill>
              <w14:schemeClr w14:val="tx1"/>
            </w14:solidFill>
          </w14:textFill>
        </w:rPr>
        <w:sectPr>
          <w:footerReference r:id="rId3" w:type="default"/>
          <w:pgSz w:w="11906" w:h="16838"/>
          <w:pgMar w:top="1440" w:right="1080" w:bottom="1440" w:left="1080" w:header="0" w:footer="841" w:gutter="0"/>
          <w:cols w:space="720" w:num="1"/>
        </w:sectPr>
      </w:pPr>
    </w:p>
    <w:p>
      <w:pPr>
        <w:pStyle w:val="3"/>
        <w:spacing w:line="360" w:lineRule="auto"/>
        <w:rPr>
          <w:rFonts w:ascii="宋体" w:hAnsi="宋体" w:eastAsia="宋体" w:cs="宋体"/>
          <w:color w:val="000000" w:themeColor="text1"/>
          <w:highlight w:val="none"/>
          <w14:textFill>
            <w14:solidFill>
              <w14:schemeClr w14:val="tx1"/>
            </w14:solidFill>
          </w14:textFill>
        </w:rPr>
      </w:pPr>
      <w:bookmarkStart w:id="0" w:name="_Toc9078"/>
      <w:r>
        <w:rPr>
          <w:rFonts w:hint="eastAsia" w:ascii="宋体" w:hAnsi="宋体" w:eastAsia="宋体" w:cs="宋体"/>
          <w:color w:val="000000" w:themeColor="text1"/>
          <w:highlight w:val="none"/>
          <w14:textFill>
            <w14:solidFill>
              <w14:schemeClr w14:val="tx1"/>
            </w14:solidFill>
          </w14:textFill>
        </w:rPr>
        <w:t>第一卷</w:t>
      </w:r>
      <w:bookmarkEnd w:id="0"/>
    </w:p>
    <w:p>
      <w:pPr>
        <w:numPr>
          <w:ilvl w:val="0"/>
          <w:numId w:val="1"/>
        </w:numPr>
        <w:spacing w:line="360" w:lineRule="auto"/>
        <w:jc w:val="center"/>
        <w:outlineLvl w:val="0"/>
        <w:rPr>
          <w:rFonts w:ascii="Calibri" w:hAnsi="Calibri" w:cs="Times New Roman"/>
          <w:b/>
          <w:color w:val="000000" w:themeColor="text1"/>
          <w:kern w:val="44"/>
          <w:sz w:val="44"/>
          <w:szCs w:val="20"/>
          <w:highlight w:val="none"/>
          <w:lang w:val="en-US" w:bidi="ar-SA"/>
          <w14:textFill>
            <w14:solidFill>
              <w14:schemeClr w14:val="tx1"/>
            </w14:solidFill>
          </w14:textFill>
        </w:rPr>
      </w:pPr>
      <w:bookmarkStart w:id="1" w:name="_Toc23825"/>
      <w:bookmarkStart w:id="2" w:name="_Toc19406"/>
      <w:bookmarkStart w:id="3" w:name="_Toc526786483"/>
      <w:bookmarkStart w:id="4" w:name="_Toc153"/>
      <w:r>
        <w:rPr>
          <w:rFonts w:hint="eastAsia" w:ascii="Calibri" w:hAnsi="Calibri" w:cs="Times New Roman"/>
          <w:b/>
          <w:color w:val="000000" w:themeColor="text1"/>
          <w:kern w:val="44"/>
          <w:sz w:val="44"/>
          <w:szCs w:val="20"/>
          <w:highlight w:val="none"/>
          <w:lang w:val="en-US" w:bidi="ar-SA"/>
          <w14:textFill>
            <w14:solidFill>
              <w14:schemeClr w14:val="tx1"/>
            </w14:solidFill>
          </w14:textFill>
        </w:rPr>
        <w:t>招标公告</w:t>
      </w:r>
      <w:bookmarkEnd w:id="1"/>
      <w:bookmarkEnd w:id="2"/>
      <w:bookmarkEnd w:id="3"/>
      <w:bookmarkEnd w:id="4"/>
    </w:p>
    <w:p>
      <w:pPr>
        <w:spacing w:line="360" w:lineRule="auto"/>
        <w:jc w:val="center"/>
        <w:rPr>
          <w:bCs/>
          <w:color w:val="000000" w:themeColor="text1"/>
          <w:kern w:val="2"/>
          <w:sz w:val="32"/>
          <w:szCs w:val="32"/>
          <w:highlight w:val="none"/>
          <w:lang w:val="en-US" w:bidi="ar-SA"/>
          <w14:textFill>
            <w14:solidFill>
              <w14:schemeClr w14:val="tx1"/>
            </w14:solidFill>
          </w14:textFill>
        </w:rPr>
        <w:sectPr>
          <w:footerReference r:id="rId4" w:type="default"/>
          <w:pgSz w:w="11906" w:h="16838"/>
          <w:pgMar w:top="1500" w:right="1100" w:bottom="1040" w:left="1134" w:header="0" w:footer="841" w:gutter="0"/>
          <w:pgNumType w:start="1"/>
          <w:cols w:space="720" w:num="1"/>
        </w:sectPr>
      </w:pPr>
      <w:r>
        <w:rPr>
          <w:rFonts w:hint="eastAsia"/>
          <w:bCs/>
          <w:color w:val="000000" w:themeColor="text1"/>
          <w:kern w:val="2"/>
          <w:sz w:val="32"/>
          <w:szCs w:val="32"/>
          <w:highlight w:val="none"/>
          <w:lang w:val="en-US" w:bidi="ar-SA"/>
          <w14:textFill>
            <w14:solidFill>
              <w14:schemeClr w14:val="tx1"/>
            </w14:solidFill>
          </w14:textFill>
        </w:rPr>
        <w:t>（略）</w:t>
      </w:r>
    </w:p>
    <w:p>
      <w:pPr>
        <w:pStyle w:val="3"/>
        <w:numPr>
          <w:ilvl w:val="0"/>
          <w:numId w:val="1"/>
        </w:numPr>
        <w:spacing w:line="360" w:lineRule="auto"/>
        <w:rPr>
          <w:rFonts w:ascii="宋体" w:hAnsi="宋体" w:eastAsia="宋体" w:cs="宋体"/>
          <w:color w:val="000000" w:themeColor="text1"/>
          <w:highlight w:val="none"/>
          <w14:textFill>
            <w14:solidFill>
              <w14:schemeClr w14:val="tx1"/>
            </w14:solidFill>
          </w14:textFill>
        </w:rPr>
      </w:pPr>
      <w:bookmarkStart w:id="5" w:name="_Toc32062"/>
      <w:r>
        <w:rPr>
          <w:rFonts w:hint="eastAsia" w:ascii="宋体" w:hAnsi="宋体" w:eastAsia="宋体" w:cs="宋体"/>
          <w:color w:val="000000" w:themeColor="text1"/>
          <w:highlight w:val="none"/>
          <w14:textFill>
            <w14:solidFill>
              <w14:schemeClr w14:val="tx1"/>
            </w14:solidFill>
          </w14:textFill>
        </w:rPr>
        <w:t>投标人须知</w:t>
      </w:r>
      <w:bookmarkEnd w:id="5"/>
    </w:p>
    <w:p>
      <w:pPr>
        <w:jc w:val="center"/>
        <w:rPr>
          <w:color w:val="000000" w:themeColor="text1"/>
          <w:highlight w:val="none"/>
          <w14:textFill>
            <w14:solidFill>
              <w14:schemeClr w14:val="tx1"/>
            </w14:solidFill>
          </w14:textFill>
        </w:rPr>
      </w:pPr>
      <w:r>
        <w:rPr>
          <w:rFonts w:hint="eastAsia"/>
          <w:bCs/>
          <w:color w:val="000000" w:themeColor="text1"/>
          <w:kern w:val="2"/>
          <w:sz w:val="32"/>
          <w:szCs w:val="32"/>
          <w:highlight w:val="none"/>
          <w:lang w:val="en-US" w:bidi="ar-SA"/>
          <w14:textFill>
            <w14:solidFill>
              <w14:schemeClr w14:val="tx1"/>
            </w14:solidFill>
          </w14:textFill>
        </w:rPr>
        <w:t>投标人须知前附表</w:t>
      </w:r>
    </w:p>
    <w:tbl>
      <w:tblPr>
        <w:tblStyle w:val="20"/>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bookmarkStart w:id="6" w:name="_bookmark19"/>
            <w:bookmarkEnd w:id="6"/>
            <w:r>
              <w:rPr>
                <w:rFonts w:hint="eastAsia"/>
                <w:bCs/>
                <w:color w:val="000000" w:themeColor="text1"/>
                <w:kern w:val="2"/>
                <w:sz w:val="21"/>
                <w:szCs w:val="21"/>
                <w:highlight w:val="none"/>
                <w:lang w:val="en-US" w:bidi="ar-SA"/>
                <w14:textFill>
                  <w14:solidFill>
                    <w14:schemeClr w14:val="tx1"/>
                  </w14:solidFill>
                </w14:textFill>
              </w:rPr>
              <w:t>条款号</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条款名称</w:t>
            </w:r>
          </w:p>
        </w:tc>
        <w:tc>
          <w:tcPr>
            <w:tcW w:w="544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1.1.2</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招标人</w:t>
            </w:r>
          </w:p>
        </w:tc>
        <w:tc>
          <w:tcPr>
            <w:tcW w:w="5440" w:type="dxa"/>
            <w:vAlign w:val="center"/>
          </w:tcPr>
          <w:p>
            <w:pPr>
              <w:snapToGrid w:val="0"/>
              <w:spacing w:line="400" w:lineRule="exact"/>
              <w:rPr>
                <w:rFonts w:hint="eastAsia"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招标人名称：</w:t>
            </w:r>
            <w:r>
              <w:rPr>
                <w:rFonts w:hint="eastAsia"/>
                <w:color w:val="000000" w:themeColor="text1"/>
                <w:sz w:val="21"/>
                <w:szCs w:val="21"/>
                <w:highlight w:val="none"/>
                <w:u w:val="single"/>
                <w:lang w:val="en-US" w:eastAsia="zh-CN"/>
                <w14:textFill>
                  <w14:solidFill>
                    <w14:schemeClr w14:val="tx1"/>
                  </w14:solidFill>
                </w14:textFill>
              </w:rPr>
              <w:t>广州市荔湾区人民政府站前街道办事处</w:t>
            </w:r>
          </w:p>
          <w:p>
            <w:pPr>
              <w:snapToGrid w:val="0"/>
              <w:spacing w:line="400" w:lineRule="exact"/>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联系人：</w:t>
            </w:r>
            <w:r>
              <w:rPr>
                <w:rFonts w:hint="eastAsia"/>
                <w:color w:val="000000" w:themeColor="text1"/>
                <w:sz w:val="21"/>
                <w:szCs w:val="21"/>
                <w:highlight w:val="none"/>
                <w:u w:val="single"/>
                <w:lang w:val="en-US" w:eastAsia="zh-CN"/>
                <w14:textFill>
                  <w14:solidFill>
                    <w14:schemeClr w14:val="tx1"/>
                  </w14:solidFill>
                </w14:textFill>
              </w:rPr>
              <w:t>刘工</w:t>
            </w:r>
            <w:r>
              <w:rPr>
                <w:rFonts w:hint="eastAsia"/>
                <w:color w:val="000000" w:themeColor="text1"/>
                <w:sz w:val="21"/>
                <w:szCs w:val="21"/>
                <w:highlight w:val="none"/>
                <w:u w:val="single"/>
                <w:lang w:val="en-US"/>
                <w14:textFill>
                  <w14:solidFill>
                    <w14:schemeClr w14:val="tx1"/>
                  </w14:solidFill>
                </w14:textFill>
              </w:rPr>
              <w:t xml:space="preserve"> </w:t>
            </w:r>
          </w:p>
          <w:p>
            <w:pPr>
              <w:snapToGrid w:val="0"/>
              <w:spacing w:line="400" w:lineRule="exact"/>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 xml:space="preserve">地址： </w:t>
            </w:r>
            <w:r>
              <w:rPr>
                <w:rFonts w:hint="eastAsia"/>
                <w:color w:val="000000" w:themeColor="text1"/>
                <w:sz w:val="21"/>
                <w:szCs w:val="21"/>
                <w:highlight w:val="none"/>
                <w:u w:val="single"/>
                <w:lang w:val="en-US" w:eastAsia="zh-CN"/>
                <w14:textFill>
                  <w14:solidFill>
                    <w14:schemeClr w14:val="tx1"/>
                  </w14:solidFill>
                </w14:textFill>
              </w:rPr>
              <w:t>广州市荔湾区中展里72号</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联系电话：</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020-86433246</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1.1.3</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招标代理机构</w:t>
            </w:r>
          </w:p>
        </w:tc>
        <w:tc>
          <w:tcPr>
            <w:tcW w:w="5440" w:type="dxa"/>
            <w:vAlign w:val="center"/>
          </w:tcPr>
          <w:p>
            <w:pPr>
              <w:snapToGrid w:val="0"/>
              <w:spacing w:line="400" w:lineRule="exact"/>
              <w:rPr>
                <w:rFonts w:hint="eastAsia" w:eastAsia="宋体"/>
                <w:color w:val="000000" w:themeColor="text1"/>
                <w:sz w:val="21"/>
                <w:szCs w:val="21"/>
                <w:highlight w:val="none"/>
                <w:u w:val="single"/>
                <w:lang w:eastAsia="zh-CN"/>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招标代理机构</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lang w:val="en-US" w:eastAsia="zh-CN"/>
                <w14:textFill>
                  <w14:solidFill>
                    <w14:schemeClr w14:val="tx1"/>
                  </w14:solidFill>
                </w14:textFill>
              </w:rPr>
              <w:t>广州市南悦工程顾问有限公司</w:t>
            </w:r>
          </w:p>
          <w:p>
            <w:pPr>
              <w:snapToGrid w:val="0"/>
              <w:spacing w:line="400" w:lineRule="exact"/>
              <w:rPr>
                <w:rFonts w:hint="eastAsia" w:eastAsia="宋体"/>
                <w:color w:val="000000" w:themeColor="text1"/>
                <w:sz w:val="21"/>
                <w:szCs w:val="21"/>
                <w:highlight w:val="none"/>
                <w:u w:val="singl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u w:val="single"/>
                <w:lang w:val="en-US" w:eastAsia="zh-CN"/>
                <w14:textFill>
                  <w14:solidFill>
                    <w14:schemeClr w14:val="tx1"/>
                  </w14:solidFill>
                </w14:textFill>
              </w:rPr>
              <w:t>广州市天河区天润路467号之六2-5楼（部分:3楼自编302-16单元）</w:t>
            </w:r>
          </w:p>
          <w:p>
            <w:pPr>
              <w:snapToGrid w:val="0"/>
              <w:spacing w:line="400" w:lineRule="exact"/>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联系人：</w:t>
            </w:r>
            <w:r>
              <w:rPr>
                <w:rFonts w:hint="eastAsia"/>
                <w:color w:val="000000" w:themeColor="text1"/>
                <w:sz w:val="21"/>
                <w:szCs w:val="21"/>
                <w:highlight w:val="none"/>
                <w:u w:val="single"/>
                <w:lang w:eastAsia="zh-CN"/>
                <w14:textFill>
                  <w14:solidFill>
                    <w14:schemeClr w14:val="tx1"/>
                  </w14:solidFill>
                </w14:textFill>
              </w:rPr>
              <w:t>董</w:t>
            </w:r>
            <w:r>
              <w:rPr>
                <w:rFonts w:hint="eastAsia"/>
                <w:color w:val="000000" w:themeColor="text1"/>
                <w:sz w:val="21"/>
                <w:szCs w:val="21"/>
                <w:highlight w:val="none"/>
                <w:u w:val="single"/>
                <w:lang w:val="en-US"/>
                <w14:textFill>
                  <w14:solidFill>
                    <w14:schemeClr w14:val="tx1"/>
                  </w14:solidFill>
                </w14:textFill>
              </w:rPr>
              <w:t>工</w:t>
            </w:r>
            <w:r>
              <w:rPr>
                <w:rFonts w:hint="eastAsia"/>
                <w:color w:val="000000" w:themeColor="text1"/>
                <w:sz w:val="21"/>
                <w:szCs w:val="21"/>
                <w:highlight w:val="none"/>
                <w:u w:val="single"/>
                <w14:textFill>
                  <w14:solidFill>
                    <w14:schemeClr w14:val="tx1"/>
                  </w14:solidFill>
                </w14:textFill>
              </w:rPr>
              <w:t xml:space="preserve"> </w:t>
            </w:r>
          </w:p>
          <w:p>
            <w:pPr>
              <w:autoSpaceDE/>
              <w:autoSpaceDN/>
              <w:adjustRightInd w:val="0"/>
              <w:snapToGrid w:val="0"/>
              <w:spacing w:line="400" w:lineRule="exact"/>
              <w:ind w:left="44" w:leftChars="20" w:right="44" w:rightChars="20"/>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电话：</w:t>
            </w:r>
            <w:r>
              <w:rPr>
                <w:rFonts w:hint="eastAsia"/>
                <w:color w:val="000000" w:themeColor="text1"/>
                <w:sz w:val="21"/>
                <w:szCs w:val="21"/>
                <w:highlight w:val="none"/>
                <w:u w:val="single"/>
                <w14:textFill>
                  <w14:solidFill>
                    <w14:schemeClr w14:val="tx1"/>
                  </w14:solidFill>
                </w14:textFill>
              </w:rPr>
              <w:t>020-</w:t>
            </w:r>
            <w:r>
              <w:rPr>
                <w:rFonts w:hint="eastAsia"/>
                <w:color w:val="000000" w:themeColor="text1"/>
                <w:sz w:val="21"/>
                <w:szCs w:val="21"/>
                <w:highlight w:val="none"/>
                <w:u w:val="single"/>
                <w:lang w:val="en-US" w:eastAsia="zh-CN"/>
                <w14:textFill>
                  <w14:solidFill>
                    <w14:schemeClr w14:val="tx1"/>
                  </w14:solidFill>
                </w14:textFill>
              </w:rPr>
              <w:t>87576487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1.1.4</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招标项目名称</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sz w:val="21"/>
                <w:szCs w:val="21"/>
                <w:highlight w:val="none"/>
                <w:u w:val="single"/>
                <w:lang w:eastAsia="zh-CN"/>
                <w14:textFill>
                  <w14:solidFill>
                    <w14:schemeClr w14:val="tx1"/>
                  </w14:solidFill>
                </w14:textFill>
              </w:rPr>
              <w:t>站前街铁路片区（站西小区、西站小区、克山小区）微改造项目</w:t>
            </w:r>
            <w:r>
              <w:rPr>
                <w:rFonts w:hint="eastAsia"/>
                <w:bCs/>
                <w:color w:val="000000" w:themeColor="text1"/>
                <w:sz w:val="21"/>
                <w:szCs w:val="21"/>
                <w:highlight w:val="none"/>
                <w:u w:val="single"/>
                <w14:textFill>
                  <w14:solidFill>
                    <w14:schemeClr w14:val="tx1"/>
                  </w14:solidFill>
                </w14:textFill>
              </w:rPr>
              <w:t>施工监理</w:t>
            </w:r>
            <w:r>
              <w:rPr>
                <w:rFonts w:hint="eastAsia"/>
                <w:color w:val="000000" w:themeColor="text1"/>
                <w:sz w:val="21"/>
                <w:szCs w:val="21"/>
                <w:highlight w:val="none"/>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1.1.5</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项目建设地点</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1.1.6</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项目建设规模</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1.1.7</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工程项目施工预计开工日期和建设周期</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本项目总工期为</w:t>
            </w:r>
            <w:r>
              <w:rPr>
                <w:rFonts w:hint="eastAsia"/>
                <w:color w:val="000000" w:themeColor="text1"/>
                <w:sz w:val="21"/>
                <w:szCs w:val="21"/>
                <w:highlight w:val="none"/>
                <w:u w:val="single"/>
                <w:lang w:val="en-US" w:eastAsia="zh-CN"/>
                <w14:textFill>
                  <w14:solidFill>
                    <w14:schemeClr w14:val="tx1"/>
                  </w14:solidFill>
                </w14:textFill>
              </w:rPr>
              <w:t>720</w:t>
            </w:r>
            <w:r>
              <w:rPr>
                <w:rFonts w:hint="eastAsia"/>
                <w:color w:val="000000" w:themeColor="text1"/>
                <w:sz w:val="21"/>
                <w:szCs w:val="21"/>
                <w:highlight w:val="none"/>
                <w:u w:val="single"/>
                <w:lang w:val="en-US"/>
                <w14:textFill>
                  <w14:solidFill>
                    <w14:schemeClr w14:val="tx1"/>
                  </w14:solidFill>
                </w14:textFill>
              </w:rPr>
              <w:t>日历</w:t>
            </w:r>
            <w:r>
              <w:rPr>
                <w:rFonts w:hint="eastAsia"/>
                <w:color w:val="000000" w:themeColor="text1"/>
                <w:sz w:val="21"/>
                <w:szCs w:val="21"/>
                <w:highlight w:val="none"/>
                <w:u w:val="single"/>
                <w14:textFill>
                  <w14:solidFill>
                    <w14:schemeClr w14:val="tx1"/>
                  </w14:solidFill>
                </w14:textFill>
              </w:rPr>
              <w:t>天。</w:t>
            </w:r>
          </w:p>
          <w:p>
            <w:pPr>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具体开工时间以总监理工程师签署的开工令为准。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1.1.8</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建筑安装工程费/工程概算</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1.2.1</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资金来源及比例</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1.2.2</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资金落实情况</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1.3.1</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招标范围</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1.3.2</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服务期限</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1.3.3</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质量标准</w:t>
            </w:r>
          </w:p>
        </w:tc>
        <w:tc>
          <w:tcPr>
            <w:tcW w:w="5440" w:type="dxa"/>
            <w:vAlign w:val="center"/>
          </w:tcPr>
          <w:p>
            <w:pPr>
              <w:pStyle w:val="34"/>
              <w:topLinePunct w:val="0"/>
              <w:spacing w:line="400" w:lineRule="exact"/>
              <w:ind w:left="44" w:leftChars="20" w:right="44" w:rightChars="20" w:firstLine="23" w:firstLineChars="11"/>
              <w:rPr>
                <w:rFonts w:ascii="宋体" w:hAnsi="宋体" w:cs="宋体"/>
                <w:color w:val="000000" w:themeColor="text1"/>
                <w:spacing w:val="0"/>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（1）质量控制目标</w:t>
            </w:r>
            <w:r>
              <w:rPr>
                <w:rFonts w:hint="eastAsia" w:ascii="宋体" w:hAnsi="宋体" w:cs="宋体"/>
                <w:color w:val="000000" w:themeColor="text1"/>
                <w:spacing w:val="0"/>
                <w:sz w:val="21"/>
                <w:szCs w:val="21"/>
                <w:highlight w:val="none"/>
                <w:u w:val="single"/>
                <w14:textFill>
                  <w14:solidFill>
                    <w14:schemeClr w14:val="tx1"/>
                  </w14:solidFill>
                </w14:textFill>
              </w:rPr>
              <w:t>：</w:t>
            </w:r>
            <w:bookmarkStart w:id="7" w:name="_Hlk85830073"/>
            <w:r>
              <w:rPr>
                <w:rFonts w:hint="eastAsia" w:ascii="宋体" w:hAnsi="宋体" w:cs="宋体"/>
                <w:color w:val="000000" w:themeColor="text1"/>
                <w:spacing w:val="0"/>
                <w:sz w:val="21"/>
                <w:szCs w:val="21"/>
                <w:highlight w:val="none"/>
                <w:u w:val="single"/>
                <w14:textFill>
                  <w14:solidFill>
                    <w14:schemeClr w14:val="tx1"/>
                  </w14:solidFill>
                </w14:textFill>
              </w:rPr>
              <w:t>合格。</w:t>
            </w:r>
            <w:bookmarkEnd w:id="7"/>
          </w:p>
          <w:p>
            <w:pPr>
              <w:pStyle w:val="34"/>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（2）进度控制目标：按委托人对工期的要求进行进度目标控制。</w:t>
            </w:r>
          </w:p>
          <w:p>
            <w:pPr>
              <w:pStyle w:val="34"/>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（3）投资控制目标：所监理的建安工程结算不超过合同价，且不超过相应的建安工程费概算批复。</w:t>
            </w:r>
          </w:p>
          <w:p>
            <w:pPr>
              <w:pStyle w:val="34"/>
              <w:topLinePunct w:val="0"/>
              <w:spacing w:line="400" w:lineRule="exact"/>
              <w:ind w:left="44" w:leftChars="20" w:right="44" w:rightChars="20" w:firstLine="23" w:firstLineChars="11"/>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（4）安全生产文明施工控制目标：确保工程无人员死亡事故；确保实施期内有关建设人员不违反委托人安全监管规定。</w:t>
            </w:r>
          </w:p>
          <w:p>
            <w:pPr>
              <w:pStyle w:val="34"/>
              <w:topLinePunct w:val="0"/>
              <w:spacing w:line="400" w:lineRule="exact"/>
              <w:ind w:left="44" w:leftChars="20" w:right="44" w:rightChars="20" w:firstLine="23" w:firstLineChars="11"/>
              <w:rPr>
                <w:rFonts w:ascii="仿宋" w:hAnsi="仿宋" w:cs="仿宋"/>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（5）职业健康安全管理目标：</w:t>
            </w:r>
            <w:bookmarkStart w:id="8" w:name="_Hlk85830119"/>
            <w:r>
              <w:rPr>
                <w:rFonts w:hint="eastAsia"/>
                <w:color w:val="000000" w:themeColor="text1"/>
                <w:sz w:val="21"/>
                <w:szCs w:val="21"/>
                <w:highlight w:val="none"/>
                <w:u w:val="single"/>
                <w14:textFill>
                  <w14:solidFill>
                    <w14:schemeClr w14:val="tx1"/>
                  </w14:solidFill>
                </w14:textFill>
              </w:rPr>
              <w:t>杜绝发生一般事故等级以上的伤亡事故且工伤责任事故死亡人数为零。</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1.4.1</w:t>
            </w:r>
          </w:p>
        </w:tc>
        <w:tc>
          <w:tcPr>
            <w:tcW w:w="3360" w:type="dxa"/>
            <w:vAlign w:val="center"/>
          </w:tcPr>
          <w:p>
            <w:pPr>
              <w:autoSpaceDE/>
              <w:autoSpaceDN/>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投标人资质条件、能力、信誉</w:t>
            </w:r>
          </w:p>
        </w:tc>
        <w:tc>
          <w:tcPr>
            <w:tcW w:w="5440" w:type="dxa"/>
            <w:vAlign w:val="center"/>
          </w:tcPr>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（1）资质要求：</w:t>
            </w:r>
            <w:r>
              <w:rPr>
                <w:rFonts w:hint="eastAsia"/>
                <w:color w:val="000000" w:themeColor="text1"/>
                <w:sz w:val="21"/>
                <w:szCs w:val="21"/>
                <w:highlight w:val="none"/>
                <w14:textFill>
                  <w14:solidFill>
                    <w14:schemeClr w14:val="tx1"/>
                  </w14:solidFill>
                </w14:textFill>
              </w:rPr>
              <w:t>见招标公告投标人资格要求。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（2）财务要求：/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bCs/>
                <w:color w:val="000000" w:themeColor="text1"/>
                <w:kern w:val="2"/>
                <w:sz w:val="21"/>
                <w:szCs w:val="21"/>
                <w:highlight w:val="none"/>
                <w:lang w:val="en-US" w:bidi="ar-SA"/>
                <w14:textFill>
                  <w14:solidFill>
                    <w14:schemeClr w14:val="tx1"/>
                  </w14:solidFill>
                </w14:textFill>
              </w:rPr>
              <w:t>（3）业绩要求：</w:t>
            </w:r>
            <w:r>
              <w:rPr>
                <w:rFonts w:hint="eastAsia"/>
                <w:color w:val="000000" w:themeColor="text1"/>
                <w:sz w:val="21"/>
                <w:szCs w:val="21"/>
                <w:highlight w:val="none"/>
                <w:lang w:val="en-US"/>
                <w14:textFill>
                  <w14:solidFill>
                    <w14:schemeClr w14:val="tx1"/>
                  </w14:solidFill>
                </w14:textFill>
              </w:rPr>
              <w:t>/</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（4）信誉要求：/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（5）总监理工程师的资格要求：见招标公告投标人资格要求。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（6）其他主要人员要求：/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（7）试验检测仪器设备要求：/</w:t>
            </w:r>
          </w:p>
          <w:p>
            <w:pPr>
              <w:autoSpaceDE/>
              <w:autoSpaceDN/>
              <w:adjustRightInd w:val="0"/>
              <w:snapToGrid w:val="0"/>
              <w:spacing w:line="400" w:lineRule="exact"/>
              <w:ind w:left="44" w:leftChars="20" w:right="44" w:rightChars="20"/>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1.4.2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是否接受联合体投标</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position w:val="3"/>
                <w:sz w:val="21"/>
                <w:szCs w:val="21"/>
                <w:highlight w:val="none"/>
                <w14:textFill>
                  <w14:solidFill>
                    <w14:schemeClr w14:val="tx1"/>
                  </w14:solidFill>
                </w14:textFill>
              </w:rPr>
              <w:t>不接受</w:t>
            </w:r>
          </w:p>
          <w:p>
            <w:pPr>
              <w:adjustRightInd w:val="0"/>
              <w:snapToGrid w:val="0"/>
              <w:spacing w:line="400" w:lineRule="exact"/>
              <w:ind w:left="44" w:leftChars="20" w:right="44" w:rightChars="2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sym w:font="Wingdings 2" w:char="00A3"/>
            </w:r>
            <w:r>
              <w:rPr>
                <w:rFonts w:hint="eastAsia"/>
                <w:color w:val="000000" w:themeColor="text1"/>
                <w:sz w:val="21"/>
                <w:szCs w:val="21"/>
                <w:highlight w:val="none"/>
                <w14:textFill>
                  <w14:solidFill>
                    <w14:schemeClr w14:val="tx1"/>
                  </w14:solidFill>
                </w14:textFill>
              </w:rPr>
              <w:t>接受，应满足下列要求：</w:t>
            </w:r>
            <w:r>
              <w:rPr>
                <w:rFonts w:hint="eastAsia"/>
                <w:color w:val="000000" w:themeColor="text1"/>
                <w:sz w:val="21"/>
                <w:szCs w:val="21"/>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1.4.3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投标人不得存在的其他情形</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（16）在近三年内投标人或其法定代表人、拟委任的总监理工程师有行贿犯罪行为的。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1.9.1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踏勘现场</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■不组织，</w:t>
            </w:r>
            <w:r>
              <w:rPr>
                <w:rFonts w:hint="eastAsia"/>
                <w:color w:val="000000" w:themeColor="text1"/>
                <w:sz w:val="21"/>
                <w:szCs w:val="21"/>
                <w:highlight w:val="none"/>
                <w:u w:val="single"/>
                <w:lang w:val="en-US"/>
                <w14:textFill>
                  <w14:solidFill>
                    <w14:schemeClr w14:val="tx1"/>
                  </w14:solidFill>
                </w14:textFill>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9"/>
              <w:adjustRightInd w:val="0"/>
              <w:snapToGrid w:val="0"/>
              <w:spacing w:after="0" w:line="400" w:lineRule="exact"/>
              <w:ind w:left="44" w:leftChars="20" w:right="44" w:rightChars="20"/>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9"/>
              <w:adjustRightInd w:val="0"/>
              <w:snapToGrid w:val="0"/>
              <w:spacing w:after="0" w:line="400" w:lineRule="exact"/>
              <w:ind w:left="44" w:leftChars="20" w:right="44" w:rightChars="20"/>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3.由发包人提供的资料和数据，只是为了使投标人能够利用发包人现有的资料。发包人对投标人由此而作出的推论、解释和结论概不负责。</w:t>
            </w:r>
          </w:p>
          <w:p>
            <w:pPr>
              <w:pStyle w:val="9"/>
              <w:adjustRightInd w:val="0"/>
              <w:snapToGrid w:val="0"/>
              <w:spacing w:after="0" w:line="400" w:lineRule="exact"/>
              <w:ind w:left="44" w:leftChars="20" w:right="44" w:rightChars="20"/>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4.不论投标结果如何，投标人应承担其投标文件编制与递交所涉及的一切费用，发包人对上述费用不负任何责任。</w:t>
            </w:r>
          </w:p>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□组织，踏勘时间：/</w:t>
            </w:r>
          </w:p>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投标预备会</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■不召开</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□召开，召开时间：</w:t>
            </w:r>
            <w:r>
              <w:rPr>
                <w:rFonts w:hint="eastAsia"/>
                <w:color w:val="000000" w:themeColor="text1"/>
                <w:sz w:val="21"/>
                <w:szCs w:val="21"/>
                <w:highlight w:val="none"/>
                <w:u w:val="single"/>
                <w14:textFill>
                  <w14:solidFill>
                    <w14:schemeClr w14:val="tx1"/>
                  </w14:solidFill>
                </w14:textFill>
              </w:rPr>
              <w:t xml:space="preserve"> / </w:t>
            </w:r>
          </w:p>
          <w:p>
            <w:pPr>
              <w:adjustRightInd w:val="0"/>
              <w:snapToGrid w:val="0"/>
              <w:spacing w:line="400" w:lineRule="exact"/>
              <w:ind w:left="44" w:leftChars="20" w:right="44" w:rightChars="20"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召开地点：</w:t>
            </w:r>
            <w:r>
              <w:rPr>
                <w:rFonts w:hint="eastAsia"/>
                <w:color w:val="000000" w:themeColor="text1"/>
                <w:sz w:val="21"/>
                <w:szCs w:val="21"/>
                <w:highlight w:val="none"/>
                <w:u w:val="single"/>
                <w14:textFill>
                  <w14:solidFill>
                    <w14:schemeClr w14:val="tx1"/>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1.10.2</w:t>
            </w:r>
          </w:p>
        </w:tc>
        <w:tc>
          <w:tcPr>
            <w:tcW w:w="3360" w:type="dxa"/>
            <w:vMerge w:val="restart"/>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投标人在投标预备会前提出问题</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时间：</w:t>
            </w:r>
            <w:r>
              <w:rPr>
                <w:rFonts w:hint="eastAsia"/>
                <w:color w:val="000000" w:themeColor="text1"/>
                <w:sz w:val="21"/>
                <w:szCs w:val="21"/>
                <w:highlight w:val="none"/>
                <w:u w:val="single"/>
                <w14:textFill>
                  <w14:solidFill>
                    <w14:schemeClr w14:val="tx1"/>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p>
        </w:tc>
        <w:tc>
          <w:tcPr>
            <w:tcW w:w="3360" w:type="dxa"/>
            <w:vMerge w:val="continue"/>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形式：</w:t>
            </w:r>
            <w:r>
              <w:rPr>
                <w:rFonts w:hint="eastAsia"/>
                <w:color w:val="000000" w:themeColor="text1"/>
                <w:sz w:val="21"/>
                <w:szCs w:val="21"/>
                <w:highlight w:val="none"/>
                <w:u w:val="single"/>
                <w14:textFill>
                  <w14:solidFill>
                    <w14:schemeClr w14:val="tx1"/>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1.10.3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招标文件澄清发出的形式</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1.12.1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实质性要求和条件</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1.12.3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偏差</w:t>
            </w:r>
          </w:p>
        </w:tc>
        <w:tc>
          <w:tcPr>
            <w:tcW w:w="5440" w:type="dxa"/>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■不允许</w:t>
            </w:r>
          </w:p>
          <w:p>
            <w:pPr>
              <w:pStyle w:val="9"/>
              <w:autoSpaceDE/>
              <w:autoSpaceDN/>
              <w:adjustRightInd w:val="0"/>
              <w:snapToGrid w:val="0"/>
              <w:spacing w:after="0" w:line="400" w:lineRule="exact"/>
              <w:ind w:left="44" w:leftChars="20" w:right="44" w:rightChars="20"/>
              <w:jc w:val="both"/>
              <w:rPr>
                <w:color w:val="000000" w:themeColor="text1"/>
                <w:kern w:val="2"/>
                <w:sz w:val="21"/>
                <w:szCs w:val="21"/>
                <w:highlight w:val="none"/>
                <w:lang w:val="en-US" w:bidi="ar-SA"/>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□允许，偏差范围：/</w:t>
            </w:r>
          </w:p>
          <w:p>
            <w:pPr>
              <w:pStyle w:val="9"/>
              <w:autoSpaceDE/>
              <w:autoSpaceDN/>
              <w:adjustRightInd w:val="0"/>
              <w:snapToGrid w:val="0"/>
              <w:spacing w:after="0" w:line="400" w:lineRule="exact"/>
              <w:ind w:left="44" w:leftChars="20" w:right="44" w:rightChars="20"/>
              <w:jc w:val="both"/>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构成招标文件的其他资料</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投标人要求澄清招标文件</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疑问提交时间：</w:t>
            </w:r>
            <w:r>
              <w:rPr>
                <w:rFonts w:hint="eastAsia"/>
                <w:color w:val="000000" w:themeColor="text1"/>
                <w:sz w:val="21"/>
                <w:szCs w:val="21"/>
                <w:highlight w:val="none"/>
                <w:u w:val="single"/>
                <w14:textFill>
                  <w14:solidFill>
                    <w14:schemeClr w14:val="tx1"/>
                  </w14:solidFill>
                </w14:textFill>
              </w:rPr>
              <w:t xml:space="preserve"> 202</w:t>
            </w: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u w:val="single"/>
                <w14:textFill>
                  <w14:solidFill>
                    <w14:schemeClr w14:val="tx1"/>
                  </w14:solidFill>
                </w14:textFill>
              </w:rPr>
              <w:t>年</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日</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时</w:t>
            </w:r>
            <w:r>
              <w:rPr>
                <w:rFonts w:hint="eastAsia"/>
                <w:color w:val="000000" w:themeColor="text1"/>
                <w:sz w:val="21"/>
                <w:szCs w:val="21"/>
                <w:highlight w:val="none"/>
                <w14:textFill>
                  <w14:solidFill>
                    <w14:schemeClr w14:val="tx1"/>
                  </w14:solidFill>
                </w14:textFill>
              </w:rPr>
              <w:t>前</w:t>
            </w:r>
            <w:r>
              <w:rPr>
                <w:rFonts w:hint="eastAsia"/>
                <w:color w:val="000000" w:themeColor="text1"/>
                <w:sz w:val="21"/>
                <w:szCs w:val="21"/>
                <w:highlight w:val="none"/>
                <w:u w:val="single"/>
                <w14:textFill>
                  <w14:solidFill>
                    <w14:schemeClr w14:val="tx1"/>
                  </w14:solidFill>
                </w14:textFill>
              </w:rPr>
              <w:t>(具体详见广州公共资源交易中心招投标日程安排)</w:t>
            </w:r>
            <w:r>
              <w:rPr>
                <w:rFonts w:hint="eastAsia"/>
                <w:color w:val="000000" w:themeColor="text1"/>
                <w:sz w:val="21"/>
                <w:szCs w:val="21"/>
                <w:highlight w:val="none"/>
                <w14:textFill>
                  <w14:solidFill>
                    <w14:schemeClr w14:val="tx1"/>
                  </w14:solidFill>
                </w14:textFill>
              </w:rPr>
              <w:t>。</w:t>
            </w:r>
          </w:p>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招标答疑采用网上答疑方式进行。投标人若对招标文件有疑问的，可在规定的时间内通过广州公共资源交易中心网站进入提问区域将问题提交给招标人或招标代理人，提交问题时一律不得署名。</w:t>
            </w:r>
          </w:p>
          <w:p>
            <w:pPr>
              <w:adjustRightInd w:val="0"/>
              <w:snapToGrid w:val="0"/>
              <w:spacing w:line="400" w:lineRule="exact"/>
              <w:ind w:left="44" w:leftChars="20" w:right="44" w:rightChars="20"/>
              <w:rPr>
                <w:rFonts w:hint="eastAsia"/>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形式：投标人的疑问通过广州公共资源交易中心网站交易平台提交。具体要求：操作详见广州公共资源交易中心网站发布的最新版《</w:t>
            </w:r>
            <w:r>
              <w:rPr>
                <w:rFonts w:hint="eastAsia"/>
                <w:color w:val="000000" w:themeColor="text1"/>
                <w:sz w:val="21"/>
                <w:szCs w:val="21"/>
                <w:highlight w:val="none"/>
                <w:lang w:eastAsia="zh-CN"/>
                <w14:textFill>
                  <w14:solidFill>
                    <w14:schemeClr w14:val="tx1"/>
                  </w14:solidFill>
                </w14:textFill>
              </w:rPr>
              <w:t>建设工程全流程电子化项目操作指南</w:t>
            </w:r>
            <w:r>
              <w:rPr>
                <w:rFonts w:hint="eastAsia"/>
                <w:color w:val="000000" w:themeColor="text1"/>
                <w:sz w:val="21"/>
                <w:szCs w:val="21"/>
                <w:highlight w:val="none"/>
                <w14:textFill>
                  <w14:solidFill>
                    <w14:schemeClr w14:val="tx1"/>
                  </w14:solidFill>
                </w14:textFill>
              </w:rPr>
              <w:t>》。提问一律不得署名。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招标文件澄清发出的形式</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1、</w:t>
            </w:r>
            <w:r>
              <w:rPr>
                <w:rFonts w:hint="eastAsia"/>
                <w:color w:val="000000" w:themeColor="text1"/>
                <w:sz w:val="21"/>
                <w:szCs w:val="21"/>
                <w:highlight w:val="none"/>
                <w:u w:val="single"/>
                <w14:textFill>
                  <w14:solidFill>
                    <w14:schemeClr w14:val="tx1"/>
                  </w14:solidFill>
                </w14:textFill>
              </w:rPr>
              <w:t>投标人应在递交投标文件截止时间15天前解答投标人对招标文件提出的疑问，形成答疑纪要，并在广州公共资源交易中心网站通过项目答疑专区网上公开发布。</w:t>
            </w:r>
          </w:p>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2、</w:t>
            </w:r>
            <w:r>
              <w:rPr>
                <w:rFonts w:hint="eastAsia"/>
                <w:color w:val="000000" w:themeColor="text1"/>
                <w:sz w:val="21"/>
                <w:szCs w:val="21"/>
                <w:highlight w:val="none"/>
                <w:u w:val="single"/>
                <w14:textFill>
                  <w14:solidFill>
                    <w14:schemeClr w14:val="tx1"/>
                  </w14:solidFill>
                </w14:textFill>
              </w:rPr>
              <w:t>招标答疑纪要一经在广州公共资源交易中心网站发布，视作已发放给所有投标人。</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u w:val="single"/>
                <w14:textFill>
                  <w14:solidFill>
                    <w14:schemeClr w14:val="tx1"/>
                  </w14:solidFill>
                </w14:textFill>
              </w:rPr>
              <w:t>、招标答疑纪要为招标文件的一部分。投标人可在广州公资源交易中心网站浏览、下载招标答疑纪要。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2.2.3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投标人确认收到招标文件澄清</w:t>
            </w:r>
          </w:p>
        </w:tc>
        <w:tc>
          <w:tcPr>
            <w:tcW w:w="5440" w:type="dxa"/>
            <w:vAlign w:val="center"/>
          </w:tcPr>
          <w:p>
            <w:pPr>
              <w:adjustRightInd w:val="0"/>
              <w:snapToGrid w:val="0"/>
              <w:spacing w:line="400" w:lineRule="exact"/>
              <w:ind w:left="44" w:leftChars="20" w:right="44" w:rightChars="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时间：发出即视作收到。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形式：招标文件澄清（招标答疑纪要）一经在广州公共资源交易中心网站发布，视作已发放给所有投标人。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2.3.1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招标文件修改发出的形式</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2.3.2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投标人确认收到招标文件修改</w:t>
            </w:r>
          </w:p>
        </w:tc>
        <w:tc>
          <w:tcPr>
            <w:tcW w:w="5440" w:type="dxa"/>
            <w:vAlign w:val="center"/>
          </w:tcPr>
          <w:p>
            <w:pPr>
              <w:adjustRightInd w:val="0"/>
              <w:snapToGrid w:val="0"/>
              <w:spacing w:line="400" w:lineRule="exact"/>
              <w:ind w:left="44" w:leftChars="20" w:right="44" w:rightChars="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时间：从招标文件澄清及答疑文件发布之日起即视为投标人已确认收到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3.1.1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构成投标文件的其他资料</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满足本项目评审要求的其他资料。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增值税税金的计算方法</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ascii="宋体" w:hAnsi="宋体" w:cs="宋体"/>
                <w:color w:val="auto"/>
                <w:szCs w:val="21"/>
                <w:highlight w:val="none"/>
                <w:u w:val="single"/>
              </w:rPr>
              <w:t>按国家税务机关的规定执行。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报价方式</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各投标单位在招标控制价内根据企业自身实力进行总价报价（以元为单位，保留两位小数，第三位小数四舍五入）,并按此计算</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下浮率[</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下浮率=1-（</w:t>
            </w: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总报价/最高投标限价）×100%]</w:t>
            </w:r>
            <w:r>
              <w:rPr>
                <w:rFonts w:hint="eastAsia"/>
                <w:color w:val="000000" w:themeColor="text1"/>
                <w:sz w:val="21"/>
                <w:szCs w:val="21"/>
                <w:highlight w:val="none"/>
                <w:lang w:val="en-US"/>
                <w14:textFill>
                  <w14:solidFill>
                    <w14:schemeClr w14:val="tx1"/>
                  </w14:solidFill>
                </w14:textFill>
              </w:rPr>
              <w:t>,</w:t>
            </w:r>
            <w:r>
              <w:rPr>
                <w:rFonts w:hint="eastAsia"/>
                <w:color w:val="000000" w:themeColor="text1"/>
                <w:sz w:val="21"/>
                <w:szCs w:val="21"/>
                <w:highlight w:val="none"/>
                <w14:textFill>
                  <w14:solidFill>
                    <w14:schemeClr w14:val="tx1"/>
                  </w14:solidFill>
                </w14:textFill>
              </w:rPr>
              <w:t>保留两位小数。投标下浮率必须为固定的报价（如5%），不得存在区间值（如2～8%），</w:t>
            </w:r>
            <w:r>
              <w:rPr>
                <w:rFonts w:hint="eastAsia"/>
                <w:color w:val="000000" w:themeColor="text1"/>
                <w:sz w:val="21"/>
                <w:szCs w:val="21"/>
                <w:highlight w:val="none"/>
                <w:lang w:val="en-US"/>
                <w14:textFill>
                  <w14:solidFill>
                    <w14:schemeClr w14:val="tx1"/>
                  </w14:solidFill>
                </w14:textFill>
              </w:rPr>
              <w:t>招标</w:t>
            </w:r>
            <w:r>
              <w:rPr>
                <w:rFonts w:hint="eastAsia"/>
                <w:color w:val="000000" w:themeColor="text1"/>
                <w:sz w:val="21"/>
                <w:szCs w:val="21"/>
                <w:highlight w:val="none"/>
                <w14:textFill>
                  <w14:solidFill>
                    <w14:schemeClr w14:val="tx1"/>
                  </w14:solidFill>
                </w14:textFill>
              </w:rPr>
              <w:t>人不接受有任何选择的报价，投标下浮率不得为100%，不能为负数，否则被视为无效投标。</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下浮率和调整系数在</w:t>
            </w:r>
            <w:r>
              <w:rPr>
                <w:rFonts w:hint="eastAsia"/>
                <w:color w:val="000000" w:themeColor="text1"/>
                <w:sz w:val="21"/>
                <w:szCs w:val="21"/>
                <w:highlight w:val="none"/>
                <w:lang w:val="en-US"/>
                <w14:textFill>
                  <w14:solidFill>
                    <w14:schemeClr w14:val="tx1"/>
                  </w14:solidFill>
                </w14:textFill>
              </w:rPr>
              <w:t>费用</w:t>
            </w:r>
            <w:r>
              <w:rPr>
                <w:rFonts w:hint="eastAsia"/>
                <w:color w:val="000000" w:themeColor="text1"/>
                <w:sz w:val="21"/>
                <w:szCs w:val="21"/>
                <w:highlight w:val="none"/>
                <w14:textFill>
                  <w14:solidFill>
                    <w14:schemeClr w14:val="tx1"/>
                  </w14:solidFill>
                </w14:textFill>
              </w:rPr>
              <w:t>结算时不予调整。投标报价超过最高投标限价的投标文件</w:t>
            </w:r>
            <w:r>
              <w:rPr>
                <w:rFonts w:hint="eastAsia"/>
                <w:color w:val="000000" w:themeColor="text1"/>
                <w:highlight w:val="none"/>
                <w14:textFill>
                  <w14:solidFill>
                    <w14:schemeClr w14:val="tx1"/>
                  </w14:solidFill>
                </w14:textFill>
              </w:rPr>
              <w:t>将被否决其投标</w:t>
            </w:r>
            <w:r>
              <w:rPr>
                <w:rFonts w:hint="eastAsia"/>
                <w:color w:val="000000" w:themeColor="text1"/>
                <w:sz w:val="2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3.2.4</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最高投标限价</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□无</w:t>
            </w:r>
          </w:p>
          <w:p>
            <w:pPr>
              <w:tabs>
                <w:tab w:val="left" w:pos="7513"/>
              </w:tabs>
              <w:adjustRightInd w:val="0"/>
              <w:snapToGrid w:val="0"/>
              <w:spacing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■有，最高投标限价：</w:t>
            </w:r>
            <w:r>
              <w:rPr>
                <w:rFonts w:hint="eastAsia"/>
                <w:color w:val="000000" w:themeColor="text1"/>
                <w:sz w:val="24"/>
                <w:szCs w:val="24"/>
                <w:highlight w:val="none"/>
                <w:u w:val="single"/>
                <w:lang w:val="en-US" w:eastAsia="zh-CN"/>
                <w14:textFill>
                  <w14:solidFill>
                    <w14:schemeClr w14:val="tx1"/>
                  </w14:solidFill>
                </w14:textFill>
              </w:rPr>
              <w:t>140.51</w:t>
            </w:r>
            <w:r>
              <w:rPr>
                <w:rFonts w:hint="eastAsia"/>
                <w:color w:val="000000" w:themeColor="text1"/>
                <w:sz w:val="21"/>
                <w:szCs w:val="21"/>
                <w:highlight w:val="none"/>
                <w:u w:val="singl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3.2.5</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投标报价的其他要求</w:t>
            </w:r>
          </w:p>
        </w:tc>
        <w:tc>
          <w:tcPr>
            <w:tcW w:w="5440" w:type="dxa"/>
            <w:vAlign w:val="center"/>
          </w:tcPr>
          <w:p>
            <w:pPr>
              <w:adjustRightInd w:val="0"/>
              <w:snapToGrid w:val="0"/>
              <w:spacing w:line="400" w:lineRule="exact"/>
              <w:ind w:left="44" w:leftChars="20" w:right="44" w:rightChars="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1</w:t>
            </w:r>
            <w:r>
              <w:rPr>
                <w:rFonts w:hint="eastAsia"/>
                <w:color w:val="000000" w:themeColor="text1"/>
                <w:highlight w:val="none"/>
                <w14:textFill>
                  <w14:solidFill>
                    <w14:schemeClr w14:val="tx1"/>
                  </w14:solidFill>
                </w14:textFill>
              </w:rPr>
              <w:t>）投标人的报价，应是其按第五章“委托人要求”完成监理工作的所有费用，包括人工费、试验、检测仪器、设备使用费、管理费和利润，以及检验检测费、保险费、合同明示或暗示的风险、责任和义务涉及费用等。</w:t>
            </w:r>
          </w:p>
          <w:p>
            <w:pPr>
              <w:adjustRightInd w:val="0"/>
              <w:snapToGrid w:val="0"/>
              <w:spacing w:line="400" w:lineRule="exact"/>
              <w:ind w:left="44" w:leftChars="20" w:right="44" w:rightChars="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投标人必须详细审阅全部招标文件，充分考虑职责和义务，全面地理解招标文件对投标报价的要求，并按招标人提出的条件及内容进行报价。</w:t>
            </w:r>
          </w:p>
          <w:p>
            <w:pPr>
              <w:adjustRightInd w:val="0"/>
              <w:snapToGrid w:val="0"/>
              <w:spacing w:line="400" w:lineRule="exact"/>
              <w:ind w:left="44" w:leftChars="20" w:right="44" w:rightChars="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2</w:t>
            </w:r>
            <w:r>
              <w:rPr>
                <w:rFonts w:hint="eastAsia"/>
                <w:color w:val="000000" w:themeColor="text1"/>
                <w:highlight w:val="none"/>
                <w14:textFill>
                  <w14:solidFill>
                    <w14:schemeClr w14:val="tx1"/>
                  </w14:solidFill>
                </w14:textFill>
              </w:rPr>
              <w:t>）本项目最高限价：</w:t>
            </w:r>
            <w:r>
              <w:rPr>
                <w:rFonts w:hint="eastAsia"/>
                <w:color w:val="000000" w:themeColor="text1"/>
                <w:sz w:val="24"/>
                <w:szCs w:val="24"/>
                <w:highlight w:val="none"/>
                <w:u w:val="single"/>
                <w:lang w:val="en-US" w:eastAsia="zh-CN"/>
                <w14:textFill>
                  <w14:solidFill>
                    <w14:schemeClr w14:val="tx1"/>
                  </w14:solidFill>
                </w14:textFill>
              </w:rPr>
              <w:t>140.51</w:t>
            </w:r>
            <w:r>
              <w:rPr>
                <w:rFonts w:hint="eastAsia"/>
                <w:color w:val="000000" w:themeColor="text1"/>
                <w:highlight w:val="none"/>
                <w:u w:val="single"/>
                <w14:textFill>
                  <w14:solidFill>
                    <w14:schemeClr w14:val="tx1"/>
                  </w14:solidFill>
                </w14:textFill>
              </w:rPr>
              <w:t>万元</w:t>
            </w:r>
            <w:r>
              <w:rPr>
                <w:rFonts w:hint="eastAsia"/>
                <w:color w:val="000000" w:themeColor="text1"/>
                <w:highlight w:val="none"/>
                <w14:textFill>
                  <w14:solidFill>
                    <w14:schemeClr w14:val="tx1"/>
                  </w14:solidFill>
                </w14:textFill>
              </w:rPr>
              <w:t>，投标人须在最高限价</w:t>
            </w:r>
            <w:r>
              <w:rPr>
                <w:rFonts w:ascii="Arial" w:hAnsi="Arial" w:cs="Arial"/>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80%</w:t>
            </w:r>
            <w:r>
              <w:rPr>
                <w:rFonts w:hint="eastAsia" w:ascii="微软雅黑" w:hAnsi="微软雅黑" w:eastAsia="微软雅黑" w:cs="微软雅黑"/>
                <w:color w:val="000000" w:themeColor="text1"/>
                <w:highlight w:val="none"/>
                <w:lang w:val="en-US"/>
                <w14:textFill>
                  <w14:solidFill>
                    <w14:schemeClr w14:val="tx1"/>
                  </w14:solidFill>
                </w14:textFill>
              </w:rPr>
              <w:t>~</w:t>
            </w:r>
            <w:r>
              <w:rPr>
                <w:rFonts w:hint="eastAsia"/>
                <w:color w:val="000000" w:themeColor="text1"/>
                <w:highlight w:val="none"/>
                <w:lang w:val="en-US"/>
                <w14:textFill>
                  <w14:solidFill>
                    <w14:schemeClr w14:val="tx1"/>
                  </w14:solidFill>
                </w14:textFill>
              </w:rPr>
              <w:t>最高投标限价区间报价，超出上述区间的报价无效</w:t>
            </w:r>
            <w:r>
              <w:rPr>
                <w:rFonts w:hint="eastAsia"/>
                <w:color w:val="000000" w:themeColor="text1"/>
                <w:highlight w:val="none"/>
                <w:lang w:val="en-US" w:eastAsia="zh-CN"/>
                <w14:textFill>
                  <w14:solidFill>
                    <w14:schemeClr w14:val="tx1"/>
                  </w14:solidFill>
                </w14:textFill>
              </w:rPr>
              <w:t>【若低于</w:t>
            </w:r>
            <w:r>
              <w:rPr>
                <w:rFonts w:hint="eastAsia"/>
                <w:color w:val="000000" w:themeColor="text1"/>
                <w:highlight w:val="none"/>
                <w14:textFill>
                  <w14:solidFill>
                    <w14:schemeClr w14:val="tx1"/>
                  </w14:solidFill>
                </w14:textFill>
              </w:rPr>
              <w:t>最高限价</w:t>
            </w:r>
            <w:r>
              <w:rPr>
                <w:rFonts w:ascii="Arial" w:hAnsi="Arial" w:cs="Arial"/>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80%</w:t>
            </w:r>
            <w:r>
              <w:rPr>
                <w:rFonts w:hint="eastAsia"/>
                <w:color w:val="000000" w:themeColor="text1"/>
                <w:highlight w:val="none"/>
                <w:lang w:val="en-US" w:eastAsia="zh-CN"/>
                <w14:textFill>
                  <w14:solidFill>
                    <w14:schemeClr w14:val="tx1"/>
                  </w14:solidFill>
                </w14:textFill>
              </w:rPr>
              <w:t>报价的须附成本分析，经评委评审后，认为其低于成本报价的，视为报价无效】</w:t>
            </w:r>
            <w:r>
              <w:rPr>
                <w:rFonts w:hint="eastAsia"/>
                <w:color w:val="000000" w:themeColor="text1"/>
                <w:highlight w:val="none"/>
                <w14:textFill>
                  <w14:solidFill>
                    <w14:schemeClr w14:val="tx1"/>
                  </w14:solidFill>
                </w14:textFill>
              </w:rPr>
              <w:t>。</w:t>
            </w:r>
          </w:p>
          <w:p>
            <w:pPr>
              <w:adjustRightInd w:val="0"/>
              <w:snapToGrid w:val="0"/>
              <w:spacing w:line="400" w:lineRule="exact"/>
              <w:ind w:left="44" w:leftChars="20" w:right="44" w:rightChars="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3</w:t>
            </w:r>
            <w:r>
              <w:rPr>
                <w:rFonts w:hint="eastAsia"/>
                <w:color w:val="000000" w:themeColor="text1"/>
                <w:highlight w:val="none"/>
                <w14:textFill>
                  <w14:solidFill>
                    <w14:schemeClr w14:val="tx1"/>
                  </w14:solidFill>
                </w14:textFill>
              </w:rPr>
              <w:t>）监理费结算按国家发改委、国家建设部文件（发改价格[2007]670号）执行</w:t>
            </w:r>
            <w:r>
              <w:rPr>
                <w:rFonts w:hint="eastAsia"/>
                <w:color w:val="000000" w:themeColor="text1"/>
                <w:highlight w:val="none"/>
                <w:lang w:val="en-US"/>
                <w14:textFill>
                  <w14:solidFill>
                    <w14:schemeClr w14:val="tx1"/>
                  </w14:solidFill>
                </w14:textFill>
              </w:rPr>
              <w:t>后再乘以（1-</w:t>
            </w:r>
            <w:r>
              <w:rPr>
                <w:rFonts w:hint="eastAsia"/>
                <w:color w:val="000000" w:themeColor="text1"/>
                <w:highlight w:val="none"/>
                <w14:textFill>
                  <w14:solidFill>
                    <w14:schemeClr w14:val="tx1"/>
                  </w14:solidFill>
                </w14:textFill>
              </w:rPr>
              <w:t>监理费下浮率），最终以相关部门</w:t>
            </w:r>
            <w:r>
              <w:rPr>
                <w:rFonts w:hint="eastAsia"/>
                <w:color w:val="000000" w:themeColor="text1"/>
                <w:highlight w:val="none"/>
                <w:lang w:val="en-US"/>
                <w14:textFill>
                  <w14:solidFill>
                    <w14:schemeClr w14:val="tx1"/>
                  </w14:solidFill>
                </w14:textFill>
              </w:rPr>
              <w:t>或委托人委托的第三方咨询机构</w:t>
            </w:r>
            <w:r>
              <w:rPr>
                <w:rFonts w:hint="eastAsia"/>
                <w:color w:val="000000" w:themeColor="text1"/>
                <w:highlight w:val="none"/>
                <w14:textFill>
                  <w14:solidFill>
                    <w14:schemeClr w14:val="tx1"/>
                  </w14:solidFill>
                </w14:textFill>
              </w:rPr>
              <w:t>审定结算为准。</w:t>
            </w:r>
          </w:p>
          <w:p>
            <w:pPr>
              <w:adjustRightInd w:val="0"/>
              <w:snapToGrid w:val="0"/>
              <w:spacing w:line="400" w:lineRule="exact"/>
              <w:ind w:left="44" w:leftChars="20" w:right="44" w:rightChars="20"/>
              <w:rPr>
                <w:color w:val="000000" w:themeColor="text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调整系数：专业调整系数为 1.0 ；工程复杂程度调整系数为 1.</w:t>
            </w:r>
            <w:r>
              <w:rPr>
                <w:rFonts w:hint="eastAsia"/>
                <w:color w:val="000000" w:themeColor="text1"/>
                <w:highlight w:val="none"/>
                <w:lang w:val="en-US"/>
                <w14:textFill>
                  <w14:solidFill>
                    <w14:schemeClr w14:val="tx1"/>
                  </w14:solidFill>
                </w14:textFill>
              </w:rPr>
              <w:t>0</w:t>
            </w:r>
            <w:r>
              <w:rPr>
                <w:rFonts w:hint="eastAsia"/>
                <w:color w:val="000000" w:themeColor="text1"/>
                <w:highlight w:val="none"/>
                <w14:textFill>
                  <w14:solidFill>
                    <w14:schemeClr w14:val="tx1"/>
                  </w14:solidFill>
                </w14:textFill>
              </w:rPr>
              <w:t xml:space="preserve"> ；高程调整系数为1.0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3.3.1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投标有效期</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90</w:t>
            </w:r>
            <w:r>
              <w:rPr>
                <w:rFonts w:hint="eastAsia"/>
                <w:color w:val="000000" w:themeColor="text1"/>
                <w:sz w:val="21"/>
                <w:szCs w:val="21"/>
                <w:highlight w:val="none"/>
                <w14:textFill>
                  <w14:solidFill>
                    <w14:schemeClr w14:val="tx1"/>
                  </w14:solidFill>
                </w14:textFill>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3.4.1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投标保证金</w:t>
            </w:r>
          </w:p>
        </w:tc>
        <w:tc>
          <w:tcPr>
            <w:tcW w:w="5440" w:type="dxa"/>
            <w:vAlign w:val="center"/>
          </w:tcPr>
          <w:p>
            <w:pPr>
              <w:pStyle w:val="9"/>
              <w:adjustRightInd w:val="0"/>
              <w:snapToGrid w:val="0"/>
              <w:spacing w:after="0" w:line="400" w:lineRule="exact"/>
              <w:ind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是否要求投标人递交投标保证金：</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■要求，投标保证金的金额：2万元人民币。</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投标保证金有效期：与投标有效期一致。</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一、投标保证金的形式：投标保证金可采用现金、支票、投标保证保险、投标保函（银行或专业担保公司出具）的形式，须在递交投标文件截止时间前完成缴纳。</w:t>
            </w:r>
            <w:r>
              <w:rPr>
                <w:rFonts w:hint="eastAsia"/>
                <w:color w:val="000000" w:themeColor="text1"/>
                <w:sz w:val="21"/>
                <w:szCs w:val="21"/>
                <w:highlight w:val="none"/>
                <w14:textFill>
                  <w14:solidFill>
                    <w14:schemeClr w14:val="tx1"/>
                  </w14:solidFill>
                </w14:textFill>
              </w:rPr>
              <w:br w:type="textWrapping"/>
            </w:r>
            <w:r>
              <w:rPr>
                <w:rFonts w:hint="eastAsia"/>
                <w:color w:val="000000" w:themeColor="text1"/>
                <w:sz w:val="21"/>
                <w:szCs w:val="21"/>
                <w:highlight w:val="none"/>
                <w14:textFill>
                  <w14:solidFill>
                    <w14:schemeClr w14:val="tx1"/>
                  </w14:solidFill>
                </w14:textFill>
              </w:rPr>
              <w:t> 二、投标保证金的提交方式：</w:t>
            </w:r>
            <w:r>
              <w:rPr>
                <w:rFonts w:hint="eastAsia"/>
                <w:color w:val="000000" w:themeColor="text1"/>
                <w:sz w:val="21"/>
                <w:szCs w:val="21"/>
                <w:highlight w:val="none"/>
                <w14:textFill>
                  <w14:solidFill>
                    <w14:schemeClr w14:val="tx1"/>
                  </w14:solidFill>
                </w14:textFill>
              </w:rPr>
              <w:br w:type="textWrapping"/>
            </w:r>
            <w:r>
              <w:rPr>
                <w:rFonts w:hint="eastAsia"/>
                <w:color w:val="000000" w:themeColor="text1"/>
                <w:sz w:val="21"/>
                <w:szCs w:val="21"/>
                <w:highlight w:val="none"/>
                <w14:textFill>
                  <w14:solidFill>
                    <w14:schemeClr w14:val="tx1"/>
                  </w14:solidFill>
                </w14:textFill>
              </w:rPr>
              <w:t>（1）如采用现金或者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收款单位：广州交易集团有限公司</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开户银行：中国建设银行广州天润路支行</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银行账号：44001583404059333333</w:t>
            </w:r>
            <w:r>
              <w:rPr>
                <w:rFonts w:hint="eastAsia"/>
                <w:color w:val="000000" w:themeColor="text1"/>
                <w:sz w:val="21"/>
                <w:szCs w:val="21"/>
                <w:highlight w:val="none"/>
                <w14:textFill>
                  <w14:solidFill>
                    <w14:schemeClr w14:val="tx1"/>
                  </w14:solidFill>
                </w14:textFill>
              </w:rPr>
              <w:br w:type="textWrapping"/>
            </w:r>
            <w:r>
              <w:rPr>
                <w:rFonts w:hint="eastAsia"/>
                <w:color w:val="000000" w:themeColor="text1"/>
                <w:sz w:val="21"/>
                <w:szCs w:val="21"/>
                <w:highlight w:val="none"/>
                <w14:textFill>
                  <w14:solidFill>
                    <w14:schemeClr w14:val="tx1"/>
                  </w14:solidFill>
                </w14:textFill>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pStyle w:val="9"/>
              <w:adjustRightInd w:val="0"/>
              <w:snapToGrid w:val="0"/>
              <w:spacing w:after="0"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3.4.4</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其他可以不予退还投标保证金的情形</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1.投标人采用不正当的手段骗取中标经查实的，不予退还投标保证金。</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2.因中标人原因未能在规定期限内签署合同协议。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w:t>
            </w:r>
          </w:p>
        </w:tc>
        <w:tc>
          <w:tcPr>
            <w:tcW w:w="3360" w:type="dxa"/>
            <w:vAlign w:val="center"/>
          </w:tcPr>
          <w:p>
            <w:pPr>
              <w:pStyle w:val="29"/>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资格审查资料的特殊要求</w:t>
            </w:r>
          </w:p>
        </w:tc>
        <w:tc>
          <w:tcPr>
            <w:tcW w:w="5440" w:type="dxa"/>
          </w:tcPr>
          <w:p>
            <w:pPr>
              <w:pStyle w:val="29"/>
              <w:adjustRightInd w:val="0"/>
              <w:snapToGrid w:val="0"/>
              <w:spacing w:before="75"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sym w:font="Wingdings 2" w:char="0052"/>
            </w:r>
            <w:r>
              <w:rPr>
                <w:rFonts w:hint="eastAsia"/>
                <w:color w:val="000000" w:themeColor="text1"/>
                <w:sz w:val="21"/>
                <w:szCs w:val="21"/>
                <w:highlight w:val="none"/>
                <w14:textFill>
                  <w14:solidFill>
                    <w14:schemeClr w14:val="tx1"/>
                  </w14:solidFill>
                </w14:textFill>
              </w:rPr>
              <w:t>无</w:t>
            </w:r>
          </w:p>
          <w:p>
            <w:pPr>
              <w:pStyle w:val="29"/>
              <w:adjustRightInd w:val="0"/>
              <w:snapToGrid w:val="0"/>
              <w:spacing w:before="31"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3.5.2</w:t>
            </w:r>
          </w:p>
        </w:tc>
        <w:tc>
          <w:tcPr>
            <w:tcW w:w="3360" w:type="dxa"/>
            <w:vAlign w:val="center"/>
          </w:tcPr>
          <w:p>
            <w:pPr>
              <w:pStyle w:val="29"/>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近年财务状况的年份要求</w:t>
            </w:r>
          </w:p>
        </w:tc>
        <w:tc>
          <w:tcPr>
            <w:tcW w:w="5440" w:type="dxa"/>
            <w:vAlign w:val="center"/>
          </w:tcPr>
          <w:p>
            <w:pPr>
              <w:pStyle w:val="29"/>
              <w:tabs>
                <w:tab w:val="left" w:pos="664"/>
                <w:tab w:val="left" w:pos="1646"/>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年至 </w:t>
            </w:r>
            <w:r>
              <w:rPr>
                <w:rFonts w:hint="eastAsia"/>
                <w:color w:val="000000" w:themeColor="text1"/>
                <w:sz w:val="21"/>
                <w:szCs w:val="21"/>
                <w:highlight w:val="none"/>
                <w:u w:val="single"/>
                <w14:textFill>
                  <w14:solidFill>
                    <w14:schemeClr w14:val="tx1"/>
                  </w14:solidFill>
                </w14:textFill>
              </w:rPr>
              <w:t xml:space="preserve"> / </w:t>
            </w:r>
            <w:r>
              <w:rPr>
                <w:rFonts w:hint="eastAsia"/>
                <w:color w:val="000000" w:themeColor="text1"/>
                <w:sz w:val="21"/>
                <w:szCs w:val="21"/>
                <w:highlight w:val="none"/>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3.5.3</w:t>
            </w:r>
          </w:p>
        </w:tc>
        <w:tc>
          <w:tcPr>
            <w:tcW w:w="3360" w:type="dxa"/>
            <w:vAlign w:val="center"/>
          </w:tcPr>
          <w:p>
            <w:pPr>
              <w:pStyle w:val="29"/>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近年完成的类似项目情况的时间要求</w:t>
            </w:r>
          </w:p>
        </w:tc>
        <w:tc>
          <w:tcPr>
            <w:tcW w:w="5440" w:type="dxa"/>
            <w:vAlign w:val="center"/>
          </w:tcPr>
          <w:p>
            <w:pPr>
              <w:pStyle w:val="29"/>
              <w:tabs>
                <w:tab w:val="left" w:pos="803"/>
                <w:tab w:val="left" w:pos="1574"/>
                <w:tab w:val="left" w:pos="2344"/>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日至</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3.5.5</w:t>
            </w:r>
          </w:p>
        </w:tc>
        <w:tc>
          <w:tcPr>
            <w:tcW w:w="3360" w:type="dxa"/>
          </w:tcPr>
          <w:p>
            <w:pPr>
              <w:pStyle w:val="29"/>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近年发生的诉讼及仲裁情况的时间要求</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3.6.1</w:t>
            </w:r>
          </w:p>
        </w:tc>
        <w:tc>
          <w:tcPr>
            <w:tcW w:w="3360" w:type="dxa"/>
            <w:vAlign w:val="center"/>
          </w:tcPr>
          <w:p>
            <w:pPr>
              <w:pStyle w:val="29"/>
              <w:adjustRightInd w:val="0"/>
              <w:snapToGrid w:val="0"/>
              <w:spacing w:line="400" w:lineRule="exact"/>
              <w:ind w:left="44" w:leftChars="20" w:right="44" w:rightChars="2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是否允许递交备选投标方案</w:t>
            </w:r>
          </w:p>
        </w:tc>
        <w:tc>
          <w:tcPr>
            <w:tcW w:w="5440" w:type="dxa"/>
            <w:vAlign w:val="center"/>
          </w:tcPr>
          <w:p>
            <w:pPr>
              <w:pStyle w:val="29"/>
              <w:adjustRightInd w:val="0"/>
              <w:snapToGrid w:val="0"/>
              <w:spacing w:before="54"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sym w:font="Wingdings 2" w:char="0052"/>
            </w:r>
            <w:r>
              <w:rPr>
                <w:rFonts w:hint="eastAsia"/>
                <w:color w:val="000000" w:themeColor="text1"/>
                <w:sz w:val="21"/>
                <w:szCs w:val="21"/>
                <w:highlight w:val="none"/>
                <w14:textFill>
                  <w14:solidFill>
                    <w14:schemeClr w14:val="tx1"/>
                  </w14:solidFill>
                </w14:textFill>
              </w:rPr>
              <w:t>不允许</w:t>
            </w:r>
          </w:p>
          <w:p>
            <w:pPr>
              <w:pStyle w:val="29"/>
              <w:adjustRightInd w:val="0"/>
              <w:snapToGrid w:val="0"/>
              <w:spacing w:before="66"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3.7.3（B）</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投标文件所附证书证件要求</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3.7.3（B）</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投标文件签字或盖章要求</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u w:val="single"/>
                <w:lang w:val="en-US" w:bidi="ar-SA"/>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w:t>
            </w:r>
            <w:r>
              <w:rPr>
                <w:rFonts w:hint="eastAsia"/>
                <w:color w:val="000000" w:themeColor="text1"/>
                <w:kern w:val="2"/>
                <w:sz w:val="21"/>
                <w:szCs w:val="21"/>
                <w:highlight w:val="none"/>
                <w:u w:val="single"/>
                <w:lang w:val="en-US" w:eastAsia="zh-CN" w:bidi="ar-SA"/>
                <w14:textFill>
                  <w14:solidFill>
                    <w14:schemeClr w14:val="tx1"/>
                  </w14:solidFill>
                </w14:textFill>
              </w:rPr>
              <w:t>建设工程全流程电子化项目操作指南</w:t>
            </w:r>
            <w:r>
              <w:rPr>
                <w:rFonts w:hint="eastAsia"/>
                <w:color w:val="000000" w:themeColor="text1"/>
                <w:kern w:val="2"/>
                <w:sz w:val="21"/>
                <w:szCs w:val="21"/>
                <w:highlight w:val="none"/>
                <w:u w:val="single"/>
                <w:lang w:val="en-US" w:bidi="ar-S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4.1.1（B）</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投标文件加密要求</w:t>
            </w:r>
          </w:p>
        </w:tc>
        <w:tc>
          <w:tcPr>
            <w:tcW w:w="5440" w:type="dxa"/>
            <w:vAlign w:val="center"/>
          </w:tcPr>
          <w:p>
            <w:pPr>
              <w:pStyle w:val="9"/>
              <w:autoSpaceDE/>
              <w:autoSpaceDN/>
              <w:adjustRightInd w:val="0"/>
              <w:snapToGrid w:val="0"/>
              <w:spacing w:after="0" w:line="400" w:lineRule="exact"/>
              <w:ind w:left="44" w:leftChars="20" w:right="44" w:rightChars="20"/>
              <w:jc w:val="both"/>
              <w:rPr>
                <w:color w:val="000000" w:themeColor="text1"/>
                <w:sz w:val="21"/>
                <w:szCs w:val="21"/>
                <w:highlight w:val="none"/>
                <w14:textFill>
                  <w14:solidFill>
                    <w14:schemeClr w14:val="tx1"/>
                  </w14:solidFill>
                </w14:textFill>
              </w:rPr>
            </w:pPr>
            <w:r>
              <w:rPr>
                <w:rFonts w:hint="eastAsia"/>
                <w:color w:val="000000" w:themeColor="text1"/>
                <w:kern w:val="2"/>
                <w:sz w:val="21"/>
                <w:szCs w:val="21"/>
                <w:highlight w:val="none"/>
                <w:lang w:val="en-US" w:bidi="ar-SA"/>
                <w14:textFill>
                  <w14:solidFill>
                    <w14:schemeClr w14:val="tx1"/>
                  </w14:solidFill>
                </w14:textFill>
              </w:rPr>
              <w:t>网上递交的电子投标文件须进行加密。具体操作详见广州公共资源交易中心网站发布的最新版《</w:t>
            </w:r>
            <w:r>
              <w:rPr>
                <w:rFonts w:hint="eastAsia"/>
                <w:color w:val="000000" w:themeColor="text1"/>
                <w:kern w:val="2"/>
                <w:sz w:val="21"/>
                <w:szCs w:val="21"/>
                <w:highlight w:val="none"/>
                <w:lang w:val="en-US" w:eastAsia="zh-CN" w:bidi="ar-SA"/>
                <w14:textFill>
                  <w14:solidFill>
                    <w14:schemeClr w14:val="tx1"/>
                  </w14:solidFill>
                </w14:textFill>
              </w:rPr>
              <w:t>建设工程全流程电子化项目操作指南</w:t>
            </w:r>
            <w:r>
              <w:rPr>
                <w:rFonts w:hint="eastAsia"/>
                <w:color w:val="000000" w:themeColor="text1"/>
                <w:kern w:val="2"/>
                <w:sz w:val="21"/>
                <w:szCs w:val="21"/>
                <w:highlight w:val="none"/>
                <w:lang w:val="en-US" w:bidi="ar-S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4.1.2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封套上应载明的信息</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如有提交投标文件光盘备用，封套上应注明如下信息：</w:t>
            </w:r>
          </w:p>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招标人名称：</w:t>
            </w:r>
          </w:p>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（项目名称）投标文件</w:t>
            </w:r>
          </w:p>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招标项目编号：</w:t>
            </w:r>
          </w:p>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在</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年</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月</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日</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时前不得开启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投标截止时间</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202</w:t>
            </w: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时</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分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递交电子投标文件交易平台</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1.递交方式：网上递交投标文件 </w:t>
            </w:r>
          </w:p>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2.交易平台：广州公共资源交易中心网站。 </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4.2.3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投标文件是否退还</w:t>
            </w:r>
          </w:p>
        </w:tc>
        <w:tc>
          <w:tcPr>
            <w:tcW w:w="5440" w:type="dxa"/>
            <w:vAlign w:val="center"/>
          </w:tcPr>
          <w:p>
            <w:pPr>
              <w:pStyle w:val="9"/>
              <w:adjustRightInd w:val="0"/>
              <w:snapToGrid w:val="0"/>
              <w:spacing w:after="0" w:line="400" w:lineRule="exact"/>
              <w:ind w:left="44" w:leftChars="20" w:right="44" w:rightChars="2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■否</w:t>
            </w:r>
          </w:p>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4.3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投标文件的修改与撤回</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1.投标人修改或撤回已递交的投标文件，需在交易平台发出撤回通知，并按要求加盖电子印章。电子招标投标交易平台收到通知后，即时向投标人发出确认回执通知。</w:t>
            </w:r>
          </w:p>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2.投标人撤回投标文件的，招标人自收到投标人书面撤回通知之日起5日内退还已收取的投标保证金。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5.1（B）</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开标时间和地点</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开标时间：同投标截止时间</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开标地点：广州公共资源交易中心第</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开标室（广州市天河区天润路333号）</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5.2（B）</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开标程序</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电子招投标项目开标按下列程序进行：</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5.2.1主持人按下列程序进行开标：</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（1）宣布开标纪律；</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（2）公布在投标截止时间前递交投标文件的投标人名称；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（3）宣布开标人、唱标人、记录人、监标人等有关人员姓名；</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（4）投标人通过电子招标投标交易平台对已递交的电子投标文件进行解密，公布招标项目名称、投标人名称、投标保证金的递交情况、投标报价、监理服务期及其他内容，并记录在案；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（5）投标人代表、招标人代表、监标人、记录人等有关人员在开标记录上签字确认；若有关人员不签字的，不影响开标程序；</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（6）开标结束。</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5.3</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开标异议</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6.1.1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评标委员会的组建</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评标委员会由招标人依法组建</w:t>
            </w:r>
            <w:r>
              <w:rPr>
                <w:rFonts w:hint="eastAsia"/>
                <w:color w:val="000000" w:themeColor="text1"/>
                <w:sz w:val="2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6.3.2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评标委员会推荐中标候选人的人数</w:t>
            </w:r>
          </w:p>
        </w:tc>
        <w:tc>
          <w:tcPr>
            <w:tcW w:w="5440" w:type="dxa"/>
            <w:vAlign w:val="center"/>
          </w:tcPr>
          <w:p>
            <w:pPr>
              <w:tabs>
                <w:tab w:val="left" w:pos="7513"/>
              </w:tabs>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7.1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中标候选人公示媒介及期限</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公示媒介：</w:t>
            </w:r>
            <w:r>
              <w:rPr>
                <w:rFonts w:hint="eastAsia"/>
                <w:color w:val="000000" w:themeColor="text1"/>
                <w:sz w:val="21"/>
                <w:szCs w:val="21"/>
                <w:highlight w:val="none"/>
                <w:u w:val="single"/>
                <w14:textFill>
                  <w14:solidFill>
                    <w14:schemeClr w14:val="tx1"/>
                  </w14:solidFill>
                </w14:textFill>
              </w:rPr>
              <w:t>中国招标投标公共服务平台、广东省招标投标监管网、广州公共资源交易中心网</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公示期限：</w:t>
            </w:r>
            <w:r>
              <w:rPr>
                <w:rFonts w:hint="eastAsia"/>
                <w:color w:val="000000" w:themeColor="text1"/>
                <w:sz w:val="21"/>
                <w:szCs w:val="21"/>
                <w:highlight w:val="none"/>
                <w:u w:val="single"/>
                <w14:textFill>
                  <w14:solidFill>
                    <w14:schemeClr w14:val="tx1"/>
                  </w14:solidFill>
                </w14:textFill>
              </w:rPr>
              <w:t xml:space="preserve">  3  </w:t>
            </w:r>
            <w:r>
              <w:rPr>
                <w:rFonts w:hint="eastAsia"/>
                <w:color w:val="000000" w:themeColor="text1"/>
                <w:sz w:val="21"/>
                <w:szCs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7.6.1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履约保证金</w:t>
            </w:r>
          </w:p>
        </w:tc>
        <w:tc>
          <w:tcPr>
            <w:tcW w:w="5440" w:type="dxa"/>
            <w:vAlign w:val="center"/>
          </w:tcPr>
          <w:p>
            <w:pPr>
              <w:pStyle w:val="33"/>
              <w:adjustRightInd w:val="0"/>
              <w:snapToGrid w:val="0"/>
              <w:spacing w:line="400" w:lineRule="exact"/>
              <w:ind w:left="44" w:leftChars="20" w:right="44" w:rightChars="20"/>
              <w:rPr>
                <w:rFonts w:ascii="Times New Roman" w:hAnsi="Times New Roman"/>
                <w:color w:val="000000" w:themeColor="text1"/>
                <w:kern w:val="2"/>
                <w:sz w:val="21"/>
                <w:szCs w:val="2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是否要求中标人提交履约保证金：</w:t>
            </w:r>
          </w:p>
          <w:p>
            <w:pPr>
              <w:pStyle w:val="33"/>
              <w:adjustRightInd w:val="0"/>
              <w:snapToGrid w:val="0"/>
              <w:spacing w:line="400" w:lineRule="exact"/>
              <w:ind w:left="44" w:leftChars="20" w:right="44" w:rightChars="20"/>
              <w:rPr>
                <w:rFonts w:ascii="Times New Roman" w:hAnsi="Times New Roman"/>
                <w:color w:val="000000" w:themeColor="text1"/>
                <w:kern w:val="2"/>
                <w:sz w:val="21"/>
                <w:szCs w:val="21"/>
                <w:highlight w:val="none"/>
                <w:u w:val="singl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■要求，履约保证金的形式：</w:t>
            </w:r>
            <w:r>
              <w:rPr>
                <w:rFonts w:hint="eastAsia" w:ascii="Times New Roman" w:hAnsi="Times New Roman"/>
                <w:color w:val="000000" w:themeColor="text1"/>
                <w:kern w:val="2"/>
                <w:sz w:val="21"/>
                <w:szCs w:val="21"/>
                <w:highlight w:val="none"/>
                <w:u w:val="single"/>
                <w14:textFill>
                  <w14:solidFill>
                    <w14:schemeClr w14:val="tx1"/>
                  </w14:solidFill>
                </w14:textFill>
              </w:rPr>
              <w:t xml:space="preserve"> </w:t>
            </w:r>
            <w:r>
              <w:rPr>
                <w:rFonts w:ascii="Times New Roman" w:hAnsi="Times New Roman"/>
                <w:color w:val="000000" w:themeColor="text1"/>
                <w:kern w:val="2"/>
                <w:sz w:val="21"/>
                <w:szCs w:val="21"/>
                <w:highlight w:val="none"/>
                <w:u w:val="single"/>
                <w14:textFill>
                  <w14:solidFill>
                    <w14:schemeClr w14:val="tx1"/>
                  </w14:solidFill>
                </w14:textFill>
              </w:rPr>
              <w:t xml:space="preserve">  </w:t>
            </w:r>
            <w:r>
              <w:rPr>
                <w:rFonts w:hint="eastAsia" w:ascii="Times New Roman" w:hAnsi="Times New Roman"/>
                <w:color w:val="000000" w:themeColor="text1"/>
                <w:kern w:val="2"/>
                <w:sz w:val="21"/>
                <w:szCs w:val="21"/>
                <w:highlight w:val="none"/>
                <w:u w:val="single"/>
                <w:lang w:eastAsia="zh-CN"/>
                <w14:textFill>
                  <w14:solidFill>
                    <w14:schemeClr w14:val="tx1"/>
                  </w14:solidFill>
                </w14:textFill>
              </w:rPr>
              <w:t>保函</w:t>
            </w:r>
            <w:r>
              <w:rPr>
                <w:rFonts w:ascii="Times New Roman" w:hAnsi="Times New Roman"/>
                <w:color w:val="000000" w:themeColor="text1"/>
                <w:kern w:val="2"/>
                <w:sz w:val="21"/>
                <w:szCs w:val="21"/>
                <w:highlight w:val="none"/>
                <w:u w:val="single"/>
                <w14:textFill>
                  <w14:solidFill>
                    <w14:schemeClr w14:val="tx1"/>
                  </w14:solidFill>
                </w14:textFill>
              </w:rPr>
              <w:t xml:space="preserve">    </w:t>
            </w:r>
          </w:p>
          <w:p>
            <w:pPr>
              <w:adjustRightInd w:val="0"/>
              <w:snapToGrid w:val="0"/>
              <w:spacing w:line="400" w:lineRule="exact"/>
              <w:ind w:left="44" w:leftChars="20" w:right="44" w:rightChars="2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履约保证金的金额：</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中标金额的</w:t>
            </w:r>
            <w:r>
              <w:rPr>
                <w:rFonts w:hint="eastAsia"/>
                <w:color w:val="000000" w:themeColor="text1"/>
                <w:sz w:val="21"/>
                <w:szCs w:val="21"/>
                <w:highlight w:val="none"/>
                <w:u w:val="single"/>
                <w:lang w:val="en-US" w:eastAsia="zh-CN"/>
                <w14:textFill>
                  <w14:solidFill>
                    <w14:schemeClr w14:val="tx1"/>
                  </w14:solidFill>
                </w14:textFill>
              </w:rPr>
              <w:t>10%</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pStyle w:val="9"/>
              <w:adjustRightInd w:val="0"/>
              <w:snapToGrid w:val="0"/>
              <w:spacing w:after="0" w:line="400" w:lineRule="exact"/>
              <w:ind w:left="44" w:leftChars="20" w:right="44" w:rightChars="20"/>
              <w:rPr>
                <w:color w:val="000000" w:themeColor="text1"/>
                <w:sz w:val="21"/>
                <w:szCs w:val="2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是否采用电子招标投标</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p>
            <w:pPr>
              <w:adjustRightInd w:val="0"/>
              <w:snapToGrid w:val="0"/>
              <w:spacing w:line="400" w:lineRule="exact"/>
              <w:ind w:left="2137" w:leftChars="20" w:right="44" w:rightChars="20" w:hanging="2093" w:hangingChars="997"/>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■是，具体要求：</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1、具体操作详见</w:t>
            </w:r>
            <w:r>
              <w:rPr>
                <w:rFonts w:hint="eastAsia"/>
                <w:color w:val="000000" w:themeColor="text1"/>
                <w:kern w:val="2"/>
                <w:sz w:val="21"/>
                <w:szCs w:val="21"/>
                <w:highlight w:val="none"/>
                <w:lang w:val="en-US" w:bidi="ar-SA"/>
                <w14:textFill>
                  <w14:solidFill>
                    <w14:schemeClr w14:val="tx1"/>
                  </w14:solidFill>
                </w14:textFill>
              </w:rPr>
              <w:t>广州公共资源交易中心网站发布的最新版</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建设工程全流程电子化项目操作指南</w:t>
            </w:r>
            <w:r>
              <w:rPr>
                <w:rFonts w:hint="eastAsia"/>
                <w:color w:val="000000" w:themeColor="text1"/>
                <w:sz w:val="21"/>
                <w:szCs w:val="21"/>
                <w:highlight w:val="none"/>
                <w14:textFill>
                  <w14:solidFill>
                    <w14:schemeClr w14:val="tx1"/>
                  </w14:solidFill>
                </w14:textFill>
              </w:rPr>
              <w:t>》。</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2、提交投标文件光盘备用</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（1）投标文件解密失败的补救方案：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（2）评标时突发情况的补救方案</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若遇不可抗力发生（如：网络瘫痪、服务器损坏、交易系统故障短期无法恢复等因素），由评标委员会开启现场递交的全部投标文件光盘，并按光盘内容进行评审。</w:t>
            </w:r>
          </w:p>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需要补充的其他内容</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10.1</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特别提示</w:t>
            </w:r>
          </w:p>
        </w:tc>
        <w:tc>
          <w:tcPr>
            <w:tcW w:w="5440"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1.将中标工程转包或者违法分包的；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2.在中标工程中不执行质量、安全生产相关规定的，造成质量或安全事故的；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3.存在围标或串标情形的；</w:t>
            </w:r>
          </w:p>
          <w:p>
            <w:pPr>
              <w:widowControl/>
              <w:shd w:val="clear" w:color="auto" w:fill="FFFFFF"/>
              <w:adjustRightInd w:val="0"/>
              <w:snapToGrid w:val="0"/>
              <w:spacing w:line="400" w:lineRule="exact"/>
              <w:ind w:left="44" w:leftChars="20" w:right="44" w:rightChars="2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10.2</w:t>
            </w:r>
          </w:p>
        </w:tc>
        <w:tc>
          <w:tcPr>
            <w:tcW w:w="3360"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送达</w:t>
            </w:r>
          </w:p>
        </w:tc>
        <w:tc>
          <w:tcPr>
            <w:tcW w:w="5440"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10.3</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招标失败情形</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本项目采用资格后审方式，各标段满足资格审查合格条件或通过初步评审的投标申请人不足3名时为招标失败。招标人分析招标失败原因，修正招标方案，报有关管理部门核准后，重新组织招标。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10.4</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中标候选人公示要求</w:t>
            </w:r>
          </w:p>
        </w:tc>
        <w:tc>
          <w:tcPr>
            <w:tcW w:w="5440" w:type="dxa"/>
            <w:vAlign w:val="center"/>
          </w:tcPr>
          <w:p>
            <w:pPr>
              <w:widowControl/>
              <w:shd w:val="clear" w:color="auto" w:fill="FFFFFF"/>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52" w:type="dxa"/>
            <w:vAlign w:val="center"/>
          </w:tcPr>
          <w:p>
            <w:pPr>
              <w:adjustRightInd w:val="0"/>
              <w:snapToGrid w:val="0"/>
              <w:spacing w:line="400" w:lineRule="exact"/>
              <w:ind w:left="44" w:leftChars="20" w:right="44" w:rightChars="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r>
              <w:rPr>
                <w:color w:val="000000" w:themeColor="text1"/>
                <w:sz w:val="21"/>
                <w:szCs w:val="21"/>
                <w:highlight w:val="none"/>
                <w:lang w:val="en-US"/>
                <w14:textFill>
                  <w14:solidFill>
                    <w14:schemeClr w14:val="tx1"/>
                  </w14:solidFill>
                </w14:textFill>
              </w:rPr>
              <w:t>5</w:t>
            </w:r>
          </w:p>
        </w:tc>
        <w:tc>
          <w:tcPr>
            <w:tcW w:w="3360" w:type="dxa"/>
            <w:vAlign w:val="center"/>
          </w:tcPr>
          <w:p>
            <w:pPr>
              <w:widowControl/>
              <w:shd w:val="clear" w:color="auto" w:fill="FFFFFF"/>
              <w:adjustRightInd w:val="0"/>
              <w:snapToGrid w:val="0"/>
              <w:spacing w:line="400" w:lineRule="exact"/>
              <w:ind w:left="44" w:leftChars="20" w:right="44" w:rightChars="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服务机构</w:t>
            </w:r>
            <w:r>
              <w:rPr>
                <w:rFonts w:hint="eastAsia"/>
                <w:color w:val="000000" w:themeColor="text1"/>
                <w:sz w:val="21"/>
                <w:szCs w:val="21"/>
                <w:highlight w:val="none"/>
                <w14:textFill>
                  <w14:solidFill>
                    <w14:schemeClr w14:val="tx1"/>
                  </w14:solidFill>
                </w14:textFill>
              </w:rPr>
              <w:t>人员配备要求</w:t>
            </w:r>
          </w:p>
        </w:tc>
        <w:tc>
          <w:tcPr>
            <w:tcW w:w="5440" w:type="dxa"/>
            <w:vAlign w:val="center"/>
          </w:tcPr>
          <w:p>
            <w:pPr>
              <w:adjustRightInd w:val="0"/>
              <w:snapToGrid w:val="0"/>
              <w:spacing w:line="400" w:lineRule="exact"/>
              <w:ind w:left="44" w:leftChars="20" w:right="44"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详见本须知后附表。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10.</w:t>
            </w:r>
            <w:r>
              <w:rPr>
                <w:color w:val="000000" w:themeColor="text1"/>
                <w:sz w:val="21"/>
                <w:szCs w:val="21"/>
                <w:highlight w:val="none"/>
                <w:lang w:val="en-US"/>
                <w14:textFill>
                  <w14:solidFill>
                    <w14:schemeClr w14:val="tx1"/>
                  </w14:solidFill>
                </w14:textFill>
              </w:rPr>
              <w:t>6</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000000" w:themeColor="text1"/>
                <w:kern w:val="2"/>
                <w:sz w:val="21"/>
                <w:szCs w:val="21"/>
                <w:highlight w:val="none"/>
                <w:lang w:val="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其他</w:t>
            </w:r>
          </w:p>
        </w:tc>
        <w:tc>
          <w:tcPr>
            <w:tcW w:w="5440" w:type="dxa"/>
            <w:vAlign w:val="center"/>
          </w:tcPr>
          <w:p>
            <w:pPr>
              <w:adjustRightInd w:val="0"/>
              <w:snapToGrid w:val="0"/>
              <w:spacing w:line="400" w:lineRule="exact"/>
              <w:ind w:left="44" w:leftChars="20" w:right="44" w:rightChars="20"/>
              <w:rPr>
                <w:highlight w:val="none"/>
              </w:rPr>
            </w:pPr>
            <w:r>
              <w:rPr>
                <w:rFonts w:hint="eastAsia"/>
                <w:highlight w:val="none"/>
                <w:lang w:val="en-US"/>
              </w:rPr>
              <w:t>1、</w:t>
            </w:r>
            <w:r>
              <w:rPr>
                <w:rFonts w:hint="eastAsia"/>
                <w:highlight w:val="none"/>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pPr>
              <w:adjustRightInd w:val="0"/>
              <w:snapToGrid w:val="0"/>
              <w:spacing w:line="400" w:lineRule="exact"/>
              <w:ind w:left="44" w:leftChars="20" w:right="44" w:rightChars="20"/>
              <w:rPr>
                <w:highlight w:val="none"/>
                <w:lang w:val="en-US"/>
              </w:rPr>
            </w:pPr>
            <w:r>
              <w:rPr>
                <w:rFonts w:hint="eastAsia"/>
                <w:highlight w:val="none"/>
                <w:lang w:val="en-US"/>
              </w:rPr>
              <w:t>2、中标人应根据政府有关规定，向广州公共资源交易中心交纳交易服务费。</w:t>
            </w:r>
          </w:p>
        </w:tc>
      </w:tr>
    </w:tbl>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pPr>
        <w:tabs>
          <w:tab w:val="left" w:pos="105"/>
        </w:tabs>
        <w:spacing w:line="360" w:lineRule="auto"/>
        <w:ind w:left="-1"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附表：</w:t>
      </w:r>
      <w:r>
        <w:rPr>
          <w:rFonts w:hint="eastAsia"/>
          <w:color w:val="000000" w:themeColor="text1"/>
          <w:sz w:val="24"/>
          <w:highlight w:val="none"/>
          <w:lang w:val="en-US"/>
          <w14:textFill>
            <w14:solidFill>
              <w14:schemeClr w14:val="tx1"/>
            </w14:solidFill>
          </w14:textFill>
        </w:rPr>
        <w:t>服务机构</w:t>
      </w:r>
      <w:r>
        <w:rPr>
          <w:rFonts w:hint="eastAsia"/>
          <w:color w:val="000000" w:themeColor="text1"/>
          <w:sz w:val="24"/>
          <w:highlight w:val="none"/>
          <w14:textFill>
            <w14:solidFill>
              <w14:schemeClr w14:val="tx1"/>
            </w14:solidFill>
          </w14:textFill>
        </w:rPr>
        <w:t>人员配备要求：</w:t>
      </w:r>
    </w:p>
    <w:tbl>
      <w:tblPr>
        <w:tblStyle w:val="20"/>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455"/>
        <w:gridCol w:w="67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kern w:val="44"/>
                <w:highlight w:val="none"/>
              </w:rPr>
            </w:pPr>
            <w:r>
              <w:rPr>
                <w:rFonts w:hint="eastAsia" w:cs="宋体"/>
                <w:bCs/>
                <w:kern w:val="44"/>
                <w:highlight w:val="none"/>
              </w:rPr>
              <w:t>类别</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kern w:val="44"/>
                <w:highlight w:val="none"/>
              </w:rPr>
            </w:pPr>
            <w:r>
              <w:rPr>
                <w:rFonts w:hint="eastAsia" w:cs="宋体"/>
                <w:bCs/>
                <w:kern w:val="44"/>
                <w:highlight w:val="none"/>
              </w:rPr>
              <w:t>人数</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kern w:val="44"/>
                <w:szCs w:val="21"/>
                <w:highlight w:val="none"/>
              </w:rPr>
            </w:pPr>
            <w:r>
              <w:rPr>
                <w:rFonts w:hint="eastAsia" w:ascii="宋体" w:hAnsi="宋体" w:cs="宋体"/>
                <w:bCs/>
                <w:snapToGrid w:val="0"/>
                <w:spacing w:val="4"/>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项目总监理工程师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highlight w:val="none"/>
              </w:rPr>
            </w:pPr>
            <w:r>
              <w:rPr>
                <w:rFonts w:hint="eastAsia" w:ascii="宋体" w:hAnsi="宋体" w:cs="宋体"/>
                <w:bCs/>
                <w:szCs w:val="21"/>
                <w:highlight w:val="none"/>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项目总监理工程师代表</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highlight w:val="none"/>
              </w:rPr>
            </w:pPr>
            <w:r>
              <w:rPr>
                <w:rFonts w:hint="eastAsia" w:ascii="宋体" w:hAnsi="宋体" w:cs="宋体"/>
                <w:bCs/>
                <w:szCs w:val="21"/>
                <w:highlight w:val="none"/>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0" w:type="dxa"/>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监理工程师</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房建监理工程师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highlight w:val="none"/>
              </w:rPr>
            </w:pPr>
            <w:r>
              <w:rPr>
                <w:rFonts w:hint="eastAsia" w:ascii="宋体" w:hAnsi="宋体" w:cs="宋体"/>
                <w:bCs/>
                <w:szCs w:val="21"/>
                <w:highlight w:val="none"/>
              </w:rPr>
              <w:t>具备工程师或以上职称，专业为土建相关专业。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380" w:type="dxa"/>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机电监理工程师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both"/>
              <w:rPr>
                <w:rFonts w:cs="宋体"/>
                <w:bCs/>
                <w:highlight w:val="none"/>
              </w:rPr>
            </w:pPr>
            <w:r>
              <w:rPr>
                <w:rFonts w:hint="eastAsia" w:cs="宋体"/>
                <w:bCs/>
                <w:highlight w:val="none"/>
              </w:rPr>
              <w:t>具备工程师或以上职称，专业为机电(电气或暖通或空调）专业。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造价工程师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highlight w:val="none"/>
              </w:rPr>
            </w:pPr>
            <w:r>
              <w:rPr>
                <w:rFonts w:hint="eastAsia" w:ascii="宋体" w:hAnsi="宋体" w:cs="宋体"/>
                <w:bCs/>
                <w:szCs w:val="21"/>
                <w:highlight w:val="none"/>
              </w:rPr>
              <w:t>具有注册造价工程师或注册一级造价工程师资格。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安全工程师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both"/>
              <w:rPr>
                <w:rFonts w:cs="宋体"/>
                <w:bCs/>
                <w:highlight w:val="none"/>
              </w:rPr>
            </w:pPr>
            <w:r>
              <w:rPr>
                <w:rFonts w:hint="eastAsia" w:cs="宋体"/>
                <w:bCs/>
                <w:highlight w:val="none"/>
              </w:rPr>
              <w:t>具有安全监理员培训证书（岗位证）或注册安全工程师证。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监理员</w:t>
            </w:r>
          </w:p>
        </w:tc>
        <w:tc>
          <w:tcPr>
            <w:tcW w:w="676"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40"/>
              <w:spacing w:line="0" w:lineRule="atLeast"/>
              <w:jc w:val="both"/>
              <w:rPr>
                <w:rFonts w:cs="宋体"/>
                <w:bCs/>
                <w:highlight w:val="none"/>
              </w:rPr>
            </w:pPr>
            <w:r>
              <w:rPr>
                <w:rFonts w:hint="eastAsia" w:cs="宋体"/>
                <w:bCs/>
                <w:highlight w:val="none"/>
              </w:rPr>
              <w:t>具备初级或以上职称，取得监理培训证或上岗证。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合计</w:t>
            </w:r>
          </w:p>
        </w:tc>
        <w:tc>
          <w:tcPr>
            <w:tcW w:w="676"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7</w:t>
            </w:r>
          </w:p>
        </w:tc>
        <w:tc>
          <w:tcPr>
            <w:tcW w:w="596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highlight w:val="none"/>
              </w:rPr>
            </w:pPr>
          </w:p>
        </w:tc>
      </w:tr>
    </w:tbl>
    <w:p>
      <w:pPr>
        <w:spacing w:line="360" w:lineRule="auto"/>
        <w:rPr>
          <w:rFonts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rPr>
        <w:fldChar w:fldCharType="begin"/>
      </w:r>
      <w:r>
        <w:rPr>
          <w:rFonts w:hint="eastAsia" w:ascii="宋体" w:hAnsi="宋体" w:cs="宋体"/>
          <w:szCs w:val="21"/>
          <w:highlight w:val="none"/>
        </w:rPr>
        <w:instrText xml:space="preserve"> = 1 \* GB3 \* MERGEFORMAT </w:instrText>
      </w:r>
      <w:r>
        <w:rPr>
          <w:rFonts w:hint="eastAsia" w:ascii="宋体" w:hAnsi="宋体" w:cs="宋体"/>
          <w:szCs w:val="21"/>
          <w:highlight w:val="none"/>
        </w:rPr>
        <w:fldChar w:fldCharType="separate"/>
      </w:r>
      <w:r>
        <w:rPr>
          <w:rFonts w:hint="eastAsia" w:ascii="宋体" w:hAnsi="宋体" w:cs="宋体"/>
          <w:szCs w:val="21"/>
          <w:highlight w:val="none"/>
        </w:rPr>
        <w:t>①</w:t>
      </w:r>
      <w:r>
        <w:rPr>
          <w:rFonts w:hint="eastAsia" w:ascii="宋体" w:hAnsi="宋体" w:cs="宋体"/>
          <w:szCs w:val="21"/>
          <w:highlight w:val="none"/>
        </w:rPr>
        <w:fldChar w:fldCharType="end"/>
      </w:r>
      <w:r>
        <w:rPr>
          <w:rFonts w:hint="eastAsia" w:ascii="宋体" w:hAnsi="宋体" w:cs="宋体"/>
          <w:szCs w:val="21"/>
          <w:highlight w:val="none"/>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szCs w:val="21"/>
          <w:highlight w:val="none"/>
        </w:rPr>
        <w:t>注册执业证书、职称证书、</w:t>
      </w:r>
      <w:r>
        <w:rPr>
          <w:rFonts w:hint="eastAsia" w:cs="宋体"/>
          <w:bCs/>
          <w:highlight w:val="none"/>
        </w:rPr>
        <w:t>培训证或上岗证。学历以</w:t>
      </w:r>
      <w:r>
        <w:rPr>
          <w:rFonts w:hint="eastAsia" w:ascii="宋体" w:hAnsi="宋体" w:cs="宋体"/>
          <w:szCs w:val="21"/>
          <w:highlight w:val="none"/>
        </w:rPr>
        <w:t>毕业证书为准，专业以其注册监理工程师注册执业证书或职称证上所列的相关专业为准。</w:t>
      </w:r>
    </w:p>
    <w:p>
      <w:pPr>
        <w:spacing w:line="360" w:lineRule="auto"/>
        <w:ind w:firstLine="440" w:firstLineChars="200"/>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 2 \* GB3 \* MERGEFORMAT </w:instrText>
      </w:r>
      <w:r>
        <w:rPr>
          <w:rFonts w:hint="eastAsia" w:ascii="宋体" w:hAnsi="宋体" w:cs="宋体"/>
          <w:szCs w:val="21"/>
          <w:highlight w:val="none"/>
        </w:rPr>
        <w:fldChar w:fldCharType="separate"/>
      </w:r>
      <w:r>
        <w:rPr>
          <w:rFonts w:hint="eastAsia" w:ascii="宋体" w:hAnsi="宋体" w:cs="宋体"/>
          <w:szCs w:val="21"/>
          <w:highlight w:val="none"/>
        </w:rPr>
        <w:t>②</w:t>
      </w:r>
      <w:r>
        <w:rPr>
          <w:rFonts w:hint="eastAsia" w:ascii="宋体" w:hAnsi="宋体" w:cs="宋体"/>
          <w:szCs w:val="21"/>
          <w:highlight w:val="none"/>
        </w:rPr>
        <w:fldChar w:fldCharType="end"/>
      </w:r>
      <w:r>
        <w:rPr>
          <w:rFonts w:hint="eastAsia" w:ascii="宋体" w:hAnsi="宋体" w:cs="宋体"/>
          <w:szCs w:val="21"/>
          <w:highlight w:val="none"/>
        </w:rPr>
        <w:t>需提供近1个月（2023年</w:t>
      </w:r>
      <w:r>
        <w:rPr>
          <w:rFonts w:hint="eastAsia" w:ascii="宋体" w:hAnsi="宋体" w:cs="宋体"/>
          <w:szCs w:val="21"/>
          <w:highlight w:val="none"/>
          <w:lang w:val="en-US" w:eastAsia="zh-CN"/>
        </w:rPr>
        <w:t>6</w:t>
      </w:r>
      <w:r>
        <w:rPr>
          <w:rFonts w:hint="eastAsia" w:ascii="宋体" w:hAnsi="宋体" w:cs="宋体"/>
          <w:szCs w:val="21"/>
          <w:highlight w:val="none"/>
        </w:rPr>
        <w:t>月）投标人为上述监理人员购买的社会保险证明文件。</w:t>
      </w:r>
    </w:p>
    <w:p>
      <w:pPr>
        <w:pStyle w:val="19"/>
        <w:ind w:firstLineChars="200"/>
        <w:rPr>
          <w:rFonts w:ascii="宋体" w:hAnsi="宋体" w:cs="宋体"/>
          <w:kern w:val="2"/>
          <w:sz w:val="21"/>
          <w:szCs w:val="21"/>
          <w:highlight w:val="none"/>
        </w:rPr>
      </w:pPr>
      <w:r>
        <w:rPr>
          <w:rFonts w:hint="eastAsia" w:ascii="宋体" w:hAnsi="宋体" w:cs="宋体"/>
          <w:kern w:val="2"/>
          <w:sz w:val="21"/>
          <w:szCs w:val="21"/>
          <w:highlight w:val="none"/>
        </w:rPr>
        <w:fldChar w:fldCharType="begin"/>
      </w:r>
      <w:r>
        <w:rPr>
          <w:rFonts w:hint="eastAsia" w:ascii="宋体" w:hAnsi="宋体" w:cs="宋体"/>
          <w:kern w:val="2"/>
          <w:sz w:val="21"/>
          <w:szCs w:val="21"/>
          <w:highlight w:val="none"/>
        </w:rPr>
        <w:instrText xml:space="preserve"> = 3 \* GB3 \* MERGEFORMAT </w:instrText>
      </w:r>
      <w:r>
        <w:rPr>
          <w:rFonts w:hint="eastAsia" w:ascii="宋体" w:hAnsi="宋体" w:cs="宋体"/>
          <w:kern w:val="2"/>
          <w:sz w:val="21"/>
          <w:szCs w:val="21"/>
          <w:highlight w:val="none"/>
        </w:rPr>
        <w:fldChar w:fldCharType="separate"/>
      </w:r>
      <w:r>
        <w:rPr>
          <w:rFonts w:hint="eastAsia" w:ascii="宋体" w:hAnsi="宋体" w:cs="宋体"/>
          <w:kern w:val="2"/>
          <w:sz w:val="21"/>
          <w:szCs w:val="21"/>
          <w:highlight w:val="none"/>
        </w:rPr>
        <w:t>③</w:t>
      </w:r>
      <w:r>
        <w:rPr>
          <w:rFonts w:hint="eastAsia" w:ascii="宋体" w:hAnsi="宋体" w:cs="宋体"/>
          <w:kern w:val="2"/>
          <w:sz w:val="21"/>
          <w:szCs w:val="21"/>
          <w:highlight w:val="none"/>
        </w:rPr>
        <w:fldChar w:fldCharType="end"/>
      </w:r>
      <w:r>
        <w:rPr>
          <w:rFonts w:hint="eastAsia" w:ascii="宋体" w:hAnsi="宋体" w:cs="宋体"/>
          <w:kern w:val="2"/>
          <w:sz w:val="21"/>
          <w:szCs w:val="21"/>
          <w:highlight w:val="none"/>
        </w:rPr>
        <w:t>驻场人员需服从招标人安排，工作内容包括但不限于接收、整理资料，对接筹建办等相关部门。</w:t>
      </w:r>
    </w:p>
    <w:p>
      <w:pPr>
        <w:ind w:firstLine="263"/>
        <w:rPr>
          <w:color w:val="000000" w:themeColor="text1"/>
          <w:highlight w:val="none"/>
          <w14:textFill>
            <w14:solidFill>
              <w14:schemeClr w14:val="tx1"/>
            </w14:solidFill>
          </w14:textFill>
        </w:rPr>
      </w:pPr>
    </w:p>
    <w:p>
      <w:pPr>
        <w:tabs>
          <w:tab w:val="left" w:pos="105"/>
        </w:tabs>
        <w:spacing w:line="360" w:lineRule="auto"/>
        <w:ind w:left="-1" w:firstLine="480" w:firstLineChars="200"/>
        <w:rPr>
          <w:color w:val="000000" w:themeColor="text1"/>
          <w:sz w:val="24"/>
          <w:highlight w:val="none"/>
          <w14:textFill>
            <w14:solidFill>
              <w14:schemeClr w14:val="tx1"/>
            </w14:solidFill>
          </w14:textFill>
        </w:rPr>
      </w:pPr>
    </w:p>
    <w:p>
      <w:pPr>
        <w:pStyle w:val="2"/>
        <w:tabs>
          <w:tab w:val="left" w:pos="642"/>
        </w:tabs>
        <w:spacing w:line="360" w:lineRule="auto"/>
        <w:ind w:left="0" w:firstLine="0"/>
        <w:rPr>
          <w:rFonts w:ascii="宋体" w:hAnsi="宋体" w:eastAsia="宋体" w:cs="宋体"/>
          <w:color w:val="000000" w:themeColor="text1"/>
          <w:highlight w:val="none"/>
          <w14:textFill>
            <w14:solidFill>
              <w14:schemeClr w14:val="tx1"/>
            </w14:solidFill>
          </w14:textFill>
        </w:rPr>
      </w:pPr>
      <w:bookmarkStart w:id="9" w:name="_bookmark20"/>
      <w:bookmarkEnd w:id="9"/>
    </w:p>
    <w:p>
      <w:pPr>
        <w:rPr>
          <w:rFonts w:cs="Times New Roman"/>
          <w:b/>
          <w:color w:val="000000" w:themeColor="text1"/>
          <w:kern w:val="2"/>
          <w:sz w:val="28"/>
          <w:szCs w:val="20"/>
          <w:highlight w:val="none"/>
          <w:lang w:val="en-US" w:bidi="ar-SA"/>
          <w14:textFill>
            <w14:solidFill>
              <w14:schemeClr w14:val="tx1"/>
            </w14:solidFill>
          </w14:textFill>
        </w:rPr>
      </w:pPr>
      <w:bookmarkStart w:id="10" w:name="_bookmark33"/>
      <w:bookmarkEnd w:id="10"/>
      <w:r>
        <w:rPr>
          <w:rFonts w:hint="eastAsia" w:cs="Times New Roman"/>
          <w:b/>
          <w:color w:val="000000" w:themeColor="text1"/>
          <w:kern w:val="2"/>
          <w:sz w:val="28"/>
          <w:szCs w:val="20"/>
          <w:highlight w:val="none"/>
          <w:lang w:val="en-US" w:bidi="ar-SA"/>
          <w14:textFill>
            <w14:solidFill>
              <w14:schemeClr w14:val="tx1"/>
            </w14:solidFill>
          </w14:textFill>
        </w:rPr>
        <w:br w:type="page"/>
      </w:r>
    </w:p>
    <w:p>
      <w:pPr>
        <w:spacing w:line="360" w:lineRule="auto"/>
        <w:rPr>
          <w:rFonts w:cs="Times New Roman"/>
          <w:b/>
          <w:color w:val="000000" w:themeColor="text1"/>
          <w:kern w:val="2"/>
          <w:sz w:val="28"/>
          <w:szCs w:val="20"/>
          <w:highlight w:val="none"/>
          <w:lang w:val="en-US" w:bidi="ar-SA"/>
          <w14:textFill>
            <w14:solidFill>
              <w14:schemeClr w14:val="tx1"/>
            </w14:solidFill>
          </w14:textFill>
        </w:rPr>
      </w:pPr>
      <w:r>
        <w:rPr>
          <w:rFonts w:hint="eastAsia" w:cs="Times New Roman"/>
          <w:b/>
          <w:color w:val="000000" w:themeColor="text1"/>
          <w:kern w:val="2"/>
          <w:sz w:val="28"/>
          <w:szCs w:val="20"/>
          <w:highlight w:val="none"/>
          <w:lang w:val="en-US" w:bidi="ar-SA"/>
          <w14:textFill>
            <w14:solidFill>
              <w14:schemeClr w14:val="tx1"/>
            </w14:solidFill>
          </w14:textFill>
        </w:rPr>
        <w:t>1.总则</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1.1招标项目概况</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1.1.1根据《中华人民共和国招标投标法》、《中华人民共和国招标投标法实施条例》等有关法律、法规和规章的规定，本招标项目已具备招标条件，现对</w:t>
      </w:r>
      <w:r>
        <w:rPr>
          <w:rFonts w:hint="eastAsia"/>
          <w:color w:val="000000" w:themeColor="text1"/>
          <w:highlight w:val="none"/>
          <w:lang w:eastAsia="zh-CN"/>
          <w14:textFill>
            <w14:solidFill>
              <w14:schemeClr w14:val="tx1"/>
            </w14:solidFill>
          </w14:textFill>
        </w:rPr>
        <w:t>监理</w:t>
      </w:r>
      <w:r>
        <w:rPr>
          <w:rFonts w:hint="eastAsia"/>
          <w:color w:val="000000" w:themeColor="text1"/>
          <w:highlight w:val="none"/>
          <w14:textFill>
            <w14:solidFill>
              <w14:schemeClr w14:val="tx1"/>
            </w14:solidFill>
          </w14:textFill>
        </w:rPr>
        <w:t>进行招标。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1.1.2招标人：见投标人须知前附表。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1.1.3招标代理机构：见投标人须知前附表。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1.1.4招标项目名称：见投标人须知前附表。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1.1.5项目建设地点：见投标人须知前附表。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1.1.6项目建设规模：见投标人须知前附表。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1.1.7工程项目施工预计开工日期和建设周期：见投标人须知前附表。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1.1.8建筑安装工程费/工程概算：见投标人须知前附表。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1.2招标项目的资金来源和落实情况</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1.2.1资金来源及比例：见投标人须知前附表。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1.2.2资金落实情况：见投标人须知前附表。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1.3招标范围、服务期限和质量标准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1.3.1招标范围：见投标人须知前附表。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1.3.2服务期限：见投标人须知前附表。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1.3.3质量标准：见投标人须知前附表。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1.4投标人资格要求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1.4.1投标人应具备承担本招标项目资质条件、能力和信誉：</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（1）资质要求：见投标人须知前附表；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（2）财务要求：见投标人须知前附表；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（3）业绩要求：见投标人须知前附表；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（4）信誉要求：见投标人须知前附表；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（5）总监理工程师的资格要求：应当具备工程注册监理工程师执业资格（如有），具体要求见投标人须知前附表；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（6）其他主要人员要求：见投标人须知前附表。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（7）试验检测仪器设备要求：见投标人须知前附表。</w:t>
      </w:r>
    </w:p>
    <w:p>
      <w:pPr>
        <w:spacing w:line="360" w:lineRule="auto"/>
        <w:ind w:firstLine="22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（8）其他要求：见投标人须知前附表。</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需要提交的相关证明材料见本章第 3.5 款的规定。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1.4.2投标人须知前附表规定接受联合体投标的，联合体除应符合本章第 1.4.1 项和投标人须知前附表的要求外，还应遵守以下规定：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（2）由同一专业的单位组成的联合体，按照资质等级较低的单位确定资质等级；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（3）联合体各方不得再以自己名义单独或参加其他联合体在本招标项目中投标，否则各相关投标均无效。</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1.4.3投标人不得存在下列情形之一：</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（1）为招标人不具有独立法人资格的附属机构（单位）；</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（2）与招标人存在利害关系且可能影响招标公正性；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（3）与本招标项目的其他投标人为同一个单位负责人；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（4）与本招标项目的其他投标人存在控股、管理关系；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（5）为本招标项目的代建人；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（6）为本招标项目的招标代理机构；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（7）与本招标项目的代建人或招标代理机构同为一个法定代表人；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（8）与本招标项目的代建人或招标代理机构存在控股或参股关系；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（9）与本招标项目的施工承包人以及建筑材料、建筑构配件和设备供应商有隶属关系或 者其他利害关系；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（10）被依法暂停或者取消投标资格；</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（11）被责令停产停业、暂扣或者吊销许可证、暂扣或者吊销执照；</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（12）进入清算程序，或被宣告破产，或其他丧失履约能力的情形；</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（13）在最近三年内发生重大监理质量问题（以相关行业主管部门的行政处罚决定或司法机关出具的有关法律文书为准）；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（14）被工商行政管理机关在全国企业信用信息公示系统中列入严重违法失信企业名单；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（15）被最高人民法院在“信用中国”网站（www.creditchina.gov.cn）或各级信用信息共享 平台中列入失信被执行人名单；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（16）在近三年内投标人或其法定代表人、拟委任的总监理工程师、</w:t>
      </w:r>
      <w:r>
        <w:rPr>
          <w:rFonts w:hint="eastAsia"/>
          <w:color w:val="000000" w:themeColor="text1"/>
          <w:highlight w:val="none"/>
          <w:lang w:val="en-US"/>
          <w14:textFill>
            <w14:solidFill>
              <w14:schemeClr w14:val="tx1"/>
            </w14:solidFill>
          </w14:textFill>
        </w:rPr>
        <w:t>造价咨询负责人</w:t>
      </w:r>
      <w:r>
        <w:rPr>
          <w:rFonts w:hint="eastAsia"/>
          <w:color w:val="000000" w:themeColor="text1"/>
          <w:highlight w:val="none"/>
          <w14:textFill>
            <w14:solidFill>
              <w14:schemeClr w14:val="tx1"/>
            </w14:solidFill>
          </w14:textFill>
        </w:rPr>
        <w:t>有行贿犯罪行为的；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（17）法律法规或投标人须知前附表规定的其他情形。</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1.5费用承担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投标人准备和参加投标活动发生的费用自理。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1.6保密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参与招标投标活动的各方应对招标文件和投标文件中的商业和技术等秘密保密，否则应承担相应的法律责任。</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1.7语言文字</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招标投标文件使用的语言文字为中文。专用术语使用外文的，应附有中文注释。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1.8计量单位</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所有计量均采用中华人民共和国法定计量单位。</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1.9踏勘现场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1.9.2投标人踏勘现场发生的费用自理。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1.9.3除招标人的原因外，投标人自行负责在踏勘现场中所发生的人员伤亡和财产损失。</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1.10投标预备会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1.10.1投标人须知前附表规定召开投标预备会的，招标人按投标人须知前附表规定的时间和地点召开投标预备会，澄清投标人提出的问题。</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1.10.2投标人应按投标人须知前附表规定的时间和形式将提出的问题送达招标人，以便招标人在会议期间澄清。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1.11分包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本项目严禁分包。</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1.12响应和偏差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1.12.2投标人应根据招标文件的要求提供投标</w:t>
      </w:r>
      <w:r>
        <w:rPr>
          <w:rFonts w:hint="eastAsia"/>
          <w:color w:val="000000" w:themeColor="text1"/>
          <w:highlight w:val="none"/>
          <w:lang w:val="en-US"/>
          <w14:textFill>
            <w14:solidFill>
              <w14:schemeClr w14:val="tx1"/>
            </w14:solidFill>
          </w14:textFill>
        </w:rPr>
        <w:t>技术方案</w:t>
      </w:r>
      <w:r>
        <w:rPr>
          <w:rFonts w:hint="eastAsia"/>
          <w:color w:val="000000" w:themeColor="text1"/>
          <w:highlight w:val="none"/>
          <w14:textFill>
            <w14:solidFill>
              <w14:schemeClr w14:val="tx1"/>
            </w14:solidFill>
          </w14:textFill>
        </w:rPr>
        <w:t>等内容以对招标文件作出响应。</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1.12.3投标人须知前附表允许投标文件偏离招标文件某些要求的，偏差应当符合招标文件规定的偏差范围和幅度。</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bookmarkStart w:id="11" w:name="_bookmark38"/>
      <w:bookmarkEnd w:id="11"/>
      <w:r>
        <w:rPr>
          <w:rFonts w:hint="eastAsia" w:cs="Times New Roman"/>
          <w:b/>
          <w:bCs/>
          <w:color w:val="000000" w:themeColor="text1"/>
          <w:kern w:val="2"/>
          <w:sz w:val="28"/>
          <w:szCs w:val="28"/>
          <w:highlight w:val="none"/>
          <w:lang w:val="en-US" w:bidi="ar-SA"/>
          <w14:textFill>
            <w14:solidFill>
              <w14:schemeClr w14:val="tx1"/>
            </w14:solidFill>
          </w14:textFill>
        </w:rPr>
        <w:t>2.招标文件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2.1招标文件的组成</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本招标文件包括：</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（1）招标公告</w:t>
      </w:r>
      <w:r>
        <w:rPr>
          <w:rFonts w:hint="eastAsia"/>
          <w:strike/>
          <w:color w:val="000000" w:themeColor="text1"/>
          <w:highlight w:val="none"/>
          <w14:textFill>
            <w14:solidFill>
              <w14:schemeClr w14:val="tx1"/>
            </w14:solidFill>
          </w14:textFill>
        </w:rPr>
        <w:t>（或投标邀请书）</w:t>
      </w:r>
      <w:r>
        <w:rPr>
          <w:rFonts w:hint="eastAsia"/>
          <w:color w:val="000000" w:themeColor="text1"/>
          <w:highlight w:val="none"/>
          <w14:textFill>
            <w14:solidFill>
              <w14:schemeClr w14:val="tx1"/>
            </w14:solidFill>
          </w14:textFill>
        </w:rPr>
        <w:t>；</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（2）投标人须知；</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（3）评标办法；</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（4）合同条款及格式；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（5）委托人要求；</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（6）投标文件格式；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（7）投标人须知前附表规定的其他资料。</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根据本章第 1.10 款、第 2.2 款和第 2.3 款对招标文件所作的澄清、修改，构成招标文件的组成部分。</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2.2招标文件的澄清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2.2.3投标人在收到澄清后，应按投标人须知前附表规定的时间和形式通知招标人，确认已收到该澄清。</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2.2.4除非招标人认为确有必要答复，否则，招标人有权拒绝回复投标人在本章第 2.2.1 项规定的时间后的任何澄清要求。</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2.3招标文件的修改</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2.3.2投标人收到修改内容后，应按投标人须知前附表规定的时间和形式通知招标人，确认已收到该修改。</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2.4招标文件的异议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3.投标文件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3.1投标文件的组成</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3.1.1投标文件应包括下列内容：</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（1）投标函及投标函附录；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（2）法定代表人身份证明或授权委托书；</w:t>
      </w:r>
    </w:p>
    <w:p>
      <w:pPr>
        <w:spacing w:line="360" w:lineRule="auto"/>
        <w:ind w:firstLine="440" w:firstLineChars="200"/>
        <w:rPr>
          <w:strike/>
          <w:color w:val="000000" w:themeColor="text1"/>
          <w:highlight w:val="none"/>
          <w14:textFill>
            <w14:solidFill>
              <w14:schemeClr w14:val="tx1"/>
            </w14:solidFill>
          </w14:textFill>
        </w:rPr>
      </w:pPr>
      <w:r>
        <w:rPr>
          <w:rFonts w:hint="eastAsia"/>
          <w:strike/>
          <w:dstrike w:val="0"/>
          <w:color w:val="000000" w:themeColor="text1"/>
          <w:highlight w:val="none"/>
          <w14:textFill>
            <w14:solidFill>
              <w14:schemeClr w14:val="tx1"/>
            </w14:solidFill>
          </w14:textFill>
        </w:rPr>
        <w:t>（3）联合体协议书</w:t>
      </w:r>
      <w:r>
        <w:rPr>
          <w:rFonts w:hint="eastAsia"/>
          <w:color w:val="000000" w:themeColor="text1"/>
          <w:highlight w:val="none"/>
          <w14:textFill>
            <w14:solidFill>
              <w14:schemeClr w14:val="tx1"/>
            </w14:solidFill>
          </w14:textFill>
        </w:rPr>
        <w:t>；</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（5）报酬清单；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（6）资格审查资料；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14:textFill>
            <w14:solidFill>
              <w14:schemeClr w14:val="tx1"/>
            </w14:solidFill>
          </w14:textFill>
        </w:rPr>
        <w:t>技术方案</w:t>
      </w:r>
      <w:r>
        <w:rPr>
          <w:rFonts w:hint="eastAsia"/>
          <w:color w:val="000000" w:themeColor="text1"/>
          <w:highlight w:val="none"/>
          <w14:textFill>
            <w14:solidFill>
              <w14:schemeClr w14:val="tx1"/>
            </w14:solidFill>
          </w14:textFill>
        </w:rPr>
        <w:t>；</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（8）投标人须知前附表规定的其他资料。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投标人在评标过程中作出的符合法律法规和招标文件规定的澄清确认，构成投标文件的组成部分。</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3.1.2</w:t>
      </w:r>
      <w:r>
        <w:rPr>
          <w:rFonts w:hint="eastAsia"/>
          <w:color w:val="000000" w:themeColor="text1"/>
          <w:highlight w:val="none"/>
          <w14:textFill>
            <w14:solidFill>
              <w14:schemeClr w14:val="tx1"/>
            </w14:solidFill>
          </w14:textFill>
        </w:rPr>
        <w:t>投标人须知前附表规定不接受联合体投标的，或投标人没有组成联合体的，投标文件不包括本章第 3.1.1（3）目所指的联合体协议书。</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r>
        <w:rPr>
          <w:rFonts w:hint="eastAsia"/>
          <w:color w:val="000000" w:themeColor="text1"/>
          <w:highlight w:val="none"/>
          <w:lang w:val="en-US"/>
          <w14:textFill>
            <w14:solidFill>
              <w14:schemeClr w14:val="tx1"/>
            </w14:solidFill>
          </w14:textFill>
        </w:rPr>
        <w:t>3</w:t>
      </w:r>
      <w:r>
        <w:rPr>
          <w:rFonts w:hint="eastAsia"/>
          <w:color w:val="000000" w:themeColor="text1"/>
          <w:highlight w:val="none"/>
          <w14:textFill>
            <w14:solidFill>
              <w14:schemeClr w14:val="tx1"/>
            </w14:solidFill>
          </w14:textFill>
        </w:rPr>
        <w:t>投标人须知前附表未要求提交投标保证金的，投标文件不包括本章第 3.1.1（4）目所指的投标保证金。</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3.2投标报价</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3.2.1投标报价应包括国家规定的增值税税金，除投标人须知前附表另有规定外，增值税税金按一般计税方法计算。投标人应按第六章“投标文件格式”的要求在投标函中进行报价并填写报酬清单。</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3.2.2投标人应充分了解该项目的总体情况以及影响投标报价的其他要素。</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3.2.3本项目的报价方式见投标人须知前附表。投标人在投标截止时间前修改投标函中的投标报价总额，应同时修改投标文件“报酬清单”中的相应报价。此修改须符合本章第 4.3 款的有关要求。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3.2.4招标人设有最高投标限价的，投标人的投标报价不得超过最高投标限价，最高投标限价在投标人须知前附表中载明。</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3.2.5投标报价的其他要求见投标人须知前附表。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3.3投标有效期</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3.3.1除投标人须知前附表另有规定外，投标有效期为 90 天。</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3.3.2在投标有效期内，投标人撤销投标文件的，应承担招标文件和法律规定的责任。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3.4投标保证金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3.4.2投标人不按本章第 3.4.1 项要求提交投标保证金的，评标委员会将否决其投标。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3.4.3</w:t>
      </w:r>
      <w:r>
        <w:rPr>
          <w:rFonts w:hint="eastAsia"/>
          <w:color w:val="000000" w:themeColor="text1"/>
          <w:highlight w:val="none"/>
          <w:u w:val="single"/>
          <w14:textFill>
            <w14:solidFill>
              <w14:schemeClr w14:val="tx1"/>
            </w14:solidFill>
          </w14:textFill>
        </w:rPr>
        <w:t>投标保证金在中标人签订合同后的5个工作日内，由招标代理机构通知广州公共资源交易中心退还投标保证金。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3.4.4有下列情形之一的，投标保证金将不予退还：</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（1）投标人在投标有效期内撤销投标文件；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（2）中标人在收到中标通知书后，无正当理由不与招标人</w:t>
      </w:r>
      <w:r>
        <w:rPr>
          <w:rFonts w:hint="eastAsia"/>
          <w:color w:val="000000" w:themeColor="text1"/>
          <w:highlight w:val="none"/>
          <w:u w:val="single"/>
          <w14:textFill>
            <w14:solidFill>
              <w14:schemeClr w14:val="tx1"/>
            </w14:solidFill>
          </w14:textFill>
        </w:rPr>
        <w:t>、建设管理单位</w:t>
      </w:r>
      <w:r>
        <w:rPr>
          <w:rFonts w:hint="eastAsia"/>
          <w:color w:val="000000" w:themeColor="text1"/>
          <w:highlight w:val="none"/>
          <w14:textFill>
            <w14:solidFill>
              <w14:schemeClr w14:val="tx1"/>
            </w14:solidFill>
          </w14:textFill>
        </w:rPr>
        <w:t>订立合同，在签订合同时向招标人</w:t>
      </w:r>
      <w:r>
        <w:rPr>
          <w:rFonts w:hint="eastAsia"/>
          <w:color w:val="000000" w:themeColor="text1"/>
          <w:highlight w:val="none"/>
          <w:u w:val="single"/>
          <w14:textFill>
            <w14:solidFill>
              <w14:schemeClr w14:val="tx1"/>
            </w14:solidFill>
          </w14:textFill>
        </w:rPr>
        <w:t>或建设管理单位</w:t>
      </w:r>
      <w:r>
        <w:rPr>
          <w:rFonts w:hint="eastAsia"/>
          <w:color w:val="000000" w:themeColor="text1"/>
          <w:highlight w:val="none"/>
          <w14:textFill>
            <w14:solidFill>
              <w14:schemeClr w14:val="tx1"/>
            </w14:solidFill>
          </w14:textFill>
        </w:rPr>
        <w:t>提出附加条件，或者不按照招标文件要求提交履约保证金；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（3）发生投标人须知前附表规定的其他可以不予退还投标保证金的情形。</w:t>
      </w:r>
    </w:p>
    <w:p>
      <w:pPr>
        <w:spacing w:line="360" w:lineRule="auto"/>
        <w:rPr>
          <w:rFonts w:cs="Times New Roman"/>
          <w:b/>
          <w:bCs/>
          <w:strike/>
          <w:color w:val="000000" w:themeColor="text1"/>
          <w:kern w:val="2"/>
          <w:sz w:val="28"/>
          <w:szCs w:val="28"/>
          <w:highlight w:val="none"/>
          <w:lang w:val="en-US" w:bidi="ar-SA"/>
          <w14:textFill>
            <w14:solidFill>
              <w14:schemeClr w14:val="tx1"/>
            </w14:solidFill>
          </w14:textFill>
        </w:rPr>
      </w:pPr>
      <w:r>
        <w:rPr>
          <w:rFonts w:hint="eastAsia" w:cs="Times New Roman"/>
          <w:b/>
          <w:bCs/>
          <w:strike/>
          <w:color w:val="000000" w:themeColor="text1"/>
          <w:kern w:val="2"/>
          <w:sz w:val="28"/>
          <w:szCs w:val="28"/>
          <w:highlight w:val="none"/>
          <w:lang w:val="en-US" w:bidi="ar-SA"/>
          <w14:textFill>
            <w14:solidFill>
              <w14:schemeClr w14:val="tx1"/>
            </w14:solidFill>
          </w14:textFill>
        </w:rPr>
        <w:t>3.5资格审查资料（适用于已进行资格预审的）</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3.5资格审查资料（适用于未进行资格预审的）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3.5.1“投标人基本情况表”应附投标人营业执照和组织机构代码证的复印件（按照“三证合一”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3.5.4“正在监理和新承接的项目情况表”应附中标通知书和（或）合同协议书复印件。每张表格只填写一个项目，并标明序号。</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rPr>
          <w:strike/>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3.5.6“拟委任的主要人员汇总表”应填报满足本章第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r>
        <w:rPr>
          <w:rFonts w:hint="eastAsia"/>
          <w:strike/>
          <w:color w:val="000000" w:themeColor="text1"/>
          <w:highlight w:val="none"/>
          <w14:textFill>
            <w14:solidFill>
              <w14:schemeClr w14:val="tx1"/>
            </w14:solidFill>
          </w14:textFill>
        </w:rPr>
        <w:t>其他主要人员应附身份证、学历证、职称证、有关证书和社保缴费证明复印件。</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3.5.7“拟投入本项目的主要试验检测仪器设备表”应填报满足本章第 1.4.1 项规定的试验检测仪器设备。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3.5.8投标人须知前附表规定接受联合体投标的，本章第 3.5.1 项至第 3.5.7 项规定的表格和资料应包括联合体各方相关情况。</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3.6备选投标方案</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3.6.1除投标人须知前附表规定允许外，投标人不得递交备选投标方案，否则其投标将被否决。</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3.6.3投标人提供两个或两个以上投标报价，或者在投标文件中提供一个报价，但同时提供两个或两个以上监理方案的，视为提供备选方案。</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3.7投标文件的编制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3.7.2投标文件应当对招标文件有关服务期限、投标有效期、委托人要求、招标范围等实质性内容作出响应。</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（3）投标文件的正本与副本应分别装订，并编制目录，投标文件需分册装订的，具体分 册装订要求见投标人须知前附表规定。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4.投标</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4.1投标文件的密封和标记</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4.1.1（A）投标文件应密封包装，并在封套的封口处加盖投标人单位章或由投标人的法定代表人或其授权的代理人签字。</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4.1.1（B）投标人应当按照招标文件和电子招标投标交易平台的要求加密投标文件，具体要求见投标人须知前附表。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4.1.2投标文件封套上应写明的内容见投标人须知前附表。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4.1.3未按本章第 4.1.1 项要求密封的投标文件，招标人将予以拒收。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4.2投标文件的递交</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4.2.1投标人应在投标人须知前附表规定的投标截止时间前递交投标文件。</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4.2.2（A）投标人递交投标文件的地点：见投标人须知前附表。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4.2.2（B）投标人通过下载招标文件的电子招标投标交易平台递交电子投标文件。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4.2.3除投标人须知前附表另有规定外，投标人所递交的投标文件不予退还。</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4.2.4（A）招标人收到投标文件后，向投标人出具签收凭证。</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4.2.5（A）逾期送达的投标文件，招标人将予以拒收。</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4.2.5（B）逾期送达的投标文件，电子招标投标交易平台将予以拒收。</w:t>
      </w:r>
    </w:p>
    <w:p>
      <w:pPr>
        <w:pStyle w:val="10"/>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电子投标文件若出现以下情况之一的，招标人将否决其投标：</w:t>
      </w:r>
    </w:p>
    <w:p>
      <w:pPr>
        <w:pStyle w:val="10"/>
        <w:kinsoku w:val="0"/>
        <w:overflowPunct w:val="0"/>
        <w:spacing w:line="360" w:lineRule="auto"/>
        <w:ind w:firstLine="220" w:firstLineChars="1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A.电子投标文件未在投标截止时间前成功上传并保存在交易中心数字交易平台；</w:t>
      </w:r>
    </w:p>
    <w:p>
      <w:pPr>
        <w:pStyle w:val="10"/>
        <w:kinsoku w:val="0"/>
        <w:overflowPunct w:val="0"/>
        <w:spacing w:line="360" w:lineRule="auto"/>
        <w:ind w:firstLine="220" w:firstLineChars="1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B.因投标人原因造成电子投标文件未解密或逾期解密的；</w:t>
      </w:r>
    </w:p>
    <w:p>
      <w:pPr>
        <w:pStyle w:val="10"/>
        <w:kinsoku w:val="0"/>
        <w:overflowPunct w:val="0"/>
        <w:spacing w:line="360" w:lineRule="auto"/>
        <w:ind w:firstLine="220" w:firstLineChars="1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C.未按招标文件要求提供投标保证金的；</w:t>
      </w:r>
    </w:p>
    <w:p>
      <w:pPr>
        <w:pStyle w:val="10"/>
        <w:kinsoku w:val="0"/>
        <w:overflowPunct w:val="0"/>
        <w:spacing w:line="360" w:lineRule="auto"/>
        <w:ind w:firstLine="220" w:firstLineChars="1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D.两个（含两个）以上的投标人加密打包的电子投标文件电脑机器码一致的；</w:t>
      </w:r>
    </w:p>
    <w:p>
      <w:pPr>
        <w:pStyle w:val="10"/>
        <w:kinsoku w:val="0"/>
        <w:overflowPunct w:val="0"/>
        <w:spacing w:line="360" w:lineRule="auto"/>
        <w:ind w:firstLine="220" w:firstLineChars="1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E.投标文件中的投标人、</w:t>
      </w:r>
      <w:r>
        <w:rPr>
          <w:rFonts w:hint="eastAsia"/>
          <w:color w:val="000000" w:themeColor="text1"/>
          <w:sz w:val="22"/>
          <w:szCs w:val="22"/>
          <w:highlight w:val="none"/>
          <w:u w:val="single"/>
          <w:lang w:eastAsia="zh-CN"/>
          <w14:textFill>
            <w14:solidFill>
              <w14:schemeClr w14:val="tx1"/>
            </w14:solidFill>
          </w14:textFill>
        </w:rPr>
        <w:t>总监理工程师</w:t>
      </w:r>
      <w:r>
        <w:rPr>
          <w:rFonts w:hint="eastAsia"/>
          <w:color w:val="000000" w:themeColor="text1"/>
          <w:sz w:val="22"/>
          <w:szCs w:val="22"/>
          <w:highlight w:val="none"/>
          <w:u w:val="single"/>
          <w14:textFill>
            <w14:solidFill>
              <w14:schemeClr w14:val="tx1"/>
            </w14:solidFill>
          </w14:textFill>
        </w:rPr>
        <w:t>与投标登记时的信息不一致的；</w:t>
      </w:r>
    </w:p>
    <w:p>
      <w:pPr>
        <w:pStyle w:val="10"/>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4.2.6投标文件的解密</w:t>
      </w:r>
    </w:p>
    <w:p>
      <w:pPr>
        <w:pStyle w:val="10"/>
        <w:kinsoku w:val="0"/>
        <w:overflowPunct w:val="0"/>
        <w:spacing w:line="360" w:lineRule="auto"/>
        <w:ind w:firstLine="440" w:firstLineChars="200"/>
        <w:rPr>
          <w:color w:val="000000" w:themeColor="text1"/>
          <w:sz w:val="22"/>
          <w:szCs w:val="22"/>
          <w:highlight w:val="none"/>
          <w:u w:val="single"/>
          <w14:textFill>
            <w14:solidFill>
              <w14:schemeClr w14:val="tx1"/>
            </w14:solidFill>
          </w14:textFill>
        </w:rPr>
      </w:pPr>
      <w:r>
        <w:rPr>
          <w:rFonts w:hint="eastAsia"/>
          <w:color w:val="000000" w:themeColor="text1"/>
          <w:sz w:val="22"/>
          <w:szCs w:val="22"/>
          <w:highlight w:val="none"/>
          <w:u w:val="single"/>
          <w14:textFill>
            <w14:solidFill>
              <w14:schemeClr w14:val="tx1"/>
            </w14:solidFill>
          </w14:textFill>
        </w:rPr>
        <w:t>（1）递交投标文件截止时间到达后的半小时内为投标人对电子投标文件解密时间。</w:t>
      </w:r>
    </w:p>
    <w:p>
      <w:pPr>
        <w:pStyle w:val="7"/>
        <w:spacing w:line="360" w:lineRule="auto"/>
        <w:rPr>
          <w:color w:val="000000" w:themeColor="text1"/>
          <w:szCs w:val="22"/>
          <w:highlight w:val="none"/>
          <w14:textFill>
            <w14:solidFill>
              <w14:schemeClr w14:val="tx1"/>
            </w14:solidFill>
          </w14:textFill>
        </w:rPr>
      </w:pPr>
      <w:r>
        <w:rPr>
          <w:rFonts w:hint="eastAsia"/>
          <w:color w:val="000000" w:themeColor="text1"/>
          <w:szCs w:val="22"/>
          <w:highlight w:val="none"/>
          <w:u w:val="single"/>
          <w14:textFill>
            <w14:solidFill>
              <w14:schemeClr w14:val="tx1"/>
            </w14:solidFill>
          </w14:textFill>
        </w:rPr>
        <w:t>（2）投标人须在规定解密时间内使用制作该投标文件袋机构业务数字证书对投标文件进行解密。逾期未解密的电子投标文件将被否决。</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4.3投标文件的修改与撤回</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4.3.1在本章第 4.2.1 项规定的投标截止时间前，投标人可以修改或撤回已递交的投标文件， 但应以书面形式通知招标人。</w:t>
      </w:r>
    </w:p>
    <w:p>
      <w:pPr>
        <w:spacing w:line="360" w:lineRule="auto"/>
        <w:ind w:firstLine="440" w:firstLineChars="200"/>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4.3.2（A）投标人修改或撤回已递交投标文件的书面通知应按照本章第 3.7.3（A）项的要求签字或盖章。招标人收到书面通知后，向投标人出具签收凭证。</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4.3.3投标人撤回投标文件的，招标人自收到投标人书面撤回通知之日起 5 日内退还已收取的投标保证金。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4.3.4修改的内容为投标文件的组成部分。修改的投标文件应按照本章第 3 条、第 4 条的规定进行编制、密封、标记和递交，并标明“修改”字样。</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5.开标</w:t>
      </w:r>
    </w:p>
    <w:p>
      <w:pPr>
        <w:spacing w:line="360" w:lineRule="auto"/>
        <w:rPr>
          <w:strike/>
          <w:color w:val="000000" w:themeColor="text1"/>
          <w:highlight w:val="none"/>
          <w14:textFill>
            <w14:solidFill>
              <w14:schemeClr w14:val="tx1"/>
            </w14:solidFill>
          </w14:textFill>
        </w:rPr>
      </w:pPr>
      <w:r>
        <w:rPr>
          <w:rFonts w:hint="eastAsia" w:cs="Times New Roman"/>
          <w:b/>
          <w:bCs/>
          <w:strike/>
          <w:color w:val="000000" w:themeColor="text1"/>
          <w:kern w:val="2"/>
          <w:sz w:val="28"/>
          <w:szCs w:val="28"/>
          <w:highlight w:val="none"/>
          <w:lang w:val="en-US" w:bidi="ar-SA"/>
          <w14:textFill>
            <w14:solidFill>
              <w14:schemeClr w14:val="tx1"/>
            </w14:solidFill>
          </w14:textFill>
        </w:rPr>
        <w:t>5.1开标时间和地点（A）</w:t>
      </w:r>
    </w:p>
    <w:p>
      <w:pPr>
        <w:spacing w:line="360" w:lineRule="auto"/>
        <w:ind w:firstLine="440" w:firstLineChars="200"/>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5.1开标时间和地点（B）</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招标人在本章第 4.2.1 项规定的投标截止时间（开标时间）,通过电子招标投标交易平台公开开标，</w:t>
      </w:r>
      <w:r>
        <w:rPr>
          <w:color w:val="000000" w:themeColor="text1"/>
          <w:highlight w:val="none"/>
          <w:u w:val="single"/>
          <w14:textFill>
            <w14:solidFill>
              <w14:schemeClr w14:val="tx1"/>
            </w14:solidFill>
          </w14:textFill>
        </w:rPr>
        <w:t>和投标人须知前附表规定的地点公开开标，并邀请所有投标人的法定代表人或其委托代理人准时参加。</w:t>
      </w:r>
      <w:r>
        <w:rPr>
          <w:rFonts w:hint="eastAsia"/>
          <w:color w:val="000000" w:themeColor="text1"/>
          <w:highlight w:val="none"/>
          <w:u w:val="single"/>
          <w14:textFill>
            <w14:solidFill>
              <w14:schemeClr w14:val="tx1"/>
            </w14:solidFill>
          </w14:textFill>
        </w:rPr>
        <w:t>投标人</w:t>
      </w:r>
      <w:r>
        <w:rPr>
          <w:color w:val="000000" w:themeColor="text1"/>
          <w:highlight w:val="none"/>
          <w:u w:val="single"/>
          <w14:textFill>
            <w14:solidFill>
              <w14:schemeClr w14:val="tx1"/>
            </w14:solidFill>
          </w14:textFill>
        </w:rPr>
        <w:t>的法定代表人或其委托代理人</w:t>
      </w:r>
      <w:r>
        <w:rPr>
          <w:rFonts w:hint="eastAsia"/>
          <w:color w:val="000000" w:themeColor="text1"/>
          <w:highlight w:val="none"/>
          <w:u w:val="single"/>
          <w14:textFill>
            <w14:solidFill>
              <w14:schemeClr w14:val="tx1"/>
            </w14:solidFill>
          </w14:textFill>
        </w:rPr>
        <w:t>有权出席开标会，也可以自主决定不参加开标会，若投标人</w:t>
      </w:r>
      <w:r>
        <w:rPr>
          <w:color w:val="000000" w:themeColor="text1"/>
          <w:highlight w:val="none"/>
          <w:u w:val="single"/>
          <w14:textFill>
            <w14:solidFill>
              <w14:schemeClr w14:val="tx1"/>
            </w14:solidFill>
          </w14:textFill>
        </w:rPr>
        <w:t>的法定代表人或其委托代理人</w:t>
      </w:r>
      <w:r>
        <w:rPr>
          <w:rFonts w:hint="eastAsia"/>
          <w:color w:val="000000" w:themeColor="text1"/>
          <w:highlight w:val="none"/>
          <w:u w:val="single"/>
          <w14:textFill>
            <w14:solidFill>
              <w14:schemeClr w14:val="tx1"/>
            </w14:solidFill>
          </w14:textFill>
        </w:rPr>
        <w:t>对开标过程提出异议，须同时出示本人身份证原件。</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5.2开标程序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主持人按下列程序进行开标：</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（1）宣布开标纪律；</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（2）公布在投标截止时间前递交投标文件的投标人名称；</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（3）宣布开标人、唱标人、记录人、监标人等有关人员姓名；</w:t>
      </w:r>
    </w:p>
    <w:p>
      <w:pPr>
        <w:spacing w:line="360" w:lineRule="auto"/>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（4）（B）投标人通过电子招标投标交易平台对已递交的电子投标文件进行解密，公布招标项目名称、投标人名称、投标保证金的递交情况、投标报价、服务期限及其他内容，并记录在案；</w:t>
      </w:r>
    </w:p>
    <w:p>
      <w:pPr>
        <w:spacing w:line="360" w:lineRule="auto"/>
        <w:rPr>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（5）（A）投标人代表、招标人代表、监标人、记录人等有关人员在开标记录上签字确认；</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（5）（B）投标人代表、招标人代表、监标人、记录人等有关人员使用本人的电子印章在开标记录上签字确认；</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（6）开标结束。</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5.3开标异议</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投标人对开标有异议的，应当在开标现场提出，招标人当场作出答复，并制作记录。</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6.评标</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6.1评标委员会</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6.1.1评标由招标人依法组建的评标委员会负责。</w:t>
      </w:r>
      <w:r>
        <w:rPr>
          <w:rFonts w:hint="eastAsia"/>
          <w:color w:val="000000" w:themeColor="text1"/>
          <w:highlight w:val="none"/>
          <w:u w:val="single"/>
          <w14:textFill>
            <w14:solidFill>
              <w14:schemeClr w14:val="tx1"/>
            </w14:solidFill>
          </w14:textFill>
        </w:rPr>
        <w:t>评标委员会由广东省综合评标评审专家库有关技术、经济等方面的专家组成。</w:t>
      </w:r>
      <w:r>
        <w:rPr>
          <w:rFonts w:hint="eastAsia"/>
          <w:color w:val="000000" w:themeColor="text1"/>
          <w:highlight w:val="none"/>
          <w14:textFill>
            <w14:solidFill>
              <w14:schemeClr w14:val="tx1"/>
            </w14:solidFill>
          </w14:textFill>
        </w:rPr>
        <w:t>评标委员会成员人数以及技术、经济等方面专家的确定方式见投标人须知前附表。</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6.1.2评标委员会成员有下列情形之一的，应当回避：</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（1）投标人或投标人主要负责人的近亲属；</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（2）项目主管部门或者行政监督部门的人员；</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（3）与投标人有经济利益关系，可能影响对投标公正评审的；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（4）曾因在招标、评标以及其他与招标投标有关活动中从事违法行为而受过行政处罚或刑事处罚的；</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（5）与投标人有其他利害关系。</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6.2评标原则</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评标活动遵循公平、公正、科学和择优的原则。</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6.3评标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在电子评标过程中，无论遇到任何系统异常或故障，评标委员会均应出具评标报告。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7.合同授予</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7.1中标候选人公示</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招标人在收到评标报告之日起 3 日内，按照投标人须知前附表规定的公示媒介和期限公示</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中标候选人，公示期不得少于 3 天。</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7.2评标结果异议</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7.3中标候选人履约能力审查</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7.4定标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按照投标人须知前附表的规定，招标人或招标人授权的评标委员会依法确定中标人。</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7.5中标通知</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7.5.1</w:t>
      </w:r>
      <w:r>
        <w:rPr>
          <w:rFonts w:hint="eastAsia"/>
          <w:color w:val="000000" w:themeColor="text1"/>
          <w:highlight w:val="none"/>
          <w14:textFill>
            <w14:solidFill>
              <w14:schemeClr w14:val="tx1"/>
            </w14:solidFill>
          </w14:textFill>
        </w:rPr>
        <w:t>在本章第 3.3 款规定的投标有效期内，招标人以书面形式向中标人发出中标通知书</w:t>
      </w:r>
      <w:r>
        <w:rPr>
          <w:rFonts w:hint="eastAsia"/>
          <w:strike/>
          <w:color w:val="000000" w:themeColor="text1"/>
          <w:highlight w:val="none"/>
          <w14:textFill>
            <w14:solidFill>
              <w14:schemeClr w14:val="tx1"/>
            </w14:solidFill>
          </w14:textFill>
        </w:rPr>
        <w:t>，同时将中标结果通知未中标的投标人</w:t>
      </w:r>
      <w:r>
        <w:rPr>
          <w:rFonts w:hint="eastAsia"/>
          <w:color w:val="000000" w:themeColor="text1"/>
          <w:highlight w:val="none"/>
          <w14:textFill>
            <w14:solidFill>
              <w14:schemeClr w14:val="tx1"/>
            </w14:solidFill>
          </w14:textFill>
        </w:rPr>
        <w:t>。</w:t>
      </w:r>
    </w:p>
    <w:p>
      <w:pPr>
        <w:spacing w:line="360" w:lineRule="auto"/>
        <w:rPr>
          <w:color w:val="000000" w:themeColor="text1"/>
          <w:highlight w:val="none"/>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7.6履约保证金</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7.7签订合同</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7.7.1招标人</w:t>
      </w:r>
      <w:r>
        <w:rPr>
          <w:rFonts w:hint="eastAsia"/>
          <w:color w:val="000000" w:themeColor="text1"/>
          <w:highlight w:val="none"/>
          <w:u w:val="single"/>
          <w14:textFill>
            <w14:solidFill>
              <w14:schemeClr w14:val="tx1"/>
            </w14:solidFill>
          </w14:textFill>
        </w:rPr>
        <w:t>、建设管理单位</w:t>
      </w:r>
      <w:r>
        <w:rPr>
          <w:rFonts w:hint="eastAsia"/>
          <w:color w:val="000000" w:themeColor="text1"/>
          <w:highlight w:val="none"/>
          <w14:textFill>
            <w14:solidFill>
              <w14:schemeClr w14:val="tx1"/>
            </w14:solidFill>
          </w14:textFill>
        </w:rPr>
        <w:t>和中标人应当在中标通知书发出之日起 30 日内，根据招标文件和中标人的投标文件订立书面合同。中标人无正当理由拒签合同，在签订合同时向招标人</w:t>
      </w:r>
      <w:r>
        <w:rPr>
          <w:rFonts w:hint="eastAsia"/>
          <w:color w:val="000000" w:themeColor="text1"/>
          <w:highlight w:val="none"/>
          <w:u w:val="single"/>
          <w14:textFill>
            <w14:solidFill>
              <w14:schemeClr w14:val="tx1"/>
            </w14:solidFill>
          </w14:textFill>
        </w:rPr>
        <w:t>或建设管理单位</w:t>
      </w:r>
      <w:r>
        <w:rPr>
          <w:rFonts w:hint="eastAsia"/>
          <w:color w:val="000000" w:themeColor="text1"/>
          <w:highlight w:val="none"/>
          <w14:textFill>
            <w14:solidFill>
              <w14:schemeClr w14:val="tx1"/>
            </w14:solidFill>
          </w14:textFill>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7.7.2发出中标通知书后，招标人无正当理由拒签合同，或者在签订合同时向中标人提出附加条件的，</w:t>
      </w:r>
      <w:r>
        <w:rPr>
          <w:rFonts w:hint="eastAsia"/>
          <w:color w:val="000000" w:themeColor="text1"/>
          <w:highlight w:val="none"/>
          <w:u w:val="single"/>
          <w14:textFill>
            <w14:solidFill>
              <w14:schemeClr w14:val="tx1"/>
            </w14:solidFill>
          </w14:textFill>
        </w:rPr>
        <w:t>招标人通知广州公共资源交易中心向中标人退还投标保证金</w:t>
      </w:r>
      <w:r>
        <w:rPr>
          <w:rFonts w:hint="eastAsia"/>
          <w:color w:val="000000" w:themeColor="text1"/>
          <w:highlight w:val="none"/>
          <w14:textFill>
            <w14:solidFill>
              <w14:schemeClr w14:val="tx1"/>
            </w14:solidFill>
          </w14:textFill>
        </w:rPr>
        <w:t>；给中标人造成损失的，还应当赔偿损失。</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7.7.3</w:t>
      </w:r>
      <w:r>
        <w:rPr>
          <w:rFonts w:hint="eastAsia"/>
          <w:color w:val="000000" w:themeColor="text1"/>
          <w:highlight w:val="none"/>
          <w:u w:val="single"/>
          <w14:textFill>
            <w14:solidFill>
              <w14:schemeClr w14:val="tx1"/>
            </w14:solidFill>
          </w14:textFill>
        </w:rPr>
        <w:t>招标人或建设管理单位支付</w:t>
      </w:r>
      <w:r>
        <w:rPr>
          <w:rFonts w:hint="eastAsia"/>
          <w:color w:val="000000" w:themeColor="text1"/>
          <w:highlight w:val="none"/>
          <w:u w:val="single"/>
          <w:lang w:val="en-US"/>
          <w14:textFill>
            <w14:solidFill>
              <w14:schemeClr w14:val="tx1"/>
            </w14:solidFill>
          </w14:textFill>
        </w:rPr>
        <w:t>费用</w:t>
      </w:r>
      <w:r>
        <w:rPr>
          <w:rFonts w:hint="eastAsia"/>
          <w:color w:val="000000" w:themeColor="text1"/>
          <w:highlight w:val="none"/>
          <w:u w:val="single"/>
          <w14:textFill>
            <w14:solidFill>
              <w14:schemeClr w14:val="tx1"/>
            </w14:solidFill>
          </w14:textFill>
        </w:rPr>
        <w:t>时，中标人应提供相应的等额合法有效的增值税发票。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8.纪律和监督</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8.1对招标人的纪律要求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招标人不得泄露招标投标活动中应当保密的情况和资料，不得与投标人串通损害国家利益、社会公共利益或者他人合法权益。</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8.2对投标人的纪律要求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8.3对评标委员会成员的纪律要求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8.4对与评标活动有关的工作人员的纪律要求</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8.5投诉</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9.是否采用电子招标投标</w:t>
      </w:r>
    </w:p>
    <w:p>
      <w:pPr>
        <w:spacing w:line="360" w:lineRule="auto"/>
        <w:ind w:firstLine="44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本招标项目是否采用电子招标投标方式，见投标人须知前附表。</w:t>
      </w:r>
    </w:p>
    <w:p>
      <w:pPr>
        <w:spacing w:line="360" w:lineRule="auto"/>
        <w:rPr>
          <w:rFonts w:cs="Times New Roman"/>
          <w:b/>
          <w:bCs/>
          <w:color w:val="000000" w:themeColor="text1"/>
          <w:kern w:val="2"/>
          <w:sz w:val="28"/>
          <w:szCs w:val="28"/>
          <w:highlight w:val="none"/>
          <w:lang w:val="en-US" w:bidi="ar-SA"/>
          <w14:textFill>
            <w14:solidFill>
              <w14:schemeClr w14:val="tx1"/>
            </w14:solidFill>
          </w14:textFill>
        </w:rPr>
      </w:pPr>
      <w:r>
        <w:rPr>
          <w:rFonts w:hint="eastAsia" w:cs="Times New Roman"/>
          <w:b/>
          <w:bCs/>
          <w:color w:val="000000" w:themeColor="text1"/>
          <w:kern w:val="2"/>
          <w:sz w:val="28"/>
          <w:szCs w:val="28"/>
          <w:highlight w:val="none"/>
          <w:lang w:val="en-US" w:bidi="ar-SA"/>
          <w14:textFill>
            <w14:solidFill>
              <w14:schemeClr w14:val="tx1"/>
            </w14:solidFill>
          </w14:textFill>
        </w:rPr>
        <w:t>10.需要补充的其他内容</w:t>
      </w:r>
    </w:p>
    <w:p>
      <w:pPr>
        <w:spacing w:line="360" w:lineRule="auto"/>
        <w:ind w:firstLine="440" w:firstLineChars="200"/>
        <w:rPr>
          <w:color w:val="000000" w:themeColor="text1"/>
          <w:highlight w:val="none"/>
          <w14:textFill>
            <w14:solidFill>
              <w14:schemeClr w14:val="tx1"/>
            </w14:solidFill>
          </w14:textFill>
        </w:rPr>
        <w:sectPr>
          <w:footerReference r:id="rId5" w:type="default"/>
          <w:pgSz w:w="11906" w:h="16838"/>
          <w:pgMar w:top="1500" w:right="1100" w:bottom="1120" w:left="1560" w:header="0" w:footer="841" w:gutter="0"/>
          <w:cols w:space="720" w:num="1"/>
        </w:sectPr>
      </w:pPr>
      <w:r>
        <w:rPr>
          <w:rFonts w:hint="eastAsia"/>
          <w:color w:val="000000" w:themeColor="text1"/>
          <w:highlight w:val="none"/>
          <w14:textFill>
            <w14:solidFill>
              <w14:schemeClr w14:val="tx1"/>
            </w14:solidFill>
          </w14:textFill>
        </w:rPr>
        <w:t>需要补充的其他内容：见投标人须知前附表。</w:t>
      </w:r>
    </w:p>
    <w:p>
      <w:pPr>
        <w:spacing w:before="43" w:line="360" w:lineRule="auto"/>
        <w:ind w:left="377"/>
        <w:outlineLvl w:val="0"/>
        <w:rPr>
          <w:color w:val="000000" w:themeColor="text1"/>
          <w:sz w:val="28"/>
          <w:highlight w:val="none"/>
          <w14:textFill>
            <w14:solidFill>
              <w14:schemeClr w14:val="tx1"/>
            </w14:solidFill>
          </w14:textFill>
        </w:rPr>
      </w:pPr>
      <w:bookmarkStart w:id="12" w:name="_bookmark76"/>
      <w:bookmarkEnd w:id="12"/>
      <w:bookmarkStart w:id="13" w:name="_Toc757"/>
      <w:r>
        <w:rPr>
          <w:rFonts w:hint="eastAsia"/>
          <w:color w:val="000000" w:themeColor="text1"/>
          <w:sz w:val="28"/>
          <w:highlight w:val="none"/>
          <w14:textFill>
            <w14:solidFill>
              <w14:schemeClr w14:val="tx1"/>
            </w14:solidFill>
          </w14:textFill>
        </w:rPr>
        <w:t>附件一：开标记录表</w:t>
      </w:r>
      <w:bookmarkEnd w:id="13"/>
    </w:p>
    <w:p>
      <w:pPr>
        <w:pStyle w:val="10"/>
        <w:spacing w:line="360" w:lineRule="auto"/>
        <w:rPr>
          <w:color w:val="000000" w:themeColor="text1"/>
          <w:sz w:val="20"/>
          <w:highlight w:val="none"/>
          <w14:textFill>
            <w14:solidFill>
              <w14:schemeClr w14:val="tx1"/>
            </w14:solidFill>
          </w14:textFill>
        </w:rPr>
      </w:pPr>
    </w:p>
    <w:p>
      <w:pPr>
        <w:pStyle w:val="10"/>
        <w:spacing w:before="8" w:line="360" w:lineRule="auto"/>
        <w:rPr>
          <w:color w:val="000000" w:themeColor="text1"/>
          <w:highlight w:val="none"/>
          <w14:textFill>
            <w14:solidFill>
              <w14:schemeClr w14:val="tx1"/>
            </w14:solidFill>
          </w14:textFill>
        </w:rPr>
      </w:pPr>
    </w:p>
    <w:p>
      <w:pPr>
        <w:spacing w:before="61" w:line="360" w:lineRule="auto"/>
        <w:ind w:right="456"/>
        <w:jc w:val="center"/>
        <w:rPr>
          <w:color w:val="000000" w:themeColor="text1"/>
          <w:sz w:val="28"/>
          <w:highlight w:val="none"/>
          <w14:textFill>
            <w14:solidFill>
              <w14:schemeClr w14:val="tx1"/>
            </w14:solidFill>
          </w14:textFill>
        </w:rPr>
      </w:pPr>
      <w:r>
        <w:rPr>
          <w:rFonts w:hint="eastAsia"/>
          <w:b/>
          <w:bCs/>
          <w:color w:val="000000" w:themeColor="text1"/>
          <w:sz w:val="28"/>
          <w:highlight w:val="none"/>
          <w14:textFill>
            <w14:solidFill>
              <w14:schemeClr w14:val="tx1"/>
            </w14:solidFill>
          </w14:textFill>
        </w:rPr>
        <w:t>开标记录表（参考格式）</w:t>
      </w:r>
    </w:p>
    <w:p>
      <w:pPr>
        <w:pStyle w:val="10"/>
        <w:tabs>
          <w:tab w:val="left" w:pos="3634"/>
          <w:tab w:val="left" w:pos="4788"/>
          <w:tab w:val="left" w:pos="5943"/>
          <w:tab w:val="left" w:pos="7098"/>
          <w:tab w:val="left" w:pos="8253"/>
        </w:tabs>
        <w:spacing w:before="237" w:line="360" w:lineRule="auto"/>
        <w:ind w:left="163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w:t>
      </w:r>
      <w:r>
        <w:rPr>
          <w:rFonts w:hint="eastAsia"/>
          <w:color w:val="000000" w:themeColor="text1"/>
          <w:spacing w:val="-3"/>
          <w:highlight w:val="none"/>
          <w14:textFill>
            <w14:solidFill>
              <w14:schemeClr w14:val="tx1"/>
            </w14:solidFill>
          </w14:textFill>
        </w:rPr>
        <w:t>时</w:t>
      </w:r>
      <w:r>
        <w:rPr>
          <w:rFonts w:hint="eastAsia"/>
          <w:color w:val="000000" w:themeColor="text1"/>
          <w:highlight w:val="none"/>
          <w14:textFill>
            <w14:solidFill>
              <w14:schemeClr w14:val="tx1"/>
            </w14:solidFill>
          </w14:textFill>
        </w:rPr>
        <w:t>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日</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分</w:t>
      </w:r>
    </w:p>
    <w:p>
      <w:pPr>
        <w:pStyle w:val="10"/>
        <w:spacing w:before="1" w:line="360" w:lineRule="auto"/>
        <w:rPr>
          <w:color w:val="000000" w:themeColor="text1"/>
          <w:sz w:val="11"/>
          <w:highlight w:val="none"/>
          <w14:textFill>
            <w14:solidFill>
              <w14:schemeClr w14:val="tx1"/>
            </w14:solidFill>
          </w14:textFill>
        </w:rPr>
      </w:pPr>
    </w:p>
    <w:tbl>
      <w:tblPr>
        <w:tblStyle w:val="20"/>
        <w:tblW w:w="103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932"/>
        <w:gridCol w:w="906"/>
        <w:gridCol w:w="908"/>
        <w:gridCol w:w="1035"/>
        <w:gridCol w:w="1245"/>
        <w:gridCol w:w="1346"/>
        <w:gridCol w:w="649"/>
        <w:gridCol w:w="906"/>
        <w:gridCol w:w="906"/>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4" w:hRule="atLeast"/>
          <w:jc w:val="center"/>
        </w:trPr>
        <w:tc>
          <w:tcPr>
            <w:tcW w:w="592" w:type="dxa"/>
            <w:vAlign w:val="center"/>
          </w:tcPr>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932" w:type="dxa"/>
            <w:vAlign w:val="center"/>
          </w:tcPr>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投标人</w:t>
            </w:r>
          </w:p>
        </w:tc>
        <w:tc>
          <w:tcPr>
            <w:tcW w:w="906" w:type="dxa"/>
            <w:vAlign w:val="center"/>
          </w:tcPr>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投标保证</w:t>
            </w:r>
          </w:p>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金</w:t>
            </w:r>
          </w:p>
        </w:tc>
        <w:tc>
          <w:tcPr>
            <w:tcW w:w="908" w:type="dxa"/>
            <w:vAlign w:val="center"/>
          </w:tcPr>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w:t>
            </w:r>
            <w:r>
              <w:rPr>
                <w:rFonts w:hint="eastAsia"/>
                <w:color w:val="000000" w:themeColor="text1"/>
                <w:sz w:val="18"/>
                <w:highlight w:val="none"/>
                <w:lang w:val="en-US"/>
                <w14:textFill>
                  <w14:solidFill>
                    <w14:schemeClr w14:val="tx1"/>
                  </w14:solidFill>
                </w14:textFill>
              </w:rPr>
              <w:t>总</w:t>
            </w:r>
            <w:r>
              <w:rPr>
                <w:rFonts w:hint="eastAsia"/>
                <w:color w:val="000000" w:themeColor="text1"/>
                <w:sz w:val="18"/>
                <w:highlight w:val="none"/>
                <w14:textFill>
                  <w14:solidFill>
                    <w14:schemeClr w14:val="tx1"/>
                  </w14:solidFill>
                </w14:textFill>
              </w:rPr>
              <w:t>报价</w:t>
            </w:r>
          </w:p>
          <w:p>
            <w:pPr>
              <w:pStyle w:val="29"/>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（元）</w:t>
            </w:r>
          </w:p>
        </w:tc>
        <w:tc>
          <w:tcPr>
            <w:tcW w:w="1035"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ascii="Times New Roman" w:hAnsi="Times New Roman"/>
                <w:color w:val="000000" w:themeColor="text1"/>
                <w:sz w:val="18"/>
                <w:highlight w:val="none"/>
                <w:lang w:val="en-US"/>
                <w14:textFill>
                  <w14:solidFill>
                    <w14:schemeClr w14:val="tx1"/>
                  </w14:solidFill>
                </w14:textFill>
              </w:rPr>
              <w:t>报价</w:t>
            </w:r>
            <w:r>
              <w:rPr>
                <w:rFonts w:hint="eastAsia" w:ascii="Times New Roman" w:hAnsi="Times New Roman"/>
                <w:color w:val="000000" w:themeColor="text1"/>
                <w:sz w:val="18"/>
                <w:highlight w:val="none"/>
                <w14:textFill>
                  <w14:solidFill>
                    <w14:schemeClr w14:val="tx1"/>
                  </w14:solidFill>
                </w14:textFill>
              </w:rPr>
              <w:t>下浮率（%）</w:t>
            </w:r>
          </w:p>
        </w:tc>
        <w:tc>
          <w:tcPr>
            <w:tcW w:w="1245" w:type="dxa"/>
            <w:vAlign w:val="center"/>
          </w:tcPr>
          <w:p>
            <w:pPr>
              <w:adjustRightInd w:val="0"/>
              <w:snapToGrid w:val="0"/>
              <w:spacing w:line="400" w:lineRule="exact"/>
              <w:ind w:left="4" w:right="4"/>
              <w:jc w:val="center"/>
              <w:rPr>
                <w:rFonts w:ascii="Times New Roman" w:hAnsi="Times New Roman"/>
                <w:color w:val="000000" w:themeColor="text1"/>
                <w:sz w:val="18"/>
                <w:highlight w:val="none"/>
                <w:lang w:val="en-US"/>
                <w14:textFill>
                  <w14:solidFill>
                    <w14:schemeClr w14:val="tx1"/>
                  </w14:solidFill>
                </w14:textFill>
              </w:rPr>
            </w:pPr>
            <w:r>
              <w:rPr>
                <w:rFonts w:hint="eastAsia" w:ascii="Times New Roman" w:hAnsi="Times New Roman"/>
                <w:color w:val="000000" w:themeColor="text1"/>
                <w:sz w:val="18"/>
                <w:highlight w:val="none"/>
                <w:lang w:val="en-US"/>
                <w14:textFill>
                  <w14:solidFill>
                    <w14:schemeClr w14:val="tx1"/>
                  </w14:solidFill>
                </w14:textFill>
              </w:rPr>
              <w:t>总</w:t>
            </w:r>
            <w:r>
              <w:rPr>
                <w:rFonts w:hint="eastAsia" w:ascii="Times New Roman" w:hAnsi="Times New Roman"/>
                <w:color w:val="000000" w:themeColor="text1"/>
                <w:sz w:val="18"/>
                <w:highlight w:val="none"/>
                <w14:textFill>
                  <w14:solidFill>
                    <w14:schemeClr w14:val="tx1"/>
                  </w14:solidFill>
                </w14:textFill>
              </w:rPr>
              <w:t>监理工程师</w:t>
            </w:r>
          </w:p>
        </w:tc>
        <w:tc>
          <w:tcPr>
            <w:tcW w:w="1346"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服务期限</w:t>
            </w:r>
          </w:p>
        </w:tc>
        <w:tc>
          <w:tcPr>
            <w:tcW w:w="649"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ascii="Times New Roman" w:hAnsi="Times New Roman"/>
                <w:color w:val="000000" w:themeColor="text1"/>
                <w:sz w:val="18"/>
                <w:highlight w:val="none"/>
                <w14:textFill>
                  <w14:solidFill>
                    <w14:schemeClr w14:val="tx1"/>
                  </w14:solidFill>
                </w14:textFill>
              </w:rPr>
              <w:t>投标文件递交情况</w:t>
            </w:r>
          </w:p>
        </w:tc>
        <w:tc>
          <w:tcPr>
            <w:tcW w:w="906"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hint="eastAsia" w:ascii="Times New Roman" w:hAnsi="Times New Roman"/>
                <w:color w:val="000000" w:themeColor="text1"/>
                <w:sz w:val="18"/>
                <w:highlight w:val="none"/>
                <w14:textFill>
                  <w14:solidFill>
                    <w14:schemeClr w14:val="tx1"/>
                  </w14:solidFill>
                </w14:textFill>
              </w:rPr>
              <w:t>投标文件解密情况</w:t>
            </w:r>
          </w:p>
        </w:tc>
        <w:tc>
          <w:tcPr>
            <w:tcW w:w="906"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备注</w:t>
            </w:r>
          </w:p>
        </w:tc>
        <w:tc>
          <w:tcPr>
            <w:tcW w:w="906" w:type="dxa"/>
            <w:vAlign w:val="center"/>
          </w:tcPr>
          <w:p>
            <w:pPr>
              <w:adjustRightInd w:val="0"/>
              <w:snapToGrid w:val="0"/>
              <w:spacing w:line="400" w:lineRule="exact"/>
              <w:ind w:left="4" w:right="4"/>
              <w:jc w:val="center"/>
              <w:rPr>
                <w:color w:val="000000" w:themeColor="text1"/>
                <w:sz w:val="18"/>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9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32"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8"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03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245"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134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649"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430" w:type="dxa"/>
            <w:gridSpan w:val="3"/>
            <w:vAlign w:val="center"/>
          </w:tcPr>
          <w:p>
            <w:pPr>
              <w:pStyle w:val="29"/>
              <w:spacing w:line="360" w:lineRule="auto"/>
              <w:ind w:left="107"/>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最高投标限价：</w:t>
            </w:r>
          </w:p>
        </w:tc>
        <w:tc>
          <w:tcPr>
            <w:tcW w:w="5183" w:type="dxa"/>
            <w:gridSpan w:val="5"/>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c>
          <w:tcPr>
            <w:tcW w:w="906" w:type="dxa"/>
            <w:vAlign w:val="center"/>
          </w:tcPr>
          <w:p>
            <w:pPr>
              <w:pStyle w:val="29"/>
              <w:spacing w:line="360" w:lineRule="auto"/>
              <w:jc w:val="center"/>
              <w:rPr>
                <w:color w:val="000000" w:themeColor="text1"/>
                <w:sz w:val="20"/>
                <w:highlight w:val="none"/>
                <w14:textFill>
                  <w14:solidFill>
                    <w14:schemeClr w14:val="tx1"/>
                  </w14:solidFill>
                </w14:textFill>
              </w:rPr>
            </w:pPr>
          </w:p>
        </w:tc>
      </w:tr>
    </w:tbl>
    <w:p>
      <w:pPr>
        <w:pStyle w:val="10"/>
        <w:spacing w:line="360" w:lineRule="auto"/>
        <w:rPr>
          <w:color w:val="000000" w:themeColor="text1"/>
          <w:sz w:val="22"/>
          <w:highlight w:val="none"/>
          <w14:textFill>
            <w14:solidFill>
              <w14:schemeClr w14:val="tx1"/>
            </w14:solidFill>
          </w14:textFill>
        </w:rPr>
      </w:pPr>
    </w:p>
    <w:p>
      <w:pPr>
        <w:pStyle w:val="10"/>
        <w:spacing w:line="360" w:lineRule="auto"/>
        <w:rPr>
          <w:color w:val="000000" w:themeColor="text1"/>
          <w:sz w:val="22"/>
          <w:highlight w:val="none"/>
          <w14:textFill>
            <w14:solidFill>
              <w14:schemeClr w14:val="tx1"/>
            </w14:solidFill>
          </w14:textFill>
        </w:rPr>
      </w:pPr>
    </w:p>
    <w:p>
      <w:pPr>
        <w:pStyle w:val="10"/>
        <w:tabs>
          <w:tab w:val="left" w:pos="2284"/>
          <w:tab w:val="left" w:pos="3077"/>
          <w:tab w:val="left" w:pos="4699"/>
          <w:tab w:val="left" w:pos="5386"/>
          <w:tab w:val="left" w:pos="7009"/>
        </w:tabs>
        <w:spacing w:before="163" w:line="360" w:lineRule="auto"/>
        <w:ind w:left="2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w:t>
      </w:r>
      <w:r>
        <w:rPr>
          <w:rFonts w:hint="eastAsia"/>
          <w:color w:val="000000" w:themeColor="text1"/>
          <w:spacing w:val="-3"/>
          <w:highlight w:val="none"/>
          <w14:textFill>
            <w14:solidFill>
              <w14:schemeClr w14:val="tx1"/>
            </w14:solidFill>
          </w14:textFill>
        </w:rPr>
        <w:t>人</w:t>
      </w:r>
      <w:r>
        <w:rPr>
          <w:rFonts w:hint="eastAsia"/>
          <w:color w:val="000000" w:themeColor="text1"/>
          <w:highlight w:val="none"/>
          <w14:textFill>
            <w14:solidFill>
              <w14:schemeClr w14:val="tx1"/>
            </w14:solidFill>
          </w14:textFill>
        </w:rPr>
        <w:t>代</w:t>
      </w:r>
      <w:r>
        <w:rPr>
          <w:rFonts w:hint="eastAsia"/>
          <w:color w:val="000000" w:themeColor="text1"/>
          <w:spacing w:val="-3"/>
          <w:highlight w:val="none"/>
          <w14:textFill>
            <w14:solidFill>
              <w14:schemeClr w14:val="tx1"/>
            </w14:solidFill>
          </w14:textFill>
        </w:rPr>
        <w:t>表</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ab/>
      </w:r>
      <w:r>
        <w:rPr>
          <w:rFonts w:hint="eastAsia"/>
          <w:color w:val="000000" w:themeColor="text1"/>
          <w:spacing w:val="-3"/>
          <w:highlight w:val="none"/>
          <w14:textFill>
            <w14:solidFill>
              <w14:schemeClr w14:val="tx1"/>
            </w14:solidFill>
          </w14:textFill>
        </w:rPr>
        <w:t>记</w:t>
      </w:r>
      <w:r>
        <w:rPr>
          <w:rFonts w:hint="eastAsia"/>
          <w:color w:val="000000" w:themeColor="text1"/>
          <w:highlight w:val="none"/>
          <w14:textFill>
            <w14:solidFill>
              <w14:schemeClr w14:val="tx1"/>
            </w14:solidFill>
          </w14:textFill>
        </w:rPr>
        <w:t>录</w:t>
      </w:r>
      <w:r>
        <w:rPr>
          <w:rFonts w:hint="eastAsia"/>
          <w:color w:val="000000" w:themeColor="text1"/>
          <w:spacing w:val="-3"/>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ab/>
      </w:r>
      <w:r>
        <w:rPr>
          <w:rFonts w:hint="eastAsia"/>
          <w:color w:val="000000" w:themeColor="text1"/>
          <w:spacing w:val="-3"/>
          <w:highlight w:val="none"/>
          <w14:textFill>
            <w14:solidFill>
              <w14:schemeClr w14:val="tx1"/>
            </w14:solidFill>
          </w14:textFill>
        </w:rPr>
        <w:t>监</w:t>
      </w:r>
      <w:r>
        <w:rPr>
          <w:rFonts w:hint="eastAsia"/>
          <w:color w:val="000000" w:themeColor="text1"/>
          <w:spacing w:val="-1"/>
          <w:highlight w:val="none"/>
          <w14:textFill>
            <w14:solidFill>
              <w14:schemeClr w14:val="tx1"/>
            </w14:solidFill>
          </w14:textFill>
        </w:rPr>
        <w:t>标</w:t>
      </w:r>
      <w:r>
        <w:rPr>
          <w:rFonts w:hint="eastAsia"/>
          <w:color w:val="000000" w:themeColor="text1"/>
          <w:spacing w:val="-3"/>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p>
    <w:p>
      <w:pPr>
        <w:pStyle w:val="10"/>
        <w:spacing w:before="4" w:line="360" w:lineRule="auto"/>
        <w:rPr>
          <w:color w:val="000000" w:themeColor="text1"/>
          <w:sz w:val="24"/>
          <w:highlight w:val="none"/>
          <w14:textFill>
            <w14:solidFill>
              <w14:schemeClr w14:val="tx1"/>
            </w14:solidFill>
          </w14:textFill>
        </w:rPr>
      </w:pPr>
    </w:p>
    <w:p>
      <w:pPr>
        <w:pStyle w:val="10"/>
        <w:tabs>
          <w:tab w:val="left" w:pos="6783"/>
          <w:tab w:val="left" w:pos="7729"/>
          <w:tab w:val="left" w:pos="8673"/>
        </w:tabs>
        <w:spacing w:before="72" w:line="360" w:lineRule="auto"/>
        <w:ind w:left="6047"/>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ab/>
      </w:r>
      <w:r>
        <w:rPr>
          <w:rFonts w:hint="eastAsia"/>
          <w:color w:val="000000" w:themeColor="text1"/>
          <w:spacing w:val="-3"/>
          <w:highlight w:val="none"/>
          <w14:textFill>
            <w14:solidFill>
              <w14:schemeClr w14:val="tx1"/>
            </w14:solidFill>
          </w14:textFill>
        </w:rPr>
        <w:t>月</w:t>
      </w:r>
      <w:r>
        <w:rPr>
          <w:rFonts w:hint="eastAsia"/>
          <w:color w:val="000000" w:themeColor="text1"/>
          <w:spacing w:val="-3"/>
          <w:highlight w:val="none"/>
          <w:u w:val="single"/>
          <w14:textFill>
            <w14:solidFill>
              <w14:schemeClr w14:val="tx1"/>
            </w14:solidFill>
          </w14:textFill>
        </w:rPr>
        <w:t xml:space="preserve"> </w:t>
      </w:r>
      <w:r>
        <w:rPr>
          <w:rFonts w:hint="eastAsia"/>
          <w:color w:val="000000" w:themeColor="text1"/>
          <w:spacing w:val="-3"/>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日</w:t>
      </w:r>
    </w:p>
    <w:p>
      <w:pPr>
        <w:spacing w:line="360" w:lineRule="auto"/>
        <w:rPr>
          <w:color w:val="000000" w:themeColor="text1"/>
          <w:highlight w:val="none"/>
          <w14:textFill>
            <w14:solidFill>
              <w14:schemeClr w14:val="tx1"/>
            </w14:solidFill>
          </w14:textFill>
        </w:rPr>
        <w:sectPr>
          <w:pgSz w:w="11906" w:h="16838"/>
          <w:pgMar w:top="1400" w:right="1100" w:bottom="1120" w:left="1560" w:header="0" w:footer="841" w:gutter="0"/>
          <w:cols w:space="720" w:num="1"/>
        </w:sectPr>
      </w:pPr>
    </w:p>
    <w:p>
      <w:pPr>
        <w:pStyle w:val="10"/>
        <w:spacing w:before="12" w:line="360" w:lineRule="auto"/>
        <w:rPr>
          <w:color w:val="000000" w:themeColor="text1"/>
          <w:sz w:val="18"/>
          <w:highlight w:val="none"/>
          <w14:textFill>
            <w14:solidFill>
              <w14:schemeClr w14:val="tx1"/>
            </w14:solidFill>
          </w14:textFill>
        </w:rPr>
      </w:pPr>
      <w:bookmarkStart w:id="14" w:name="_bookmark77"/>
      <w:bookmarkEnd w:id="14"/>
    </w:p>
    <w:p>
      <w:pPr>
        <w:pStyle w:val="2"/>
        <w:jc w:val="center"/>
        <w:rPr>
          <w:rFonts w:asciiTheme="minorEastAsia" w:hAnsiTheme="minorEastAsia" w:eastAsiaTheme="minorEastAsia"/>
          <w:color w:val="000000" w:themeColor="text1"/>
          <w:highlight w:val="none"/>
          <w14:textFill>
            <w14:solidFill>
              <w14:schemeClr w14:val="tx1"/>
            </w14:solidFill>
          </w14:textFill>
        </w:rPr>
      </w:pPr>
      <w:bookmarkStart w:id="15" w:name="_Toc51862230"/>
      <w:bookmarkStart w:id="16" w:name="_Toc5989"/>
      <w:bookmarkStart w:id="17" w:name="_Toc51862136"/>
      <w:bookmarkStart w:id="18" w:name="_Toc23771923"/>
      <w:r>
        <w:rPr>
          <w:rFonts w:hint="eastAsia" w:asciiTheme="minorEastAsia" w:hAnsiTheme="minorEastAsia" w:eastAsiaTheme="minorEastAsia"/>
          <w:color w:val="000000" w:themeColor="text1"/>
          <w:highlight w:val="none"/>
          <w14:textFill>
            <w14:solidFill>
              <w14:schemeClr w14:val="tx1"/>
            </w14:solidFill>
          </w14:textFill>
        </w:rPr>
        <w:t>第三章 评标办法（综合评估法）</w:t>
      </w:r>
      <w:bookmarkEnd w:id="15"/>
      <w:bookmarkEnd w:id="16"/>
      <w:bookmarkEnd w:id="17"/>
      <w:bookmarkEnd w:id="18"/>
    </w:p>
    <w:p>
      <w:pPr>
        <w:pStyle w:val="3"/>
        <w:adjustRightInd w:val="0"/>
        <w:snapToGrid w:val="0"/>
        <w:spacing w:after="100" w:afterAutospacing="1" w:line="240" w:lineRule="auto"/>
        <w:rPr>
          <w:rFonts w:asciiTheme="minorEastAsia" w:hAnsiTheme="minorEastAsia" w:eastAsiaTheme="minorEastAsia"/>
          <w:color w:val="000000" w:themeColor="text1"/>
          <w:sz w:val="32"/>
          <w:szCs w:val="20"/>
          <w:highlight w:val="none"/>
          <w14:textFill>
            <w14:solidFill>
              <w14:schemeClr w14:val="tx1"/>
            </w14:solidFill>
          </w14:textFill>
        </w:rPr>
      </w:pPr>
      <w:bookmarkStart w:id="19" w:name="_Toc51862231"/>
      <w:bookmarkStart w:id="20" w:name="_Toc51862137"/>
      <w:bookmarkStart w:id="21" w:name="_Toc20041"/>
      <w:bookmarkStart w:id="22" w:name="_Toc23771924"/>
      <w:r>
        <w:rPr>
          <w:rFonts w:hint="eastAsia" w:asciiTheme="minorEastAsia" w:hAnsiTheme="minorEastAsia" w:eastAsiaTheme="minorEastAsia"/>
          <w:color w:val="000000" w:themeColor="text1"/>
          <w:sz w:val="32"/>
          <w:szCs w:val="20"/>
          <w:highlight w:val="none"/>
          <w14:textFill>
            <w14:solidFill>
              <w14:schemeClr w14:val="tx1"/>
            </w14:solidFill>
          </w14:textFill>
        </w:rPr>
        <w:t>评标办法前附表</w:t>
      </w:r>
      <w:bookmarkEnd w:id="19"/>
      <w:bookmarkEnd w:id="20"/>
      <w:bookmarkEnd w:id="21"/>
      <w:bookmarkEnd w:id="22"/>
    </w:p>
    <w:tbl>
      <w:tblPr>
        <w:tblStyle w:val="20"/>
        <w:tblW w:w="10241" w:type="dxa"/>
        <w:tblInd w:w="-4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938"/>
        <w:gridCol w:w="14"/>
        <w:gridCol w:w="1786"/>
        <w:gridCol w:w="6677"/>
        <w:gridCol w:w="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1750"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6677"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506" w:hRule="atLeast"/>
        </w:trPr>
        <w:tc>
          <w:tcPr>
            <w:tcW w:w="812"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评标方法</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中标候选人排序方法</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果监理服务大纲得分也相等，以投标人诚信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2.1.1</w:t>
            </w:r>
          </w:p>
        </w:tc>
        <w:tc>
          <w:tcPr>
            <w:tcW w:w="938"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形式评审标准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投标函及投标函附录签字盖章</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有法定代表人或被授权人签字（或盖章）并加盖单位章。由法定代表人签字的，应附法定代表人身份证明；由被授权人签字的，应附法定代表人身份证明及授权委托书；符合第六章“投标文件格式”的规定。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投标文件格式</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kern w:val="0"/>
                <w:szCs w:val="21"/>
                <w:highlight w:val="none"/>
                <w:u w:val="single"/>
              </w:rPr>
            </w:pPr>
            <w:r>
              <w:rPr>
                <w:rFonts w:hint="eastAsia" w:ascii="宋体" w:hAnsi="宋体" w:cs="宋体"/>
                <w:kern w:val="0"/>
                <w:szCs w:val="21"/>
                <w:highlight w:val="none"/>
                <w:u w:val="single"/>
              </w:rPr>
              <w:t>符合第六章“投标文件格式”格式的规定；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pacing w:val="-7"/>
                <w:szCs w:val="21"/>
                <w:highlight w:val="none"/>
              </w:rPr>
              <w:t>备选投标方案</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kern w:val="0"/>
                <w:szCs w:val="21"/>
                <w:highlight w:val="none"/>
                <w:u w:val="single"/>
              </w:rPr>
              <w:t>不接受备选投标方案</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1319" w:hRule="atLeas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投标人机器码</w:t>
            </w:r>
          </w:p>
        </w:tc>
        <w:tc>
          <w:tcPr>
            <w:tcW w:w="6677" w:type="dxa"/>
            <w:tcBorders>
              <w:top w:val="single" w:color="auto" w:sz="4" w:space="0"/>
              <w:lef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2.1.2</w:t>
            </w:r>
          </w:p>
        </w:tc>
        <w:tc>
          <w:tcPr>
            <w:tcW w:w="93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kern w:val="0"/>
                <w:szCs w:val="21"/>
                <w:highlight w:val="none"/>
              </w:rPr>
              <w:t>资格评审标准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营业执照和组织机构代码证</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ind w:right="75" w:rightChars="34"/>
              <w:jc w:val="left"/>
              <w:rPr>
                <w:rFonts w:ascii="宋体" w:hAnsi="宋体" w:cs="宋体"/>
                <w:kern w:val="0"/>
                <w:szCs w:val="21"/>
                <w:highlight w:val="none"/>
              </w:rPr>
            </w:pPr>
            <w:r>
              <w:rPr>
                <w:rFonts w:hint="eastAsia" w:ascii="宋体" w:hAnsi="宋体" w:cs="宋体"/>
                <w:kern w:val="0"/>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583" w:hRule="atLeas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资质要求</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630" w:hRule="atLeas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总监理工程师</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其他要求</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szCs w:val="21"/>
                <w:highlight w:val="none"/>
              </w:rPr>
            </w:pPr>
            <w:r>
              <w:rPr>
                <w:rFonts w:hint="eastAsia" w:ascii="宋体" w:hAnsi="宋体" w:cs="宋体"/>
                <w:szCs w:val="21"/>
                <w:highlight w:val="none"/>
              </w:rPr>
              <w:t>联合体投标人</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szCs w:val="21"/>
                <w:highlight w:val="none"/>
              </w:rPr>
            </w:pPr>
            <w:r>
              <w:rPr>
                <w:rFonts w:hint="eastAsia" w:ascii="宋体" w:hAnsi="宋体" w:cs="宋体"/>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不存在禁止投标的情形</w:t>
            </w:r>
          </w:p>
        </w:tc>
        <w:tc>
          <w:tcPr>
            <w:tcW w:w="6677"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kern w:val="0"/>
                <w:szCs w:val="21"/>
                <w:highlight w:val="none"/>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17" w:hRule="atLeast"/>
        </w:trPr>
        <w:tc>
          <w:tcPr>
            <w:tcW w:w="812"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2.1.3</w:t>
            </w:r>
          </w:p>
        </w:tc>
        <w:tc>
          <w:tcPr>
            <w:tcW w:w="93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响应性评审标准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投标报价</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投标内容</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服务期限</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质量标准</w:t>
            </w:r>
          </w:p>
        </w:tc>
        <w:tc>
          <w:tcPr>
            <w:tcW w:w="6677"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6677" w:type="dxa"/>
            <w:tcBorders>
              <w:top w:val="single" w:color="auto" w:sz="4" w:space="0"/>
              <w:left w:val="single" w:color="auto" w:sz="4" w:space="0"/>
              <w:bottom w:val="single" w:color="auto" w:sz="4" w:space="0"/>
            </w:tcBorders>
          </w:tcPr>
          <w:p>
            <w:pPr>
              <w:spacing w:line="360" w:lineRule="auto"/>
              <w:rPr>
                <w:rFonts w:ascii="宋体" w:hAnsi="宋体" w:cs="宋体"/>
                <w:szCs w:val="21"/>
                <w:highlight w:val="none"/>
              </w:rPr>
            </w:pPr>
            <w:r>
              <w:rPr>
                <w:rFonts w:hint="eastAsia" w:ascii="宋体" w:hAnsi="宋体" w:cs="宋体"/>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30" w:hRule="atLeast"/>
        </w:trPr>
        <w:tc>
          <w:tcPr>
            <w:tcW w:w="812" w:type="dxa"/>
            <w:vMerge w:val="continue"/>
            <w:tcBorders>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rPr>
                <w:rFonts w:ascii="宋体" w:hAnsi="宋体" w:cs="宋体"/>
                <w:szCs w:val="21"/>
                <w:highlight w:val="none"/>
              </w:rPr>
            </w:pPr>
          </w:p>
        </w:tc>
        <w:tc>
          <w:tcPr>
            <w:tcW w:w="1800"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szCs w:val="21"/>
                <w:highlight w:val="none"/>
              </w:rPr>
            </w:pPr>
            <w:r>
              <w:rPr>
                <w:rFonts w:hint="eastAsia" w:ascii="宋体" w:hAnsi="宋体" w:cs="宋体"/>
                <w:kern w:val="0"/>
                <w:szCs w:val="21"/>
                <w:highlight w:val="none"/>
              </w:rPr>
              <w:t>串通投标情形</w:t>
            </w:r>
          </w:p>
        </w:tc>
        <w:tc>
          <w:tcPr>
            <w:tcW w:w="6677" w:type="dxa"/>
            <w:tcBorders>
              <w:top w:val="single" w:color="auto" w:sz="4" w:space="0"/>
              <w:left w:val="single" w:color="auto" w:sz="4" w:space="0"/>
            </w:tcBorders>
          </w:tcPr>
          <w:p>
            <w:pPr>
              <w:widowControl/>
              <w:spacing w:before="100" w:beforeAutospacing="1" w:after="100" w:afterAutospacing="1" w:line="360" w:lineRule="auto"/>
              <w:jc w:val="left"/>
              <w:rPr>
                <w:rFonts w:ascii="宋体" w:hAnsi="宋体" w:cs="宋体"/>
                <w:szCs w:val="21"/>
                <w:highlight w:val="none"/>
              </w:rPr>
            </w:pPr>
            <w:r>
              <w:rPr>
                <w:rFonts w:hint="eastAsia" w:ascii="宋体" w:hAnsi="宋体" w:cs="宋体"/>
                <w:kern w:val="0"/>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70" w:hRule="atLeast"/>
        </w:trPr>
        <w:tc>
          <w:tcPr>
            <w:tcW w:w="1750" w:type="dxa"/>
            <w:gridSpan w:val="2"/>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800" w:type="dxa"/>
            <w:gridSpan w:val="2"/>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677" w:type="dxa"/>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65"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2.2.1</w:t>
            </w:r>
          </w:p>
        </w:tc>
        <w:tc>
          <w:tcPr>
            <w:tcW w:w="180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分值构成</w:t>
            </w:r>
          </w:p>
          <w:p>
            <w:pPr>
              <w:spacing w:line="360" w:lineRule="auto"/>
              <w:rPr>
                <w:rFonts w:ascii="宋体" w:hAnsi="宋体" w:cs="宋体"/>
                <w:szCs w:val="21"/>
                <w:highlight w:val="none"/>
              </w:rPr>
            </w:pPr>
            <w:r>
              <w:rPr>
                <w:rFonts w:hint="eastAsia" w:ascii="宋体" w:hAnsi="宋体" w:cs="宋体"/>
                <w:szCs w:val="21"/>
                <w:highlight w:val="none"/>
              </w:rPr>
              <w:t xml:space="preserve">(总分100分) </w:t>
            </w:r>
          </w:p>
        </w:tc>
        <w:tc>
          <w:tcPr>
            <w:tcW w:w="6677" w:type="dxa"/>
            <w:vAlign w:val="center"/>
          </w:tcPr>
          <w:p>
            <w:pPr>
              <w:rPr>
                <w:rFonts w:ascii="宋体" w:hAnsi="宋体" w:cs="宋体"/>
                <w:szCs w:val="21"/>
                <w:highlight w:val="none"/>
                <w:u w:val="single"/>
              </w:rPr>
            </w:pPr>
            <w:r>
              <w:rPr>
                <w:rFonts w:hint="eastAsia" w:ascii="宋体" w:hAnsi="宋体" w:cs="宋体"/>
                <w:szCs w:val="21"/>
                <w:highlight w:val="none"/>
                <w:u w:val="single"/>
              </w:rPr>
              <w:t>资信业绩部分：45分</w:t>
            </w:r>
          </w:p>
          <w:p>
            <w:pPr>
              <w:rPr>
                <w:rFonts w:ascii="宋体" w:hAnsi="宋体" w:cs="宋体"/>
                <w:szCs w:val="21"/>
                <w:highlight w:val="none"/>
                <w:u w:val="single"/>
              </w:rPr>
            </w:pPr>
            <w:r>
              <w:rPr>
                <w:rFonts w:hint="eastAsia" w:ascii="宋体" w:hAnsi="宋体" w:cs="宋体"/>
                <w:szCs w:val="21"/>
                <w:highlight w:val="none"/>
                <w:u w:val="single"/>
              </w:rPr>
              <w:t>监理大纲部分：35分</w:t>
            </w:r>
          </w:p>
          <w:p>
            <w:pPr>
              <w:rPr>
                <w:rFonts w:ascii="宋体" w:hAnsi="宋体" w:cs="宋体"/>
                <w:szCs w:val="21"/>
                <w:highlight w:val="none"/>
                <w:u w:val="single"/>
              </w:rPr>
            </w:pPr>
            <w:r>
              <w:rPr>
                <w:rFonts w:hint="eastAsia" w:ascii="宋体" w:hAnsi="宋体" w:cs="宋体"/>
                <w:szCs w:val="21"/>
                <w:highlight w:val="none"/>
                <w:u w:val="single"/>
              </w:rPr>
              <w:t>投标报价：10分</w:t>
            </w:r>
          </w:p>
          <w:p>
            <w:pPr>
              <w:rPr>
                <w:rFonts w:ascii="宋体" w:hAnsi="宋体" w:cs="宋体"/>
                <w:b/>
                <w:szCs w:val="21"/>
                <w:highlight w:val="none"/>
              </w:rPr>
            </w:pPr>
            <w:r>
              <w:rPr>
                <w:rFonts w:hint="eastAsia" w:ascii="宋体" w:hAnsi="宋体" w:cs="宋体"/>
                <w:szCs w:val="21"/>
                <w:highlight w:val="none"/>
                <w:u w:val="single"/>
              </w:rPr>
              <w:t>其他评分因素：投标人诚信得分10分</w:t>
            </w:r>
          </w:p>
          <w:p>
            <w:pPr>
              <w:rPr>
                <w:rFonts w:ascii="宋体" w:hAnsi="宋体" w:cs="宋体"/>
                <w:szCs w:val="21"/>
                <w:highlight w:val="none"/>
              </w:rPr>
            </w:pPr>
            <w:r>
              <w:rPr>
                <w:rFonts w:hint="eastAsia" w:ascii="宋体" w:hAnsi="宋体" w:cs="宋体"/>
                <w:szCs w:val="21"/>
                <w:highlight w:val="none"/>
              </w:rPr>
              <w:t>(注:投标人诚信得分=企业的诚信综合评价排名得分*10%。企业的诚信综合评价排名得分以投标截止当日广州市工程招标代理行业协会网站监理企业专栏上公布的企业60日诚信分得分为准。企业诚信综合诚信评价排名得分以</w:t>
            </w:r>
            <w:r>
              <w:rPr>
                <w:rFonts w:hint="eastAsia" w:ascii="宋体" w:hAnsi="宋体" w:cs="宋体"/>
                <w:b/>
                <w:bCs/>
                <w:szCs w:val="21"/>
                <w:highlight w:val="none"/>
              </w:rPr>
              <w:t>监理-房建</w:t>
            </w:r>
            <w:r>
              <w:rPr>
                <w:rFonts w:hint="eastAsia" w:ascii="宋体" w:hAnsi="宋体" w:cs="宋体"/>
                <w:szCs w:val="21"/>
                <w:highlight w:val="none"/>
              </w:rPr>
              <w:t>排名得分为准。）</w:t>
            </w:r>
          </w:p>
          <w:p>
            <w:pPr>
              <w:pStyle w:val="7"/>
              <w:ind w:firstLine="0"/>
              <w:rPr>
                <w:highlight w:val="none"/>
              </w:rPr>
            </w:pPr>
            <w:r>
              <w:rPr>
                <w:rFonts w:hint="eastAsia"/>
                <w:highlight w:val="none"/>
              </w:rPr>
              <w:t>投标人得分=</w:t>
            </w:r>
            <w:r>
              <w:rPr>
                <w:rFonts w:hint="eastAsia" w:ascii="宋体" w:hAnsi="宋体" w:cs="宋体"/>
                <w:szCs w:val="21"/>
                <w:highlight w:val="none"/>
              </w:rPr>
              <w:t>资信业绩部分+监理大纲部分+投标报价+投标人诚信得分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542"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2.2.2</w:t>
            </w:r>
          </w:p>
        </w:tc>
        <w:tc>
          <w:tcPr>
            <w:tcW w:w="180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评标基准价计算方法</w:t>
            </w:r>
          </w:p>
        </w:tc>
        <w:tc>
          <w:tcPr>
            <w:tcW w:w="6677" w:type="dxa"/>
            <w:vAlign w:val="center"/>
          </w:tcPr>
          <w:p>
            <w:pPr>
              <w:spacing w:line="360" w:lineRule="auto"/>
              <w:rPr>
                <w:rFonts w:ascii="宋体" w:hAnsi="宋体" w:cs="宋体"/>
                <w:szCs w:val="21"/>
                <w:highlight w:val="none"/>
              </w:rPr>
            </w:pPr>
            <w:r>
              <w:rPr>
                <w:rFonts w:hint="eastAsia" w:ascii="宋体" w:hAnsi="宋体" w:cs="宋体"/>
                <w:szCs w:val="21"/>
                <w:highlight w:val="none"/>
              </w:rPr>
              <w:t>当通过初步评审且位于[最高投标限价×90%，最高投标限价]区间的投标价中的有效投标人大于或等于5名时，所有入围的有效投标价中去掉一个最高价和一个最低价，取余下有效投标价的算术平均值的作为评标参考价。当通过初步评审且位于[最高投标限价×90%，最高投标限价]区间的投标价中的有效投标人小于5名时，取所有入围的有效投标价的算术平均值的作为评标参考价。若当通过初步评审且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423"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2.2.3</w:t>
            </w:r>
          </w:p>
        </w:tc>
        <w:tc>
          <w:tcPr>
            <w:tcW w:w="180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投标报价的偏差率计算公式</w:t>
            </w:r>
          </w:p>
        </w:tc>
        <w:tc>
          <w:tcPr>
            <w:tcW w:w="6677" w:type="dxa"/>
            <w:vAlign w:val="center"/>
          </w:tcPr>
          <w:p>
            <w:pPr>
              <w:ind w:right="-88" w:rightChars="-40"/>
              <w:rPr>
                <w:rFonts w:ascii="宋体" w:hAnsi="宋体" w:cs="宋体"/>
                <w:szCs w:val="21"/>
                <w:highlight w:val="none"/>
              </w:rPr>
            </w:pPr>
            <w:r>
              <w:rPr>
                <w:rFonts w:hint="eastAsia" w:ascii="宋体" w:hAnsi="宋体" w:cs="宋体"/>
                <w:szCs w:val="21"/>
                <w:highlight w:val="none"/>
              </w:rPr>
              <w:t>偏差率= ∣投标人有效投标报价—评标基准价∣/评标基准价*100% ，</w:t>
            </w:r>
          </w:p>
          <w:p>
            <w:pPr>
              <w:rPr>
                <w:rFonts w:ascii="宋体" w:hAnsi="宋体" w:cs="宋体"/>
                <w:szCs w:val="21"/>
                <w:highlight w:val="none"/>
              </w:rPr>
            </w:pPr>
            <w:r>
              <w:rPr>
                <w:rFonts w:hint="eastAsia" w:ascii="宋体" w:hAnsi="宋体" w:cs="宋体"/>
                <w:szCs w:val="21"/>
                <w:highlight w:val="none"/>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124" w:hRule="atLeast"/>
        </w:trPr>
        <w:tc>
          <w:tcPr>
            <w:tcW w:w="1750"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条款号</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评分因素</w:t>
            </w:r>
          </w:p>
        </w:tc>
        <w:tc>
          <w:tcPr>
            <w:tcW w:w="6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8" w:hRule="atLeast"/>
        </w:trPr>
        <w:tc>
          <w:tcPr>
            <w:tcW w:w="812"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2.2.4（1）</w:t>
            </w:r>
          </w:p>
        </w:tc>
        <w:tc>
          <w:tcPr>
            <w:tcW w:w="952" w:type="dxa"/>
            <w:gridSpan w:val="2"/>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企业资信业绩评分标</w:t>
            </w:r>
          </w:p>
          <w:p>
            <w:pPr>
              <w:snapToGrid w:val="0"/>
              <w:spacing w:line="360" w:lineRule="auto"/>
              <w:rPr>
                <w:rFonts w:ascii="宋体" w:hAnsi="宋体" w:cs="宋体"/>
                <w:szCs w:val="21"/>
                <w:highlight w:val="none"/>
              </w:rPr>
            </w:pPr>
            <w:r>
              <w:rPr>
                <w:rFonts w:hint="eastAsia" w:ascii="宋体" w:hAnsi="宋体" w:cs="宋体"/>
                <w:szCs w:val="21"/>
                <w:highlight w:val="none"/>
              </w:rPr>
              <w:t>准（45分）</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类似监理业绩</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（4分）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投标人2019年1月1日至今，每完成过一个质量合格的类似工程监理业绩得</w:t>
            </w:r>
            <w:r>
              <w:rPr>
                <w:rFonts w:ascii="宋体" w:hAnsi="宋体" w:cs="宋体"/>
                <w:kern w:val="0"/>
                <w:szCs w:val="21"/>
                <w:highlight w:val="none"/>
              </w:rPr>
              <w:t>2</w:t>
            </w:r>
            <w:r>
              <w:rPr>
                <w:rFonts w:hint="eastAsia" w:ascii="宋体" w:hAnsi="宋体" w:cs="宋体"/>
                <w:kern w:val="0"/>
                <w:szCs w:val="21"/>
                <w:highlight w:val="none"/>
              </w:rPr>
              <w:t>分，本项最多得4分。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3"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获奖监理业绩</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（6分）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投标人2019年1月1日至今，承接的类似工程奖项情况：</w:t>
            </w:r>
          </w:p>
          <w:p>
            <w:pPr>
              <w:snapToGrid w:val="0"/>
              <w:spacing w:line="360" w:lineRule="auto"/>
              <w:ind w:leftChars="-10" w:right="-13" w:hanging="22" w:hangingChars="10"/>
              <w:jc w:val="left"/>
              <w:rPr>
                <w:rFonts w:ascii="宋体" w:hAnsi="宋体" w:cs="宋体"/>
                <w:kern w:val="0"/>
                <w:szCs w:val="21"/>
                <w:highlight w:val="none"/>
              </w:rPr>
            </w:pPr>
            <w:r>
              <w:rPr>
                <w:rFonts w:hint="eastAsia" w:ascii="宋体" w:hAnsi="宋体" w:cs="宋体"/>
                <w:kern w:val="0"/>
                <w:szCs w:val="21"/>
                <w:highlight w:val="none"/>
              </w:rPr>
              <w:t>1、获得国家级奖项的每个得2分，最多得</w:t>
            </w:r>
            <w:r>
              <w:rPr>
                <w:rFonts w:ascii="宋体" w:hAnsi="宋体" w:cs="宋体"/>
                <w:kern w:val="0"/>
                <w:szCs w:val="21"/>
                <w:highlight w:val="none"/>
              </w:rPr>
              <w:t>6</w:t>
            </w:r>
            <w:r>
              <w:rPr>
                <w:rFonts w:hint="eastAsia" w:ascii="宋体" w:hAnsi="宋体" w:cs="宋体"/>
                <w:kern w:val="0"/>
                <w:szCs w:val="21"/>
                <w:highlight w:val="none"/>
              </w:rPr>
              <w:t>分；</w:t>
            </w:r>
          </w:p>
          <w:p>
            <w:pPr>
              <w:snapToGrid w:val="0"/>
              <w:spacing w:line="360" w:lineRule="auto"/>
              <w:ind w:leftChars="-10" w:right="-13" w:hanging="22" w:hangingChars="10"/>
              <w:jc w:val="left"/>
              <w:rPr>
                <w:rFonts w:ascii="宋体" w:hAnsi="宋体" w:cs="宋体"/>
                <w:kern w:val="0"/>
                <w:szCs w:val="21"/>
                <w:highlight w:val="none"/>
              </w:rPr>
            </w:pPr>
            <w:r>
              <w:rPr>
                <w:rFonts w:hint="eastAsia" w:ascii="宋体" w:hAnsi="宋体" w:cs="宋体"/>
                <w:kern w:val="0"/>
                <w:szCs w:val="21"/>
                <w:highlight w:val="none"/>
              </w:rPr>
              <w:t>2、获得省级奖项的每项得1分，最多得</w:t>
            </w:r>
            <w:r>
              <w:rPr>
                <w:rFonts w:ascii="宋体" w:hAnsi="宋体" w:cs="宋体"/>
                <w:kern w:val="0"/>
                <w:szCs w:val="21"/>
                <w:highlight w:val="none"/>
              </w:rPr>
              <w:t>3</w:t>
            </w:r>
            <w:r>
              <w:rPr>
                <w:rFonts w:hint="eastAsia" w:ascii="宋体" w:hAnsi="宋体" w:cs="宋体"/>
                <w:kern w:val="0"/>
                <w:szCs w:val="21"/>
                <w:highlight w:val="none"/>
              </w:rPr>
              <w:t>分；</w:t>
            </w:r>
          </w:p>
          <w:p>
            <w:pPr>
              <w:snapToGrid w:val="0"/>
              <w:spacing w:line="360" w:lineRule="auto"/>
              <w:ind w:leftChars="-10" w:right="-13" w:hanging="22" w:hangingChars="10"/>
              <w:jc w:val="left"/>
              <w:rPr>
                <w:rFonts w:ascii="宋体" w:hAnsi="宋体" w:cs="宋体"/>
                <w:kern w:val="0"/>
                <w:szCs w:val="21"/>
                <w:highlight w:val="none"/>
              </w:rPr>
            </w:pPr>
            <w:r>
              <w:rPr>
                <w:rFonts w:hint="eastAsia" w:ascii="宋体" w:hAnsi="宋体" w:cs="宋体"/>
                <w:kern w:val="0"/>
                <w:szCs w:val="21"/>
                <w:highlight w:val="none"/>
              </w:rPr>
              <w:t>3、获得市级奖项的每项得0.5分，最多得</w:t>
            </w:r>
            <w:r>
              <w:rPr>
                <w:rFonts w:ascii="宋体" w:hAnsi="宋体" w:cs="宋体"/>
                <w:kern w:val="0"/>
                <w:szCs w:val="21"/>
                <w:highlight w:val="none"/>
              </w:rPr>
              <w:t>1</w:t>
            </w:r>
            <w:r>
              <w:rPr>
                <w:rFonts w:hint="eastAsia" w:ascii="宋体" w:hAnsi="宋体" w:cs="宋体"/>
                <w:kern w:val="0"/>
                <w:szCs w:val="21"/>
                <w:highlight w:val="none"/>
              </w:rPr>
              <w:t>分；</w:t>
            </w:r>
          </w:p>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本评分项最多得</w:t>
            </w:r>
            <w:r>
              <w:rPr>
                <w:rFonts w:ascii="宋体" w:hAnsi="宋体" w:cs="宋体"/>
                <w:kern w:val="0"/>
                <w:szCs w:val="21"/>
                <w:highlight w:val="none"/>
              </w:rPr>
              <w:t>6</w:t>
            </w:r>
            <w:r>
              <w:rPr>
                <w:rFonts w:hint="eastAsia" w:ascii="宋体" w:hAnsi="宋体" w:cs="宋体"/>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总监理工程师</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（2分）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具备工程类中级职称或以上职称的得2分。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88"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其他主要人员</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（6分）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left"/>
              <w:rPr>
                <w:rFonts w:ascii="宋体" w:hAnsi="宋体"/>
                <w:szCs w:val="21"/>
                <w:highlight w:val="none"/>
              </w:rPr>
            </w:pPr>
            <w:r>
              <w:rPr>
                <w:rFonts w:hint="eastAsia" w:ascii="宋体" w:hAnsi="宋体"/>
                <w:szCs w:val="21"/>
                <w:highlight w:val="none"/>
              </w:rPr>
              <w:t>配备的人员中（不含总监）：</w:t>
            </w:r>
          </w:p>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1、满足《项目监理人员组成配备要求表》得2分，不满足则不得分。</w:t>
            </w:r>
          </w:p>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2、在满足《项目监理人员组成配备要求表》基础上，拟投入的人员具有高级工程师（或以上）职称的，每人得1分，最高得4分；</w:t>
            </w:r>
          </w:p>
          <w:p>
            <w:pPr>
              <w:pStyle w:val="2"/>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本项最高得6分。</w:t>
            </w:r>
          </w:p>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备注：投入监理人员的专业以其注册监理工程师注册执业证书或职称证上所列的相关专业为准。如同一专业配置多名人员的仅按一名最高级别计算得分。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2"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企业信誉（6分）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投标人自2019至今曾获得过省级或以上科技创新企业称号的每次得2分，最多得6分，没有的不得分。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2"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财务状况（5分）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被评为A级纳税人称号的单位，按连续年份的长短排名，第1-</w:t>
            </w:r>
            <w:r>
              <w:rPr>
                <w:rFonts w:hint="eastAsia" w:cs="宋体"/>
                <w:kern w:val="0"/>
                <w:szCs w:val="21"/>
                <w:highlight w:val="none"/>
                <w:lang w:val="en-US" w:eastAsia="zh-CN"/>
              </w:rPr>
              <w:t>3</w:t>
            </w:r>
            <w:r>
              <w:rPr>
                <w:rFonts w:hint="eastAsia" w:ascii="宋体" w:hAnsi="宋体" w:cs="宋体"/>
                <w:kern w:val="0"/>
                <w:szCs w:val="21"/>
                <w:highlight w:val="none"/>
              </w:rPr>
              <w:t>名的得5分，第</w:t>
            </w:r>
            <w:r>
              <w:rPr>
                <w:rFonts w:hint="eastAsia" w:cs="宋体"/>
                <w:kern w:val="0"/>
                <w:szCs w:val="21"/>
                <w:highlight w:val="none"/>
                <w:lang w:val="en-US" w:eastAsia="zh-CN"/>
              </w:rPr>
              <w:t>4</w:t>
            </w:r>
            <w:r>
              <w:rPr>
                <w:rFonts w:hint="eastAsia" w:ascii="宋体" w:hAnsi="宋体" w:cs="宋体"/>
                <w:kern w:val="0"/>
                <w:szCs w:val="21"/>
                <w:highlight w:val="none"/>
              </w:rPr>
              <w:t>-</w:t>
            </w:r>
            <w:r>
              <w:rPr>
                <w:rFonts w:hint="eastAsia" w:cs="宋体"/>
                <w:kern w:val="0"/>
                <w:szCs w:val="21"/>
                <w:highlight w:val="none"/>
                <w:lang w:val="en-US" w:eastAsia="zh-CN"/>
              </w:rPr>
              <w:t>5</w:t>
            </w:r>
            <w:r>
              <w:rPr>
                <w:rFonts w:hint="eastAsia" w:ascii="宋体" w:hAnsi="宋体" w:cs="宋体"/>
                <w:kern w:val="0"/>
                <w:szCs w:val="21"/>
                <w:highlight w:val="none"/>
              </w:rPr>
              <w:t>名的得3分，第</w:t>
            </w:r>
            <w:r>
              <w:rPr>
                <w:rFonts w:hint="eastAsia" w:cs="宋体"/>
                <w:kern w:val="0"/>
                <w:szCs w:val="21"/>
                <w:highlight w:val="none"/>
                <w:lang w:val="en-US" w:eastAsia="zh-CN"/>
              </w:rPr>
              <w:t>6</w:t>
            </w:r>
            <w:r>
              <w:rPr>
                <w:rFonts w:hint="eastAsia" w:ascii="宋体" w:hAnsi="宋体" w:cs="宋体"/>
                <w:kern w:val="0"/>
                <w:szCs w:val="21"/>
                <w:highlight w:val="none"/>
              </w:rPr>
              <w:t>名及之后的得1分，没有的不得分。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高新企业</w:t>
            </w:r>
          </w:p>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（6分）</w:t>
            </w:r>
          </w:p>
        </w:tc>
        <w:tc>
          <w:tcPr>
            <w:tcW w:w="6691" w:type="dxa"/>
            <w:gridSpan w:val="2"/>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投标人具有高新技术企业证书且在有效期内的，得6分。没有的不得分。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9"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企业技术管理能力</w:t>
            </w:r>
          </w:p>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（10分）</w:t>
            </w:r>
          </w:p>
        </w:tc>
        <w:tc>
          <w:tcPr>
            <w:tcW w:w="6691" w:type="dxa"/>
            <w:gridSpan w:val="2"/>
            <w:tcBorders>
              <w:top w:val="single" w:color="auto" w:sz="4" w:space="0"/>
              <w:left w:val="single" w:color="auto" w:sz="4" w:space="0"/>
              <w:right w:val="single" w:color="auto" w:sz="4" w:space="0"/>
            </w:tcBorders>
            <w:vAlign w:val="center"/>
          </w:tcPr>
          <w:p>
            <w:pPr>
              <w:jc w:val="left"/>
              <w:rPr>
                <w:rFonts w:ascii="宋体" w:hAnsi="宋体" w:cs="宋体"/>
                <w:kern w:val="0"/>
                <w:szCs w:val="21"/>
                <w:highlight w:val="none"/>
              </w:rPr>
            </w:pPr>
            <w:r>
              <w:rPr>
                <w:rFonts w:hint="eastAsia" w:ascii="宋体" w:hAnsi="宋体" w:cs="宋体"/>
                <w:kern w:val="0"/>
                <w:szCs w:val="21"/>
                <w:highlight w:val="none"/>
              </w:rPr>
              <w:t>投标人</w:t>
            </w:r>
            <w:r>
              <w:rPr>
                <w:rFonts w:ascii="宋体" w:hAnsi="宋体" w:cs="宋体"/>
                <w:kern w:val="0"/>
                <w:szCs w:val="21"/>
                <w:highlight w:val="none"/>
              </w:rPr>
              <w:t>2019</w:t>
            </w:r>
            <w:r>
              <w:rPr>
                <w:rFonts w:hint="eastAsia" w:ascii="宋体" w:hAnsi="宋体" w:cs="宋体"/>
                <w:kern w:val="0"/>
                <w:szCs w:val="21"/>
                <w:highlight w:val="none"/>
              </w:rPr>
              <w:t>年</w:t>
            </w:r>
            <w:r>
              <w:rPr>
                <w:rFonts w:ascii="宋体" w:hAnsi="宋体" w:cs="宋体"/>
                <w:kern w:val="0"/>
                <w:szCs w:val="21"/>
                <w:highlight w:val="none"/>
              </w:rPr>
              <w:t>1</w:t>
            </w:r>
            <w:r>
              <w:rPr>
                <w:rFonts w:hint="eastAsia" w:ascii="宋体" w:hAnsi="宋体" w:cs="宋体"/>
                <w:kern w:val="0"/>
                <w:szCs w:val="21"/>
                <w:highlight w:val="none"/>
              </w:rPr>
              <w:t>月</w:t>
            </w:r>
            <w:r>
              <w:rPr>
                <w:rFonts w:ascii="宋体" w:hAnsi="宋体" w:cs="宋体"/>
                <w:kern w:val="0"/>
                <w:szCs w:val="21"/>
                <w:highlight w:val="none"/>
              </w:rPr>
              <w:t>1</w:t>
            </w:r>
            <w:r>
              <w:rPr>
                <w:rFonts w:hint="eastAsia" w:ascii="宋体" w:hAnsi="宋体" w:cs="宋体"/>
                <w:kern w:val="0"/>
                <w:szCs w:val="21"/>
                <w:highlight w:val="none"/>
              </w:rPr>
              <w:t>日至今，投标人获得省级或以上工程类科学技术奖项的，每个奖项得</w:t>
            </w:r>
            <w:r>
              <w:rPr>
                <w:rFonts w:hint="eastAsia" w:cs="宋体"/>
                <w:kern w:val="0"/>
                <w:szCs w:val="21"/>
                <w:highlight w:val="none"/>
                <w:lang w:val="en-US" w:eastAsia="zh-CN"/>
              </w:rPr>
              <w:t>2</w:t>
            </w:r>
            <w:r>
              <w:rPr>
                <w:rFonts w:hint="eastAsia" w:ascii="宋体" w:hAnsi="宋体" w:cs="宋体"/>
                <w:kern w:val="0"/>
                <w:szCs w:val="21"/>
                <w:highlight w:val="none"/>
              </w:rPr>
              <w:t>分，最多得</w:t>
            </w:r>
            <w:r>
              <w:rPr>
                <w:rFonts w:ascii="宋体" w:hAnsi="宋体" w:cs="宋体"/>
                <w:kern w:val="0"/>
                <w:szCs w:val="21"/>
                <w:highlight w:val="none"/>
              </w:rPr>
              <w:t>10</w:t>
            </w:r>
            <w:r>
              <w:rPr>
                <w:rFonts w:hint="eastAsia" w:ascii="宋体" w:hAnsi="宋体" w:cs="宋体"/>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812"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2.2.4（2）</w:t>
            </w:r>
          </w:p>
        </w:tc>
        <w:tc>
          <w:tcPr>
            <w:tcW w:w="952" w:type="dxa"/>
            <w:gridSpan w:val="2"/>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监理大纲评分标准</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（35分）</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质量控制措施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0" w:hRule="atLeast"/>
        </w:trPr>
        <w:tc>
          <w:tcPr>
            <w:tcW w:w="812" w:type="dxa"/>
            <w:vMerge w:val="continue"/>
            <w:tcBorders>
              <w:right w:val="single" w:color="auto" w:sz="4" w:space="0"/>
            </w:tcBorders>
            <w:vAlign w:val="center"/>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进度控制措施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投资控制措施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合同管理、信息管理</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合同管理、信息管理方法、针对性强、措施具体、针对性强。方案为优得4分；良得3分；一般得2 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组织协调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协调方法清晰合理，有具体措施。方案为优得3分；良得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3"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安全、文明施工管理（3分）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安全、文明施工管理。方案为优得3分；良得2分；一般得1分；差不得分；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工作程序和制度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有清晰的工作流程图、工作准则。方案为优得3分；良得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会议制度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建立完善的工地会议制度。方案为优得3分；良得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工程进度款、工程结算的管理</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管理方法合理有效、有具体措施。方案为优得3分；良得2分；一般得1分；差不得分。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7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工作重点、难点分析（4分）</w:t>
            </w:r>
          </w:p>
        </w:tc>
        <w:tc>
          <w:tcPr>
            <w:tcW w:w="669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left"/>
              <w:rPr>
                <w:rFonts w:ascii="宋体" w:hAnsi="宋体" w:cs="宋体"/>
                <w:szCs w:val="21"/>
                <w:highlight w:val="none"/>
              </w:rPr>
            </w:pPr>
            <w:r>
              <w:rPr>
                <w:rFonts w:hint="eastAsia" w:ascii="宋体" w:hAnsi="宋体" w:cs="宋体"/>
                <w:kern w:val="0"/>
                <w:szCs w:val="21"/>
                <w:highlight w:val="none"/>
              </w:rPr>
              <w:t>要求针对性强、措施具体、可操作。优得4分；中得 3分；差得2分；无措施不得分。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0" w:hRule="atLeast"/>
        </w:trPr>
        <w:tc>
          <w:tcPr>
            <w:tcW w:w="8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投标报价评分标准</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(10分)</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投标报价(10分)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highlight w:val="none"/>
              </w:rPr>
            </w:pPr>
            <w:r>
              <w:rPr>
                <w:rFonts w:hint="eastAsia" w:ascii="宋体" w:hAnsi="宋体"/>
                <w:szCs w:val="21"/>
                <w:highlight w:val="none"/>
              </w:rPr>
              <w:t>监理报价以竞争性报价形式的，监理报价得分以评标基准价作为计算各有效投标报价得分的基础，当有效投标报价等于评标基准价时得1</w:t>
            </w:r>
            <w:r>
              <w:rPr>
                <w:rFonts w:ascii="宋体" w:hAnsi="宋体"/>
                <w:szCs w:val="21"/>
                <w:highlight w:val="none"/>
              </w:rPr>
              <w:t>0</w:t>
            </w:r>
            <w:r>
              <w:rPr>
                <w:rFonts w:hint="eastAsia" w:ascii="宋体" w:hAnsi="宋体"/>
                <w:szCs w:val="21"/>
                <w:highlight w:val="none"/>
              </w:rPr>
              <w:t>分；投标有效投价与评标基准价相比，每上偏</w:t>
            </w:r>
            <w:r>
              <w:rPr>
                <w:rFonts w:ascii="宋体" w:hAnsi="宋体"/>
                <w:szCs w:val="21"/>
                <w:highlight w:val="none"/>
              </w:rPr>
              <w:t>1%</w:t>
            </w:r>
            <w:r>
              <w:rPr>
                <w:rFonts w:hint="eastAsia" w:ascii="宋体" w:hAnsi="宋体"/>
                <w:szCs w:val="21"/>
                <w:highlight w:val="none"/>
              </w:rPr>
              <w:t>扣0.5分，每下偏</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0.</w:t>
            </w:r>
            <w:r>
              <w:rPr>
                <w:rFonts w:hint="eastAsia" w:ascii="宋体" w:hAnsi="宋体"/>
                <w:szCs w:val="21"/>
                <w:highlight w:val="none"/>
              </w:rPr>
              <w:t>3分。最多扣</w:t>
            </w:r>
            <w:r>
              <w:rPr>
                <w:rFonts w:ascii="宋体" w:hAnsi="宋体"/>
                <w:szCs w:val="21"/>
                <w:highlight w:val="none"/>
              </w:rPr>
              <w:t>10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2" w:hRule="atLeast"/>
        </w:trPr>
        <w:tc>
          <w:tcPr>
            <w:tcW w:w="8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2.2.4（4）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其他因素评分标准（10分）</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诚信得分（10分）</w:t>
            </w:r>
          </w:p>
        </w:tc>
        <w:tc>
          <w:tcPr>
            <w:tcW w:w="66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highlight w:val="none"/>
              </w:rPr>
            </w:pPr>
            <w:r>
              <w:rPr>
                <w:rFonts w:hint="eastAsia" w:ascii="宋体" w:hAnsi="宋体" w:cs="宋体"/>
                <w:b/>
                <w:szCs w:val="21"/>
                <w:highlight w:val="none"/>
              </w:rPr>
              <w:t>投标人诚信得分</w:t>
            </w:r>
            <w:r>
              <w:rPr>
                <w:rFonts w:ascii="宋体" w:hAnsi="宋体" w:cs="宋体"/>
                <w:b/>
                <w:szCs w:val="21"/>
                <w:highlight w:val="none"/>
              </w:rPr>
              <w:t>=</w:t>
            </w:r>
            <w:r>
              <w:rPr>
                <w:rFonts w:hint="eastAsia" w:ascii="宋体" w:hAnsi="宋体" w:cs="宋体"/>
                <w:b/>
                <w:szCs w:val="21"/>
                <w:highlight w:val="none"/>
              </w:rPr>
              <w:t>企业的诚信综合评价排名得分×1</w:t>
            </w:r>
            <w:r>
              <w:rPr>
                <w:rFonts w:ascii="宋体" w:hAnsi="宋体" w:cs="宋体"/>
                <w:b/>
                <w:szCs w:val="21"/>
                <w:highlight w:val="none"/>
              </w:rPr>
              <w:t>0%</w:t>
            </w:r>
            <w:r>
              <w:rPr>
                <w:rFonts w:hint="eastAsia" w:ascii="宋体" w:hAnsi="宋体" w:cs="宋体"/>
                <w:b/>
                <w:szCs w:val="21"/>
                <w:highlight w:val="none"/>
              </w:rPr>
              <w:t>。</w:t>
            </w:r>
            <w:r>
              <w:rPr>
                <w:rFonts w:hint="eastAsia" w:ascii="宋体" w:hAnsi="宋体" w:cs="宋体"/>
                <w:szCs w:val="21"/>
                <w:highlight w:val="none"/>
              </w:rPr>
              <w:t>企业的诚信综合评价排名得分以投标截止当日广州市工程招标代理行业协会网站监理企业专栏上公布的企业</w:t>
            </w:r>
            <w:r>
              <w:rPr>
                <w:rFonts w:ascii="宋体" w:hAnsi="宋体" w:cs="宋体"/>
                <w:szCs w:val="21"/>
                <w:highlight w:val="none"/>
              </w:rPr>
              <w:t>60</w:t>
            </w:r>
            <w:r>
              <w:rPr>
                <w:rFonts w:hint="eastAsia" w:ascii="宋体" w:hAnsi="宋体" w:cs="宋体"/>
                <w:szCs w:val="21"/>
                <w:highlight w:val="none"/>
              </w:rPr>
              <w:t>日诚信分得分为准。企业诚信综合诚信评价排名得分以</w:t>
            </w:r>
            <w:r>
              <w:rPr>
                <w:rFonts w:hint="eastAsia" w:ascii="宋体" w:hAnsi="宋体" w:cs="宋体"/>
                <w:b/>
                <w:bCs/>
                <w:szCs w:val="21"/>
                <w:highlight w:val="none"/>
              </w:rPr>
              <w:t>监理</w:t>
            </w:r>
            <w:r>
              <w:rPr>
                <w:rFonts w:ascii="宋体" w:hAnsi="宋体" w:cs="宋体"/>
                <w:b/>
                <w:bCs/>
                <w:szCs w:val="21"/>
                <w:highlight w:val="none"/>
              </w:rPr>
              <w:t>-</w:t>
            </w:r>
            <w:r>
              <w:rPr>
                <w:rFonts w:hint="eastAsia" w:ascii="宋体" w:hAnsi="宋体" w:cs="宋体"/>
                <w:b/>
                <w:bCs/>
                <w:szCs w:val="21"/>
                <w:highlight w:val="none"/>
              </w:rPr>
              <w:t>房建</w:t>
            </w:r>
            <w:r>
              <w:rPr>
                <w:rFonts w:hint="eastAsia" w:ascii="宋体" w:hAnsi="宋体" w:cs="宋体"/>
                <w:szCs w:val="21"/>
                <w:highlight w:val="none"/>
              </w:rPr>
              <w:t>排名得分为准</w:t>
            </w:r>
            <w:r>
              <w:rPr>
                <w:rFonts w:hint="eastAsia" w:ascii="宋体" w:hAnsi="Courier New"/>
                <w:szCs w:val="21"/>
                <w:highlight w:val="none"/>
              </w:rPr>
              <w:t>。</w:t>
            </w:r>
          </w:p>
        </w:tc>
      </w:tr>
    </w:tbl>
    <w:p>
      <w:pPr>
        <w:rPr>
          <w:rFonts w:ascii="宋体" w:hAnsi="宋体"/>
          <w:szCs w:val="21"/>
          <w:highlight w:val="none"/>
        </w:rPr>
      </w:pPr>
      <w:r>
        <w:rPr>
          <w:rFonts w:hint="eastAsia" w:ascii="宋体" w:hAnsi="宋体"/>
          <w:szCs w:val="21"/>
          <w:highlight w:val="none"/>
        </w:rPr>
        <w:t>说明：</w:t>
      </w:r>
    </w:p>
    <w:p>
      <w:pPr>
        <w:pStyle w:val="7"/>
        <w:ind w:firstLine="660" w:firstLineChars="300"/>
        <w:rPr>
          <w:highlight w:val="none"/>
        </w:rPr>
      </w:pPr>
      <w:r>
        <w:rPr>
          <w:rFonts w:hint="eastAsia"/>
          <w:highlight w:val="none"/>
        </w:rPr>
        <w:t>（1）投标人的得分为各评委的评分的算术平均值。评分分数出现小数点时，保留小数点后二位，第三位小数四舍五入。</w:t>
      </w:r>
    </w:p>
    <w:p>
      <w:pPr>
        <w:pStyle w:val="7"/>
        <w:ind w:firstLine="660" w:firstLineChars="300"/>
        <w:rPr>
          <w:highlight w:val="none"/>
        </w:rPr>
      </w:pPr>
    </w:p>
    <w:p>
      <w:pPr>
        <w:pStyle w:val="7"/>
        <w:ind w:firstLine="660" w:firstLineChars="300"/>
        <w:rPr>
          <w:highlight w:val="none"/>
        </w:rPr>
      </w:pPr>
      <w:r>
        <w:rPr>
          <w:rFonts w:hint="eastAsia"/>
          <w:highlight w:val="none"/>
        </w:rPr>
        <w:t>（2）拟投入人员需</w:t>
      </w:r>
      <w:r>
        <w:rPr>
          <w:rFonts w:hint="eastAsia"/>
          <w:highlight w:val="none"/>
          <w:u w:val="single"/>
        </w:rPr>
        <w:t>提供近一个月（即2023年0</w:t>
      </w:r>
      <w:r>
        <w:rPr>
          <w:rFonts w:hint="eastAsia"/>
          <w:highlight w:val="none"/>
          <w:u w:val="single"/>
          <w:lang w:val="en-US" w:eastAsia="zh-CN"/>
        </w:rPr>
        <w:t>6</w:t>
      </w:r>
      <w:r>
        <w:rPr>
          <w:rFonts w:hint="eastAsia"/>
          <w:highlight w:val="none"/>
          <w:u w:val="single"/>
        </w:rPr>
        <w:t>月）</w:t>
      </w:r>
      <w:r>
        <w:rPr>
          <w:rFonts w:hint="eastAsia"/>
          <w:highlight w:val="none"/>
        </w:rPr>
        <w:t>的社保证明材料原件扫描件。</w:t>
      </w:r>
    </w:p>
    <w:p>
      <w:pPr>
        <w:pStyle w:val="7"/>
        <w:ind w:firstLine="660" w:firstLineChars="300"/>
        <w:rPr>
          <w:highlight w:val="none"/>
        </w:rPr>
      </w:pPr>
    </w:p>
    <w:p>
      <w:pPr>
        <w:spacing w:after="123" w:line="300" w:lineRule="exact"/>
        <w:ind w:right="102" w:firstLine="440" w:firstLineChars="200"/>
        <w:rPr>
          <w:rFonts w:ascii="宋体" w:hAnsi="宋体"/>
          <w:highlight w:val="none"/>
        </w:rPr>
      </w:pPr>
      <w:r>
        <w:rPr>
          <w:rFonts w:hint="eastAsia" w:ascii="宋体" w:hAnsi="宋体"/>
          <w:highlight w:val="none"/>
        </w:rPr>
        <w:t>（3）类似工程：是指招标公告中3.1所述资质方能承接的房屋建筑工程，需同时提供中标通知书或免招标的相关证明、施工监理合同、竣工验收报告或竣工验收证明（至少具有建设单位、设计、施工和监理单位盖章），业绩时间以竣工验收报告或竣工验收证明出具时间为准。</w:t>
      </w:r>
    </w:p>
    <w:p>
      <w:pPr>
        <w:spacing w:after="123" w:line="300" w:lineRule="exact"/>
        <w:ind w:right="102" w:firstLine="440" w:firstLineChars="200"/>
        <w:rPr>
          <w:rFonts w:ascii="宋体" w:hAnsi="宋体"/>
          <w:highlight w:val="none"/>
        </w:rPr>
      </w:pPr>
      <w:r>
        <w:rPr>
          <w:rFonts w:hint="eastAsia" w:ascii="宋体" w:hAnsi="宋体"/>
          <w:highlight w:val="none"/>
        </w:rPr>
        <w:t>（4）获奖业绩：①以投标人获奖证书为准，获奖时间以获奖证书颁发日期为准；②同一工程获得多个奖项的，按最高奖项计取，不重复计算。 ③国家级奖项是指：中国土木工程詹天佑奖、中国建设工程鲁班奖、国家优质工程金质奖（金奖）、国家优质工程奖等；④省级或市级奖项是指由建设行政主管部门或行业协会、学会颁发（行业协会、学会须在民政部门备案）的奖项，获奖时间以证书颁发日期为准。</w:t>
      </w:r>
      <w:r>
        <w:rPr>
          <w:rFonts w:hint="eastAsia" w:ascii="宋体" w:hAnsi="宋体"/>
          <w:szCs w:val="21"/>
          <w:highlight w:val="none"/>
        </w:rPr>
        <w:t>⑤</w:t>
      </w:r>
      <w:r>
        <w:rPr>
          <w:rFonts w:hint="eastAsia" w:ascii="宋体" w:hAnsi="宋体" w:cs="宋体"/>
          <w:bCs/>
          <w:szCs w:val="21"/>
          <w:highlight w:val="none"/>
        </w:rPr>
        <w:t>非质量类获奖不予计算。</w:t>
      </w:r>
    </w:p>
    <w:p>
      <w:pPr>
        <w:spacing w:after="123" w:line="300" w:lineRule="exact"/>
        <w:ind w:right="102" w:firstLine="440" w:firstLineChars="200"/>
        <w:rPr>
          <w:rFonts w:ascii="宋体" w:hAnsi="宋体"/>
          <w:highlight w:val="none"/>
        </w:rPr>
      </w:pPr>
      <w:r>
        <w:rPr>
          <w:rFonts w:hint="eastAsia" w:ascii="宋体" w:hAnsi="宋体"/>
          <w:highlight w:val="none"/>
        </w:rPr>
        <w:t>（5）“A级纳税人称号”：A级纳税人称号情况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pPr>
        <w:spacing w:after="123" w:line="300" w:lineRule="exact"/>
        <w:ind w:right="102" w:firstLine="440" w:firstLineChars="200"/>
        <w:rPr>
          <w:rFonts w:ascii="宋体" w:hAnsi="宋体"/>
          <w:highlight w:val="none"/>
        </w:rPr>
      </w:pPr>
      <w:r>
        <w:rPr>
          <w:rFonts w:hint="eastAsia" w:ascii="宋体" w:hAnsi="宋体"/>
          <w:highlight w:val="none"/>
        </w:rPr>
        <w:t>（6）“ A级纳税人”排名若名次排列出现并列，有几家企业并列则取消并列名次以后的几个名次，下一名次将跳跃排列。即若有两名投标人并列第一，则下一名次按第三名档次得分。</w:t>
      </w:r>
    </w:p>
    <w:p>
      <w:pPr>
        <w:spacing w:after="123" w:line="300" w:lineRule="exact"/>
        <w:ind w:right="102" w:firstLine="440" w:firstLineChars="200"/>
        <w:rPr>
          <w:rFonts w:ascii="宋体" w:hAnsi="宋体"/>
          <w:highlight w:val="none"/>
        </w:rPr>
      </w:pPr>
      <w:r>
        <w:rPr>
          <w:rFonts w:hint="eastAsia" w:ascii="宋体" w:hAnsi="宋体"/>
          <w:highlight w:val="none"/>
        </w:rPr>
        <w:t>（7）企业技术管理：须提供相关证明文件或证书作为评审依据；“工程类科学技术奖项”需经省级科技厅批准设立并在国家科技部登记。</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br w:type="page"/>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1.评标方法</w:t>
      </w:r>
    </w:p>
    <w:p>
      <w:pPr>
        <w:spacing w:line="360" w:lineRule="auto"/>
        <w:ind w:left="8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技术方案得分高的优先；如果技术方案得分也相等，由评标委员会采用记名投票方式，以得票多的优先。</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2.评审标准</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2.1初步评审标准</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2.1.1形式评审标准：见评标办法前附表。</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2.1.2资格评审标准：见评标办法前附表。</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2.1.3响应性评审标准：见评标办法前附表。</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2.2分值构成与评分标准</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2.2.1分值构成</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（1）资信业绩部分：见评标办法前附表；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w:t>
      </w:r>
      <w:r>
        <w:rPr>
          <w:rFonts w:hint="eastAsia"/>
          <w:color w:val="000000" w:themeColor="text1"/>
          <w:sz w:val="21"/>
          <w:highlight w:val="none"/>
          <w:lang w:val="en-US"/>
          <w14:textFill>
            <w14:solidFill>
              <w14:schemeClr w14:val="tx1"/>
            </w14:solidFill>
          </w14:textFill>
        </w:rPr>
        <w:t>技术方案</w:t>
      </w:r>
      <w:r>
        <w:rPr>
          <w:rFonts w:hint="eastAsia"/>
          <w:color w:val="000000" w:themeColor="text1"/>
          <w:sz w:val="21"/>
          <w:highlight w:val="none"/>
          <w14:textFill>
            <w14:solidFill>
              <w14:schemeClr w14:val="tx1"/>
            </w14:solidFill>
          </w14:textFill>
        </w:rPr>
        <w:t>部分：见评标办法前附表；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（3）投标报价：见评标办法前附表；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（4）其他评分因素：见评标办法前附表。</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2.2.2评标基准价计算</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评标基准价计算方法：见评标办法前附表。</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2.2.3投标报价的偏差率计算</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投标报价的偏差率计算公式：见评标办法前附表。</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2.2.4评分标准</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（1）资信业绩评分标准：见评标办法前附表；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w:t>
      </w:r>
      <w:r>
        <w:rPr>
          <w:rFonts w:hint="eastAsia"/>
          <w:color w:val="000000" w:themeColor="text1"/>
          <w:sz w:val="21"/>
          <w:highlight w:val="none"/>
          <w:lang w:val="en-US"/>
          <w14:textFill>
            <w14:solidFill>
              <w14:schemeClr w14:val="tx1"/>
            </w14:solidFill>
          </w14:textFill>
        </w:rPr>
        <w:t>技术方案</w:t>
      </w:r>
      <w:r>
        <w:rPr>
          <w:rFonts w:hint="eastAsia"/>
          <w:color w:val="000000" w:themeColor="text1"/>
          <w:sz w:val="21"/>
          <w:highlight w:val="none"/>
          <w14:textFill>
            <w14:solidFill>
              <w14:schemeClr w14:val="tx1"/>
            </w14:solidFill>
          </w14:textFill>
        </w:rPr>
        <w:t>评分标准：见评标办法前附表；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（3）投标报价评分标准：见评标办法前附表；</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（4）其他因素评分标准：见评标办法前附表。</w:t>
      </w:r>
    </w:p>
    <w:p>
      <w:pPr>
        <w:spacing w:line="36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3.评标程序</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3.1初步评审</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3.1.2投标人有以下情形之一的，评标委员会应当否决其投标：</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（1）投标文件没有对招标文件的实质性要求和条件作出响应，或者对招标文件的偏差超出招标文件规定的偏差范围或最高项数；</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（2）有串通投标、弄虚作假、行贿等违法行为。</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（1）投标文件中的大写金额与小写金额不一致的，以大写金额为准；</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（2）总价金额与单价金额不一致的，以单价金额为准，但单价金额小数点有明显错误的除外。</w:t>
      </w:r>
    </w:p>
    <w:p>
      <w:pPr>
        <w:pStyle w:val="7"/>
        <w:spacing w:line="360" w:lineRule="auto"/>
        <w:ind w:firstLine="0"/>
        <w:rPr>
          <w:rFonts w:cs="Arial"/>
          <w:color w:val="000000" w:themeColor="text1"/>
          <w:highlight w:val="none"/>
          <w:u w:val="single"/>
          <w:lang w:val="en-US"/>
          <w14:textFill>
            <w14:solidFill>
              <w14:schemeClr w14:val="tx1"/>
            </w14:solidFill>
          </w14:textFill>
        </w:rPr>
      </w:pPr>
      <w:r>
        <w:rPr>
          <w:rFonts w:hint="eastAsia" w:cs="Arial"/>
          <w:color w:val="000000" w:themeColor="text1"/>
          <w:sz w:val="21"/>
          <w:szCs w:val="21"/>
          <w:highlight w:val="none"/>
          <w:u w:val="single"/>
          <w:lang w:val="en-US"/>
          <w14:textFill>
            <w14:solidFill>
              <w14:schemeClr w14:val="tx1"/>
            </w14:solidFill>
          </w14:textFill>
        </w:rPr>
        <w:t>（3）投标下浮率有误的，以总价金额为准修正下浮率。</w:t>
      </w:r>
    </w:p>
    <w:p>
      <w:pPr>
        <w:pStyle w:val="7"/>
        <w:spacing w:line="360" w:lineRule="auto"/>
        <w:ind w:firstLine="220" w:firstLineChars="100"/>
        <w:rPr>
          <w:color w:val="000000" w:themeColor="text1"/>
          <w:highlight w:val="none"/>
          <w14:textFill>
            <w14:solidFill>
              <w14:schemeClr w14:val="tx1"/>
            </w14:solidFill>
          </w14:textFill>
        </w:rPr>
      </w:pPr>
      <w:r>
        <w:rPr>
          <w:rFonts w:hint="eastAsia" w:cs="Arial"/>
          <w:color w:val="000000" w:themeColor="text1"/>
          <w:highlight w:val="none"/>
          <w:u w:val="single"/>
          <w14:textFill>
            <w14:solidFill>
              <w14:schemeClr w14:val="tx1"/>
            </w14:solidFill>
          </w14:textFill>
        </w:rPr>
        <w:t>3.1.4 招标人需将开标异议提交给评标委员会的评审确认时，评标委员会须进行评审确认，不得以任何理由拒绝。</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3.2详细评审</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3.2.1评标委员会按本章第 2.2 款规定的量化因素和分值进行打分，并计算出综合评估得分。</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（1）按本章第 2.2.4（1）目规定的评审因素和分值对资信业绩部分计算出得分A；</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（2）按本章第 2.2.4（2）目规定的评审因素和分值对</w:t>
      </w:r>
      <w:r>
        <w:rPr>
          <w:rFonts w:hint="eastAsia"/>
          <w:color w:val="000000" w:themeColor="text1"/>
          <w:sz w:val="21"/>
          <w:highlight w:val="none"/>
          <w:lang w:val="en-US"/>
          <w14:textFill>
            <w14:solidFill>
              <w14:schemeClr w14:val="tx1"/>
            </w14:solidFill>
          </w14:textFill>
        </w:rPr>
        <w:t>技术方案</w:t>
      </w:r>
      <w:r>
        <w:rPr>
          <w:rFonts w:hint="eastAsia"/>
          <w:color w:val="000000" w:themeColor="text1"/>
          <w:sz w:val="21"/>
          <w:highlight w:val="none"/>
          <w14:textFill>
            <w14:solidFill>
              <w14:schemeClr w14:val="tx1"/>
            </w14:solidFill>
          </w14:textFill>
        </w:rPr>
        <w:t>部分计算出得分B；</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（3）按本章第 2.2.4（3）目规定的评审因素和分值对投标报价计算出得分C；</w:t>
      </w:r>
    </w:p>
    <w:p>
      <w:pPr>
        <w:spacing w:line="36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（4）按本章第 2.2.4（4）目规定的评审因素和分值对其他部分计算出得分D。</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3.2.2评分分值计算保留小数点后两位，小数点后第三位“四舍五入”。</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3.2.3投标人得分=A+B+C+D。</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3.3投标文件的澄清</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3.3.2澄清、说明或补正不得超出投标文件的范围且不得改变投标文件的实质性内容，并构成投标文件的组成部分。</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3.3.3评标委员会对投标人提交的澄清、说明或补正有疑问的，可以要求投标人进一步澄清、说明或补正，直至满足评标委员会的要求。</w:t>
      </w:r>
    </w:p>
    <w:p>
      <w:pPr>
        <w:spacing w:line="360" w:lineRule="auto"/>
        <w:rPr>
          <w:color w:val="000000" w:themeColor="text1"/>
          <w:sz w:val="2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3.4评标结果</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3.4.1除第二章“投标人须知”前附表授权直接确定中标人外，评标委员会按照得分由高到低的顺序推荐中标候选人，并标明排序。</w:t>
      </w:r>
    </w:p>
    <w:p>
      <w:pPr>
        <w:spacing w:line="360" w:lineRule="auto"/>
        <w:ind w:firstLine="210" w:firstLineChars="1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评标委员会完成评标后，应当向招标人提交书面评标报告和中标候选人名单。</w:t>
      </w:r>
    </w:p>
    <w:p>
      <w:pPr>
        <w:spacing w:line="360" w:lineRule="auto"/>
        <w:rPr>
          <w:color w:val="000000" w:themeColor="text1"/>
          <w:sz w:val="21"/>
          <w:highlight w:val="none"/>
          <w14:textFill>
            <w14:solidFill>
              <w14:schemeClr w14:val="tx1"/>
            </w14:solidFill>
          </w14:textFill>
        </w:rPr>
        <w:sectPr>
          <w:pgSz w:w="11906" w:h="16838"/>
          <w:pgMar w:top="1500" w:right="1100" w:bottom="1120" w:left="1560" w:header="0" w:footer="841" w:gutter="0"/>
          <w:cols w:space="720" w:num="1"/>
        </w:sectPr>
      </w:pPr>
    </w:p>
    <w:p>
      <w:pPr>
        <w:pStyle w:val="3"/>
        <w:spacing w:line="360" w:lineRule="auto"/>
        <w:rPr>
          <w:rFonts w:ascii="宋体" w:hAnsi="宋体" w:eastAsia="宋体" w:cs="宋体"/>
          <w:color w:val="000000" w:themeColor="text1"/>
          <w:highlight w:val="none"/>
          <w14:textFill>
            <w14:solidFill>
              <w14:schemeClr w14:val="tx1"/>
            </w14:solidFill>
          </w14:textFill>
        </w:rPr>
      </w:pPr>
      <w:bookmarkStart w:id="23" w:name="_Toc24117"/>
      <w:r>
        <w:rPr>
          <w:rFonts w:hint="eastAsia" w:ascii="宋体" w:hAnsi="宋体" w:eastAsia="宋体" w:cs="宋体"/>
          <w:color w:val="000000" w:themeColor="text1"/>
          <w:highlight w:val="none"/>
          <w14:textFill>
            <w14:solidFill>
              <w14:schemeClr w14:val="tx1"/>
            </w14:solidFill>
          </w14:textFill>
        </w:rPr>
        <w:t>第四章</w:t>
      </w:r>
      <w:r>
        <w:rPr>
          <w:rFonts w:hint="eastAsia"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合同条款及格式</w:t>
      </w:r>
      <w:bookmarkEnd w:id="23"/>
    </w:p>
    <w:p>
      <w:pPr>
        <w:pStyle w:val="10"/>
        <w:spacing w:line="360" w:lineRule="auto"/>
        <w:rPr>
          <w:b/>
          <w:color w:val="000000" w:themeColor="text1"/>
          <w:sz w:val="20"/>
          <w:highlight w:val="none"/>
          <w14:textFill>
            <w14:solidFill>
              <w14:schemeClr w14:val="tx1"/>
            </w14:solidFill>
          </w14:textFill>
        </w:rPr>
      </w:pPr>
    </w:p>
    <w:p>
      <w:pPr>
        <w:pStyle w:val="10"/>
        <w:spacing w:line="360" w:lineRule="auto"/>
        <w:rPr>
          <w:b/>
          <w:color w:val="000000" w:themeColor="text1"/>
          <w:sz w:val="20"/>
          <w:highlight w:val="none"/>
          <w14:textFill>
            <w14:solidFill>
              <w14:schemeClr w14:val="tx1"/>
            </w14:solidFill>
          </w14:textFill>
        </w:rPr>
      </w:pPr>
    </w:p>
    <w:p>
      <w:pPr>
        <w:pStyle w:val="10"/>
        <w:spacing w:before="5" w:line="360" w:lineRule="auto"/>
        <w:rPr>
          <w:b/>
          <w:color w:val="000000" w:themeColor="text1"/>
          <w:sz w:val="19"/>
          <w:highlight w:val="none"/>
          <w14:textFill>
            <w14:solidFill>
              <w14:schemeClr w14:val="tx1"/>
            </w14:solidFill>
          </w14:textFill>
        </w:rPr>
      </w:pPr>
    </w:p>
    <w:p>
      <w:pPr>
        <w:spacing w:line="360" w:lineRule="auto"/>
        <w:jc w:val="center"/>
        <w:rPr>
          <w:color w:val="000000" w:themeColor="text1"/>
          <w:highlight w:val="none"/>
          <w14:textFill>
            <w14:solidFill>
              <w14:schemeClr w14:val="tx1"/>
            </w14:solidFill>
          </w14:textFill>
        </w:rPr>
        <w:sectPr>
          <w:pgSz w:w="11906" w:h="16838"/>
          <w:pgMar w:top="1420" w:right="1100" w:bottom="1120" w:left="1560" w:header="0" w:footer="841" w:gutter="0"/>
          <w:cols w:space="720" w:num="1"/>
        </w:sectPr>
      </w:pPr>
      <w:r>
        <w:rPr>
          <w:rFonts w:hint="eastAsia"/>
          <w:b/>
          <w:color w:val="000000" w:themeColor="text1"/>
          <w:sz w:val="24"/>
          <w:szCs w:val="24"/>
          <w:highlight w:val="none"/>
          <w14:textFill>
            <w14:solidFill>
              <w14:schemeClr w14:val="tx1"/>
            </w14:solidFill>
          </w14:textFill>
        </w:rPr>
        <w:t>[另册]</w:t>
      </w:r>
    </w:p>
    <w:p>
      <w:pPr>
        <w:spacing w:line="360" w:lineRule="auto"/>
        <w:rPr>
          <w:color w:val="000000" w:themeColor="text1"/>
          <w:highlight w:val="none"/>
          <w14:textFill>
            <w14:solidFill>
              <w14:schemeClr w14:val="tx1"/>
            </w14:solidFill>
          </w14:textFill>
        </w:rPr>
        <w:sectPr>
          <w:type w:val="continuous"/>
          <w:pgSz w:w="11906" w:h="16838"/>
          <w:pgMar w:top="1500" w:right="1100" w:bottom="280" w:left="1560" w:header="720" w:footer="720" w:gutter="0"/>
          <w:cols w:space="720" w:num="1"/>
        </w:sectPr>
      </w:pPr>
      <w:bookmarkStart w:id="24" w:name="_bookmark94"/>
      <w:bookmarkEnd w:id="24"/>
    </w:p>
    <w:p>
      <w:pPr>
        <w:pStyle w:val="3"/>
        <w:spacing w:before="68" w:line="360" w:lineRule="auto"/>
        <w:ind w:right="458"/>
        <w:rPr>
          <w:rFonts w:ascii="宋体" w:hAnsi="宋体" w:eastAsia="宋体" w:cs="宋体"/>
          <w:color w:val="000000" w:themeColor="text1"/>
          <w:highlight w:val="none"/>
          <w14:textFill>
            <w14:solidFill>
              <w14:schemeClr w14:val="tx1"/>
            </w14:solidFill>
          </w14:textFill>
        </w:rPr>
      </w:pPr>
      <w:bookmarkStart w:id="25" w:name="_Toc7448"/>
      <w:r>
        <w:rPr>
          <w:rFonts w:hint="eastAsia" w:ascii="宋体" w:hAnsi="宋体" w:eastAsia="宋体" w:cs="宋体"/>
          <w:color w:val="000000" w:themeColor="text1"/>
          <w:highlight w:val="none"/>
          <w14:textFill>
            <w14:solidFill>
              <w14:schemeClr w14:val="tx1"/>
            </w14:solidFill>
          </w14:textFill>
        </w:rPr>
        <w:t>第二卷</w:t>
      </w:r>
      <w:bookmarkEnd w:id="25"/>
    </w:p>
    <w:p>
      <w:pPr>
        <w:pStyle w:val="10"/>
        <w:spacing w:line="360" w:lineRule="auto"/>
        <w:rPr>
          <w:b/>
          <w:color w:val="000000" w:themeColor="text1"/>
          <w:sz w:val="20"/>
          <w:highlight w:val="none"/>
          <w14:textFill>
            <w14:solidFill>
              <w14:schemeClr w14:val="tx1"/>
            </w14:solidFill>
          </w14:textFill>
        </w:rPr>
      </w:pPr>
    </w:p>
    <w:p>
      <w:pPr>
        <w:pStyle w:val="10"/>
        <w:spacing w:before="1" w:line="360" w:lineRule="auto"/>
        <w:rPr>
          <w:b/>
          <w:color w:val="000000" w:themeColor="text1"/>
          <w:sz w:val="17"/>
          <w:highlight w:val="none"/>
          <w14:textFill>
            <w14:solidFill>
              <w14:schemeClr w14:val="tx1"/>
            </w14:solidFill>
          </w14:textFill>
        </w:rPr>
      </w:pPr>
    </w:p>
    <w:p>
      <w:pPr>
        <w:pStyle w:val="3"/>
        <w:spacing w:line="360" w:lineRule="auto"/>
        <w:rPr>
          <w:rFonts w:ascii="宋体" w:hAnsi="宋体" w:eastAsia="宋体" w:cs="宋体"/>
          <w:color w:val="000000" w:themeColor="text1"/>
          <w:highlight w:val="none"/>
          <w14:textFill>
            <w14:solidFill>
              <w14:schemeClr w14:val="tx1"/>
            </w14:solidFill>
          </w14:textFill>
        </w:rPr>
      </w:pPr>
      <w:bookmarkStart w:id="26" w:name="_Toc12073"/>
      <w:r>
        <w:rPr>
          <w:rFonts w:hint="eastAsia" w:ascii="宋体" w:hAnsi="宋体" w:eastAsia="宋体" w:cs="宋体"/>
          <w:color w:val="000000" w:themeColor="text1"/>
          <w:highlight w:val="none"/>
          <w14:textFill>
            <w14:solidFill>
              <w14:schemeClr w14:val="tx1"/>
            </w14:solidFill>
          </w14:textFill>
        </w:rPr>
        <w:t>第五章</w:t>
      </w:r>
      <w:r>
        <w:rPr>
          <w:rFonts w:hint="eastAsia"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委托人要求</w:t>
      </w:r>
      <w:bookmarkEnd w:id="26"/>
    </w:p>
    <w:p>
      <w:pPr>
        <w:pStyle w:val="10"/>
        <w:spacing w:before="5" w:line="360" w:lineRule="auto"/>
        <w:jc w:val="center"/>
        <w:rPr>
          <w:color w:val="000000" w:themeColor="text1"/>
          <w:sz w:val="22"/>
          <w:highlight w:val="none"/>
          <w14:textFill>
            <w14:solidFill>
              <w14:schemeClr w14:val="tx1"/>
            </w14:solidFill>
          </w14:textFill>
        </w:rPr>
      </w:pPr>
      <w:r>
        <w:rPr>
          <w:b/>
          <w:color w:val="000000" w:themeColor="text1"/>
          <w:sz w:val="28"/>
          <w:szCs w:val="28"/>
          <w:highlight w:val="none"/>
          <w14:textFill>
            <w14:solidFill>
              <w14:schemeClr w14:val="tx1"/>
            </w14:solidFill>
          </w14:textFill>
        </w:rPr>
        <w:t>委托人要求通常包括但不限于以下内容：</w:t>
      </w:r>
    </w:p>
    <w:p>
      <w:pPr>
        <w:adjustRightInd w:val="0"/>
        <w:snapToGrid w:val="0"/>
        <w:spacing w:line="400" w:lineRule="exact"/>
        <w:rPr>
          <w:color w:val="000000" w:themeColor="text1"/>
          <w:sz w:val="28"/>
          <w:highlight w:val="none"/>
          <w14:textFill>
            <w14:solidFill>
              <w14:schemeClr w14:val="tx1"/>
            </w14:solidFill>
          </w14:textFill>
        </w:rPr>
      </w:pPr>
      <w:bookmarkStart w:id="27" w:name="_bookmark163"/>
      <w:bookmarkEnd w:id="27"/>
      <w:r>
        <w:rPr>
          <w:rFonts w:hint="eastAsia"/>
          <w:b/>
          <w:bCs/>
          <w:color w:val="000000" w:themeColor="text1"/>
          <w:sz w:val="28"/>
          <w:highlight w:val="none"/>
          <w14:textFill>
            <w14:solidFill>
              <w14:schemeClr w14:val="tx1"/>
            </w14:solidFill>
          </w14:textFill>
        </w:rPr>
        <w:t>一、</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要求</w:t>
      </w:r>
    </w:p>
    <w:p>
      <w:pPr>
        <w:pStyle w:val="28"/>
        <w:tabs>
          <w:tab w:val="left" w:pos="86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项目概况</w:t>
      </w:r>
    </w:p>
    <w:p>
      <w:pPr>
        <w:widowControl/>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站前街铁路片区（站西小区、西站小区、克山小区）微改造项目</w:t>
      </w:r>
      <w:r>
        <w:rPr>
          <w:rFonts w:hint="eastAsia" w:asciiTheme="minorEastAsia" w:hAnsiTheme="minorEastAsia" w:cstheme="minorEastAsia"/>
          <w:color w:val="auto"/>
          <w:sz w:val="24"/>
          <w:szCs w:val="24"/>
          <w:highlight w:val="none"/>
          <w:u w:val="single"/>
        </w:rPr>
        <w:t>范围为荔湾区站前街道铁路片区，</w:t>
      </w:r>
      <w:r>
        <w:rPr>
          <w:rFonts w:hint="eastAsia" w:asciiTheme="minorEastAsia" w:hAnsiTheme="minorEastAsia" w:cstheme="minorEastAsia"/>
          <w:color w:val="auto"/>
          <w:sz w:val="24"/>
          <w:szCs w:val="24"/>
          <w:highlight w:val="none"/>
          <w:u w:val="single"/>
          <w:lang w:eastAsia="zh-CN"/>
        </w:rPr>
        <w:t>改造范围东至省客运站、市客运站，南至站前路，西至环市西路克山铁路桥铁路沿线，北至站西路。改造面积约 45.6 公顷，涉及 105 栋房屋。改造内容主要包括对片区内现有建筑与公共基础设施进行微改造，包括 17 项基础类项目、12 类完善类项目、3项提升类项目。主要建设内容为对建筑房屋本体部分的楼道修缮及照明、外墙治理、三线规整、适老化设施改造、消防及供水设施改造、公共空间绿化、海绵城市建设等</w:t>
      </w:r>
      <w:r>
        <w:rPr>
          <w:rFonts w:hint="eastAsia"/>
          <w:color w:val="000000" w:themeColor="text1"/>
          <w:sz w:val="24"/>
          <w:szCs w:val="24"/>
          <w:highlight w:val="none"/>
          <w:u w:val="single"/>
          <w14:textFill>
            <w14:solidFill>
              <w14:schemeClr w14:val="tx1"/>
            </w14:solidFill>
          </w14:textFill>
        </w:rPr>
        <w:t>。</w:t>
      </w:r>
    </w:p>
    <w:p>
      <w:pPr>
        <w:pStyle w:val="28"/>
        <w:tabs>
          <w:tab w:val="left" w:pos="86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2.招标</w:t>
      </w:r>
      <w:r>
        <w:rPr>
          <w:rFonts w:hint="eastAsia"/>
          <w:color w:val="000000" w:themeColor="text1"/>
          <w:spacing w:val="-3"/>
          <w:sz w:val="24"/>
          <w:szCs w:val="24"/>
          <w:highlight w:val="none"/>
          <w14:textFill>
            <w14:solidFill>
              <w14:schemeClr w14:val="tx1"/>
            </w14:solidFill>
          </w14:textFill>
        </w:rPr>
        <w:t>范围及内容</w:t>
      </w:r>
    </w:p>
    <w:p>
      <w:pPr>
        <w:pStyle w:val="8"/>
        <w:numPr>
          <w:ilvl w:val="255"/>
          <w:numId w:val="0"/>
        </w:numPr>
        <w:adjustRightInd w:val="0"/>
        <w:snapToGrid w:val="0"/>
        <w:spacing w:line="400" w:lineRule="exact"/>
        <w:ind w:firstLine="480" w:firstLineChars="200"/>
        <w:rPr>
          <w:rFonts w:hint="eastAsia"/>
          <w:color w:val="auto"/>
          <w:kern w:val="2"/>
          <w:sz w:val="24"/>
          <w:szCs w:val="24"/>
          <w:highlight w:val="none"/>
          <w:lang w:val="en-US" w:bidi="ar-SA"/>
        </w:rPr>
      </w:pPr>
      <w:r>
        <w:rPr>
          <w:rFonts w:hint="eastAsia"/>
          <w:color w:val="auto"/>
          <w:sz w:val="24"/>
          <w:szCs w:val="24"/>
          <w:highlight w:val="none"/>
          <w:lang w:eastAsia="zh-CN"/>
        </w:rPr>
        <w:t>为</w:t>
      </w:r>
      <w:r>
        <w:rPr>
          <w:rFonts w:hint="eastAsia"/>
          <w:color w:val="auto"/>
          <w:kern w:val="2"/>
          <w:sz w:val="24"/>
          <w:szCs w:val="24"/>
          <w:highlight w:val="none"/>
          <w:lang w:val="en-US" w:bidi="ar-SA"/>
        </w:rPr>
        <w:t>本项目</w:t>
      </w:r>
      <w:r>
        <w:rPr>
          <w:rFonts w:hint="eastAsia"/>
          <w:color w:val="auto"/>
          <w:kern w:val="2"/>
          <w:sz w:val="24"/>
          <w:szCs w:val="24"/>
          <w:highlight w:val="none"/>
          <w:lang w:val="en-US" w:eastAsia="zh-CN" w:bidi="ar-SA"/>
        </w:rPr>
        <w:t>施工</w:t>
      </w:r>
      <w:r>
        <w:rPr>
          <w:rFonts w:hint="eastAsia"/>
          <w:color w:val="auto"/>
          <w:kern w:val="2"/>
          <w:sz w:val="24"/>
          <w:szCs w:val="24"/>
          <w:highlight w:val="none"/>
          <w:lang w:val="en-US" w:bidi="ar-SA"/>
        </w:rPr>
        <w:t>监理</w:t>
      </w:r>
      <w:r>
        <w:rPr>
          <w:rFonts w:hint="eastAsia"/>
          <w:color w:val="auto"/>
          <w:kern w:val="2"/>
          <w:sz w:val="24"/>
          <w:szCs w:val="24"/>
          <w:highlight w:val="none"/>
          <w:lang w:val="en-US" w:eastAsia="zh-CN" w:bidi="ar-SA"/>
        </w:rPr>
        <w:t>，施工监理</w:t>
      </w:r>
      <w:r>
        <w:rPr>
          <w:rFonts w:hint="eastAsia"/>
          <w:color w:val="auto"/>
          <w:kern w:val="2"/>
          <w:sz w:val="24"/>
          <w:szCs w:val="24"/>
          <w:highlight w:val="none"/>
          <w:lang w:val="en-US" w:bidi="ar-SA"/>
        </w:rPr>
        <w:t>工作包括：</w:t>
      </w:r>
    </w:p>
    <w:p>
      <w:pPr>
        <w:pStyle w:val="8"/>
        <w:numPr>
          <w:ilvl w:val="255"/>
          <w:numId w:val="0"/>
        </w:numPr>
        <w:adjustRightInd w:val="0"/>
        <w:snapToGrid w:val="0"/>
        <w:spacing w:line="400" w:lineRule="exact"/>
        <w:ind w:firstLine="480" w:firstLineChars="200"/>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kern w:val="2"/>
          <w:sz w:val="24"/>
          <w:szCs w:val="24"/>
          <w:highlight w:val="none"/>
          <w:u w:val="single"/>
          <w:lang w:val="en-US" w:bidi="ar-SA"/>
          <w14:textFill>
            <w14:solidFill>
              <w14:schemeClr w14:val="tx1"/>
            </w14:solidFill>
          </w14:textFill>
        </w:rPr>
        <w:t>（1）</w:t>
      </w:r>
      <w:r>
        <w:rPr>
          <w:color w:val="000000" w:themeColor="text1"/>
          <w:kern w:val="2"/>
          <w:sz w:val="24"/>
          <w:szCs w:val="24"/>
          <w:highlight w:val="none"/>
          <w:u w:val="single"/>
          <w:lang w:val="en-US" w:bidi="ar-SA"/>
          <w14:textFill>
            <w14:solidFill>
              <w14:schemeClr w14:val="tx1"/>
            </w14:solidFill>
          </w14:textFill>
        </w:rPr>
        <w:t>施工前准备阶段</w:t>
      </w:r>
      <w:r>
        <w:rPr>
          <w:rFonts w:hint="eastAsia"/>
          <w:color w:val="000000" w:themeColor="text1"/>
          <w:kern w:val="2"/>
          <w:sz w:val="24"/>
          <w:szCs w:val="24"/>
          <w:highlight w:val="none"/>
          <w:u w:val="single"/>
          <w:lang w:val="en-US" w:bidi="ar-SA"/>
          <w14:textFill>
            <w14:solidFill>
              <w14:schemeClr w14:val="tx1"/>
            </w14:solidFill>
          </w14:textFill>
        </w:rPr>
        <w:t>，</w:t>
      </w:r>
      <w:r>
        <w:rPr>
          <w:color w:val="000000" w:themeColor="text1"/>
          <w:kern w:val="2"/>
          <w:sz w:val="24"/>
          <w:szCs w:val="24"/>
          <w:highlight w:val="none"/>
          <w:u w:val="single"/>
          <w:lang w:val="en-US" w:bidi="ar-SA"/>
          <w14:textFill>
            <w14:solidFill>
              <w14:schemeClr w14:val="tx1"/>
            </w14:solidFill>
          </w14:textFill>
        </w:rPr>
        <w:t>包括但不限于协助发包人编制勘察要求、核查勘察方案并监督实施和进行相应的控制。协助业主办理场地移交、办理相关许可证照、报建报批及其他前期准备工作。</w:t>
      </w:r>
    </w:p>
    <w:p>
      <w:pPr>
        <w:adjustRightInd w:val="0"/>
        <w:snapToGrid w:val="0"/>
        <w:spacing w:line="400" w:lineRule="exact"/>
        <w:ind w:firstLine="480" w:firstLineChars="200"/>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w:t>
      </w:r>
      <w:r>
        <w:rPr>
          <w:rFonts w:hint="eastAsia"/>
          <w:color w:val="000000" w:themeColor="text1"/>
          <w:kern w:val="2"/>
          <w:sz w:val="24"/>
          <w:szCs w:val="24"/>
          <w:highlight w:val="none"/>
          <w:u w:val="single"/>
          <w:lang w:val="en-US" w:bidi="ar-SA"/>
          <w14:textFill>
            <w14:solidFill>
              <w14:schemeClr w14:val="tx1"/>
            </w14:solidFill>
          </w14:textFill>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adjustRightInd w:val="0"/>
        <w:snapToGrid w:val="0"/>
        <w:spacing w:line="400" w:lineRule="exact"/>
        <w:ind w:firstLine="480" w:firstLineChars="200"/>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w:t>
      </w:r>
      <w:r>
        <w:rPr>
          <w:color w:val="000000" w:themeColor="text1"/>
          <w:kern w:val="2"/>
          <w:sz w:val="24"/>
          <w:szCs w:val="24"/>
          <w:highlight w:val="none"/>
          <w:u w:val="single"/>
          <w:lang w:val="en-US" w:bidi="ar-SA"/>
          <w14:textFill>
            <w14:solidFill>
              <w14:schemeClr w14:val="tx1"/>
            </w14:solidFill>
          </w14:textFill>
        </w:rPr>
        <w:t>竣工验收及保修阶段：包括但不限于竣工验收及竣工验收资料移交档案、整改、工程移交及实物移交、审核工程结算、竣工备案等，按国家相关规定执行。</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质量标准</w:t>
      </w:r>
      <w:r>
        <w:rPr>
          <w:rFonts w:hint="eastAsia"/>
          <w:color w:val="000000" w:themeColor="text1"/>
          <w:sz w:val="24"/>
          <w:szCs w:val="24"/>
          <w:highlight w:val="none"/>
          <w14:textFill>
            <w14:solidFill>
              <w14:schemeClr w14:val="tx1"/>
            </w14:solidFill>
          </w14:textFill>
        </w:rPr>
        <w:t>：</w:t>
      </w:r>
    </w:p>
    <w:p>
      <w:pPr>
        <w:pStyle w:val="34"/>
        <w:spacing w:line="400" w:lineRule="exact"/>
        <w:ind w:firstLine="488"/>
        <w:rPr>
          <w:rFonts w:ascii="仿宋" w:hAnsi="仿宋" w:eastAsia="仿宋" w:cs="仿宋"/>
          <w:b/>
          <w:bCs/>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（1）质量控制目标</w:t>
      </w:r>
      <w:r>
        <w:rPr>
          <w:rFonts w:hint="eastAsia" w:ascii="宋体" w:hAnsi="宋体" w:cs="宋体"/>
          <w:color w:val="000000" w:themeColor="text1"/>
          <w:spacing w:val="0"/>
          <w:highlight w:val="none"/>
          <w:u w:val="single"/>
          <w14:textFill>
            <w14:solidFill>
              <w14:schemeClr w14:val="tx1"/>
            </w14:solidFill>
          </w14:textFill>
        </w:rPr>
        <w:t>：合格。</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（2）进度控制目标：按委托人对工期的要求进行进度目标控制。</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（3）投资控制目标：所监理的建安工程结算不超过合同价，且不超过相应的建安工程费概算批复。</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（4）安全生产文明施工控制目标：确保工程无人员死亡事故；确保实施期内有关建设人员不违反委托人安全监管规定。</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（5）职业健康安全管理目标：杜绝发生一般事故等级以上的伤亡事故且工伤责任事故死亡人数为零。</w:t>
      </w:r>
    </w:p>
    <w:p>
      <w:pPr>
        <w:pStyle w:val="28"/>
        <w:tabs>
          <w:tab w:val="left" w:pos="86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监理依据：根据《建设工程质量管理条例》（中华人民共和国建设部令第279号）和《建设工程监理范围和规模标准规定》（中华人民共和国建设部令第86号），按中华人民共和国国家标准GB/T50319-2013《建设工程监理规范》执行。</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）适用的法律、行政法规及部门规章；</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）与工程有关的规范、标准、规程；</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）工程勘察文件、设计文件及其他文件；</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）本工程监理的委托合同及补充合同；</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）委托人签订的勘察、设计和施工承包合同；</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）合同履行中与工程项目有关的来往函件；</w:t>
      </w:r>
    </w:p>
    <w:p>
      <w:pPr>
        <w:adjustRightInd w:val="0"/>
        <w:snapToGrid w:val="0"/>
        <w:spacing w:line="400" w:lineRule="exact"/>
        <w:ind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7</w:t>
      </w:r>
      <w:r>
        <w:rPr>
          <w:rFonts w:hint="eastAsia"/>
          <w:color w:val="000000" w:themeColor="text1"/>
          <w:sz w:val="24"/>
          <w:szCs w:val="24"/>
          <w:highlight w:val="none"/>
          <w14:textFill>
            <w14:solidFill>
              <w14:schemeClr w14:val="tx1"/>
            </w14:solidFill>
          </w14:textFill>
        </w:rPr>
        <w:t>）其他监理依据。</w:t>
      </w:r>
    </w:p>
    <w:p>
      <w:pPr>
        <w:pStyle w:val="28"/>
        <w:tabs>
          <w:tab w:val="left" w:pos="865"/>
        </w:tabs>
        <w:adjustRightInd w:val="0"/>
        <w:snapToGrid w:val="0"/>
        <w:spacing w:line="400" w:lineRule="exact"/>
        <w:ind w:left="0"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4.</w:t>
      </w:r>
      <w:r>
        <w:rPr>
          <w:rFonts w:hint="eastAsia"/>
          <w:color w:val="000000" w:themeColor="text1"/>
          <w:sz w:val="24"/>
          <w:szCs w:val="24"/>
          <w:highlight w:val="none"/>
          <w14:textFill>
            <w14:solidFill>
              <w14:schemeClr w14:val="tx1"/>
            </w14:solidFill>
          </w14:textFill>
        </w:rPr>
        <w:t>监理的技术要求：</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14:textFill>
            <w14:solidFill>
              <w14:schemeClr w14:val="tx1"/>
            </w14:solidFill>
          </w14:textFill>
        </w:rPr>
        <w:t>）符合法律、行政法规及部门规章；</w:t>
      </w:r>
    </w:p>
    <w:p>
      <w:pPr>
        <w:adjustRightInd w:val="0"/>
        <w:snapToGrid w:val="0"/>
        <w:spacing w:line="400" w:lineRule="exact"/>
        <w:ind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）符合本工程有关的规范、标准、规程；</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lang w:val="en-US"/>
          <w14:textFill>
            <w14:solidFill>
              <w14:schemeClr w14:val="tx1"/>
            </w14:solidFill>
          </w14:textFill>
        </w:rPr>
        <w:t>监理资质要求及</w:t>
      </w:r>
      <w:r>
        <w:rPr>
          <w:rFonts w:hint="eastAsia"/>
          <w:color w:val="000000" w:themeColor="text1"/>
          <w:sz w:val="24"/>
          <w:szCs w:val="24"/>
          <w:highlight w:val="none"/>
          <w14:textFill>
            <w14:solidFill>
              <w14:schemeClr w14:val="tx1"/>
            </w14:solidFill>
          </w14:textFill>
        </w:rPr>
        <w:t>监理人员、设备要求：</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监理资质要求（1）投标人必须具有独立承担民事责任能力的中华人民共和国境内注册的法人或其他组织；（2）投标人须具备工程监理综合资质或房屋建筑工程监理丙级（或以上）资质。香港企业参加投标的，须在广东省住房和城乡建设主管部门备案且备案的业务范围满足本项目招标文件要求。</w:t>
      </w:r>
    </w:p>
    <w:p>
      <w:pPr>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项目监理人员组成要求：</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（1）总监理工程师：必须具备建设部2006年4月1日后颁发的中华人民共和国注册监理工程师注册执业证书，且其注册专业为</w:t>
      </w:r>
      <w:r>
        <w:rPr>
          <w:rFonts w:hint="eastAsia"/>
          <w:color w:val="000000" w:themeColor="text1"/>
          <w:sz w:val="24"/>
          <w:szCs w:val="24"/>
          <w:highlight w:val="none"/>
          <w:u w:val="single"/>
          <w14:textFill>
            <w14:solidFill>
              <w14:schemeClr w14:val="tx1"/>
            </w14:solidFill>
          </w14:textFill>
        </w:rPr>
        <w:t>房屋建筑工程</w:t>
      </w:r>
      <w:r>
        <w:rPr>
          <w:rFonts w:hint="eastAsia"/>
          <w:color w:val="000000" w:themeColor="text1"/>
          <w:sz w:val="24"/>
          <w:szCs w:val="24"/>
          <w:highlight w:val="none"/>
          <w14:textFill>
            <w14:solidFill>
              <w14:schemeClr w14:val="tx1"/>
            </w14:solidFill>
          </w14:textFill>
        </w:rPr>
        <w:t>，注册执业单位为本公司，</w:t>
      </w:r>
      <w:r>
        <w:rPr>
          <w:rFonts w:hint="eastAsia"/>
          <w:color w:val="000000" w:themeColor="text1"/>
          <w:sz w:val="24"/>
          <w:szCs w:val="24"/>
          <w:highlight w:val="none"/>
          <w:u w:val="single"/>
          <w14:textFill>
            <w14:solidFill>
              <w14:schemeClr w14:val="tx1"/>
            </w14:solidFill>
          </w14:textFill>
        </w:rPr>
        <w:t>并具有本科或以上的学历</w:t>
      </w:r>
      <w:r>
        <w:rPr>
          <w:rFonts w:hint="eastAsia"/>
          <w:color w:val="000000" w:themeColor="text1"/>
          <w:sz w:val="24"/>
          <w:szCs w:val="24"/>
          <w:highlight w:val="none"/>
          <w14:textFill>
            <w14:solidFill>
              <w14:schemeClr w14:val="tx1"/>
            </w14:solidFill>
          </w14:textFill>
        </w:rPr>
        <w:t>。</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（2）专业监理人员配套要求：</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根据项目进度、专业需求及建设单位要求驻工地。各专业人员可根据工程进度及建设单位要求派驻现场，应满足施工时监理人员旁站监理的要求。</w:t>
      </w:r>
    </w:p>
    <w:p>
      <w:pPr>
        <w:pStyle w:val="10"/>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t>. 其他要求</w:t>
      </w:r>
    </w:p>
    <w:p>
      <w:pPr>
        <w:pStyle w:val="10"/>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按国家相关法规执行</w:t>
      </w:r>
      <w:r>
        <w:rPr>
          <w:rFonts w:hint="eastAsia"/>
          <w:color w:val="000000" w:themeColor="text1"/>
          <w:sz w:val="24"/>
          <w:szCs w:val="24"/>
          <w:highlight w:val="none"/>
          <w:lang w:val="en-US"/>
          <w14:textFill>
            <w14:solidFill>
              <w14:schemeClr w14:val="tx1"/>
            </w14:solidFill>
          </w14:textFill>
        </w:rPr>
        <w:t>本项目</w:t>
      </w:r>
      <w:r>
        <w:rPr>
          <w:rFonts w:hint="eastAsia"/>
          <w:color w:val="000000" w:themeColor="text1"/>
          <w:sz w:val="24"/>
          <w:szCs w:val="24"/>
          <w:highlight w:val="none"/>
          <w14:textFill>
            <w14:solidFill>
              <w14:schemeClr w14:val="tx1"/>
            </w14:solidFill>
          </w14:textFill>
        </w:rPr>
        <w:t>工作。</w:t>
      </w:r>
    </w:p>
    <w:p>
      <w:pPr>
        <w:adjustRightInd w:val="0"/>
        <w:snapToGrid w:val="0"/>
        <w:spacing w:line="400" w:lineRule="exact"/>
        <w:rPr>
          <w:color w:val="000000" w:themeColor="text1"/>
          <w:sz w:val="28"/>
          <w:highlight w:val="none"/>
          <w14:textFill>
            <w14:solidFill>
              <w14:schemeClr w14:val="tx1"/>
            </w14:solidFill>
          </w14:textFill>
        </w:rPr>
      </w:pPr>
      <w:bookmarkStart w:id="28" w:name="_bookmark164"/>
      <w:bookmarkEnd w:id="28"/>
      <w:r>
        <w:rPr>
          <w:rFonts w:hint="eastAsia"/>
          <w:b/>
          <w:bCs/>
          <w:color w:val="000000" w:themeColor="text1"/>
          <w:sz w:val="28"/>
          <w:highlight w:val="none"/>
          <w:lang w:val="en-US"/>
          <w14:textFill>
            <w14:solidFill>
              <w14:schemeClr w14:val="tx1"/>
            </w14:solidFill>
          </w14:textFill>
        </w:rPr>
        <w:t>二</w:t>
      </w:r>
      <w:r>
        <w:rPr>
          <w:rFonts w:hint="eastAsia"/>
          <w:b/>
          <w:bCs/>
          <w:color w:val="000000" w:themeColor="text1"/>
          <w:sz w:val="28"/>
          <w:highlight w:val="none"/>
          <w14:textFill>
            <w14:solidFill>
              <w14:schemeClr w14:val="tx1"/>
            </w14:solidFill>
          </w14:textFill>
        </w:rPr>
        <w:t>、</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适用规范标准</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国家、行业、项目所在地规范名录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《建设工程监理规范》</w:t>
      </w:r>
      <w:r>
        <w:rPr>
          <w:color w:val="000000" w:themeColor="text1"/>
          <w:sz w:val="24"/>
          <w:szCs w:val="24"/>
          <w:highlight w:val="none"/>
          <w:u w:val="single"/>
          <w14:textFill>
            <w14:solidFill>
              <w14:schemeClr w14:val="tx1"/>
            </w14:solidFill>
          </w14:textFill>
        </w:rPr>
        <w:t>GB/T50319-2013</w:t>
      </w:r>
      <w:r>
        <w:rPr>
          <w:rFonts w:hint="eastAsia"/>
          <w:color w:val="000000" w:themeColor="text1"/>
          <w:sz w:val="24"/>
          <w:szCs w:val="24"/>
          <w:highlight w:val="none"/>
          <w:u w:val="single"/>
          <w14:textFill>
            <w14:solidFill>
              <w14:schemeClr w14:val="tx1"/>
            </w14:solidFill>
          </w14:textFill>
        </w:rPr>
        <w:t>，按国家、行业、项目所在地规范名录执行。</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国家、行业、项目所在地标准名录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按国家、行业、项目所在地规范标准执行。</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国家、行业、项目所在地规程名录</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按国家、行业、项目所在地规范标准执行。</w:t>
      </w:r>
    </w:p>
    <w:p>
      <w:pPr>
        <w:adjustRightInd w:val="0"/>
        <w:snapToGrid w:val="0"/>
        <w:spacing w:line="400" w:lineRule="exact"/>
        <w:rPr>
          <w:color w:val="000000" w:themeColor="text1"/>
          <w:sz w:val="28"/>
          <w:highlight w:val="none"/>
          <w14:textFill>
            <w14:solidFill>
              <w14:schemeClr w14:val="tx1"/>
            </w14:solidFill>
          </w14:textFill>
        </w:rPr>
      </w:pPr>
      <w:bookmarkStart w:id="29" w:name="_bookmark165"/>
      <w:bookmarkEnd w:id="29"/>
      <w:r>
        <w:rPr>
          <w:rFonts w:hint="eastAsia"/>
          <w:b/>
          <w:bCs/>
          <w:color w:val="000000" w:themeColor="text1"/>
          <w:sz w:val="28"/>
          <w:highlight w:val="none"/>
          <w:lang w:val="en-US"/>
          <w14:textFill>
            <w14:solidFill>
              <w14:schemeClr w14:val="tx1"/>
            </w14:solidFill>
          </w14:textFill>
        </w:rPr>
        <w:t>三</w:t>
      </w:r>
      <w:r>
        <w:rPr>
          <w:rFonts w:hint="eastAsia"/>
          <w:b/>
          <w:bCs/>
          <w:color w:val="000000" w:themeColor="text1"/>
          <w:sz w:val="28"/>
          <w:highlight w:val="none"/>
          <w14:textFill>
            <w14:solidFill>
              <w14:schemeClr w14:val="tx1"/>
            </w14:solidFill>
          </w14:textFill>
        </w:rPr>
        <w:t>、</w:t>
      </w:r>
      <w:r>
        <w:rPr>
          <w:rFonts w:hint="eastAsia"/>
          <w:b/>
          <w:bCs/>
          <w:color w:val="000000" w:themeColor="text1"/>
          <w:sz w:val="28"/>
          <w:highlight w:val="none"/>
          <w:lang w:val="en-US"/>
          <w14:textFill>
            <w14:solidFill>
              <w14:schemeClr w14:val="tx1"/>
            </w14:solidFill>
          </w14:textFill>
        </w:rPr>
        <w:t>监理</w:t>
      </w:r>
      <w:r>
        <w:rPr>
          <w:rFonts w:hint="eastAsia"/>
          <w:b/>
          <w:bCs/>
          <w:color w:val="000000" w:themeColor="text1"/>
          <w:sz w:val="28"/>
          <w:highlight w:val="none"/>
          <w14:textFill>
            <w14:solidFill>
              <w14:schemeClr w14:val="tx1"/>
            </w14:solidFill>
          </w14:textFill>
        </w:rPr>
        <w:t>成果文件要求</w:t>
      </w:r>
    </w:p>
    <w:p>
      <w:pPr>
        <w:pStyle w:val="10"/>
        <w:adjustRightInd w:val="0"/>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按《建设工程监理规范》（</w:t>
      </w:r>
      <w:r>
        <w:rPr>
          <w:color w:val="000000" w:themeColor="text1"/>
          <w:sz w:val="24"/>
          <w:szCs w:val="24"/>
          <w:highlight w:val="none"/>
          <w14:textFill>
            <w14:solidFill>
              <w14:schemeClr w14:val="tx1"/>
            </w14:solidFill>
          </w14:textFill>
        </w:rPr>
        <w:t>GB/T50319-2013</w:t>
      </w:r>
      <w:r>
        <w:rPr>
          <w:rFonts w:hint="eastAsia"/>
          <w:color w:val="000000" w:themeColor="text1"/>
          <w:sz w:val="24"/>
          <w:szCs w:val="24"/>
          <w:highlight w:val="none"/>
          <w14:textFill>
            <w14:solidFill>
              <w14:schemeClr w14:val="tx1"/>
            </w14:solidFill>
          </w14:textFill>
        </w:rPr>
        <w:t>）和招标人要求</w:t>
      </w:r>
    </w:p>
    <w:p>
      <w:pPr>
        <w:pStyle w:val="10"/>
        <w:adjustRightInd w:val="0"/>
        <w:snapToGrid w:val="0"/>
        <w:spacing w:line="400" w:lineRule="exact"/>
        <w:ind w:firstLine="468" w:firstLineChars="200"/>
        <w:rPr>
          <w:color w:val="000000" w:themeColor="text1"/>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成果文件的组成</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）勘察设计文件、建设工程监理合同及其他合同文件；</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）监理规划、监理实施细则；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）设计交底和图纸会审会议纪要；</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4</w:t>
      </w:r>
      <w:r>
        <w:rPr>
          <w:rFonts w:hint="eastAsia"/>
          <w:color w:val="000000" w:themeColor="text1"/>
          <w:sz w:val="24"/>
          <w:szCs w:val="24"/>
          <w:highlight w:val="none"/>
          <w:u w:val="single"/>
          <w14:textFill>
            <w14:solidFill>
              <w14:schemeClr w14:val="tx1"/>
            </w14:solidFill>
          </w14:textFill>
        </w:rPr>
        <w:t>）施工组织设计、（专项）施工方案、施工进度计划报审文件资料；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）分包单位（如有）资格报审文件资料；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6</w:t>
      </w:r>
      <w:r>
        <w:rPr>
          <w:rFonts w:hint="eastAsia"/>
          <w:color w:val="000000" w:themeColor="text1"/>
          <w:sz w:val="24"/>
          <w:szCs w:val="24"/>
          <w:highlight w:val="none"/>
          <w:u w:val="single"/>
          <w14:textFill>
            <w14:solidFill>
              <w14:schemeClr w14:val="tx1"/>
            </w14:solidFill>
          </w14:textFill>
        </w:rPr>
        <w:t>）施工控制测量成果报验文件资料；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7</w:t>
      </w:r>
      <w:r>
        <w:rPr>
          <w:rFonts w:hint="eastAsia"/>
          <w:color w:val="000000" w:themeColor="text1"/>
          <w:sz w:val="24"/>
          <w:szCs w:val="24"/>
          <w:highlight w:val="none"/>
          <w:u w:val="single"/>
          <w14:textFill>
            <w14:solidFill>
              <w14:schemeClr w14:val="tx1"/>
            </w14:solidFill>
          </w14:textFill>
        </w:rPr>
        <w:t>）总监理工程师任命书、工程开工令、暂停令、复工令、开工或复工报审文件资料；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8</w:t>
      </w:r>
      <w:r>
        <w:rPr>
          <w:rFonts w:hint="eastAsia"/>
          <w:color w:val="000000" w:themeColor="text1"/>
          <w:sz w:val="24"/>
          <w:szCs w:val="24"/>
          <w:highlight w:val="none"/>
          <w:u w:val="single"/>
          <w14:textFill>
            <w14:solidFill>
              <w14:schemeClr w14:val="tx1"/>
            </w14:solidFill>
          </w14:textFill>
        </w:rPr>
        <w:t>）工程材料、设备、构配件报验文件资料；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9</w:t>
      </w:r>
      <w:r>
        <w:rPr>
          <w:rFonts w:hint="eastAsia"/>
          <w:color w:val="000000" w:themeColor="text1"/>
          <w:sz w:val="24"/>
          <w:szCs w:val="24"/>
          <w:highlight w:val="none"/>
          <w:u w:val="single"/>
          <w14:textFill>
            <w14:solidFill>
              <w14:schemeClr w14:val="tx1"/>
            </w14:solidFill>
          </w14:textFill>
        </w:rPr>
        <w:t>）见证取样和平行检验文件资料；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10</w:t>
      </w:r>
      <w:r>
        <w:rPr>
          <w:rFonts w:hint="eastAsia"/>
          <w:color w:val="000000" w:themeColor="text1"/>
          <w:sz w:val="24"/>
          <w:szCs w:val="24"/>
          <w:highlight w:val="none"/>
          <w:u w:val="single"/>
          <w14:textFill>
            <w14:solidFill>
              <w14:schemeClr w14:val="tx1"/>
            </w14:solidFill>
          </w14:textFill>
        </w:rPr>
        <w:t>）工程质量检查报验资料及工程有关验收资料；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11</w:t>
      </w:r>
      <w:r>
        <w:rPr>
          <w:rFonts w:hint="eastAsia"/>
          <w:color w:val="000000" w:themeColor="text1"/>
          <w:sz w:val="24"/>
          <w:szCs w:val="24"/>
          <w:highlight w:val="none"/>
          <w:u w:val="single"/>
          <w14:textFill>
            <w14:solidFill>
              <w14:schemeClr w14:val="tx1"/>
            </w14:solidFill>
          </w14:textFill>
        </w:rPr>
        <w:t>）工程变更、费用索赔及工程延期文件资料；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12</w:t>
      </w:r>
      <w:r>
        <w:rPr>
          <w:rFonts w:hint="eastAsia"/>
          <w:color w:val="000000" w:themeColor="text1"/>
          <w:sz w:val="24"/>
          <w:szCs w:val="24"/>
          <w:highlight w:val="none"/>
          <w:u w:val="single"/>
          <w14:textFill>
            <w14:solidFill>
              <w14:schemeClr w14:val="tx1"/>
            </w14:solidFill>
          </w14:textFill>
        </w:rPr>
        <w:t>）工程计量、工程款支付文件资料；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13</w:t>
      </w:r>
      <w:r>
        <w:rPr>
          <w:rFonts w:hint="eastAsia"/>
          <w:color w:val="000000" w:themeColor="text1"/>
          <w:sz w:val="24"/>
          <w:szCs w:val="24"/>
          <w:highlight w:val="none"/>
          <w:u w:val="single"/>
          <w14:textFill>
            <w14:solidFill>
              <w14:schemeClr w14:val="tx1"/>
            </w14:solidFill>
          </w14:textFill>
        </w:rPr>
        <w:t>）监理通知单、工作联系单与监理报告；</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14</w:t>
      </w:r>
      <w:r>
        <w:rPr>
          <w:rFonts w:hint="eastAsia"/>
          <w:color w:val="000000" w:themeColor="text1"/>
          <w:sz w:val="24"/>
          <w:szCs w:val="24"/>
          <w:highlight w:val="none"/>
          <w:u w:val="single"/>
          <w14:textFill>
            <w14:solidFill>
              <w14:schemeClr w14:val="tx1"/>
            </w14:solidFill>
          </w14:textFill>
        </w:rPr>
        <w:t>）第一次工地会议、监理例会、专题会议等会议纪要；</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15</w:t>
      </w:r>
      <w:r>
        <w:rPr>
          <w:rFonts w:hint="eastAsia"/>
          <w:color w:val="000000" w:themeColor="text1"/>
          <w:sz w:val="24"/>
          <w:szCs w:val="24"/>
          <w:highlight w:val="none"/>
          <w:u w:val="single"/>
          <w14:textFill>
            <w14:solidFill>
              <w14:schemeClr w14:val="tx1"/>
            </w14:solidFill>
          </w14:textFill>
        </w:rPr>
        <w:t>）监理月报、监理日志、旁站记录；</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16</w:t>
      </w:r>
      <w:r>
        <w:rPr>
          <w:rFonts w:hint="eastAsia"/>
          <w:color w:val="000000" w:themeColor="text1"/>
          <w:sz w:val="24"/>
          <w:szCs w:val="24"/>
          <w:highlight w:val="none"/>
          <w:u w:val="single"/>
          <w14:textFill>
            <w14:solidFill>
              <w14:schemeClr w14:val="tx1"/>
            </w14:solidFill>
          </w14:textFill>
        </w:rPr>
        <w:t>）工程质量或生产安全事故处理文件资料；</w:t>
      </w:r>
    </w:p>
    <w:p>
      <w:pPr>
        <w:tabs>
          <w:tab w:val="left" w:pos="680"/>
        </w:tabs>
        <w:adjustRightInd w:val="0"/>
        <w:snapToGrid w:val="0"/>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17</w:t>
      </w:r>
      <w:r>
        <w:rPr>
          <w:rFonts w:hint="eastAsia"/>
          <w:color w:val="000000" w:themeColor="text1"/>
          <w:sz w:val="24"/>
          <w:szCs w:val="24"/>
          <w:highlight w:val="none"/>
          <w:u w:val="single"/>
          <w14:textFill>
            <w14:solidFill>
              <w14:schemeClr w14:val="tx1"/>
            </w14:solidFill>
          </w14:textFill>
        </w:rPr>
        <w:t>）工程质量评估报告及竣工验收监理文件资料；</w:t>
      </w:r>
    </w:p>
    <w:p>
      <w:pPr>
        <w:pStyle w:val="28"/>
        <w:tabs>
          <w:tab w:val="left" w:pos="925"/>
        </w:tabs>
        <w:adjustRightInd w:val="0"/>
        <w:snapToGrid w:val="0"/>
        <w:spacing w:line="400" w:lineRule="exact"/>
        <w:ind w:left="0" w:firstLine="480" w:firstLineChars="200"/>
        <w:rPr>
          <w:color w:val="000000" w:themeColor="text1"/>
          <w:sz w:val="21"/>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14:textFill>
            <w14:solidFill>
              <w14:schemeClr w14:val="tx1"/>
            </w14:solidFill>
          </w14:textFill>
        </w:rPr>
        <w:t>18</w:t>
      </w:r>
      <w:r>
        <w:rPr>
          <w:rFonts w:hint="eastAsia"/>
          <w:color w:val="000000" w:themeColor="text1"/>
          <w:sz w:val="24"/>
          <w:szCs w:val="24"/>
          <w:highlight w:val="none"/>
          <w:u w:val="single"/>
          <w14:textFill>
            <w14:solidFill>
              <w14:schemeClr w14:val="tx1"/>
            </w14:solidFill>
          </w14:textFill>
        </w:rPr>
        <w:t>）监理工作总结。</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成果文件的深度</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成果文件的格式要求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成果文件的份数要求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一式六份。</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5.</w:t>
      </w:r>
      <w:r>
        <w:rPr>
          <w:rFonts w:hint="eastAsia"/>
          <w:color w:val="000000" w:themeColor="text1"/>
          <w:spacing w:val="-3"/>
          <w:sz w:val="24"/>
          <w:szCs w:val="24"/>
          <w:highlight w:val="none"/>
          <w14:textFill>
            <w14:solidFill>
              <w14:schemeClr w14:val="tx1"/>
            </w14:solidFill>
          </w14:textFill>
        </w:rPr>
        <w:t>成果文件的载体要求</w:t>
      </w:r>
    </w:p>
    <w:p>
      <w:pPr>
        <w:pStyle w:val="28"/>
        <w:tabs>
          <w:tab w:val="left" w:pos="1190"/>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）纸质版的要求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一式六份。</w:t>
      </w:r>
    </w:p>
    <w:p>
      <w:pPr>
        <w:pStyle w:val="28"/>
        <w:tabs>
          <w:tab w:val="left" w:pos="1190"/>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）电子版的要求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与纸质版一致的电子版文件</w:t>
      </w:r>
    </w:p>
    <w:p>
      <w:pPr>
        <w:pStyle w:val="28"/>
        <w:tabs>
          <w:tab w:val="left" w:pos="1190"/>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w:t>
      </w: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）其他要求。</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u w:val="singl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6.</w:t>
      </w:r>
      <w:r>
        <w:rPr>
          <w:rFonts w:hint="eastAsia"/>
          <w:color w:val="000000" w:themeColor="text1"/>
          <w:spacing w:val="-3"/>
          <w:sz w:val="24"/>
          <w:szCs w:val="24"/>
          <w:highlight w:val="none"/>
          <w14:textFill>
            <w14:solidFill>
              <w14:schemeClr w14:val="tx1"/>
            </w14:solidFill>
          </w14:textFill>
        </w:rPr>
        <w:t>成果文件的其他要求</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满足本项目监理服务要求。</w:t>
      </w:r>
      <w:bookmarkStart w:id="30" w:name="_bookmark166"/>
      <w:bookmarkEnd w:id="30"/>
    </w:p>
    <w:p>
      <w:pPr>
        <w:pStyle w:val="28"/>
        <w:tabs>
          <w:tab w:val="left" w:pos="925"/>
        </w:tabs>
        <w:adjustRightInd w:val="0"/>
        <w:snapToGrid w:val="0"/>
        <w:spacing w:line="400" w:lineRule="exact"/>
        <w:ind w:left="0" w:firstLine="0"/>
        <w:jc w:val="both"/>
        <w:rPr>
          <w:color w:val="000000" w:themeColor="text1"/>
          <w:sz w:val="28"/>
          <w:highlight w:val="none"/>
          <w14:textFill>
            <w14:solidFill>
              <w14:schemeClr w14:val="tx1"/>
            </w14:solidFill>
          </w14:textFill>
        </w:rPr>
      </w:pPr>
      <w:r>
        <w:rPr>
          <w:rFonts w:hint="eastAsia"/>
          <w:b/>
          <w:bCs/>
          <w:color w:val="000000" w:themeColor="text1"/>
          <w:sz w:val="28"/>
          <w:highlight w:val="none"/>
          <w:lang w:val="en-US"/>
          <w14:textFill>
            <w14:solidFill>
              <w14:schemeClr w14:val="tx1"/>
            </w14:solidFill>
          </w14:textFill>
        </w:rPr>
        <w:t>四</w:t>
      </w:r>
      <w:r>
        <w:rPr>
          <w:rFonts w:hint="eastAsia"/>
          <w:b/>
          <w:bCs/>
          <w:color w:val="000000" w:themeColor="text1"/>
          <w:sz w:val="28"/>
          <w:highlight w:val="none"/>
          <w14:textFill>
            <w14:solidFill>
              <w14:schemeClr w14:val="tx1"/>
            </w14:solidFill>
          </w14:textFill>
        </w:rPr>
        <w:t>、委托人财产清单</w:t>
      </w:r>
    </w:p>
    <w:p>
      <w:pPr>
        <w:adjustRightInd w:val="0"/>
        <w:snapToGrid w:val="0"/>
        <w:spacing w:line="400" w:lineRule="exact"/>
        <w:ind w:firstLine="560" w:firstLineChars="200"/>
        <w:rPr>
          <w:color w:val="000000" w:themeColor="text1"/>
          <w:sz w:val="28"/>
          <w:highlight w:val="none"/>
          <w14:textFill>
            <w14:solidFill>
              <w14:schemeClr w14:val="tx1"/>
            </w14:solidFill>
          </w14:textFill>
        </w:rPr>
      </w:pPr>
      <w:bookmarkStart w:id="31" w:name="_bookmark167"/>
      <w:bookmarkEnd w:id="31"/>
      <w:r>
        <w:rPr>
          <w:rFonts w:hint="eastAsia"/>
          <w:color w:val="000000" w:themeColor="text1"/>
          <w:sz w:val="28"/>
          <w:highlight w:val="none"/>
          <w14:textFill>
            <w14:solidFill>
              <w14:schemeClr w14:val="tx1"/>
            </w14:solidFill>
          </w14:textFill>
        </w:rPr>
        <w:t>（一）委托人提供的设备、设施</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委托人提供的办公房屋及冷暖设施</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委托人提供的设备清单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委托人提供的设施清单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adjustRightInd w:val="0"/>
        <w:snapToGrid w:val="0"/>
        <w:spacing w:line="400" w:lineRule="exact"/>
        <w:rPr>
          <w:color w:val="000000" w:themeColor="text1"/>
          <w:sz w:val="24"/>
          <w:szCs w:val="24"/>
          <w:highlight w:val="none"/>
          <w14:textFill>
            <w14:solidFill>
              <w14:schemeClr w14:val="tx1"/>
            </w14:solidFill>
          </w14:textFill>
        </w:rPr>
      </w:pPr>
      <w:bookmarkStart w:id="32" w:name="_bookmark170"/>
      <w:bookmarkEnd w:id="32"/>
      <w:bookmarkStart w:id="33" w:name="_bookmark168"/>
      <w:bookmarkEnd w:id="33"/>
      <w:r>
        <w:rPr>
          <w:rFonts w:hint="eastAsia"/>
          <w:b/>
          <w:bCs/>
          <w:color w:val="000000" w:themeColor="text1"/>
          <w:sz w:val="24"/>
          <w:szCs w:val="24"/>
          <w:highlight w:val="none"/>
          <w:lang w:val="en-US"/>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、委托人提供的便利条件</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委托人提供的生活条件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28"/>
        <w:tabs>
          <w:tab w:val="left" w:pos="925"/>
        </w:tabs>
        <w:adjustRightInd w:val="0"/>
        <w:snapToGrid w:val="0"/>
        <w:spacing w:line="400" w:lineRule="exact"/>
        <w:ind w:left="0" w:firstLine="468" w:firstLineChars="200"/>
        <w:jc w:val="both"/>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委托人提供的交通条件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委托人提供的网络、通讯条件</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委托人提供的协助人员</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无；</w:t>
      </w:r>
    </w:p>
    <w:p>
      <w:pPr>
        <w:adjustRightInd w:val="0"/>
        <w:snapToGrid w:val="0"/>
        <w:spacing w:line="400" w:lineRule="exact"/>
        <w:rPr>
          <w:color w:val="000000" w:themeColor="text1"/>
          <w:sz w:val="24"/>
          <w:szCs w:val="24"/>
          <w:highlight w:val="none"/>
          <w14:textFill>
            <w14:solidFill>
              <w14:schemeClr w14:val="tx1"/>
            </w14:solidFill>
          </w14:textFill>
        </w:rPr>
      </w:pPr>
      <w:bookmarkStart w:id="34" w:name="_bookmark171"/>
      <w:bookmarkEnd w:id="34"/>
      <w:r>
        <w:rPr>
          <w:rFonts w:hint="eastAsia"/>
          <w:b/>
          <w:bCs/>
          <w:color w:val="000000" w:themeColor="text1"/>
          <w:sz w:val="24"/>
          <w:szCs w:val="24"/>
          <w:highlight w:val="none"/>
          <w:lang w:val="en-US"/>
          <w14:textFill>
            <w14:solidFill>
              <w14:schemeClr w14:val="tx1"/>
            </w14:solidFill>
          </w14:textFill>
        </w:rPr>
        <w:t>六</w:t>
      </w:r>
      <w:r>
        <w:rPr>
          <w:rFonts w:hint="eastAsia"/>
          <w:b/>
          <w:bCs/>
          <w:color w:val="000000" w:themeColor="text1"/>
          <w:sz w:val="24"/>
          <w:szCs w:val="24"/>
          <w:highlight w:val="none"/>
          <w14:textFill>
            <w14:solidFill>
              <w14:schemeClr w14:val="tx1"/>
            </w14:solidFill>
          </w14:textFill>
        </w:rPr>
        <w:t>、监理人需要自备的工作条件</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1.</w:t>
      </w:r>
      <w:r>
        <w:rPr>
          <w:rFonts w:hint="eastAsia"/>
          <w:color w:val="000000" w:themeColor="text1"/>
          <w:spacing w:val="-3"/>
          <w:sz w:val="24"/>
          <w:szCs w:val="24"/>
          <w:highlight w:val="none"/>
          <w14:textFill>
            <w14:solidFill>
              <w14:schemeClr w14:val="tx1"/>
            </w14:solidFill>
          </w14:textFill>
        </w:rPr>
        <w:t>监理人自备的工作手册：</w:t>
      </w:r>
      <w:r>
        <w:rPr>
          <w:rFonts w:hint="eastAsia"/>
          <w:color w:val="000000" w:themeColor="text1"/>
          <w:sz w:val="24"/>
          <w:szCs w:val="24"/>
          <w:highlight w:val="none"/>
          <w:u w:val="single"/>
          <w14:textFill>
            <w14:solidFill>
              <w14:schemeClr w14:val="tx1"/>
            </w14:solidFill>
          </w14:textFill>
        </w:rPr>
        <w:t>本项目必备的规范标准、图集等履行合同中所需的设施设备。</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2.</w:t>
      </w:r>
      <w:r>
        <w:rPr>
          <w:rFonts w:hint="eastAsia"/>
          <w:color w:val="000000" w:themeColor="text1"/>
          <w:spacing w:val="-3"/>
          <w:sz w:val="24"/>
          <w:szCs w:val="24"/>
          <w:highlight w:val="none"/>
          <w14:textFill>
            <w14:solidFill>
              <w14:schemeClr w14:val="tx1"/>
            </w14:solidFill>
          </w14:textFill>
        </w:rPr>
        <w:t>监理人自备的办公设备：</w:t>
      </w:r>
      <w:r>
        <w:rPr>
          <w:rFonts w:hint="eastAsia"/>
          <w:color w:val="000000" w:themeColor="text1"/>
          <w:sz w:val="24"/>
          <w:szCs w:val="24"/>
          <w:highlight w:val="none"/>
          <w:u w:val="single"/>
          <w14:textFill>
            <w14:solidFill>
              <w14:schemeClr w14:val="tx1"/>
            </w14:solidFill>
          </w14:textFill>
        </w:rPr>
        <w:t>电脑、软件、投影、打印机、复印机、照相机等履行合同中所需的设施设备。</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3.</w:t>
      </w:r>
      <w:r>
        <w:rPr>
          <w:rFonts w:hint="eastAsia"/>
          <w:color w:val="000000" w:themeColor="text1"/>
          <w:spacing w:val="-3"/>
          <w:sz w:val="24"/>
          <w:szCs w:val="24"/>
          <w:highlight w:val="none"/>
          <w14:textFill>
            <w14:solidFill>
              <w14:schemeClr w14:val="tx1"/>
            </w14:solidFill>
          </w14:textFill>
        </w:rPr>
        <w:t>监理人自备的交通工具：</w:t>
      </w:r>
      <w:r>
        <w:rPr>
          <w:rFonts w:hint="eastAsia"/>
          <w:color w:val="000000" w:themeColor="text1"/>
          <w:sz w:val="24"/>
          <w:szCs w:val="24"/>
          <w:highlight w:val="none"/>
          <w:u w:val="single"/>
          <w14:textFill>
            <w14:solidFill>
              <w14:schemeClr w14:val="tx1"/>
            </w14:solidFill>
          </w14:textFill>
        </w:rPr>
        <w:t>出行车辆等履行合同中所需的设施设备。</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4.</w:t>
      </w:r>
      <w:r>
        <w:rPr>
          <w:rFonts w:hint="eastAsia"/>
          <w:color w:val="000000" w:themeColor="text1"/>
          <w:spacing w:val="-3"/>
          <w:sz w:val="24"/>
          <w:szCs w:val="24"/>
          <w:highlight w:val="none"/>
          <w14:textFill>
            <w14:solidFill>
              <w14:schemeClr w14:val="tx1"/>
            </w14:solidFill>
          </w14:textFill>
        </w:rPr>
        <w:t>监理人自备的现场办公设施：</w:t>
      </w:r>
      <w:r>
        <w:rPr>
          <w:rFonts w:hint="eastAsia"/>
          <w:color w:val="000000" w:themeColor="text1"/>
          <w:sz w:val="24"/>
          <w:szCs w:val="24"/>
          <w:highlight w:val="none"/>
          <w:u w:val="single"/>
          <w14:textFill>
            <w14:solidFill>
              <w14:schemeClr w14:val="tx1"/>
            </w14:solidFill>
          </w14:textFill>
        </w:rPr>
        <w:t>与本项目监理人员规模相匹配的办公用房、办公桌椅、文件柜等。</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5.</w:t>
      </w:r>
      <w:r>
        <w:rPr>
          <w:rFonts w:hint="eastAsia"/>
          <w:color w:val="000000" w:themeColor="text1"/>
          <w:spacing w:val="-3"/>
          <w:sz w:val="24"/>
          <w:szCs w:val="24"/>
          <w:highlight w:val="none"/>
          <w14:textFill>
            <w14:solidFill>
              <w14:schemeClr w14:val="tx1"/>
            </w14:solidFill>
          </w14:textFill>
        </w:rPr>
        <w:t>监理人自备的安全设施：</w:t>
      </w:r>
      <w:r>
        <w:rPr>
          <w:rFonts w:hint="eastAsia"/>
          <w:color w:val="000000" w:themeColor="text1"/>
          <w:sz w:val="24"/>
          <w:szCs w:val="24"/>
          <w:highlight w:val="none"/>
          <w:u w:val="single"/>
          <w14:textFill>
            <w14:solidFill>
              <w14:schemeClr w14:val="tx1"/>
            </w14:solidFill>
          </w14:textFill>
        </w:rPr>
        <w:t>安全帽、安全鞋、手电筒等履行合同中所需的设施设备。</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6.</w:t>
      </w:r>
      <w:r>
        <w:rPr>
          <w:rFonts w:hint="eastAsia"/>
          <w:color w:val="000000" w:themeColor="text1"/>
          <w:spacing w:val="-3"/>
          <w:sz w:val="24"/>
          <w:szCs w:val="24"/>
          <w:highlight w:val="none"/>
          <w14:textFill>
            <w14:solidFill>
              <w14:schemeClr w14:val="tx1"/>
            </w14:solidFill>
          </w14:textFill>
        </w:rPr>
        <w:t>监理人自备的试验检测仪器、设备、工具</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满足本项目监理服务要求等履行合同中所需的设施设备。</w:t>
      </w:r>
    </w:p>
    <w:p>
      <w:pPr>
        <w:pStyle w:val="28"/>
        <w:tabs>
          <w:tab w:val="left" w:pos="925"/>
        </w:tabs>
        <w:adjustRightInd w:val="0"/>
        <w:snapToGrid w:val="0"/>
        <w:spacing w:line="400" w:lineRule="exact"/>
        <w:ind w:left="0" w:firstLine="468" w:firstLineChars="200"/>
        <w:rPr>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lang w:val="en-US"/>
          <w14:textFill>
            <w14:solidFill>
              <w14:schemeClr w14:val="tx1"/>
            </w14:solidFill>
          </w14:textFill>
        </w:rPr>
        <w:t>7.</w:t>
      </w:r>
      <w:r>
        <w:rPr>
          <w:rFonts w:hint="eastAsia"/>
          <w:color w:val="000000" w:themeColor="text1"/>
          <w:spacing w:val="-3"/>
          <w:sz w:val="24"/>
          <w:szCs w:val="24"/>
          <w:highlight w:val="none"/>
          <w14:textFill>
            <w14:solidFill>
              <w14:schemeClr w14:val="tx1"/>
            </w14:solidFill>
          </w14:textFill>
        </w:rPr>
        <w:t>监理人自备的试验用房、样品用房</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监理人根据现场实际情况自行准备履行合同中所需的设施设备。</w:t>
      </w:r>
    </w:p>
    <w:p>
      <w:pPr>
        <w:adjustRightInd w:val="0"/>
        <w:snapToGrid w:val="0"/>
        <w:spacing w:line="400" w:lineRule="exact"/>
        <w:rPr>
          <w:color w:val="000000" w:themeColor="text1"/>
          <w:sz w:val="24"/>
          <w:szCs w:val="24"/>
          <w:highlight w:val="none"/>
          <w14:textFill>
            <w14:solidFill>
              <w14:schemeClr w14:val="tx1"/>
            </w14:solidFill>
          </w14:textFill>
        </w:rPr>
      </w:pPr>
      <w:bookmarkStart w:id="35" w:name="_bookmark172"/>
      <w:bookmarkEnd w:id="35"/>
      <w:r>
        <w:rPr>
          <w:rFonts w:hint="eastAsia"/>
          <w:b/>
          <w:bCs/>
          <w:color w:val="000000" w:themeColor="text1"/>
          <w:sz w:val="24"/>
          <w:szCs w:val="24"/>
          <w:highlight w:val="none"/>
          <w:lang w:val="en-US"/>
          <w14:textFill>
            <w14:solidFill>
              <w14:schemeClr w14:val="tx1"/>
            </w14:solidFill>
          </w14:textFill>
        </w:rPr>
        <w:t>七</w:t>
      </w:r>
      <w:r>
        <w:rPr>
          <w:rFonts w:hint="eastAsia"/>
          <w:b/>
          <w:bCs/>
          <w:color w:val="000000" w:themeColor="text1"/>
          <w:sz w:val="24"/>
          <w:szCs w:val="24"/>
          <w:highlight w:val="none"/>
          <w14:textFill>
            <w14:solidFill>
              <w14:schemeClr w14:val="tx1"/>
            </w14:solidFill>
          </w14:textFill>
        </w:rPr>
        <w:t>、委托人的其他要求</w:t>
      </w:r>
    </w:p>
    <w:p>
      <w:pPr>
        <w:pStyle w:val="10"/>
        <w:adjustRightInd w:val="0"/>
        <w:snapToGrid w:val="0"/>
        <w:spacing w:line="400" w:lineRule="exact"/>
        <w:ind w:firstLine="480" w:firstLineChars="200"/>
        <w:rPr>
          <w:color w:val="000000" w:themeColor="text1"/>
          <w:sz w:val="24"/>
          <w:szCs w:val="24"/>
          <w:highlight w:val="none"/>
          <w14:textFill>
            <w14:solidFill>
              <w14:schemeClr w14:val="tx1"/>
            </w14:solidFill>
          </w14:textFill>
        </w:rPr>
        <w:sectPr>
          <w:pgSz w:w="11906" w:h="16838"/>
          <w:pgMar w:top="1380" w:right="1100" w:bottom="1120" w:left="1560" w:header="0" w:footer="841" w:gutter="0"/>
          <w:cols w:space="720" w:num="1"/>
        </w:sectPr>
      </w:pPr>
      <w:r>
        <w:rPr>
          <w:rFonts w:hint="eastAsia"/>
          <w:color w:val="000000" w:themeColor="text1"/>
          <w:sz w:val="24"/>
          <w:szCs w:val="24"/>
          <w:highlight w:val="none"/>
          <w14:textFill>
            <w14:solidFill>
              <w14:schemeClr w14:val="tx1"/>
            </w14:solidFill>
          </w14:textFill>
        </w:rPr>
        <w:t>委托人的其他要求：</w:t>
      </w:r>
      <w:r>
        <w:rPr>
          <w:rFonts w:hint="eastAsia"/>
          <w:color w:val="000000" w:themeColor="text1"/>
          <w:sz w:val="24"/>
          <w:szCs w:val="24"/>
          <w:highlight w:val="none"/>
          <w:u w:val="single"/>
          <w14:textFill>
            <w14:solidFill>
              <w14:schemeClr w14:val="tx1"/>
            </w14:solidFill>
          </w14:textFill>
        </w:rPr>
        <w:t>其他要求详见</w:t>
      </w:r>
      <w:r>
        <w:rPr>
          <w:rFonts w:hint="eastAsia"/>
          <w:color w:val="000000" w:themeColor="text1"/>
          <w:sz w:val="24"/>
          <w:szCs w:val="24"/>
          <w:highlight w:val="none"/>
          <w:u w:val="single"/>
          <w:lang w:eastAsia="zh-CN"/>
          <w14:textFill>
            <w14:solidFill>
              <w14:schemeClr w14:val="tx1"/>
            </w14:solidFill>
          </w14:textFill>
        </w:rPr>
        <w:t>监理</w:t>
      </w:r>
      <w:r>
        <w:rPr>
          <w:rFonts w:hint="eastAsia"/>
          <w:color w:val="000000" w:themeColor="text1"/>
          <w:sz w:val="24"/>
          <w:szCs w:val="24"/>
          <w:highlight w:val="none"/>
          <w:u w:val="single"/>
          <w14:textFill>
            <w14:solidFill>
              <w14:schemeClr w14:val="tx1"/>
            </w14:solidFill>
          </w14:textFill>
        </w:rPr>
        <w:t>合同。</w:t>
      </w:r>
    </w:p>
    <w:p>
      <w:pPr>
        <w:pStyle w:val="10"/>
        <w:spacing w:before="8" w:line="360" w:lineRule="auto"/>
        <w:rPr>
          <w:color w:val="000000" w:themeColor="text1"/>
          <w:sz w:val="26"/>
          <w:highlight w:val="none"/>
          <w14:textFill>
            <w14:solidFill>
              <w14:schemeClr w14:val="tx1"/>
            </w14:solidFill>
          </w14:textFill>
        </w:rPr>
      </w:pPr>
    </w:p>
    <w:p>
      <w:pPr>
        <w:pStyle w:val="3"/>
        <w:spacing w:line="360" w:lineRule="auto"/>
        <w:ind w:right="458"/>
        <w:rPr>
          <w:rFonts w:ascii="宋体" w:hAnsi="宋体" w:eastAsia="宋体" w:cs="宋体"/>
          <w:color w:val="000000" w:themeColor="text1"/>
          <w:highlight w:val="none"/>
          <w14:textFill>
            <w14:solidFill>
              <w14:schemeClr w14:val="tx1"/>
            </w14:solidFill>
          </w14:textFill>
        </w:rPr>
      </w:pPr>
      <w:bookmarkStart w:id="36" w:name="_Toc31926"/>
      <w:r>
        <w:rPr>
          <w:rFonts w:hint="eastAsia" w:ascii="宋体" w:hAnsi="宋体" w:eastAsia="宋体" w:cs="宋体"/>
          <w:color w:val="000000" w:themeColor="text1"/>
          <w:highlight w:val="none"/>
          <w14:textFill>
            <w14:solidFill>
              <w14:schemeClr w14:val="tx1"/>
            </w14:solidFill>
          </w14:textFill>
        </w:rPr>
        <w:t>第三卷</w:t>
      </w:r>
      <w:bookmarkEnd w:id="36"/>
    </w:p>
    <w:p>
      <w:pPr>
        <w:pStyle w:val="3"/>
        <w:spacing w:line="360" w:lineRule="auto"/>
        <w:rPr>
          <w:rFonts w:ascii="宋体" w:hAnsi="宋体" w:eastAsia="宋体" w:cs="宋体"/>
          <w:color w:val="000000" w:themeColor="text1"/>
          <w:highlight w:val="none"/>
          <w14:textFill>
            <w14:solidFill>
              <w14:schemeClr w14:val="tx1"/>
            </w14:solidFill>
          </w14:textFill>
        </w:rPr>
      </w:pPr>
      <w:bookmarkStart w:id="37" w:name="_Toc30980"/>
      <w:r>
        <w:rPr>
          <w:rFonts w:hint="eastAsia" w:ascii="宋体" w:hAnsi="宋体" w:eastAsia="宋体" w:cs="宋体"/>
          <w:color w:val="000000" w:themeColor="text1"/>
          <w:highlight w:val="none"/>
          <w14:textFill>
            <w14:solidFill>
              <w14:schemeClr w14:val="tx1"/>
            </w14:solidFill>
          </w14:textFill>
        </w:rPr>
        <w:t>第六章</w:t>
      </w:r>
      <w:r>
        <w:rPr>
          <w:rFonts w:hint="eastAsia"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投标文件格式</w:t>
      </w:r>
      <w:bookmarkEnd w:id="37"/>
    </w:p>
    <w:p>
      <w:pPr>
        <w:spacing w:line="360" w:lineRule="auto"/>
        <w:rPr>
          <w:color w:val="000000" w:themeColor="text1"/>
          <w:highlight w:val="none"/>
          <w14:textFill>
            <w14:solidFill>
              <w14:schemeClr w14:val="tx1"/>
            </w14:solidFill>
          </w14:textFill>
        </w:rPr>
        <w:sectPr>
          <w:pgSz w:w="11906" w:h="16838"/>
          <w:pgMar w:top="1420" w:right="1100" w:bottom="1120" w:left="1560" w:header="0" w:footer="841" w:gutter="0"/>
          <w:cols w:space="720" w:num="1"/>
        </w:sectPr>
      </w:pPr>
    </w:p>
    <w:p>
      <w:pPr>
        <w:pStyle w:val="10"/>
        <w:spacing w:line="360" w:lineRule="auto"/>
        <w:rPr>
          <w:b/>
          <w:color w:val="000000" w:themeColor="text1"/>
          <w:sz w:val="20"/>
          <w:highlight w:val="none"/>
          <w14:textFill>
            <w14:solidFill>
              <w14:schemeClr w14:val="tx1"/>
            </w14:solidFill>
          </w14:textFill>
        </w:rPr>
      </w:pPr>
    </w:p>
    <w:p>
      <w:pPr>
        <w:pStyle w:val="10"/>
        <w:spacing w:line="360" w:lineRule="auto"/>
        <w:rPr>
          <w:b/>
          <w:color w:val="000000" w:themeColor="text1"/>
          <w:sz w:val="20"/>
          <w:highlight w:val="none"/>
          <w14:textFill>
            <w14:solidFill>
              <w14:schemeClr w14:val="tx1"/>
            </w14:solidFill>
          </w14:textFill>
        </w:rPr>
      </w:pPr>
    </w:p>
    <w:p>
      <w:pPr>
        <w:pStyle w:val="10"/>
        <w:spacing w:before="4" w:line="360" w:lineRule="auto"/>
        <w:rPr>
          <w:b/>
          <w:color w:val="000000" w:themeColor="text1"/>
          <w:sz w:val="18"/>
          <w:highlight w:val="none"/>
          <w14:textFill>
            <w14:solidFill>
              <w14:schemeClr w14:val="tx1"/>
            </w14:solidFill>
          </w14:textFill>
        </w:rPr>
      </w:pPr>
    </w:p>
    <w:p>
      <w:pPr>
        <w:tabs>
          <w:tab w:val="left" w:pos="1118"/>
        </w:tabs>
        <w:spacing w:before="70" w:line="360" w:lineRule="auto"/>
        <w:ind w:right="453"/>
        <w:jc w:val="center"/>
        <w:rPr>
          <w:color w:val="000000" w:themeColor="text1"/>
          <w:sz w:val="28"/>
          <w:highlight w:val="none"/>
          <w14:textFill>
            <w14:solidFill>
              <w14:schemeClr w14:val="tx1"/>
            </w14:solidFill>
          </w14:textFill>
        </w:rPr>
      </w:pP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z w:val="28"/>
          <w:highlight w:val="none"/>
          <w:u w:val="single"/>
          <w14:textFill>
            <w14:solidFill>
              <w14:schemeClr w14:val="tx1"/>
            </w14:solidFill>
          </w14:textFill>
        </w:rPr>
        <w:t>（</w:t>
      </w:r>
      <w:r>
        <w:rPr>
          <w:rFonts w:hint="eastAsia"/>
          <w:color w:val="000000" w:themeColor="text1"/>
          <w:spacing w:val="-1"/>
          <w:sz w:val="28"/>
          <w:highlight w:val="none"/>
          <w14:textFill>
            <w14:solidFill>
              <w14:schemeClr w14:val="tx1"/>
            </w14:solidFill>
          </w14:textFill>
        </w:rPr>
        <w:t>项目名称）</w:t>
      </w:r>
    </w:p>
    <w:p>
      <w:pPr>
        <w:pStyle w:val="10"/>
        <w:spacing w:line="360" w:lineRule="auto"/>
        <w:rPr>
          <w:color w:val="000000" w:themeColor="text1"/>
          <w:sz w:val="20"/>
          <w:highlight w:val="none"/>
          <w14:textFill>
            <w14:solidFill>
              <w14:schemeClr w14:val="tx1"/>
            </w14:solidFill>
          </w14:textFill>
        </w:rPr>
      </w:pPr>
    </w:p>
    <w:p>
      <w:pPr>
        <w:spacing w:before="209" w:line="360" w:lineRule="auto"/>
        <w:ind w:right="455"/>
        <w:jc w:val="center"/>
        <w:rPr>
          <w:color w:val="000000" w:themeColor="text1"/>
          <w:sz w:val="44"/>
          <w:highlight w:val="none"/>
          <w14:textFill>
            <w14:solidFill>
              <w14:schemeClr w14:val="tx1"/>
            </w14:solidFill>
          </w14:textFill>
        </w:rPr>
      </w:pPr>
      <w:r>
        <w:rPr>
          <w:rFonts w:hint="eastAsia"/>
          <w:color w:val="000000" w:themeColor="text1"/>
          <w:sz w:val="44"/>
          <w:highlight w:val="none"/>
          <w14:textFill>
            <w14:solidFill>
              <w14:schemeClr w14:val="tx1"/>
            </w14:solidFill>
          </w14:textFill>
        </w:rPr>
        <w:t>投 标 文 件</w:t>
      </w: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line="360" w:lineRule="auto"/>
        <w:rPr>
          <w:color w:val="000000" w:themeColor="text1"/>
          <w:sz w:val="44"/>
          <w:highlight w:val="none"/>
          <w14:textFill>
            <w14:solidFill>
              <w14:schemeClr w14:val="tx1"/>
            </w14:solidFill>
          </w14:textFill>
        </w:rPr>
      </w:pPr>
    </w:p>
    <w:p>
      <w:pPr>
        <w:pStyle w:val="10"/>
        <w:spacing w:before="3" w:line="360" w:lineRule="auto"/>
        <w:rPr>
          <w:color w:val="000000" w:themeColor="text1"/>
          <w:sz w:val="52"/>
          <w:highlight w:val="none"/>
          <w14:textFill>
            <w14:solidFill>
              <w14:schemeClr w14:val="tx1"/>
            </w14:solidFill>
          </w14:textFill>
        </w:rPr>
      </w:pPr>
    </w:p>
    <w:p>
      <w:pPr>
        <w:tabs>
          <w:tab w:val="left" w:pos="5737"/>
          <w:tab w:val="left" w:pos="7102"/>
        </w:tabs>
        <w:spacing w:line="360" w:lineRule="auto"/>
        <w:ind w:left="1361" w:right="795"/>
        <w:rPr>
          <w:color w:val="000000" w:themeColor="text1"/>
          <w:spacing w:val="-16"/>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投标人：</w:t>
      </w: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z w:val="28"/>
          <w:highlight w:val="none"/>
          <w14:textFill>
            <w14:solidFill>
              <w14:schemeClr w14:val="tx1"/>
            </w14:solidFill>
          </w14:textFill>
        </w:rPr>
        <w:t>（盖</w:t>
      </w:r>
      <w:r>
        <w:rPr>
          <w:rFonts w:hint="eastAsia"/>
          <w:color w:val="000000" w:themeColor="text1"/>
          <w:spacing w:val="-3"/>
          <w:sz w:val="28"/>
          <w:highlight w:val="none"/>
          <w14:textFill>
            <w14:solidFill>
              <w14:schemeClr w14:val="tx1"/>
            </w14:solidFill>
          </w14:textFill>
        </w:rPr>
        <w:t>单</w:t>
      </w:r>
      <w:r>
        <w:rPr>
          <w:rFonts w:hint="eastAsia"/>
          <w:color w:val="000000" w:themeColor="text1"/>
          <w:sz w:val="28"/>
          <w:highlight w:val="none"/>
          <w14:textFill>
            <w14:solidFill>
              <w14:schemeClr w14:val="tx1"/>
            </w14:solidFill>
          </w14:textFill>
        </w:rPr>
        <w:t>位</w:t>
      </w:r>
      <w:r>
        <w:rPr>
          <w:rFonts w:hint="eastAsia"/>
          <w:color w:val="000000" w:themeColor="text1"/>
          <w:spacing w:val="-3"/>
          <w:sz w:val="28"/>
          <w:highlight w:val="none"/>
          <w14:textFill>
            <w14:solidFill>
              <w14:schemeClr w14:val="tx1"/>
            </w14:solidFill>
          </w14:textFill>
        </w:rPr>
        <w:t>章</w:t>
      </w:r>
      <w:r>
        <w:rPr>
          <w:rFonts w:hint="eastAsia"/>
          <w:color w:val="000000" w:themeColor="text1"/>
          <w:spacing w:val="-16"/>
          <w:sz w:val="28"/>
          <w:highlight w:val="none"/>
          <w14:textFill>
            <w14:solidFill>
              <w14:schemeClr w14:val="tx1"/>
            </w14:solidFill>
          </w14:textFill>
        </w:rPr>
        <w:t xml:space="preserve">） </w:t>
      </w:r>
    </w:p>
    <w:p>
      <w:pPr>
        <w:tabs>
          <w:tab w:val="left" w:pos="5737"/>
          <w:tab w:val="left" w:pos="7102"/>
        </w:tabs>
        <w:spacing w:line="360" w:lineRule="auto"/>
        <w:ind w:left="1361" w:right="795"/>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法定代</w:t>
      </w:r>
      <w:r>
        <w:rPr>
          <w:rFonts w:hint="eastAsia"/>
          <w:color w:val="000000" w:themeColor="text1"/>
          <w:spacing w:val="-3"/>
          <w:sz w:val="28"/>
          <w:highlight w:val="none"/>
          <w14:textFill>
            <w14:solidFill>
              <w14:schemeClr w14:val="tx1"/>
            </w14:solidFill>
          </w14:textFill>
        </w:rPr>
        <w:t>表</w:t>
      </w:r>
      <w:r>
        <w:rPr>
          <w:rFonts w:hint="eastAsia"/>
          <w:color w:val="000000" w:themeColor="text1"/>
          <w:sz w:val="28"/>
          <w:highlight w:val="none"/>
          <w14:textFill>
            <w14:solidFill>
              <w14:schemeClr w14:val="tx1"/>
            </w14:solidFill>
          </w14:textFill>
        </w:rPr>
        <w:t>人或</w:t>
      </w:r>
      <w:r>
        <w:rPr>
          <w:rFonts w:hint="eastAsia"/>
          <w:color w:val="000000" w:themeColor="text1"/>
          <w:spacing w:val="-3"/>
          <w:sz w:val="28"/>
          <w:highlight w:val="none"/>
          <w14:textFill>
            <w14:solidFill>
              <w14:schemeClr w14:val="tx1"/>
            </w14:solidFill>
          </w14:textFill>
        </w:rPr>
        <w:t>其委</w:t>
      </w:r>
      <w:r>
        <w:rPr>
          <w:rFonts w:hint="eastAsia"/>
          <w:color w:val="000000" w:themeColor="text1"/>
          <w:sz w:val="28"/>
          <w:highlight w:val="none"/>
          <w14:textFill>
            <w14:solidFill>
              <w14:schemeClr w14:val="tx1"/>
            </w14:solidFill>
          </w14:textFill>
        </w:rPr>
        <w:t>托代理</w:t>
      </w:r>
      <w:r>
        <w:rPr>
          <w:rFonts w:hint="eastAsia"/>
          <w:color w:val="000000" w:themeColor="text1"/>
          <w:spacing w:val="-3"/>
          <w:sz w:val="28"/>
          <w:highlight w:val="none"/>
          <w14:textFill>
            <w14:solidFill>
              <w14:schemeClr w14:val="tx1"/>
            </w14:solidFill>
          </w14:textFill>
        </w:rPr>
        <w:t>人</w:t>
      </w:r>
      <w:r>
        <w:rPr>
          <w:rFonts w:hint="eastAsia"/>
          <w:color w:val="000000" w:themeColor="text1"/>
          <w:sz w:val="28"/>
          <w:highlight w:val="none"/>
          <w14:textFill>
            <w14:solidFill>
              <w14:schemeClr w14:val="tx1"/>
            </w14:solidFill>
          </w14:textFill>
        </w:rPr>
        <w:t>：</w:t>
      </w: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pacing w:val="-3"/>
          <w:sz w:val="28"/>
          <w:highlight w:val="none"/>
          <w14:textFill>
            <w14:solidFill>
              <w14:schemeClr w14:val="tx1"/>
            </w14:solidFill>
          </w14:textFill>
        </w:rPr>
        <w:t>（</w:t>
      </w:r>
      <w:r>
        <w:rPr>
          <w:rFonts w:hint="eastAsia"/>
          <w:color w:val="000000" w:themeColor="text1"/>
          <w:sz w:val="28"/>
          <w:highlight w:val="none"/>
          <w14:textFill>
            <w14:solidFill>
              <w14:schemeClr w14:val="tx1"/>
            </w14:solidFill>
          </w14:textFill>
        </w:rPr>
        <w:t>签字）</w:t>
      </w:r>
    </w:p>
    <w:p>
      <w:pPr>
        <w:pStyle w:val="10"/>
        <w:spacing w:before="5" w:line="360" w:lineRule="auto"/>
        <w:rPr>
          <w:color w:val="000000" w:themeColor="text1"/>
          <w:sz w:val="23"/>
          <w:highlight w:val="none"/>
          <w14:textFill>
            <w14:solidFill>
              <w14:schemeClr w14:val="tx1"/>
            </w14:solidFill>
          </w14:textFill>
        </w:rPr>
      </w:pPr>
    </w:p>
    <w:p>
      <w:pPr>
        <w:tabs>
          <w:tab w:val="left" w:pos="734"/>
          <w:tab w:val="left" w:pos="1749"/>
          <w:tab w:val="left" w:pos="2765"/>
        </w:tabs>
        <w:spacing w:before="62" w:line="360" w:lineRule="auto"/>
        <w:ind w:right="459"/>
        <w:jc w:val="center"/>
        <w:rPr>
          <w:color w:val="000000" w:themeColor="text1"/>
          <w:sz w:val="28"/>
          <w:highlight w:val="none"/>
          <w14:textFill>
            <w14:solidFill>
              <w14:schemeClr w14:val="tx1"/>
            </w14:solidFill>
          </w14:textFill>
        </w:rPr>
      </w:pP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z w:val="28"/>
          <w:highlight w:val="none"/>
          <w14:textFill>
            <w14:solidFill>
              <w14:schemeClr w14:val="tx1"/>
            </w14:solidFill>
          </w14:textFill>
        </w:rPr>
        <w:t>年</w:t>
      </w: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z w:val="28"/>
          <w:highlight w:val="none"/>
          <w14:textFill>
            <w14:solidFill>
              <w14:schemeClr w14:val="tx1"/>
            </w14:solidFill>
          </w14:textFill>
        </w:rPr>
        <w:t>月</w:t>
      </w:r>
      <w:r>
        <w:rPr>
          <w:rFonts w:hint="eastAsia"/>
          <w:color w:val="000000" w:themeColor="text1"/>
          <w:sz w:val="28"/>
          <w:highlight w:val="none"/>
          <w:u w:val="single"/>
          <w14:textFill>
            <w14:solidFill>
              <w14:schemeClr w14:val="tx1"/>
            </w14:solidFill>
          </w14:textFill>
        </w:rPr>
        <w:t xml:space="preserve"> </w:t>
      </w:r>
      <w:r>
        <w:rPr>
          <w:rFonts w:hint="eastAsia"/>
          <w:color w:val="000000" w:themeColor="text1"/>
          <w:sz w:val="28"/>
          <w:highlight w:val="none"/>
          <w:u w:val="single"/>
          <w14:textFill>
            <w14:solidFill>
              <w14:schemeClr w14:val="tx1"/>
            </w14:solidFill>
          </w14:textFill>
        </w:rPr>
        <w:tab/>
      </w:r>
      <w:r>
        <w:rPr>
          <w:rFonts w:hint="eastAsia"/>
          <w:color w:val="000000" w:themeColor="text1"/>
          <w:sz w:val="28"/>
          <w:highlight w:val="none"/>
          <w14:textFill>
            <w14:solidFill>
              <w14:schemeClr w14:val="tx1"/>
            </w14:solidFill>
          </w14:textFill>
        </w:rPr>
        <w:t>日</w:t>
      </w:r>
    </w:p>
    <w:p>
      <w:pPr>
        <w:pStyle w:val="7"/>
        <w:ind w:firstLine="0"/>
        <w:rPr>
          <w:color w:val="000000" w:themeColor="text1"/>
          <w:sz w:val="24"/>
          <w:szCs w:val="22"/>
          <w:highlight w:val="none"/>
          <w14:textFill>
            <w14:solidFill>
              <w14:schemeClr w14:val="tx1"/>
            </w14:solidFill>
          </w14:textFill>
        </w:rPr>
      </w:pPr>
    </w:p>
    <w:p>
      <w:pPr>
        <w:pStyle w:val="2"/>
        <w:spacing w:line="360" w:lineRule="auto"/>
        <w:ind w:left="0" w:right="457" w:firstLine="0"/>
        <w:jc w:val="center"/>
        <w:rPr>
          <w:rFonts w:hint="eastAsia" w:ascii="宋体" w:hAnsi="宋体" w:eastAsia="宋体" w:cs="宋体"/>
          <w:color w:val="000000" w:themeColor="text1"/>
          <w:highlight w:val="none"/>
          <w14:textFill>
            <w14:solidFill>
              <w14:schemeClr w14:val="tx1"/>
            </w14:solidFill>
          </w14:textFill>
        </w:rPr>
      </w:pPr>
      <w:bookmarkStart w:id="38" w:name="_bookmark175"/>
      <w:bookmarkEnd w:id="38"/>
    </w:p>
    <w:p>
      <w:pPr>
        <w:pStyle w:val="2"/>
        <w:spacing w:line="360" w:lineRule="auto"/>
        <w:ind w:left="0" w:right="457" w:firstLine="0"/>
        <w:jc w:val="center"/>
        <w:rPr>
          <w:rFonts w:hint="eastAsia" w:ascii="宋体" w:hAnsi="宋体" w:eastAsia="宋体" w:cs="宋体"/>
          <w:color w:val="000000" w:themeColor="text1"/>
          <w:highlight w:val="none"/>
          <w14:textFill>
            <w14:solidFill>
              <w14:schemeClr w14:val="tx1"/>
            </w14:solidFill>
          </w14:textFill>
        </w:rPr>
      </w:pPr>
    </w:p>
    <w:p>
      <w:pPr>
        <w:pStyle w:val="2"/>
        <w:spacing w:line="360" w:lineRule="auto"/>
        <w:ind w:left="0" w:right="457" w:firstLine="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目录</w:t>
      </w:r>
    </w:p>
    <w:p>
      <w:pPr>
        <w:pStyle w:val="10"/>
        <w:spacing w:line="360" w:lineRule="auto"/>
        <w:rPr>
          <w:b/>
          <w:color w:val="000000" w:themeColor="text1"/>
          <w:sz w:val="20"/>
          <w:highlight w:val="none"/>
          <w14:textFill>
            <w14:solidFill>
              <w14:schemeClr w14:val="tx1"/>
            </w14:solidFill>
          </w14:textFill>
        </w:rPr>
      </w:pPr>
    </w:p>
    <w:p>
      <w:pPr>
        <w:pStyle w:val="10"/>
        <w:spacing w:line="360" w:lineRule="auto"/>
        <w:rPr>
          <w:b/>
          <w:color w:val="000000" w:themeColor="text1"/>
          <w:sz w:val="20"/>
          <w:highlight w:val="none"/>
          <w14:textFill>
            <w14:solidFill>
              <w14:schemeClr w14:val="tx1"/>
            </w14:solidFill>
          </w14:textFill>
        </w:rPr>
      </w:pPr>
    </w:p>
    <w:p>
      <w:pPr>
        <w:pStyle w:val="10"/>
        <w:spacing w:before="1" w:line="360" w:lineRule="auto"/>
        <w:rPr>
          <w:b/>
          <w:color w:val="000000" w:themeColor="text1"/>
          <w:sz w:val="24"/>
          <w:highlight w:val="none"/>
          <w14:textFill>
            <w14:solidFill>
              <w14:schemeClr w14:val="tx1"/>
            </w14:solidFill>
          </w14:textFill>
        </w:rPr>
      </w:pPr>
    </w:p>
    <w:p>
      <w:pPr>
        <w:spacing w:line="360" w:lineRule="auto"/>
        <w:ind w:firstLine="424" w:firstLineChars="177"/>
        <w:rPr>
          <w:rFonts w:ascii="Times New Roman" w:hAnsi="Times New Roman"/>
          <w:sz w:val="24"/>
          <w:highlight w:val="none"/>
        </w:rPr>
      </w:pPr>
      <w:bookmarkStart w:id="39" w:name="_bookmark176"/>
      <w:bookmarkEnd w:id="39"/>
      <w:r>
        <w:rPr>
          <w:rFonts w:ascii="Times New Roman" w:hAnsi="Times New Roman"/>
          <w:sz w:val="24"/>
          <w:highlight w:val="none"/>
        </w:rPr>
        <w:t>一、投标函及投标函附录</w:t>
      </w:r>
    </w:p>
    <w:p>
      <w:pPr>
        <w:spacing w:line="360" w:lineRule="auto"/>
        <w:ind w:firstLine="424" w:firstLineChars="177"/>
        <w:rPr>
          <w:rFonts w:ascii="Times New Roman" w:hAnsi="Times New Roman"/>
          <w:sz w:val="24"/>
          <w:highlight w:val="none"/>
        </w:rPr>
      </w:pPr>
      <w:r>
        <w:rPr>
          <w:rFonts w:ascii="Times New Roman" w:hAnsi="Times New Roman"/>
          <w:sz w:val="24"/>
          <w:highlight w:val="none"/>
        </w:rPr>
        <w:t>二、法定代表人身份证明</w:t>
      </w:r>
      <w:r>
        <w:rPr>
          <w:rFonts w:hint="eastAsia" w:ascii="Times New Roman" w:hAnsi="Times New Roman"/>
          <w:sz w:val="24"/>
          <w:highlight w:val="none"/>
        </w:rPr>
        <w:t>、授权委托书（如有）</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三</w:t>
      </w:r>
      <w:r>
        <w:rPr>
          <w:rFonts w:ascii="Times New Roman" w:hAnsi="Times New Roman"/>
          <w:sz w:val="24"/>
          <w:highlight w:val="none"/>
        </w:rPr>
        <w:t>、监理报酬清单</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四</w:t>
      </w:r>
      <w:r>
        <w:rPr>
          <w:rFonts w:ascii="Times New Roman" w:hAnsi="Times New Roman"/>
          <w:sz w:val="24"/>
          <w:highlight w:val="none"/>
        </w:rPr>
        <w:t>、</w:t>
      </w:r>
      <w:r>
        <w:rPr>
          <w:rFonts w:hint="eastAsia" w:ascii="Times New Roman" w:hAnsi="Times New Roman"/>
          <w:sz w:val="24"/>
          <w:highlight w:val="none"/>
        </w:rPr>
        <w:t>资格</w:t>
      </w:r>
      <w:r>
        <w:rPr>
          <w:rFonts w:ascii="Times New Roman" w:hAnsi="Times New Roman"/>
          <w:sz w:val="24"/>
          <w:highlight w:val="none"/>
        </w:rPr>
        <w:t>审查资料</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五</w:t>
      </w:r>
      <w:r>
        <w:rPr>
          <w:rFonts w:ascii="Times New Roman" w:hAnsi="Times New Roman"/>
          <w:sz w:val="24"/>
          <w:highlight w:val="none"/>
        </w:rPr>
        <w:t>、投标人声明</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六、</w:t>
      </w:r>
      <w:r>
        <w:rPr>
          <w:rFonts w:ascii="Times New Roman" w:hAnsi="Times New Roman"/>
          <w:sz w:val="24"/>
          <w:highlight w:val="none"/>
        </w:rPr>
        <w:t>监理大纲</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七</w:t>
      </w:r>
      <w:r>
        <w:rPr>
          <w:rFonts w:ascii="Times New Roman" w:hAnsi="Times New Roman"/>
          <w:sz w:val="24"/>
          <w:highlight w:val="none"/>
        </w:rPr>
        <w:t>、其他资料</w:t>
      </w:r>
      <w:r>
        <w:rPr>
          <w:rFonts w:hint="eastAsia" w:ascii="Times New Roman" w:hAnsi="Times New Roman"/>
          <w:sz w:val="24"/>
          <w:highlight w:val="none"/>
        </w:rPr>
        <w:t>（包括但不限制于以下内容）</w:t>
      </w:r>
    </w:p>
    <w:p>
      <w:pPr>
        <w:spacing w:line="360" w:lineRule="auto"/>
        <w:ind w:firstLine="664" w:firstLineChars="277"/>
        <w:rPr>
          <w:rFonts w:ascii="Times New Roman" w:hAnsi="Times New Roman"/>
          <w:sz w:val="24"/>
          <w:highlight w:val="none"/>
        </w:rPr>
      </w:pPr>
      <w:r>
        <w:rPr>
          <w:rFonts w:hint="eastAsia" w:ascii="Times New Roman" w:hAnsi="Times New Roman"/>
          <w:sz w:val="24"/>
          <w:highlight w:val="none"/>
        </w:rPr>
        <w:t>①监理项目管理团队人员信息表；</w:t>
      </w:r>
    </w:p>
    <w:p>
      <w:pPr>
        <w:spacing w:line="360" w:lineRule="auto"/>
        <w:ind w:firstLine="664" w:firstLineChars="277"/>
        <w:rPr>
          <w:rFonts w:ascii="Times New Roman" w:hAnsi="Times New Roman"/>
          <w:sz w:val="24"/>
          <w:highlight w:val="none"/>
        </w:rPr>
      </w:pPr>
      <w:r>
        <w:rPr>
          <w:rFonts w:hint="eastAsia" w:ascii="Times New Roman" w:hAnsi="Times New Roman"/>
          <w:sz w:val="24"/>
          <w:highlight w:val="none"/>
        </w:rPr>
        <w:t>②投标人认为需要提供的资料（如有）。</w:t>
      </w:r>
    </w:p>
    <w:p>
      <w:pPr>
        <w:spacing w:line="540" w:lineRule="exact"/>
        <w:rPr>
          <w:rFonts w:ascii="Times New Roman" w:hAnsi="Times New Roman"/>
          <w:sz w:val="20"/>
          <w:highlight w:val="none"/>
        </w:rPr>
      </w:pPr>
    </w:p>
    <w:p>
      <w:pPr>
        <w:spacing w:line="540" w:lineRule="exact"/>
        <w:rPr>
          <w:rFonts w:ascii="Times New Roman" w:hAnsi="Times New Roman"/>
          <w:sz w:val="20"/>
          <w:highlight w:val="none"/>
        </w:rPr>
      </w:pPr>
    </w:p>
    <w:p>
      <w:pPr>
        <w:widowControl/>
        <w:jc w:val="left"/>
        <w:rPr>
          <w:rFonts w:ascii="Times New Roman" w:hAnsi="Times New Roman"/>
          <w:sz w:val="20"/>
          <w:highlight w:val="none"/>
        </w:rPr>
      </w:pPr>
      <w:r>
        <w:rPr>
          <w:rFonts w:ascii="Times New Roman" w:hAnsi="Times New Roman"/>
          <w:sz w:val="20"/>
          <w:highlight w:val="none"/>
        </w:rPr>
        <w:br w:type="page"/>
      </w:r>
    </w:p>
    <w:p>
      <w:pPr>
        <w:pStyle w:val="2"/>
        <w:spacing w:line="600" w:lineRule="auto"/>
        <w:rPr>
          <w:rFonts w:ascii="Times New Roman" w:hAnsi="Times New Roman"/>
          <w:color w:val="auto"/>
          <w:sz w:val="30"/>
          <w:szCs w:val="30"/>
          <w:highlight w:val="none"/>
        </w:rPr>
      </w:pPr>
      <w:bookmarkStart w:id="40" w:name="_Toc530470642"/>
      <w:bookmarkStart w:id="41" w:name="_Toc535938751"/>
      <w:bookmarkStart w:id="42" w:name="_Toc529196600"/>
      <w:r>
        <w:rPr>
          <w:rFonts w:ascii="Times New Roman" w:hAnsi="Times New Roman"/>
          <w:color w:val="auto"/>
          <w:sz w:val="30"/>
          <w:szCs w:val="30"/>
          <w:highlight w:val="none"/>
        </w:rPr>
        <w:t>一、投标</w:t>
      </w:r>
      <w:bookmarkStart w:id="43" w:name="_Toc369531692"/>
      <w:bookmarkStart w:id="44" w:name="_Toc352691656"/>
      <w:bookmarkStart w:id="45" w:name="_Toc6931"/>
      <w:r>
        <w:rPr>
          <w:rFonts w:ascii="Times New Roman" w:hAnsi="Times New Roman"/>
          <w:color w:val="auto"/>
          <w:sz w:val="30"/>
          <w:szCs w:val="30"/>
          <w:highlight w:val="none"/>
        </w:rPr>
        <w:t>函及投标函附录</w:t>
      </w:r>
      <w:bookmarkEnd w:id="40"/>
      <w:bookmarkEnd w:id="41"/>
      <w:bookmarkEnd w:id="42"/>
    </w:p>
    <w:bookmarkEnd w:id="43"/>
    <w:bookmarkEnd w:id="44"/>
    <w:bookmarkEnd w:id="45"/>
    <w:p>
      <w:pPr>
        <w:pStyle w:val="4"/>
        <w:spacing w:line="240" w:lineRule="auto"/>
        <w:rPr>
          <w:highlight w:val="none"/>
        </w:rPr>
      </w:pPr>
      <w:bookmarkStart w:id="46" w:name="_Toc535938752"/>
      <w:bookmarkStart w:id="47" w:name="_Toc359594235"/>
      <w:bookmarkStart w:id="48" w:name="_Toc529196601"/>
      <w:bookmarkStart w:id="49" w:name="_Toc482188651"/>
      <w:bookmarkStart w:id="50" w:name="_Toc385943065"/>
      <w:bookmarkStart w:id="51" w:name="_Toc391394111"/>
      <w:bookmarkStart w:id="52" w:name="_Toc530470643"/>
      <w:bookmarkStart w:id="53" w:name="_Toc370676426"/>
      <w:r>
        <w:rPr>
          <w:highlight w:val="none"/>
        </w:rPr>
        <w:t>（一）投标函</w:t>
      </w:r>
      <w:bookmarkEnd w:id="46"/>
      <w:bookmarkEnd w:id="47"/>
      <w:bookmarkEnd w:id="48"/>
      <w:bookmarkEnd w:id="49"/>
      <w:bookmarkEnd w:id="50"/>
      <w:bookmarkEnd w:id="51"/>
      <w:bookmarkEnd w:id="52"/>
      <w:bookmarkEnd w:id="53"/>
    </w:p>
    <w:p>
      <w:pPr>
        <w:spacing w:line="360" w:lineRule="auto"/>
        <w:rPr>
          <w:rFonts w:ascii="Times New Roman" w:hAnsi="Times New Roman"/>
          <w:sz w:val="24"/>
          <w:highlight w:val="none"/>
        </w:rPr>
      </w:pPr>
      <w:r>
        <w:rPr>
          <w:rFonts w:ascii="Times New Roman" w:hAnsi="Times New Roman"/>
          <w:sz w:val="24"/>
          <w:highlight w:val="none"/>
        </w:rPr>
        <w:t>（招标人名称）：</w:t>
      </w:r>
      <w:r>
        <w:rPr>
          <w:rFonts w:ascii="Times New Roman" w:hAnsi="Times New Roman"/>
          <w:sz w:val="24"/>
          <w:highlight w:val="none"/>
          <w:u w:val="single"/>
        </w:rPr>
        <w:t xml:space="preserve">                </w:t>
      </w:r>
    </w:p>
    <w:p>
      <w:pPr>
        <w:spacing w:line="360" w:lineRule="auto"/>
        <w:ind w:firstLine="405"/>
        <w:rPr>
          <w:rFonts w:ascii="Times New Roman" w:hAnsi="Times New Roman"/>
          <w:sz w:val="24"/>
          <w:highlight w:val="none"/>
        </w:rPr>
      </w:pPr>
      <w:r>
        <w:rPr>
          <w:rFonts w:ascii="Times New Roman" w:hAnsi="Times New Roman"/>
          <w:sz w:val="24"/>
          <w:highlight w:val="none"/>
        </w:rPr>
        <w:t>1．我方已仔细研究了</w:t>
      </w:r>
      <w:r>
        <w:rPr>
          <w:rFonts w:ascii="Times New Roman" w:hAnsi="Times New Roman"/>
          <w:sz w:val="24"/>
          <w:highlight w:val="none"/>
          <w:u w:val="single"/>
        </w:rPr>
        <w:t xml:space="preserve">                </w:t>
      </w:r>
      <w:r>
        <w:rPr>
          <w:rFonts w:ascii="Times New Roman" w:hAnsi="Times New Roman"/>
          <w:sz w:val="24"/>
          <w:highlight w:val="none"/>
        </w:rPr>
        <w:t>（项目名称）监理招标项目招标文件的全部内容，愿意以</w:t>
      </w:r>
      <w:r>
        <w:rPr>
          <w:rFonts w:hint="eastAsia" w:ascii="Times New Roman" w:hAnsi="Times New Roman"/>
          <w:sz w:val="24"/>
          <w:highlight w:val="none"/>
        </w:rPr>
        <w:t>投标函附录中的报价和监理服务期</w:t>
      </w:r>
      <w:r>
        <w:rPr>
          <w:rFonts w:ascii="Times New Roman" w:hAnsi="Times New Roman"/>
          <w:sz w:val="24"/>
          <w:highlight w:val="none"/>
        </w:rPr>
        <w:t>，按合同约定完成监理工作。</w:t>
      </w:r>
    </w:p>
    <w:p>
      <w:pPr>
        <w:spacing w:line="360" w:lineRule="auto"/>
        <w:ind w:firstLine="480" w:firstLineChars="200"/>
        <w:rPr>
          <w:rFonts w:ascii="Times New Roman" w:hAnsi="Times New Roman"/>
          <w:sz w:val="24"/>
          <w:highlight w:val="none"/>
        </w:rPr>
      </w:pPr>
      <w:bookmarkStart w:id="54" w:name="_Toc530470644"/>
      <w:r>
        <w:rPr>
          <w:rFonts w:ascii="Times New Roman" w:hAnsi="Times New Roman"/>
          <w:sz w:val="24"/>
          <w:highlight w:val="none"/>
        </w:rPr>
        <w:t>2. 我方的投标文件包括下列内容：</w:t>
      </w:r>
      <w:bookmarkEnd w:id="54"/>
    </w:p>
    <w:p>
      <w:pPr>
        <w:spacing w:line="360" w:lineRule="auto"/>
        <w:ind w:firstLine="405"/>
        <w:rPr>
          <w:rFonts w:ascii="Times New Roman" w:hAnsi="Times New Roman"/>
          <w:sz w:val="24"/>
          <w:highlight w:val="none"/>
        </w:rPr>
      </w:pPr>
      <w:r>
        <w:rPr>
          <w:rFonts w:ascii="Times New Roman" w:hAnsi="Times New Roman"/>
          <w:sz w:val="24"/>
          <w:highlight w:val="none"/>
        </w:rPr>
        <w:t>（1）投标函及投标函附录；</w:t>
      </w:r>
    </w:p>
    <w:p>
      <w:pPr>
        <w:spacing w:line="360" w:lineRule="auto"/>
        <w:ind w:firstLine="405"/>
        <w:rPr>
          <w:rFonts w:ascii="Times New Roman" w:hAnsi="Times New Roman"/>
          <w:sz w:val="24"/>
          <w:highlight w:val="none"/>
        </w:rPr>
      </w:pPr>
      <w:r>
        <w:rPr>
          <w:rFonts w:ascii="Times New Roman" w:hAnsi="Times New Roman"/>
          <w:sz w:val="24"/>
          <w:highlight w:val="none"/>
        </w:rPr>
        <w:t>（2）法定代表人身份证明</w:t>
      </w:r>
      <w:r>
        <w:rPr>
          <w:rFonts w:hint="eastAsia" w:ascii="Times New Roman" w:hAnsi="Times New Roman"/>
          <w:sz w:val="24"/>
          <w:highlight w:val="none"/>
        </w:rPr>
        <w:t>、</w:t>
      </w:r>
      <w:r>
        <w:rPr>
          <w:rFonts w:ascii="Times New Roman" w:hAnsi="Times New Roman"/>
          <w:sz w:val="24"/>
          <w:highlight w:val="none"/>
        </w:rPr>
        <w:t>授权委托书（如有）；</w:t>
      </w:r>
    </w:p>
    <w:p>
      <w:pPr>
        <w:spacing w:line="360" w:lineRule="auto"/>
        <w:ind w:firstLine="405"/>
        <w:rPr>
          <w:rFonts w:ascii="Times New Roman" w:hAnsi="Times New Roman"/>
          <w:sz w:val="24"/>
          <w:highlight w:val="none"/>
        </w:rPr>
      </w:pPr>
      <w:r>
        <w:rPr>
          <w:rFonts w:ascii="Times New Roman" w:hAnsi="Times New Roman"/>
          <w:sz w:val="24"/>
          <w:highlight w:val="none"/>
        </w:rPr>
        <w:t>（3）投标保证金（如有）；</w:t>
      </w:r>
    </w:p>
    <w:p>
      <w:pPr>
        <w:spacing w:line="360" w:lineRule="auto"/>
        <w:ind w:firstLine="405"/>
        <w:rPr>
          <w:rFonts w:ascii="Times New Roman" w:hAnsi="Times New Roman"/>
          <w:sz w:val="24"/>
          <w:highlight w:val="none"/>
        </w:rPr>
      </w:pPr>
      <w:r>
        <w:rPr>
          <w:rFonts w:ascii="Times New Roman" w:hAnsi="Times New Roman"/>
          <w:sz w:val="24"/>
          <w:highlight w:val="none"/>
        </w:rPr>
        <w:t xml:space="preserve">（4）监理报酬清单； </w:t>
      </w:r>
    </w:p>
    <w:p>
      <w:pPr>
        <w:spacing w:line="360" w:lineRule="auto"/>
        <w:ind w:firstLine="405"/>
        <w:rPr>
          <w:rFonts w:ascii="Times New Roman" w:hAnsi="Times New Roman"/>
          <w:sz w:val="24"/>
          <w:highlight w:val="none"/>
        </w:rPr>
      </w:pPr>
      <w:r>
        <w:rPr>
          <w:rFonts w:ascii="Times New Roman" w:hAnsi="Times New Roman"/>
          <w:sz w:val="24"/>
          <w:highlight w:val="none"/>
        </w:rPr>
        <w:t>（5）资格审查资料</w:t>
      </w:r>
    </w:p>
    <w:p>
      <w:pPr>
        <w:spacing w:line="360" w:lineRule="auto"/>
        <w:ind w:firstLine="405"/>
        <w:rPr>
          <w:rFonts w:ascii="Times New Roman" w:hAnsi="Times New Roman"/>
          <w:sz w:val="24"/>
          <w:highlight w:val="none"/>
        </w:rPr>
      </w:pPr>
      <w:r>
        <w:rPr>
          <w:rFonts w:ascii="Times New Roman" w:hAnsi="Times New Roman"/>
          <w:sz w:val="24"/>
          <w:highlight w:val="none"/>
        </w:rPr>
        <w:t>（6）监理大纲；</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（7）其他资料。</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投标文件的上述组成部分如存在内容不一致的，以投标函为准。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3．我方承诺在招标文件规定的投标有效期</w:t>
      </w:r>
      <w:r>
        <w:rPr>
          <w:rFonts w:ascii="Times New Roman" w:hAnsi="Times New Roman"/>
          <w:sz w:val="24"/>
          <w:highlight w:val="none"/>
          <w:u w:val="single"/>
        </w:rPr>
        <w:t>90</w:t>
      </w:r>
      <w:r>
        <w:rPr>
          <w:rFonts w:ascii="Times New Roman" w:hAnsi="Times New Roman"/>
          <w:sz w:val="24"/>
          <w:highlight w:val="none"/>
        </w:rPr>
        <w:t>日历天内不撤销投标文件。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4．如我方中标，我方承诺：</w:t>
      </w:r>
    </w:p>
    <w:p>
      <w:pPr>
        <w:spacing w:line="360" w:lineRule="auto"/>
        <w:ind w:left="1000" w:leftChars="400" w:hanging="120" w:hangingChars="50"/>
        <w:rPr>
          <w:rFonts w:ascii="Times New Roman" w:hAnsi="Times New Roman"/>
          <w:sz w:val="24"/>
          <w:highlight w:val="none"/>
        </w:rPr>
      </w:pPr>
      <w:r>
        <w:rPr>
          <w:rFonts w:ascii="Times New Roman" w:hAnsi="Times New Roman"/>
          <w:sz w:val="24"/>
          <w:highlight w:val="none"/>
        </w:rPr>
        <w:t>（1）在收到中标通知书后，在中标通知书规定的期限内与你方签订合同；</w:t>
      </w:r>
    </w:p>
    <w:p>
      <w:pPr>
        <w:spacing w:line="360" w:lineRule="auto"/>
        <w:ind w:left="1000" w:leftChars="400" w:hanging="120" w:hangingChars="50"/>
        <w:rPr>
          <w:rFonts w:ascii="Times New Roman" w:hAnsi="Times New Roman"/>
          <w:sz w:val="24"/>
          <w:highlight w:val="none"/>
        </w:rPr>
      </w:pPr>
      <w:r>
        <w:rPr>
          <w:rFonts w:ascii="Times New Roman" w:hAnsi="Times New Roman"/>
          <w:sz w:val="24"/>
          <w:highlight w:val="none"/>
        </w:rPr>
        <w:t>（2）在签订合同时不向你方提出附加条件；</w:t>
      </w:r>
    </w:p>
    <w:p>
      <w:pPr>
        <w:spacing w:line="360" w:lineRule="auto"/>
        <w:ind w:left="1000" w:leftChars="400" w:hanging="120" w:hangingChars="50"/>
        <w:rPr>
          <w:rFonts w:ascii="Times New Roman" w:hAnsi="Times New Roman"/>
          <w:sz w:val="24"/>
          <w:highlight w:val="none"/>
        </w:rPr>
      </w:pPr>
      <w:bookmarkStart w:id="55" w:name="_Toc369531694"/>
      <w:bookmarkStart w:id="56" w:name="_Toc352691658"/>
      <w:bookmarkStart w:id="57" w:name="_Toc1187"/>
      <w:r>
        <w:rPr>
          <w:rFonts w:ascii="Times New Roman" w:hAnsi="Times New Roman"/>
          <w:sz w:val="24"/>
          <w:highlight w:val="none"/>
        </w:rPr>
        <w:t>（</w:t>
      </w:r>
      <w:r>
        <w:rPr>
          <w:rFonts w:hint="eastAsia" w:ascii="Times New Roman" w:hAnsi="Times New Roman"/>
          <w:sz w:val="24"/>
          <w:highlight w:val="none"/>
        </w:rPr>
        <w:t>3</w:t>
      </w:r>
      <w:r>
        <w:rPr>
          <w:rFonts w:ascii="Times New Roman" w:hAnsi="Times New Roman"/>
          <w:sz w:val="24"/>
          <w:highlight w:val="none"/>
        </w:rPr>
        <w:t>）在合</w:t>
      </w:r>
      <w:bookmarkEnd w:id="55"/>
      <w:bookmarkEnd w:id="56"/>
      <w:bookmarkEnd w:id="57"/>
      <w:r>
        <w:rPr>
          <w:rFonts w:ascii="Times New Roman" w:hAnsi="Times New Roman"/>
          <w:sz w:val="24"/>
          <w:highlight w:val="none"/>
        </w:rPr>
        <w:t>同约定的期限内完成合同规定的全部义务；</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6. 如我方中标，我方承诺，满足“委托人要求”中的所有内容。</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7</w:t>
      </w:r>
      <w:r>
        <w:rPr>
          <w:rFonts w:ascii="Times New Roman" w:hAnsi="Times New Roman"/>
          <w:sz w:val="24"/>
          <w:highlight w:val="none"/>
        </w:rPr>
        <w:t>．如我方中标，我方承诺：我司提交的所有投标资料真实可靠，并</w:t>
      </w:r>
      <w:r>
        <w:rPr>
          <w:rFonts w:hint="eastAsia" w:ascii="Times New Roman" w:hAnsi="Times New Roman"/>
          <w:sz w:val="24"/>
          <w:highlight w:val="none"/>
        </w:rPr>
        <w:t>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pPr>
        <w:spacing w:line="360" w:lineRule="auto"/>
        <w:ind w:firstLine="2640" w:firstLineChars="1200"/>
        <w:rPr>
          <w:rFonts w:ascii="Times New Roman" w:hAnsi="Times New Roman"/>
          <w:szCs w:val="21"/>
          <w:highlight w:val="none"/>
        </w:rPr>
      </w:pPr>
      <w:bookmarkStart w:id="58" w:name="_Toc359594236"/>
      <w:bookmarkStart w:id="59" w:name="_Toc370676427"/>
      <w:bookmarkStart w:id="60" w:name="_Toc482188652"/>
      <w:bookmarkStart w:id="61" w:name="_Toc391394112"/>
      <w:bookmarkStart w:id="62" w:name="_Toc385943066"/>
      <w:bookmarkStart w:id="63" w:name="_Toc152042576"/>
      <w:bookmarkStart w:id="64" w:name="_Toc144974856"/>
      <w:bookmarkStart w:id="65" w:name="_Toc17960"/>
      <w:bookmarkStart w:id="66" w:name="_Toc361508752"/>
      <w:bookmarkStart w:id="67" w:name="_Toc369531697"/>
      <w:bookmarkStart w:id="68" w:name="_Toc352691661"/>
      <w:bookmarkStart w:id="69" w:name="_Toc152045787"/>
      <w:bookmarkStart w:id="70" w:name="_Toc300835209"/>
      <w:bookmarkStart w:id="71" w:name="_Toc247527827"/>
      <w:bookmarkStart w:id="72" w:name="_Toc384308375"/>
      <w:bookmarkStart w:id="73" w:name="_Toc247514246"/>
    </w:p>
    <w:p>
      <w:pPr>
        <w:spacing w:line="360" w:lineRule="auto"/>
        <w:ind w:firstLine="2640" w:firstLineChars="1200"/>
        <w:rPr>
          <w:rFonts w:ascii="Times New Roman" w:hAnsi="Times New Roman"/>
          <w:szCs w:val="21"/>
          <w:highlight w:val="none"/>
        </w:rPr>
      </w:pPr>
      <w:r>
        <w:rPr>
          <w:rFonts w:ascii="Times New Roman" w:hAnsi="Times New Roman"/>
          <w:szCs w:val="21"/>
          <w:highlight w:val="none"/>
        </w:rPr>
        <w:t>投 标 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（盖单位章）</w:t>
      </w:r>
    </w:p>
    <w:p>
      <w:pPr>
        <w:spacing w:line="360" w:lineRule="auto"/>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rPr>
        <w:t xml:space="preserve">        法定代表人</w:t>
      </w:r>
      <w:r>
        <w:rPr>
          <w:rFonts w:ascii="Times New Roman" w:hAnsi="Times New Roman"/>
          <w:szCs w:val="21"/>
          <w:highlight w:val="none"/>
        </w:rPr>
        <w:t>(</w:t>
      </w:r>
      <w:r>
        <w:rPr>
          <w:rFonts w:hint="eastAsia" w:ascii="Times New Roman" w:hAnsi="Times New Roman"/>
          <w:szCs w:val="21"/>
          <w:highlight w:val="none"/>
        </w:rPr>
        <w:t>或被授权人</w:t>
      </w:r>
      <w:r>
        <w:rPr>
          <w:rFonts w:ascii="Times New Roman" w:hAnsi="Times New Roman"/>
          <w:szCs w:val="21"/>
          <w:highlight w:val="none"/>
        </w:rPr>
        <w:t>)</w:t>
      </w:r>
      <w:r>
        <w:rPr>
          <w:rFonts w:hint="eastAsia" w:ascii="Times New Roman" w:hAnsi="Times New Roman"/>
          <w:szCs w:val="21"/>
          <w:highlight w:val="none"/>
        </w:rPr>
        <w:t>（签名或盖章）：</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p>
    <w:p>
      <w:pPr>
        <w:spacing w:line="360" w:lineRule="auto"/>
        <w:ind w:firstLine="2640" w:firstLineChars="1200"/>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spacing w:line="360" w:lineRule="auto"/>
        <w:ind w:right="85"/>
        <w:rPr>
          <w:rFonts w:ascii="Times New Roman" w:hAnsi="Times New Roman"/>
          <w:szCs w:val="21"/>
          <w:highlight w:val="none"/>
        </w:rPr>
      </w:pPr>
      <w:r>
        <w:rPr>
          <w:rFonts w:hint="eastAsia" w:ascii="Times New Roman" w:hAnsi="Times New Roman"/>
          <w:szCs w:val="21"/>
          <w:highlight w:val="none"/>
        </w:rPr>
        <w:t xml:space="preserve">                        </w:t>
      </w:r>
      <w:r>
        <w:rPr>
          <w:rFonts w:ascii="Times New Roman" w:hAnsi="Times New Roman"/>
          <w:szCs w:val="21"/>
          <w:highlight w:val="none"/>
        </w:rPr>
        <w:t>网    址：</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p>
    <w:p>
      <w:pPr>
        <w:spacing w:line="360" w:lineRule="auto"/>
        <w:ind w:firstLine="2640" w:firstLineChars="1200"/>
        <w:rPr>
          <w:rFonts w:ascii="Times New Roman" w:hAnsi="Times New Roman"/>
          <w:szCs w:val="21"/>
          <w:highlight w:val="none"/>
        </w:rPr>
      </w:pPr>
      <w:r>
        <w:rPr>
          <w:rFonts w:ascii="Times New Roman" w:hAnsi="Times New Roman"/>
          <w:szCs w:val="21"/>
          <w:highlight w:val="none"/>
        </w:rPr>
        <w:t>电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2640" w:firstLineChars="1200"/>
        <w:rPr>
          <w:rFonts w:ascii="Times New Roman" w:hAnsi="Times New Roman"/>
          <w:szCs w:val="21"/>
          <w:highlight w:val="none"/>
        </w:rPr>
      </w:pPr>
      <w:r>
        <w:rPr>
          <w:rFonts w:ascii="Times New Roman" w:hAnsi="Times New Roman"/>
          <w:szCs w:val="21"/>
          <w:highlight w:val="none"/>
        </w:rPr>
        <w:t>传    真：</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2640" w:firstLineChars="1200"/>
        <w:rPr>
          <w:rFonts w:ascii="Times New Roman" w:hAnsi="Times New Roman"/>
          <w:szCs w:val="21"/>
          <w:highlight w:val="none"/>
        </w:rPr>
      </w:pPr>
      <w:r>
        <w:rPr>
          <w:rFonts w:ascii="Times New Roman" w:hAnsi="Times New Roman"/>
          <w:szCs w:val="21"/>
          <w:highlight w:val="none"/>
        </w:rPr>
        <w:t>邮政编码：</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4950" w:firstLineChars="2250"/>
        <w:rPr>
          <w:rFonts w:ascii="Times New Roman" w:hAnsi="Times New Roman"/>
          <w:szCs w:val="21"/>
          <w:highlight w:val="none"/>
        </w:rPr>
      </w:pP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日</w:t>
      </w:r>
    </w:p>
    <w:p>
      <w:pPr>
        <w:spacing w:line="360" w:lineRule="auto"/>
        <w:ind w:firstLine="4950" w:firstLineChars="2250"/>
        <w:rPr>
          <w:rFonts w:ascii="Times New Roman" w:hAnsi="Times New Roman"/>
          <w:szCs w:val="21"/>
          <w:highlight w:val="none"/>
        </w:rPr>
      </w:pPr>
      <w:r>
        <w:rPr>
          <w:rFonts w:ascii="Times New Roman" w:hAnsi="Times New Roman"/>
          <w:szCs w:val="21"/>
          <w:highlight w:val="none"/>
        </w:rPr>
        <w:br w:type="page"/>
      </w:r>
    </w:p>
    <w:p>
      <w:pPr>
        <w:pStyle w:val="4"/>
        <w:spacing w:line="480" w:lineRule="auto"/>
        <w:rPr>
          <w:highlight w:val="none"/>
        </w:rPr>
      </w:pPr>
      <w:bookmarkStart w:id="74" w:name="_Toc530470645"/>
      <w:bookmarkStart w:id="75" w:name="_Toc535938753"/>
      <w:bookmarkStart w:id="76" w:name="_Toc529196602"/>
      <w:r>
        <w:rPr>
          <w:highlight w:val="none"/>
        </w:rPr>
        <w:t>（二）投标函附录</w:t>
      </w:r>
      <w:bookmarkEnd w:id="58"/>
      <w:bookmarkEnd w:id="59"/>
      <w:bookmarkEnd w:id="60"/>
      <w:bookmarkEnd w:id="61"/>
      <w:bookmarkEnd w:id="62"/>
      <w:bookmarkEnd w:id="74"/>
      <w:bookmarkEnd w:id="75"/>
      <w:bookmarkEnd w:id="7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80"/>
        <w:gridCol w:w="1875"/>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投标人名称</w:t>
            </w:r>
          </w:p>
          <w:p>
            <w:pPr>
              <w:snapToGrid w:val="0"/>
              <w:ind w:right="-70"/>
              <w:jc w:val="center"/>
              <w:rPr>
                <w:sz w:val="24"/>
                <w:szCs w:val="24"/>
                <w:highlight w:val="none"/>
              </w:rPr>
            </w:pPr>
            <w:r>
              <w:rPr>
                <w:rFonts w:hint="eastAsia" w:cs="宋体"/>
                <w:sz w:val="24"/>
                <w:szCs w:val="24"/>
                <w:highlight w:val="none"/>
              </w:rPr>
              <w:t>（盖章）</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资质等级</w:t>
            </w:r>
          </w:p>
          <w:p>
            <w:pPr>
              <w:snapToGrid w:val="0"/>
              <w:jc w:val="center"/>
              <w:rPr>
                <w:sz w:val="24"/>
                <w:szCs w:val="24"/>
                <w:highlight w:val="none"/>
              </w:rPr>
            </w:pPr>
            <w:r>
              <w:rPr>
                <w:rFonts w:hint="eastAsia" w:cs="宋体"/>
                <w:sz w:val="24"/>
                <w:szCs w:val="24"/>
                <w:highlight w:val="none"/>
              </w:rPr>
              <w:t>及证书号</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2826" w:type="dxa"/>
            <w:tcBorders>
              <w:top w:val="single" w:color="auto" w:sz="4" w:space="0"/>
              <w:left w:val="single" w:color="auto" w:sz="4" w:space="0"/>
              <w:right w:val="single" w:color="auto" w:sz="4" w:space="0"/>
            </w:tcBorders>
            <w:vAlign w:val="center"/>
          </w:tcPr>
          <w:p>
            <w:pPr>
              <w:snapToGrid w:val="0"/>
              <w:ind w:right="-70"/>
              <w:jc w:val="center"/>
              <w:rPr>
                <w:sz w:val="24"/>
                <w:szCs w:val="24"/>
                <w:highlight w:val="none"/>
              </w:rPr>
            </w:pPr>
            <w:r>
              <w:rPr>
                <w:rFonts w:hint="eastAsia"/>
                <w:highlight w:val="none"/>
              </w:rPr>
              <w:t>投标报价监理费率</w:t>
            </w:r>
          </w:p>
        </w:tc>
        <w:tc>
          <w:tcPr>
            <w:tcW w:w="1980" w:type="dxa"/>
            <w:tcBorders>
              <w:top w:val="single" w:color="auto" w:sz="4" w:space="0"/>
              <w:left w:val="single" w:color="auto" w:sz="4" w:space="0"/>
              <w:right w:val="single" w:color="auto" w:sz="4" w:space="0"/>
            </w:tcBorders>
            <w:vAlign w:val="center"/>
          </w:tcPr>
          <w:p>
            <w:pPr>
              <w:snapToGrid w:val="0"/>
              <w:ind w:right="50"/>
              <w:jc w:val="center"/>
              <w:rPr>
                <w:sz w:val="24"/>
                <w:szCs w:val="24"/>
                <w:highlight w:val="none"/>
              </w:rPr>
            </w:pPr>
            <w:r>
              <w:rPr>
                <w:rFonts w:hint="eastAsia"/>
                <w:sz w:val="24"/>
                <w:szCs w:val="24"/>
                <w:highlight w:val="none"/>
                <w:u w:val="single"/>
              </w:rPr>
              <w:t xml:space="preserve">      </w:t>
            </w:r>
            <w:r>
              <w:rPr>
                <w:rFonts w:hint="eastAsia"/>
                <w:sz w:val="24"/>
                <w:szCs w:val="24"/>
                <w:highlight w:val="none"/>
              </w:rPr>
              <w:t>%</w:t>
            </w:r>
          </w:p>
        </w:tc>
        <w:tc>
          <w:tcPr>
            <w:tcW w:w="1875" w:type="dxa"/>
            <w:tcBorders>
              <w:top w:val="single" w:color="auto" w:sz="4" w:space="0"/>
              <w:left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投标总报价</w:t>
            </w:r>
          </w:p>
          <w:p>
            <w:pPr>
              <w:snapToGrid w:val="0"/>
              <w:jc w:val="center"/>
              <w:rPr>
                <w:sz w:val="24"/>
                <w:szCs w:val="24"/>
                <w:highlight w:val="none"/>
              </w:rPr>
            </w:pPr>
            <w:r>
              <w:rPr>
                <w:rFonts w:hint="eastAsia" w:cs="宋体"/>
                <w:sz w:val="24"/>
                <w:szCs w:val="24"/>
                <w:highlight w:val="none"/>
              </w:rPr>
              <w:t>（元）</w:t>
            </w:r>
          </w:p>
        </w:tc>
        <w:tc>
          <w:tcPr>
            <w:tcW w:w="3049" w:type="dxa"/>
            <w:tcBorders>
              <w:top w:val="single" w:color="auto" w:sz="4" w:space="0"/>
              <w:left w:val="single" w:color="auto" w:sz="4" w:space="0"/>
              <w:right w:val="single" w:color="auto" w:sz="4" w:space="0"/>
            </w:tcBorders>
            <w:vAlign w:val="center"/>
          </w:tcPr>
          <w:p>
            <w:pPr>
              <w:rPr>
                <w:rFonts w:ascii="宋体" w:hAnsi="宋体" w:cs="宋体"/>
                <w:sz w:val="24"/>
                <w:highlight w:val="none"/>
              </w:rPr>
            </w:pPr>
            <w:r>
              <w:rPr>
                <w:rFonts w:hint="eastAsia" w:ascii="宋体" w:hAnsi="宋体" w:cs="宋体"/>
                <w:sz w:val="24"/>
                <w:highlight w:val="none"/>
              </w:rPr>
              <w:t>小写：</w:t>
            </w:r>
            <w:r>
              <w:rPr>
                <w:rFonts w:hint="eastAsia"/>
                <w:highlight w:val="none"/>
                <w:u w:val="single"/>
              </w:rPr>
              <w:t xml:space="preserve">         </w:t>
            </w:r>
          </w:p>
          <w:p>
            <w:pPr>
              <w:snapToGrid w:val="0"/>
              <w:ind w:right="482"/>
              <w:rPr>
                <w:rFonts w:ascii="宋体" w:hAnsi="宋体" w:cs="宋体"/>
                <w:kern w:val="0"/>
                <w:sz w:val="24"/>
                <w:szCs w:val="24"/>
                <w:highlight w:val="none"/>
              </w:rPr>
            </w:pPr>
          </w:p>
          <w:p>
            <w:pPr>
              <w:snapToGrid w:val="0"/>
              <w:ind w:right="482"/>
              <w:rPr>
                <w:rFonts w:ascii="宋体" w:hAnsi="宋体" w:cs="宋体"/>
                <w:sz w:val="24"/>
                <w:highlight w:val="none"/>
              </w:rPr>
            </w:pPr>
            <w:r>
              <w:rPr>
                <w:rFonts w:hint="eastAsia" w:ascii="宋体" w:hAnsi="宋体" w:cs="宋体"/>
                <w:sz w:val="24"/>
                <w:highlight w:val="none"/>
              </w:rPr>
              <w:t>大写：</w:t>
            </w:r>
            <w:r>
              <w:rPr>
                <w:rFonts w:hint="eastAsia"/>
                <w:highlight w:val="none"/>
                <w:u w:val="single"/>
              </w:rPr>
              <w:t xml:space="preserve">         </w:t>
            </w:r>
          </w:p>
          <w:p>
            <w:pPr>
              <w:pStyle w:val="7"/>
              <w:ind w:firstLine="0"/>
              <w:rPr>
                <w:highlight w:val="none"/>
              </w:rPr>
            </w:pPr>
          </w:p>
          <w:p>
            <w:pPr>
              <w:pStyle w:val="7"/>
              <w:ind w:firstLine="0"/>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826"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rPr>
            </w:pPr>
            <w:r>
              <w:rPr>
                <w:rFonts w:hint="eastAsia" w:cs="宋体"/>
                <w:sz w:val="24"/>
                <w:szCs w:val="24"/>
                <w:highlight w:val="none"/>
              </w:rPr>
              <w:t>合同价款确定方式</w:t>
            </w:r>
          </w:p>
        </w:tc>
        <w:tc>
          <w:tcPr>
            <w:tcW w:w="1980"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u w:val="single"/>
              </w:rPr>
            </w:pPr>
            <w:r>
              <w:rPr>
                <w:rFonts w:hint="eastAsia" w:cs="宋体"/>
                <w:sz w:val="24"/>
                <w:szCs w:val="24"/>
                <w:highlight w:val="none"/>
                <w:u w:val="single"/>
              </w:rPr>
              <w:t>按招标文件要求</w:t>
            </w:r>
          </w:p>
        </w:tc>
        <w:tc>
          <w:tcPr>
            <w:tcW w:w="1875"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rPr>
            </w:pPr>
            <w:r>
              <w:rPr>
                <w:rFonts w:hint="eastAsia" w:cs="宋体"/>
                <w:sz w:val="24"/>
                <w:szCs w:val="24"/>
                <w:highlight w:val="none"/>
              </w:rPr>
              <w:t>监理服务期限</w:t>
            </w:r>
          </w:p>
        </w:tc>
        <w:tc>
          <w:tcPr>
            <w:tcW w:w="3049"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u w:val="single"/>
              </w:rPr>
            </w:pPr>
            <w:r>
              <w:rPr>
                <w:rFonts w:hint="eastAsia" w:cs="宋体"/>
                <w:sz w:val="24"/>
                <w:szCs w:val="24"/>
                <w:highlight w:val="none"/>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监理服务期</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u w:val="single"/>
              </w:rPr>
            </w:pPr>
            <w:r>
              <w:rPr>
                <w:rFonts w:hint="eastAsia" w:cs="宋体"/>
                <w:sz w:val="24"/>
                <w:szCs w:val="24"/>
                <w:highlight w:val="none"/>
                <w:u w:val="single"/>
              </w:rPr>
              <w:t>按招标文件要求</w:t>
            </w:r>
          </w:p>
        </w:tc>
        <w:tc>
          <w:tcPr>
            <w:tcW w:w="18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监理质量目标</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u w:val="single"/>
              </w:rPr>
            </w:pPr>
            <w:r>
              <w:rPr>
                <w:rFonts w:hint="eastAsia" w:cs="宋体"/>
                <w:sz w:val="24"/>
                <w:szCs w:val="24"/>
                <w:highlight w:val="none"/>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tabs>
                <w:tab w:val="left" w:pos="1500"/>
              </w:tabs>
              <w:snapToGrid w:val="0"/>
              <w:ind w:right="-70"/>
              <w:jc w:val="center"/>
              <w:rPr>
                <w:sz w:val="24"/>
                <w:szCs w:val="24"/>
                <w:highlight w:val="none"/>
              </w:rPr>
            </w:pPr>
            <w:r>
              <w:rPr>
                <w:rFonts w:hint="eastAsia" w:cs="宋体"/>
                <w:sz w:val="24"/>
                <w:szCs w:val="24"/>
                <w:highlight w:val="none"/>
              </w:rPr>
              <w:t>驻场监理机构人数（人）</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tabs>
                <w:tab w:val="left" w:pos="1428"/>
              </w:tabs>
              <w:snapToGrid w:val="0"/>
              <w:jc w:val="center"/>
              <w:rPr>
                <w:sz w:val="24"/>
                <w:szCs w:val="24"/>
                <w:highlight w:val="none"/>
              </w:rPr>
            </w:pPr>
            <w:r>
              <w:rPr>
                <w:rFonts w:hint="eastAsia" w:cs="宋体"/>
                <w:sz w:val="24"/>
                <w:szCs w:val="24"/>
                <w:highlight w:val="none"/>
              </w:rPr>
              <w:t>拟投入本项目的监理工程师</w:t>
            </w:r>
          </w:p>
          <w:p>
            <w:pPr>
              <w:tabs>
                <w:tab w:val="left" w:pos="1428"/>
              </w:tabs>
              <w:snapToGrid w:val="0"/>
              <w:jc w:val="center"/>
              <w:rPr>
                <w:sz w:val="24"/>
                <w:szCs w:val="24"/>
                <w:highlight w:val="none"/>
              </w:rPr>
            </w:pPr>
            <w:r>
              <w:rPr>
                <w:rFonts w:hint="eastAsia" w:cs="宋体"/>
                <w:sz w:val="24"/>
                <w:szCs w:val="24"/>
                <w:highlight w:val="none"/>
              </w:rPr>
              <w:t>人数（人）</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restart"/>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拟委派的项目总监理</w:t>
            </w:r>
          </w:p>
          <w:p>
            <w:pPr>
              <w:snapToGrid w:val="0"/>
              <w:ind w:right="-70"/>
              <w:jc w:val="center"/>
              <w:rPr>
                <w:sz w:val="24"/>
                <w:szCs w:val="24"/>
                <w:highlight w:val="none"/>
              </w:rPr>
            </w:pPr>
            <w:r>
              <w:rPr>
                <w:rFonts w:hint="eastAsia" w:cs="宋体"/>
                <w:sz w:val="24"/>
                <w:szCs w:val="24"/>
                <w:highlight w:val="none"/>
              </w:rPr>
              <w:t>工程师</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姓</w:t>
            </w:r>
            <w:r>
              <w:rPr>
                <w:sz w:val="24"/>
                <w:szCs w:val="24"/>
                <w:highlight w:val="none"/>
              </w:rPr>
              <w:t xml:space="preserve">  </w:t>
            </w:r>
            <w:r>
              <w:rPr>
                <w:rFonts w:hint="eastAsia" w:cs="宋体"/>
                <w:sz w:val="24"/>
                <w:szCs w:val="24"/>
                <w:highlight w:val="none"/>
              </w:rPr>
              <w:t>名</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技术职称</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注册证号</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bl>
    <w:p>
      <w:pPr>
        <w:spacing w:line="360" w:lineRule="exact"/>
        <w:rPr>
          <w:highlight w:val="none"/>
        </w:rPr>
      </w:pPr>
      <w:r>
        <w:rPr>
          <w:rFonts w:hint="eastAsia"/>
          <w:highlight w:val="none"/>
        </w:rPr>
        <w:t>注：投标报价监理费率=（监理总报价/暂定工程费）×100%(保留两位小数，第三位四舍五入)。</w:t>
      </w:r>
    </w:p>
    <w:p>
      <w:pPr>
        <w:spacing w:line="440" w:lineRule="exact"/>
        <w:ind w:firstLine="480" w:firstLineChars="200"/>
        <w:jc w:val="left"/>
        <w:rPr>
          <w:rFonts w:ascii="宋体" w:hAnsi="宋体"/>
          <w:sz w:val="24"/>
          <w:highlight w:val="none"/>
        </w:rPr>
      </w:pPr>
    </w:p>
    <w:p>
      <w:pPr>
        <w:spacing w:line="360" w:lineRule="auto"/>
        <w:ind w:firstLine="2880" w:firstLineChars="1200"/>
        <w:jc w:val="left"/>
        <w:rPr>
          <w:rFonts w:ascii="Times New Roman" w:hAnsi="Times New Roman"/>
          <w:sz w:val="24"/>
          <w:highlight w:val="none"/>
        </w:rPr>
      </w:pPr>
      <w:r>
        <w:rPr>
          <w:rFonts w:hint="eastAsia" w:ascii="Times New Roman" w:hAnsi="Times New Roman"/>
          <w:sz w:val="24"/>
          <w:highlight w:val="none"/>
        </w:rPr>
        <w:t xml:space="preserve">   </w:t>
      </w:r>
      <w:r>
        <w:rPr>
          <w:rFonts w:ascii="Times New Roman" w:hAnsi="Times New Roman"/>
          <w:sz w:val="24"/>
          <w:highlight w:val="none"/>
        </w:rPr>
        <w:t>投标人：</w:t>
      </w:r>
      <w:r>
        <w:rPr>
          <w:rFonts w:ascii="Times New Roman" w:hAnsi="Times New Roman"/>
          <w:sz w:val="24"/>
          <w:highlight w:val="none"/>
          <w:u w:val="single"/>
        </w:rPr>
        <w:tab/>
      </w:r>
      <w:r>
        <w:rPr>
          <w:rFonts w:hint="eastAsia" w:ascii="Times New Roman" w:hAnsi="Times New Roman"/>
          <w:sz w:val="24"/>
          <w:highlight w:val="none"/>
          <w:u w:val="single"/>
        </w:rPr>
        <w:t xml:space="preserve">                        </w:t>
      </w:r>
      <w:r>
        <w:rPr>
          <w:rFonts w:ascii="Times New Roman" w:hAnsi="Times New Roman"/>
          <w:sz w:val="24"/>
          <w:highlight w:val="none"/>
        </w:rPr>
        <w:t>（盖单位章）</w:t>
      </w:r>
    </w:p>
    <w:p>
      <w:pPr>
        <w:spacing w:line="360" w:lineRule="auto"/>
        <w:ind w:firstLine="3120" w:firstLineChars="1300"/>
        <w:jc w:val="left"/>
        <w:rPr>
          <w:rFonts w:ascii="Times New Roman" w:hAnsi="Times New Roman"/>
          <w:sz w:val="24"/>
          <w:highlight w:val="none"/>
        </w:rPr>
      </w:pPr>
      <w:r>
        <w:rPr>
          <w:rFonts w:hint="eastAsia" w:ascii="Times New Roman" w:hAnsi="Times New Roman"/>
          <w:sz w:val="24"/>
          <w:highlight w:val="none"/>
        </w:rPr>
        <w:t xml:space="preserve"> </w:t>
      </w:r>
      <w:r>
        <w:rPr>
          <w:rFonts w:ascii="Times New Roman" w:hAnsi="Times New Roman"/>
          <w:sz w:val="24"/>
          <w:highlight w:val="none"/>
        </w:rPr>
        <w:t>法定代表人或其委托代理人：</w:t>
      </w:r>
      <w:r>
        <w:rPr>
          <w:rFonts w:hint="eastAsia" w:ascii="Times New Roman" w:hAnsi="Times New Roman"/>
          <w:sz w:val="24"/>
          <w:highlight w:val="none"/>
          <w:u w:val="single"/>
        </w:rPr>
        <w:t xml:space="preserve">           </w:t>
      </w:r>
      <w:r>
        <w:rPr>
          <w:rFonts w:ascii="Times New Roman" w:hAnsi="Times New Roman"/>
          <w:sz w:val="24"/>
          <w:highlight w:val="none"/>
        </w:rPr>
        <w:t>（签字</w:t>
      </w:r>
      <w:r>
        <w:rPr>
          <w:rFonts w:hint="eastAsia" w:ascii="Times New Roman" w:hAnsi="Times New Roman"/>
          <w:sz w:val="24"/>
          <w:highlight w:val="none"/>
        </w:rPr>
        <w:t>或盖章</w:t>
      </w:r>
      <w:r>
        <w:rPr>
          <w:rFonts w:ascii="Times New Roman" w:hAnsi="Times New Roman"/>
          <w:sz w:val="24"/>
          <w:highlight w:val="none"/>
        </w:rPr>
        <w:t>）</w:t>
      </w:r>
    </w:p>
    <w:p>
      <w:pPr>
        <w:wordWrap w:val="0"/>
        <w:spacing w:line="360" w:lineRule="auto"/>
        <w:ind w:firstLine="5400" w:firstLineChars="2250"/>
        <w:jc w:val="right"/>
        <w:rPr>
          <w:rFonts w:ascii="Times New Roman" w:hAnsi="Times New Roman"/>
          <w:sz w:val="24"/>
          <w:highlight w:val="none"/>
        </w:rPr>
      </w:pPr>
      <w:r>
        <w:rPr>
          <w:rFonts w:ascii="Times New Roman" w:hAnsi="Times New Roman"/>
          <w:sz w:val="24"/>
          <w:highlight w:val="none"/>
        </w:rPr>
        <w:t xml:space="preserve">   年</w:t>
      </w:r>
      <w:r>
        <w:rPr>
          <w:rFonts w:hint="eastAsia" w:ascii="Times New Roman" w:hAnsi="Times New Roman"/>
          <w:sz w:val="24"/>
          <w:highlight w:val="none"/>
        </w:rPr>
        <w:t xml:space="preserve">    </w:t>
      </w:r>
      <w:r>
        <w:rPr>
          <w:rFonts w:ascii="Times New Roman" w:hAnsi="Times New Roman"/>
          <w:sz w:val="24"/>
          <w:highlight w:val="none"/>
        </w:rPr>
        <w:t>月</w:t>
      </w:r>
      <w:r>
        <w:rPr>
          <w:rFonts w:hint="eastAsia" w:ascii="Times New Roman" w:hAnsi="Times New Roman"/>
          <w:sz w:val="24"/>
          <w:highlight w:val="none"/>
        </w:rPr>
        <w:t xml:space="preserve">    </w:t>
      </w:r>
      <w:r>
        <w:rPr>
          <w:rFonts w:ascii="Times New Roman" w:hAnsi="Times New Roman"/>
          <w:sz w:val="24"/>
          <w:highlight w:val="none"/>
        </w:rPr>
        <w:t>日</w:t>
      </w:r>
    </w:p>
    <w:p>
      <w:pPr>
        <w:pStyle w:val="2"/>
        <w:spacing w:line="600" w:lineRule="auto"/>
        <w:rPr>
          <w:rFonts w:ascii="Times New Roman" w:hAnsi="Times New Roman"/>
          <w:color w:val="auto"/>
          <w:sz w:val="30"/>
          <w:szCs w:val="30"/>
          <w:highlight w:val="none"/>
        </w:rPr>
      </w:pPr>
      <w:bookmarkStart w:id="77" w:name="_Toc529196603"/>
      <w:bookmarkStart w:id="78" w:name="_Toc530470646"/>
      <w:r>
        <w:rPr>
          <w:rFonts w:ascii="Times New Roman" w:hAnsi="Times New Roman"/>
          <w:color w:val="auto"/>
          <w:highlight w:val="none"/>
        </w:rPr>
        <w:br w:type="page"/>
      </w:r>
      <w:bookmarkStart w:id="79" w:name="_Toc535938754"/>
      <w:r>
        <w:rPr>
          <w:rFonts w:ascii="Times New Roman" w:hAnsi="Times New Roman"/>
          <w:color w:val="auto"/>
          <w:sz w:val="30"/>
          <w:szCs w:val="30"/>
          <w:highlight w:val="none"/>
        </w:rPr>
        <w:t>二</w:t>
      </w:r>
      <w:bookmarkEnd w:id="63"/>
      <w:bookmarkEnd w:id="64"/>
      <w:bookmarkEnd w:id="65"/>
      <w:bookmarkEnd w:id="66"/>
      <w:bookmarkEnd w:id="67"/>
      <w:bookmarkEnd w:id="68"/>
      <w:bookmarkEnd w:id="69"/>
      <w:bookmarkEnd w:id="70"/>
      <w:bookmarkEnd w:id="71"/>
      <w:bookmarkEnd w:id="72"/>
      <w:bookmarkEnd w:id="73"/>
      <w:r>
        <w:rPr>
          <w:rFonts w:ascii="Times New Roman" w:hAnsi="Times New Roman"/>
          <w:color w:val="auto"/>
          <w:sz w:val="30"/>
          <w:szCs w:val="30"/>
          <w:highlight w:val="none"/>
        </w:rPr>
        <w:t>、法定代表人身份证明</w:t>
      </w:r>
      <w:r>
        <w:rPr>
          <w:rFonts w:hint="eastAsia" w:ascii="Times New Roman" w:hAnsi="Times New Roman"/>
          <w:color w:val="auto"/>
          <w:sz w:val="30"/>
          <w:szCs w:val="30"/>
          <w:highlight w:val="none"/>
        </w:rPr>
        <w:t>、授权委托书（如有）（格式可自定）</w:t>
      </w:r>
      <w:bookmarkEnd w:id="77"/>
      <w:bookmarkEnd w:id="78"/>
      <w:bookmarkEnd w:id="79"/>
    </w:p>
    <w:p>
      <w:pPr>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法定代表人身份证明</w:t>
      </w:r>
    </w:p>
    <w:p>
      <w:pPr>
        <w:spacing w:line="440" w:lineRule="exact"/>
        <w:rPr>
          <w:rFonts w:ascii="Times New Roman" w:hAnsi="Times New Roman"/>
          <w:sz w:val="24"/>
          <w:highlight w:val="none"/>
        </w:rPr>
      </w:pPr>
      <w:r>
        <w:rPr>
          <w:rFonts w:ascii="Times New Roman" w:hAnsi="Times New Roman"/>
          <w:sz w:val="24"/>
          <w:highlight w:val="none"/>
        </w:rPr>
        <w:t>投标人名称：</w:t>
      </w:r>
      <w:r>
        <w:rPr>
          <w:rFonts w:ascii="Times New Roman" w:hAnsi="Times New Roman"/>
          <w:sz w:val="24"/>
          <w:highlight w:val="none"/>
          <w:u w:val="single"/>
        </w:rPr>
        <w:t xml:space="preserve">                        </w:t>
      </w:r>
    </w:p>
    <w:p>
      <w:pPr>
        <w:spacing w:line="440" w:lineRule="exact"/>
        <w:rPr>
          <w:rFonts w:ascii="Times New Roman" w:hAnsi="Times New Roman"/>
          <w:sz w:val="24"/>
          <w:highlight w:val="none"/>
        </w:rPr>
      </w:pPr>
      <w:r>
        <w:rPr>
          <w:rFonts w:ascii="Times New Roman" w:hAnsi="Times New Roman"/>
          <w:sz w:val="24"/>
          <w:highlight w:val="none"/>
        </w:rPr>
        <w:t>姓名：</w:t>
      </w:r>
      <w:r>
        <w:rPr>
          <w:rFonts w:ascii="Times New Roman" w:hAnsi="Times New Roman"/>
          <w:sz w:val="24"/>
          <w:highlight w:val="none"/>
          <w:u w:val="single"/>
        </w:rPr>
        <w:t xml:space="preserve">                </w:t>
      </w:r>
      <w:r>
        <w:rPr>
          <w:rFonts w:ascii="Times New Roman" w:hAnsi="Times New Roman"/>
          <w:sz w:val="24"/>
          <w:highlight w:val="none"/>
        </w:rPr>
        <w:t>性别：</w:t>
      </w:r>
      <w:bookmarkStart w:id="80" w:name="_Toc369531698"/>
      <w:bookmarkStart w:id="81" w:name="_Toc27897"/>
      <w:bookmarkStart w:id="82" w:name="_Toc352691662"/>
      <w:r>
        <w:rPr>
          <w:rFonts w:ascii="Times New Roman" w:hAnsi="Times New Roman"/>
          <w:sz w:val="24"/>
          <w:highlight w:val="none"/>
          <w:u w:val="single"/>
        </w:rPr>
        <w:t xml:space="preserve">        </w:t>
      </w:r>
      <w:r>
        <w:rPr>
          <w:rFonts w:ascii="Times New Roman" w:hAnsi="Times New Roman"/>
          <w:sz w:val="24"/>
          <w:highlight w:val="none"/>
        </w:rPr>
        <w:t>年</w:t>
      </w:r>
      <w:bookmarkEnd w:id="80"/>
      <w:bookmarkEnd w:id="81"/>
      <w:bookmarkEnd w:id="82"/>
      <w:r>
        <w:rPr>
          <w:rFonts w:ascii="Times New Roman" w:hAnsi="Times New Roman"/>
          <w:sz w:val="24"/>
          <w:highlight w:val="none"/>
        </w:rPr>
        <w:t>龄</w:t>
      </w:r>
      <w:bookmarkStart w:id="83" w:name="_Toc247514248"/>
      <w:bookmarkStart w:id="84" w:name="_Toc15573"/>
      <w:bookmarkStart w:id="85" w:name="_Toc152045789"/>
      <w:bookmarkStart w:id="86" w:name="_Toc361508754"/>
      <w:bookmarkStart w:id="87" w:name="_Toc384308377"/>
      <w:bookmarkStart w:id="88" w:name="_Toc352691663"/>
      <w:bookmarkStart w:id="89" w:name="_Toc300835211"/>
      <w:bookmarkStart w:id="90" w:name="_Toc144974858"/>
      <w:bookmarkStart w:id="91" w:name="_Toc247527829"/>
      <w:bookmarkStart w:id="92" w:name="_Toc152042578"/>
      <w:bookmarkStart w:id="93" w:name="_Toc369531699"/>
      <w:r>
        <w:rPr>
          <w:rFonts w:ascii="Times New Roman" w:hAnsi="Times New Roman"/>
          <w:sz w:val="24"/>
          <w:highlight w:val="none"/>
        </w:rPr>
        <w:t>：</w:t>
      </w:r>
      <w:bookmarkEnd w:id="83"/>
      <w:bookmarkEnd w:id="84"/>
      <w:bookmarkEnd w:id="85"/>
      <w:bookmarkEnd w:id="86"/>
      <w:bookmarkEnd w:id="87"/>
      <w:bookmarkEnd w:id="88"/>
      <w:bookmarkEnd w:id="89"/>
      <w:bookmarkEnd w:id="90"/>
      <w:bookmarkEnd w:id="91"/>
      <w:bookmarkEnd w:id="92"/>
      <w:bookmarkEnd w:id="93"/>
      <w:r>
        <w:rPr>
          <w:rFonts w:ascii="Times New Roman" w:hAnsi="Times New Roman"/>
          <w:sz w:val="24"/>
          <w:highlight w:val="none"/>
          <w:u w:val="single"/>
        </w:rPr>
        <w:t xml:space="preserve">        </w:t>
      </w:r>
      <w:r>
        <w:rPr>
          <w:rFonts w:ascii="Times New Roman" w:hAnsi="Times New Roman"/>
          <w:sz w:val="24"/>
          <w:highlight w:val="none"/>
        </w:rPr>
        <w:t>职务：</w:t>
      </w:r>
      <w:r>
        <w:rPr>
          <w:rFonts w:ascii="Times New Roman" w:hAnsi="Times New Roman"/>
          <w:sz w:val="24"/>
          <w:highlight w:val="none"/>
          <w:u w:val="single"/>
        </w:rPr>
        <w:t xml:space="preserve">        </w:t>
      </w:r>
    </w:p>
    <w:p>
      <w:pPr>
        <w:spacing w:line="440" w:lineRule="exact"/>
        <w:rPr>
          <w:rFonts w:ascii="Times New Roman" w:hAnsi="Times New Roman"/>
          <w:sz w:val="24"/>
          <w:highlight w:val="none"/>
        </w:rPr>
      </w:pPr>
      <w:r>
        <w:rPr>
          <w:rFonts w:ascii="Times New Roman" w:hAnsi="Times New Roman"/>
          <w:sz w:val="24"/>
          <w:highlight w:val="none"/>
        </w:rPr>
        <w:t>系</w:t>
      </w:r>
      <w:r>
        <w:rPr>
          <w:rFonts w:ascii="Times New Roman" w:hAnsi="Times New Roman"/>
          <w:sz w:val="24"/>
          <w:highlight w:val="none"/>
          <w:u w:val="single"/>
        </w:rPr>
        <w:t xml:space="preserve">                        </w:t>
      </w:r>
      <w:r>
        <w:rPr>
          <w:rFonts w:ascii="Times New Roman" w:hAnsi="Times New Roman"/>
          <w:sz w:val="24"/>
          <w:highlight w:val="none"/>
        </w:rPr>
        <w:t>（投标人名称）的法定代表人。</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特此证明。</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附：法定代表人身份证</w:t>
      </w:r>
      <w:r>
        <w:rPr>
          <w:rFonts w:hint="eastAsia" w:ascii="Times New Roman" w:hAnsi="Times New Roman"/>
          <w:sz w:val="24"/>
          <w:highlight w:val="none"/>
        </w:rPr>
        <w:t>扫描件</w:t>
      </w:r>
      <w:r>
        <w:rPr>
          <w:rFonts w:ascii="Times New Roman" w:hAnsi="Times New Roman"/>
          <w:sz w:val="24"/>
          <w:highlight w:val="none"/>
        </w:rPr>
        <w:t>。</w:t>
      </w:r>
    </w:p>
    <w:p>
      <w:pPr>
        <w:spacing w:line="440" w:lineRule="exact"/>
        <w:ind w:firstLine="480" w:firstLineChars="200"/>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注：本身份证明需由投标人加盖单位公章。</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p>
    <w:p>
      <w:pPr>
        <w:spacing w:line="440" w:lineRule="exact"/>
        <w:jc w:val="center"/>
        <w:rPr>
          <w:rFonts w:ascii="Times New Roman" w:hAnsi="Times New Roman"/>
          <w:sz w:val="24"/>
          <w:highlight w:val="none"/>
        </w:rPr>
      </w:pPr>
      <w:r>
        <w:rPr>
          <w:rFonts w:ascii="Times New Roman" w:hAnsi="Times New Roman"/>
          <w:sz w:val="24"/>
          <w:highlight w:val="none"/>
        </w:rPr>
        <w:t xml:space="preserve">                              投标人：</w:t>
      </w:r>
      <w:r>
        <w:rPr>
          <w:rFonts w:ascii="Times New Roman" w:hAnsi="Times New Roman"/>
          <w:sz w:val="24"/>
          <w:highlight w:val="none"/>
          <w:u w:val="single"/>
        </w:rPr>
        <w:t xml:space="preserve">          </w:t>
      </w:r>
      <w:r>
        <w:rPr>
          <w:rFonts w:ascii="Times New Roman" w:hAnsi="Times New Roman"/>
          <w:sz w:val="24"/>
          <w:highlight w:val="none"/>
          <w:u w:val="single"/>
        </w:rPr>
        <w:tab/>
      </w:r>
      <w:r>
        <w:rPr>
          <w:rFonts w:ascii="Times New Roman" w:hAnsi="Times New Roman"/>
          <w:sz w:val="24"/>
          <w:highlight w:val="none"/>
        </w:rPr>
        <w:t>（</w:t>
      </w:r>
      <w:r>
        <w:rPr>
          <w:rFonts w:hint="eastAsia" w:ascii="Times New Roman" w:hAnsi="Times New Roman"/>
          <w:sz w:val="24"/>
          <w:highlight w:val="none"/>
        </w:rPr>
        <w:t>盖</w:t>
      </w:r>
      <w:r>
        <w:rPr>
          <w:rFonts w:ascii="Times New Roman" w:hAnsi="Times New Roman"/>
          <w:sz w:val="24"/>
          <w:highlight w:val="none"/>
        </w:rPr>
        <w:t>单位</w:t>
      </w:r>
      <w:r>
        <w:rPr>
          <w:rFonts w:hint="eastAsia" w:ascii="Times New Roman" w:hAnsi="Times New Roman"/>
          <w:sz w:val="24"/>
          <w:highlight w:val="none"/>
        </w:rPr>
        <w:t>章</w:t>
      </w:r>
      <w:r>
        <w:rPr>
          <w:rFonts w:ascii="Times New Roman" w:hAnsi="Times New Roman"/>
          <w:sz w:val="24"/>
          <w:highlight w:val="none"/>
        </w:rPr>
        <w:t>）</w:t>
      </w:r>
    </w:p>
    <w:p>
      <w:pPr>
        <w:spacing w:line="440" w:lineRule="exact"/>
        <w:rPr>
          <w:rFonts w:ascii="Times New Roman" w:hAnsi="Times New Roman"/>
          <w:sz w:val="24"/>
          <w:highlight w:val="none"/>
        </w:rPr>
      </w:pPr>
    </w:p>
    <w:p>
      <w:pPr>
        <w:spacing w:line="440" w:lineRule="exact"/>
        <w:ind w:firstLine="5280" w:firstLineChars="2200"/>
        <w:rPr>
          <w:rFonts w:ascii="Times New Roman" w:hAnsi="Times New Roman"/>
          <w:sz w:val="24"/>
          <w:highlight w:val="none"/>
        </w:rPr>
      </w:pPr>
      <w:r>
        <w:rPr>
          <w:rFonts w:ascii="Times New Roman" w:hAnsi="Times New Roman"/>
          <w:sz w:val="24"/>
          <w:highlight w:val="none"/>
          <w:u w:val="single"/>
        </w:rPr>
        <w:t xml:space="preserve">      </w:t>
      </w:r>
      <w:r>
        <w:rPr>
          <w:rFonts w:ascii="Times New Roman" w:hAnsi="Times New Roman"/>
          <w:sz w:val="24"/>
          <w:highlight w:val="none"/>
        </w:rPr>
        <w:t>年</w:t>
      </w:r>
      <w:r>
        <w:rPr>
          <w:rFonts w:ascii="Times New Roman" w:hAnsi="Times New Roman"/>
          <w:sz w:val="24"/>
          <w:highlight w:val="none"/>
          <w:u w:val="single"/>
        </w:rPr>
        <w:t xml:space="preserve">      </w:t>
      </w:r>
      <w:r>
        <w:rPr>
          <w:rFonts w:ascii="Times New Roman" w:hAnsi="Times New Roman"/>
          <w:sz w:val="24"/>
          <w:highlight w:val="none"/>
        </w:rPr>
        <w:t>月</w:t>
      </w:r>
      <w:r>
        <w:rPr>
          <w:rFonts w:ascii="Times New Roman" w:hAnsi="Times New Roman"/>
          <w:sz w:val="24"/>
          <w:highlight w:val="none"/>
          <w:u w:val="single"/>
        </w:rPr>
        <w:t xml:space="preserve">      </w:t>
      </w:r>
      <w:r>
        <w:rPr>
          <w:rFonts w:ascii="Times New Roman" w:hAnsi="Times New Roman"/>
          <w:sz w:val="24"/>
          <w:highlight w:val="none"/>
        </w:rPr>
        <w:t>日</w:t>
      </w:r>
    </w:p>
    <w:p>
      <w:pPr>
        <w:spacing w:line="440" w:lineRule="exact"/>
        <w:rPr>
          <w:rFonts w:ascii="Times New Roman" w:hAnsi="Times New Roman"/>
          <w:sz w:val="24"/>
          <w:highlight w:val="none"/>
        </w:rPr>
      </w:pPr>
    </w:p>
    <w:p>
      <w:pPr>
        <w:spacing w:line="360" w:lineRule="auto"/>
        <w:jc w:val="center"/>
        <w:rPr>
          <w:rFonts w:ascii="Times New Roman" w:hAnsi="Times New Roman"/>
          <w:b/>
          <w:sz w:val="28"/>
          <w:szCs w:val="28"/>
          <w:highlight w:val="none"/>
        </w:rPr>
      </w:pPr>
      <w:bookmarkStart w:id="94" w:name="_Toc529196604"/>
      <w:bookmarkStart w:id="95" w:name="_Toc530470647"/>
      <w:r>
        <w:rPr>
          <w:rFonts w:ascii="Times New Roman" w:hAnsi="Times New Roman"/>
          <w:b/>
          <w:bCs/>
          <w:sz w:val="20"/>
          <w:highlight w:val="none"/>
        </w:rPr>
        <w:br w:type="page"/>
      </w:r>
      <w:bookmarkStart w:id="96" w:name="_Toc535938755"/>
      <w:r>
        <w:rPr>
          <w:rFonts w:ascii="Times New Roman" w:hAnsi="Times New Roman"/>
          <w:sz w:val="28"/>
          <w:szCs w:val="28"/>
          <w:highlight w:val="none"/>
        </w:rPr>
        <w:t xml:space="preserve"> </w:t>
      </w:r>
      <w:bookmarkEnd w:id="94"/>
      <w:bookmarkEnd w:id="95"/>
      <w:bookmarkEnd w:id="96"/>
      <w:r>
        <w:rPr>
          <w:rFonts w:hint="eastAsia" w:ascii="Times New Roman" w:hAnsi="Times New Roman"/>
          <w:b/>
          <w:sz w:val="28"/>
          <w:szCs w:val="28"/>
          <w:highlight w:val="none"/>
        </w:rPr>
        <w:t>授权委托书</w:t>
      </w:r>
    </w:p>
    <w:p>
      <w:pPr>
        <w:topLinePunct/>
        <w:spacing w:line="440" w:lineRule="exact"/>
        <w:ind w:firstLine="480" w:firstLineChars="200"/>
        <w:rPr>
          <w:rFonts w:ascii="Times New Roman" w:hAnsi="Times New Roman"/>
          <w:sz w:val="24"/>
          <w:highlight w:val="none"/>
        </w:rPr>
      </w:pPr>
      <w:r>
        <w:rPr>
          <w:rFonts w:ascii="Times New Roman" w:hAnsi="Times New Roman"/>
          <w:sz w:val="24"/>
          <w:highlight w:val="none"/>
        </w:rPr>
        <w:t>本人</w:t>
      </w:r>
      <w:r>
        <w:rPr>
          <w:rFonts w:ascii="Times New Roman" w:hAnsi="Times New Roman"/>
          <w:sz w:val="24"/>
          <w:highlight w:val="none"/>
          <w:u w:val="single"/>
        </w:rPr>
        <w:t xml:space="preserve">              </w:t>
      </w:r>
      <w:r>
        <w:rPr>
          <w:rFonts w:ascii="Times New Roman" w:hAnsi="Times New Roman"/>
          <w:sz w:val="24"/>
          <w:highlight w:val="none"/>
        </w:rPr>
        <w:t>（姓名）系</w:t>
      </w:r>
      <w:r>
        <w:rPr>
          <w:rFonts w:ascii="Times New Roman" w:hAnsi="Times New Roman"/>
          <w:sz w:val="24"/>
          <w:highlight w:val="none"/>
          <w:u w:val="single"/>
        </w:rPr>
        <w:t xml:space="preserve">                    </w:t>
      </w:r>
      <w:r>
        <w:rPr>
          <w:rFonts w:ascii="Times New Roman" w:hAnsi="Times New Roman"/>
          <w:sz w:val="24"/>
          <w:highlight w:val="none"/>
        </w:rPr>
        <w:t>（投标人名称）的法定代表人，现委托</w:t>
      </w:r>
      <w:r>
        <w:rPr>
          <w:rFonts w:ascii="Times New Roman" w:hAnsi="Times New Roman"/>
          <w:sz w:val="24"/>
          <w:highlight w:val="none"/>
          <w:u w:val="single"/>
        </w:rPr>
        <w:t xml:space="preserve">            </w:t>
      </w:r>
      <w:r>
        <w:rPr>
          <w:rFonts w:ascii="Times New Roman" w:hAnsi="Times New Roman"/>
          <w:sz w:val="24"/>
          <w:highlight w:val="none"/>
        </w:rPr>
        <w:t>（姓名）为我方代理人。代理人根据授权，以我方名义签署、澄清确认、递交、撤回、修改</w:t>
      </w:r>
      <w:r>
        <w:rPr>
          <w:rFonts w:hint="eastAsia" w:ascii="Times New Roman" w:hAnsi="Times New Roman"/>
          <w:sz w:val="24"/>
          <w:highlight w:val="none"/>
          <w:u w:val="single"/>
        </w:rPr>
        <w:t xml:space="preserve">                 </w:t>
      </w:r>
      <w:r>
        <w:rPr>
          <w:rFonts w:ascii="Times New Roman" w:hAnsi="Times New Roman"/>
          <w:sz w:val="24"/>
          <w:highlight w:val="none"/>
        </w:rPr>
        <w:t>招标项目投标文件、签订合同和处理有关事宜，其法律后果由我方承担。</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委托期限：</w:t>
      </w:r>
      <w:r>
        <w:rPr>
          <w:rFonts w:ascii="Times New Roman" w:hAnsi="Times New Roman"/>
          <w:sz w:val="24"/>
          <w:highlight w:val="none"/>
          <w:u w:val="single"/>
        </w:rPr>
        <w:t xml:space="preserve">                       </w:t>
      </w:r>
      <w:r>
        <w:rPr>
          <w:rFonts w:ascii="Times New Roman" w:hAnsi="Times New Roman"/>
          <w:sz w:val="24"/>
          <w:highlight w:val="none"/>
        </w:rPr>
        <w:t>。</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代理人无转委托权。</w:t>
      </w:r>
    </w:p>
    <w:p>
      <w:pPr>
        <w:spacing w:line="440" w:lineRule="exact"/>
        <w:ind w:firstLine="480" w:firstLineChars="200"/>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附：法定代表人身份证</w:t>
      </w:r>
      <w:r>
        <w:rPr>
          <w:rFonts w:hint="eastAsia" w:ascii="Times New Roman" w:hAnsi="Times New Roman"/>
          <w:sz w:val="24"/>
          <w:highlight w:val="none"/>
        </w:rPr>
        <w:t>扫描件</w:t>
      </w:r>
      <w:r>
        <w:rPr>
          <w:rFonts w:ascii="Times New Roman" w:hAnsi="Times New Roman"/>
          <w:sz w:val="24"/>
          <w:highlight w:val="none"/>
        </w:rPr>
        <w:t>及委托代理人身份证</w:t>
      </w:r>
      <w:r>
        <w:rPr>
          <w:rFonts w:hint="eastAsia" w:ascii="Times New Roman" w:hAnsi="Times New Roman"/>
          <w:sz w:val="24"/>
          <w:highlight w:val="none"/>
        </w:rPr>
        <w:t>扫描件</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注：本授权委托书需由投标人加盖单位公章并由其法定代表人和委托代理人签字。</w:t>
      </w:r>
    </w:p>
    <w:p>
      <w:pPr>
        <w:spacing w:line="440" w:lineRule="exact"/>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投  标  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r>
        <w:rPr>
          <w:rFonts w:ascii="Times New Roman" w:hAnsi="Times New Roman"/>
          <w:sz w:val="24"/>
          <w:highlight w:val="none"/>
        </w:rPr>
        <w:t>（</w:t>
      </w:r>
      <w:r>
        <w:rPr>
          <w:rFonts w:hint="eastAsia" w:ascii="Times New Roman" w:hAnsi="Times New Roman"/>
          <w:sz w:val="24"/>
          <w:highlight w:val="none"/>
        </w:rPr>
        <w:t>盖</w:t>
      </w:r>
      <w:r>
        <w:rPr>
          <w:rFonts w:ascii="Times New Roman" w:hAnsi="Times New Roman"/>
          <w:sz w:val="24"/>
          <w:highlight w:val="none"/>
        </w:rPr>
        <w:t>单位</w:t>
      </w:r>
      <w:r>
        <w:rPr>
          <w:rFonts w:hint="eastAsia" w:ascii="Times New Roman" w:hAnsi="Times New Roman"/>
          <w:sz w:val="24"/>
          <w:highlight w:val="none"/>
        </w:rPr>
        <w:t>章</w:t>
      </w:r>
      <w:r>
        <w:rPr>
          <w:rFonts w:ascii="Times New Roman" w:hAnsi="Times New Roman"/>
          <w:sz w:val="24"/>
          <w:highlight w:val="none"/>
        </w:rPr>
        <w:t>）</w:t>
      </w:r>
    </w:p>
    <w:p>
      <w:pPr>
        <w:spacing w:line="440" w:lineRule="exact"/>
        <w:ind w:firstLine="3076" w:firstLineChars="1282"/>
        <w:rPr>
          <w:rFonts w:ascii="Times New Roman" w:hAnsi="Times New Roman"/>
          <w:sz w:val="24"/>
          <w:highlight w:val="none"/>
        </w:rPr>
      </w:pPr>
    </w:p>
    <w:p>
      <w:pPr>
        <w:spacing w:line="440" w:lineRule="exact"/>
        <w:ind w:firstLine="3074" w:firstLineChars="1281"/>
        <w:rPr>
          <w:rFonts w:ascii="Times New Roman" w:hAnsi="Times New Roman"/>
          <w:sz w:val="24"/>
          <w:highlight w:val="none"/>
        </w:rPr>
      </w:pPr>
      <w:r>
        <w:rPr>
          <w:rFonts w:ascii="Times New Roman" w:hAnsi="Times New Roman"/>
          <w:sz w:val="24"/>
          <w:highlight w:val="none"/>
        </w:rPr>
        <w:t>法定代表人：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r>
        <w:rPr>
          <w:rFonts w:hint="eastAsia" w:ascii="宋体" w:hAnsi="宋体" w:cs="宋体"/>
          <w:sz w:val="24"/>
          <w:szCs w:val="24"/>
          <w:highlight w:val="none"/>
        </w:rPr>
        <w:t>（签字或盖章）</w:t>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身份证号码：</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委托代理人：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hint="eastAsia" w:ascii="宋体" w:hAnsi="宋体" w:cs="宋体"/>
          <w:sz w:val="24"/>
          <w:szCs w:val="24"/>
          <w:highlight w:val="none"/>
        </w:rPr>
        <w:t>（签字或盖章）</w:t>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highlight w:val="none"/>
        </w:rPr>
      </w:pPr>
      <w:r>
        <w:rPr>
          <w:rFonts w:ascii="Times New Roman" w:hAnsi="Times New Roman"/>
          <w:sz w:val="24"/>
          <w:highlight w:val="none"/>
        </w:rPr>
        <w:t>身份证号码：</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p>
    <w:p>
      <w:pPr>
        <w:spacing w:line="440" w:lineRule="exact"/>
        <w:ind w:firstLine="2820" w:firstLineChars="1282"/>
        <w:rPr>
          <w:rFonts w:ascii="Times New Roman" w:hAnsi="Times New Roman"/>
          <w:highlight w:val="none"/>
        </w:rPr>
      </w:pPr>
    </w:p>
    <w:p>
      <w:pPr>
        <w:spacing w:line="440" w:lineRule="exact"/>
        <w:ind w:firstLine="4250" w:firstLineChars="1932"/>
        <w:jc w:val="right"/>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pPr>
        <w:spacing w:line="440" w:lineRule="exact"/>
        <w:ind w:firstLine="4250" w:firstLineChars="1932"/>
        <w:jc w:val="right"/>
        <w:rPr>
          <w:rFonts w:ascii="Times New Roman" w:hAnsi="Times New Roman"/>
          <w:highlight w:val="none"/>
        </w:rPr>
      </w:pPr>
    </w:p>
    <w:p>
      <w:pPr>
        <w:spacing w:line="440" w:lineRule="exact"/>
        <w:ind w:firstLine="4250" w:firstLineChars="1932"/>
        <w:jc w:val="right"/>
        <w:rPr>
          <w:rFonts w:ascii="Times New Roman" w:hAnsi="Times New Roman"/>
          <w:highlight w:val="none"/>
        </w:rPr>
        <w:sectPr>
          <w:footerReference r:id="rId6" w:type="default"/>
          <w:pgSz w:w="12240" w:h="15840"/>
          <w:pgMar w:top="1440" w:right="1425" w:bottom="1440" w:left="1800" w:header="720" w:footer="720" w:gutter="0"/>
          <w:cols w:space="720" w:num="1"/>
          <w:docGrid w:linePitch="285" w:charSpace="0"/>
        </w:sectPr>
      </w:pPr>
      <w:r>
        <w:rPr>
          <w:rFonts w:ascii="Times New Roman" w:hAnsi="Times New Roman"/>
          <w:highlight w:val="none"/>
        </w:rPr>
        <w:br w:type="page"/>
      </w:r>
    </w:p>
    <w:p>
      <w:pPr>
        <w:pStyle w:val="2"/>
        <w:spacing w:line="600" w:lineRule="auto"/>
        <w:jc w:val="center"/>
        <w:rPr>
          <w:rFonts w:ascii="Times New Roman" w:hAnsi="Times New Roman"/>
          <w:color w:val="auto"/>
          <w:sz w:val="30"/>
          <w:szCs w:val="30"/>
          <w:highlight w:val="none"/>
        </w:rPr>
      </w:pPr>
      <w:bookmarkStart w:id="97" w:name="_Toc529196606"/>
      <w:bookmarkStart w:id="98" w:name="_Toc530470649"/>
      <w:bookmarkStart w:id="99" w:name="_Toc535938757"/>
      <w:r>
        <w:rPr>
          <w:rFonts w:hint="eastAsia" w:ascii="Times New Roman" w:hAnsi="Times New Roman"/>
          <w:color w:val="auto"/>
          <w:sz w:val="30"/>
          <w:szCs w:val="30"/>
          <w:highlight w:val="none"/>
        </w:rPr>
        <w:t>三</w:t>
      </w:r>
      <w:r>
        <w:rPr>
          <w:rFonts w:ascii="Times New Roman" w:hAnsi="Times New Roman"/>
          <w:color w:val="auto"/>
          <w:sz w:val="30"/>
          <w:szCs w:val="30"/>
          <w:highlight w:val="none"/>
        </w:rPr>
        <w:t>、监理报酬清单</w:t>
      </w:r>
      <w:bookmarkEnd w:id="97"/>
      <w:bookmarkEnd w:id="98"/>
      <w:bookmarkEnd w:id="99"/>
    </w:p>
    <w:p>
      <w:pPr>
        <w:spacing w:line="440" w:lineRule="exact"/>
        <w:ind w:firstLine="480" w:firstLineChars="200"/>
        <w:jc w:val="right"/>
        <w:rPr>
          <w:rFonts w:ascii="宋体" w:hAnsi="宋体" w:cs="宋体"/>
          <w:sz w:val="24"/>
          <w:szCs w:val="24"/>
          <w:highlight w:val="none"/>
        </w:rPr>
      </w:pPr>
      <w:bookmarkStart w:id="100" w:name="_Toc525827486"/>
      <w:bookmarkStart w:id="101" w:name="_Toc529196608"/>
      <w:bookmarkStart w:id="102" w:name="_Toc530470650"/>
      <w:bookmarkStart w:id="103" w:name="_Toc525828220"/>
      <w:bookmarkStart w:id="104" w:name="_Toc361508760"/>
      <w:r>
        <w:rPr>
          <w:rFonts w:hint="eastAsia" w:ascii="宋体" w:hAnsi="宋体" w:cs="宋体"/>
          <w:sz w:val="24"/>
          <w:szCs w:val="24"/>
          <w:highlight w:val="none"/>
        </w:rPr>
        <w:t>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序号</w:t>
            </w:r>
          </w:p>
        </w:tc>
        <w:tc>
          <w:tcPr>
            <w:tcW w:w="2410"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监理报酬分项名称</w:t>
            </w:r>
          </w:p>
        </w:tc>
        <w:tc>
          <w:tcPr>
            <w:tcW w:w="2268"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计算依据、过程和公式</w:t>
            </w:r>
          </w:p>
        </w:tc>
        <w:tc>
          <w:tcPr>
            <w:tcW w:w="1322"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金额（元）</w:t>
            </w:r>
          </w:p>
        </w:tc>
        <w:tc>
          <w:tcPr>
            <w:tcW w:w="2232"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w:t>
            </w:r>
          </w:p>
        </w:tc>
        <w:tc>
          <w:tcPr>
            <w:tcW w:w="2410" w:type="dxa"/>
            <w:noWrap/>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w:t>
            </w: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合计报价</w:t>
            </w: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bl>
    <w:p>
      <w:pPr>
        <w:spacing w:line="400" w:lineRule="exact"/>
        <w:rPr>
          <w:rFonts w:ascii="宋体" w:hAnsi="宋体" w:cs="宋体"/>
          <w:sz w:val="24"/>
          <w:szCs w:val="24"/>
          <w:highlight w:val="none"/>
        </w:rPr>
      </w:pPr>
    </w:p>
    <w:p>
      <w:pPr>
        <w:pStyle w:val="34"/>
        <w:ind w:firstLine="496"/>
        <w:rPr>
          <w:rFonts w:ascii="Times New Roman" w:hAnsi="Times New Roman"/>
          <w:highlight w:val="none"/>
        </w:rPr>
      </w:pPr>
      <w:r>
        <w:rPr>
          <w:rFonts w:hint="eastAsia" w:ascii="宋体" w:hAnsi="宋体" w:cs="宋体"/>
          <w:snapToGrid w:val="0"/>
          <w:highlight w:val="none"/>
        </w:rPr>
        <w:t>注：监理报酬报价总金额不能超过最高限价</w:t>
      </w:r>
    </w:p>
    <w:p>
      <w:pPr>
        <w:pStyle w:val="34"/>
        <w:ind w:firstLine="496"/>
        <w:rPr>
          <w:rFonts w:ascii="Times New Roman" w:hAnsi="Times New Roman"/>
          <w:highlight w:val="none"/>
        </w:rPr>
      </w:pPr>
    </w:p>
    <w:p>
      <w:pPr>
        <w:pStyle w:val="34"/>
        <w:ind w:firstLine="496"/>
        <w:rPr>
          <w:rFonts w:ascii="Times New Roman" w:hAnsi="Times New Roman"/>
          <w:highlight w:val="none"/>
          <w:u w:val="single"/>
        </w:rPr>
      </w:pPr>
      <w:r>
        <w:rPr>
          <w:rFonts w:hint="eastAsia" w:ascii="Times New Roman" w:hAnsi="Times New Roman"/>
          <w:highlight w:val="none"/>
        </w:rPr>
        <w:t>投 标 人：(盖公章)</w:t>
      </w:r>
      <w:r>
        <w:rPr>
          <w:rFonts w:hint="eastAsia" w:ascii="Times New Roman" w:hAnsi="Times New Roman"/>
          <w:highlight w:val="none"/>
          <w:u w:val="single"/>
        </w:rPr>
        <w:t xml:space="preserve">                                   </w:t>
      </w:r>
    </w:p>
    <w:p>
      <w:pPr>
        <w:pStyle w:val="34"/>
        <w:ind w:firstLine="552"/>
        <w:rPr>
          <w:rFonts w:ascii="Times New Roman" w:hAnsi="Times New Roman"/>
          <w:highlight w:val="none"/>
        </w:rPr>
      </w:pPr>
      <w:r>
        <w:rPr>
          <w:rFonts w:hint="eastAsia" w:ascii="Times New Roman" w:hAnsi="Times New Roman"/>
          <w:spacing w:val="18"/>
          <w:highlight w:val="none"/>
        </w:rPr>
        <w:t>法定代表人</w:t>
      </w:r>
      <w:r>
        <w:rPr>
          <w:rFonts w:ascii="Times New Roman" w:hAnsi="Times New Roman"/>
          <w:spacing w:val="18"/>
          <w:highlight w:val="none"/>
        </w:rPr>
        <w:t>(</w:t>
      </w:r>
      <w:r>
        <w:rPr>
          <w:rFonts w:hint="eastAsia" w:ascii="Times New Roman" w:hAnsi="Times New Roman"/>
          <w:spacing w:val="18"/>
          <w:highlight w:val="none"/>
        </w:rPr>
        <w:t>或被授权人</w:t>
      </w:r>
      <w:r>
        <w:rPr>
          <w:rFonts w:ascii="Times New Roman" w:hAnsi="Times New Roman"/>
          <w:spacing w:val="18"/>
          <w:highlight w:val="none"/>
        </w:rPr>
        <w:t>)</w:t>
      </w:r>
      <w:r>
        <w:rPr>
          <w:rFonts w:hint="eastAsia" w:ascii="Times New Roman" w:hAnsi="Times New Roman"/>
          <w:spacing w:val="18"/>
          <w:highlight w:val="none"/>
        </w:rPr>
        <w:t>（签名或盖章）：</w:t>
      </w:r>
      <w:r>
        <w:rPr>
          <w:rFonts w:hint="eastAsia" w:ascii="Times New Roman" w:hAnsi="Times New Roman"/>
          <w:highlight w:val="none"/>
          <w:u w:val="single"/>
        </w:rPr>
        <w:t xml:space="preserve">               </w:t>
      </w:r>
    </w:p>
    <w:p>
      <w:pPr>
        <w:pStyle w:val="34"/>
        <w:ind w:firstLine="496"/>
        <w:rPr>
          <w:rFonts w:ascii="Times New Roman" w:hAnsi="Times New Roman"/>
          <w:highlight w:val="none"/>
        </w:rPr>
      </w:pPr>
      <w:r>
        <w:rPr>
          <w:rFonts w:hint="eastAsia" w:ascii="Times New Roman" w:hAnsi="Times New Roman"/>
          <w:highlight w:val="none"/>
        </w:rPr>
        <w:t>日    期：</w:t>
      </w:r>
      <w:r>
        <w:rPr>
          <w:rFonts w:hint="eastAsia" w:ascii="Times New Roman" w:hAnsi="Times New Roman"/>
          <w:highlight w:val="none"/>
          <w:u w:val="single"/>
        </w:rPr>
        <w:t xml:space="preserve">        </w:t>
      </w:r>
      <w:r>
        <w:rPr>
          <w:rFonts w:hint="eastAsia" w:ascii="Times New Roman" w:hAnsi="Times New Roman"/>
          <w:highlight w:val="none"/>
        </w:rPr>
        <w:t>年</w:t>
      </w:r>
      <w:r>
        <w:rPr>
          <w:rFonts w:hint="eastAsia" w:ascii="Times New Roman" w:hAnsi="Times New Roman"/>
          <w:highlight w:val="none"/>
          <w:u w:val="single"/>
        </w:rPr>
        <w:t xml:space="preserve">   </w:t>
      </w:r>
      <w:r>
        <w:rPr>
          <w:rFonts w:hint="eastAsia" w:ascii="Times New Roman" w:hAnsi="Times New Roman"/>
          <w:highlight w:val="none"/>
        </w:rPr>
        <w:t>月</w:t>
      </w:r>
      <w:r>
        <w:rPr>
          <w:rFonts w:hint="eastAsia" w:ascii="Times New Roman" w:hAnsi="Times New Roman"/>
          <w:highlight w:val="none"/>
          <w:u w:val="single"/>
        </w:rPr>
        <w:t xml:space="preserve">    </w:t>
      </w:r>
      <w:r>
        <w:rPr>
          <w:rFonts w:hint="eastAsia" w:ascii="Times New Roman" w:hAnsi="Times New Roman"/>
          <w:highlight w:val="none"/>
        </w:rPr>
        <w:t>日</w:t>
      </w:r>
    </w:p>
    <w:p>
      <w:pPr>
        <w:pStyle w:val="34"/>
        <w:ind w:firstLine="496"/>
        <w:rPr>
          <w:rFonts w:ascii="Times New Roman" w:hAnsi="Times New Roman"/>
          <w:highlight w:val="none"/>
          <w:u w:val="single"/>
        </w:rPr>
      </w:pPr>
      <w:r>
        <w:rPr>
          <w:rFonts w:hint="eastAsia" w:ascii="Times New Roman" w:hAnsi="Times New Roman"/>
          <w:highlight w:val="none"/>
        </w:rPr>
        <w:t>电    话：</w:t>
      </w:r>
      <w:r>
        <w:rPr>
          <w:rFonts w:hint="eastAsia" w:ascii="Times New Roman" w:hAnsi="Times New Roman"/>
          <w:highlight w:val="none"/>
          <w:u w:val="single"/>
        </w:rPr>
        <w:t xml:space="preserve">                     </w:t>
      </w:r>
    </w:p>
    <w:p>
      <w:pPr>
        <w:pStyle w:val="34"/>
        <w:ind w:firstLine="496"/>
        <w:rPr>
          <w:rFonts w:ascii="Times New Roman" w:hAnsi="Times New Roman"/>
          <w:highlight w:val="none"/>
        </w:rPr>
      </w:pPr>
      <w:r>
        <w:rPr>
          <w:rFonts w:hint="eastAsia" w:ascii="Times New Roman" w:hAnsi="Times New Roman"/>
          <w:highlight w:val="none"/>
        </w:rPr>
        <w:t>传    真：</w:t>
      </w:r>
    </w:p>
    <w:p>
      <w:pPr>
        <w:spacing w:line="360" w:lineRule="auto"/>
        <w:jc w:val="center"/>
        <w:rPr>
          <w:rFonts w:ascii="Times New Roman" w:hAnsi="Times New Roman"/>
          <w:b/>
          <w:sz w:val="28"/>
          <w:szCs w:val="28"/>
          <w:highlight w:val="none"/>
        </w:rPr>
      </w:pPr>
      <w:r>
        <w:rPr>
          <w:rFonts w:ascii="Times New Roman" w:hAnsi="Times New Roman"/>
          <w:b/>
          <w:sz w:val="32"/>
          <w:szCs w:val="32"/>
          <w:highlight w:val="none"/>
        </w:rPr>
        <w:br w:type="page"/>
      </w:r>
    </w:p>
    <w:bookmarkEnd w:id="100"/>
    <w:bookmarkEnd w:id="101"/>
    <w:bookmarkEnd w:id="102"/>
    <w:bookmarkEnd w:id="103"/>
    <w:p>
      <w:pPr>
        <w:spacing w:line="360" w:lineRule="auto"/>
        <w:jc w:val="center"/>
        <w:rPr>
          <w:rFonts w:ascii="Times New Roman" w:hAnsi="Times New Roman"/>
          <w:b/>
          <w:bCs/>
          <w:sz w:val="30"/>
          <w:szCs w:val="30"/>
          <w:highlight w:val="none"/>
        </w:rPr>
      </w:pPr>
      <w:r>
        <w:rPr>
          <w:rFonts w:hint="eastAsia" w:ascii="Times New Roman" w:hAnsi="Times New Roman"/>
          <w:b/>
          <w:bCs/>
          <w:sz w:val="30"/>
          <w:szCs w:val="30"/>
          <w:highlight w:val="none"/>
        </w:rPr>
        <w:t>四</w:t>
      </w:r>
      <w:r>
        <w:rPr>
          <w:rFonts w:ascii="Times New Roman" w:hAnsi="Times New Roman"/>
          <w:b/>
          <w:bCs/>
          <w:sz w:val="30"/>
          <w:szCs w:val="30"/>
          <w:highlight w:val="none"/>
        </w:rPr>
        <w:t>、</w:t>
      </w:r>
      <w:r>
        <w:rPr>
          <w:rFonts w:hint="eastAsia" w:ascii="Times New Roman" w:hAnsi="Times New Roman"/>
          <w:b/>
          <w:bCs/>
          <w:sz w:val="30"/>
          <w:szCs w:val="30"/>
          <w:highlight w:val="none"/>
        </w:rPr>
        <w:t>资格审查资料</w:t>
      </w: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（一）基本情况表（格式可自定）</w:t>
      </w:r>
    </w:p>
    <w:tbl>
      <w:tblPr>
        <w:tblStyle w:val="2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投标人名称</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注册地址</w:t>
            </w:r>
          </w:p>
        </w:tc>
        <w:tc>
          <w:tcPr>
            <w:tcW w:w="3208" w:type="dxa"/>
            <w:gridSpan w:val="3"/>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邮政编码</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联系方式</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联系人</w:t>
            </w:r>
          </w:p>
        </w:tc>
        <w:tc>
          <w:tcPr>
            <w:tcW w:w="2217" w:type="dxa"/>
            <w:gridSpan w:val="2"/>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 话</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sz w:val="24"/>
                <w:highlight w:val="none"/>
              </w:rPr>
            </w:pP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传  真</w:t>
            </w:r>
          </w:p>
        </w:tc>
        <w:tc>
          <w:tcPr>
            <w:tcW w:w="2217" w:type="dxa"/>
            <w:gridSpan w:val="2"/>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网 址</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法定代表人</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姓名</w:t>
            </w:r>
          </w:p>
        </w:tc>
        <w:tc>
          <w:tcPr>
            <w:tcW w:w="991" w:type="dxa"/>
            <w:vAlign w:val="center"/>
          </w:tcPr>
          <w:p>
            <w:pPr>
              <w:topLinePunct/>
              <w:spacing w:line="440" w:lineRule="exact"/>
              <w:jc w:val="center"/>
              <w:rPr>
                <w:rFonts w:ascii="Times New Roman" w:hAnsi="Times New Roman"/>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技术职称</w:t>
            </w:r>
          </w:p>
        </w:tc>
        <w:tc>
          <w:tcPr>
            <w:tcW w:w="1368" w:type="dxa"/>
            <w:gridSpan w:val="2"/>
            <w:vAlign w:val="center"/>
          </w:tcPr>
          <w:p>
            <w:pPr>
              <w:topLinePunct/>
              <w:spacing w:line="440" w:lineRule="exact"/>
              <w:jc w:val="center"/>
              <w:rPr>
                <w:rFonts w:ascii="Times New Roman" w:hAnsi="Times New Roman"/>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电话</w:t>
            </w:r>
          </w:p>
        </w:tc>
        <w:tc>
          <w:tcPr>
            <w:tcW w:w="1270" w:type="dxa"/>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技术负责人</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姓名</w:t>
            </w:r>
          </w:p>
        </w:tc>
        <w:tc>
          <w:tcPr>
            <w:tcW w:w="991" w:type="dxa"/>
            <w:vAlign w:val="center"/>
          </w:tcPr>
          <w:p>
            <w:pPr>
              <w:topLinePunct/>
              <w:spacing w:line="440" w:lineRule="exact"/>
              <w:jc w:val="center"/>
              <w:rPr>
                <w:rFonts w:ascii="Times New Roman" w:hAnsi="Times New Roman"/>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技术职称</w:t>
            </w:r>
          </w:p>
        </w:tc>
        <w:tc>
          <w:tcPr>
            <w:tcW w:w="1368" w:type="dxa"/>
            <w:gridSpan w:val="2"/>
            <w:vAlign w:val="center"/>
          </w:tcPr>
          <w:p>
            <w:pPr>
              <w:topLinePunct/>
              <w:spacing w:line="440" w:lineRule="exact"/>
              <w:jc w:val="center"/>
              <w:rPr>
                <w:rFonts w:ascii="Times New Roman" w:hAnsi="Times New Roman"/>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电话</w:t>
            </w:r>
          </w:p>
        </w:tc>
        <w:tc>
          <w:tcPr>
            <w:tcW w:w="1270" w:type="dxa"/>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highlight w:val="none"/>
              </w:rPr>
            </w:pPr>
            <w:r>
              <w:rPr>
                <w:rFonts w:ascii="Times New Roman" w:hAnsi="Times New Roman"/>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highlight w:val="none"/>
              </w:rPr>
            </w:pPr>
            <w:r>
              <w:rPr>
                <w:rFonts w:ascii="Times New Roman" w:hAnsi="Times New Roman"/>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营业执照号</w:t>
            </w:r>
          </w:p>
        </w:tc>
        <w:tc>
          <w:tcPr>
            <w:tcW w:w="3208" w:type="dxa"/>
            <w:gridSpan w:val="3"/>
            <w:vAlign w:val="center"/>
          </w:tcPr>
          <w:p>
            <w:pPr>
              <w:topLinePunct/>
              <w:spacing w:line="440" w:lineRule="exact"/>
              <w:jc w:val="center"/>
              <w:rPr>
                <w:rFonts w:ascii="Times New Roman" w:hAnsi="Times New Roman"/>
                <w:sz w:val="24"/>
                <w:highlight w:val="none"/>
              </w:rPr>
            </w:pPr>
          </w:p>
        </w:tc>
        <w:tc>
          <w:tcPr>
            <w:tcW w:w="3786" w:type="dxa"/>
            <w:gridSpan w:val="5"/>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注册资本</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高级职称人员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成立日期</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中级职称人员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基本账户开户银行</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技术人员数量</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基本账户银行账号</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各类注册人员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sz w:val="24"/>
                <w:highlight w:val="none"/>
              </w:rPr>
            </w:pPr>
            <w:r>
              <w:rPr>
                <w:rFonts w:ascii="Times New Roman" w:hAnsi="Times New Roman"/>
                <w:sz w:val="24"/>
                <w:highlight w:val="none"/>
              </w:rPr>
              <w:t>经营范围</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备注</w:t>
            </w:r>
          </w:p>
        </w:tc>
        <w:tc>
          <w:tcPr>
            <w:tcW w:w="6994" w:type="dxa"/>
            <w:gridSpan w:val="8"/>
            <w:vAlign w:val="center"/>
          </w:tcPr>
          <w:p>
            <w:pPr>
              <w:topLinePunct/>
              <w:spacing w:line="440" w:lineRule="exact"/>
              <w:jc w:val="center"/>
              <w:rPr>
                <w:rFonts w:ascii="Times New Roman" w:hAnsi="Times New Roman"/>
                <w:sz w:val="24"/>
                <w:highlight w:val="none"/>
              </w:rPr>
            </w:pPr>
          </w:p>
        </w:tc>
      </w:tr>
    </w:tbl>
    <w:p>
      <w:pPr>
        <w:spacing w:line="400" w:lineRule="exact"/>
        <w:rPr>
          <w:rFonts w:ascii="Times New Roman" w:hAnsi="Times New Roman"/>
          <w:sz w:val="24"/>
          <w:highlight w:val="none"/>
        </w:rPr>
      </w:pPr>
      <w:r>
        <w:rPr>
          <w:rFonts w:ascii="Times New Roman" w:hAnsi="Times New Roman"/>
          <w:sz w:val="24"/>
          <w:highlight w:val="none"/>
        </w:rPr>
        <w:t>注：投标人应</w:t>
      </w:r>
      <w:bookmarkStart w:id="105" w:name="_Toc520184751"/>
      <w:r>
        <w:rPr>
          <w:rFonts w:ascii="Times New Roman" w:hAnsi="Times New Roman"/>
          <w:sz w:val="24"/>
          <w:highlight w:val="none"/>
        </w:rPr>
        <w:t>根据投标人须知第3.5</w:t>
      </w:r>
      <w:bookmarkEnd w:id="105"/>
      <w:r>
        <w:rPr>
          <w:rFonts w:ascii="Times New Roman" w:hAnsi="Times New Roman"/>
          <w:sz w:val="24"/>
          <w:highlight w:val="none"/>
        </w:rPr>
        <w:t>.1项的要求在本表后附相关证</w:t>
      </w:r>
      <w:bookmarkStart w:id="106" w:name="_Toc520184752"/>
      <w:r>
        <w:rPr>
          <w:rFonts w:ascii="Times New Roman" w:hAnsi="Times New Roman"/>
          <w:sz w:val="24"/>
          <w:highlight w:val="none"/>
        </w:rPr>
        <w:t>明材料。</w:t>
      </w:r>
      <w:bookmarkEnd w:id="106"/>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32"/>
          <w:szCs w:val="32"/>
          <w:highlight w:val="none"/>
        </w:rPr>
        <w:br w:type="page"/>
      </w:r>
      <w:r>
        <w:rPr>
          <w:rFonts w:ascii="Times New Roman" w:hAnsi="Times New Roman"/>
          <w:b/>
          <w:bCs/>
          <w:sz w:val="28"/>
          <w:szCs w:val="28"/>
          <w:highlight w:val="none"/>
        </w:rPr>
        <w:t>（</w:t>
      </w:r>
      <w:r>
        <w:rPr>
          <w:rFonts w:hint="eastAsia" w:ascii="Times New Roman" w:hAnsi="Times New Roman"/>
          <w:b/>
          <w:bCs/>
          <w:sz w:val="28"/>
          <w:szCs w:val="28"/>
          <w:highlight w:val="none"/>
        </w:rPr>
        <w:t>二</w:t>
      </w:r>
      <w:r>
        <w:rPr>
          <w:rFonts w:ascii="Times New Roman" w:hAnsi="Times New Roman"/>
          <w:b/>
          <w:bCs/>
          <w:sz w:val="28"/>
          <w:szCs w:val="28"/>
          <w:highlight w:val="none"/>
        </w:rPr>
        <w:t>）近年完成的类似项目情况表（格式可自定）</w:t>
      </w:r>
    </w:p>
    <w:tbl>
      <w:tblPr>
        <w:tblStyle w:val="20"/>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bl>
    <w:p>
      <w:pPr>
        <w:spacing w:line="440" w:lineRule="exact"/>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投标人应根据第三章评标办法前附表评分标准及说明的要求在本表后附相关证明材料。</w:t>
      </w:r>
    </w:p>
    <w:p>
      <w:pPr>
        <w:spacing w:line="440" w:lineRule="exact"/>
        <w:rPr>
          <w:rFonts w:ascii="Times New Roman" w:hAnsi="Times New Roman"/>
          <w:sz w:val="24"/>
          <w:highlight w:val="none"/>
        </w:rPr>
      </w:pP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p>
    <w:p>
      <w:pPr>
        <w:spacing w:line="440" w:lineRule="exact"/>
        <w:rPr>
          <w:rFonts w:ascii="Times New Roman" w:hAnsi="Times New Roman"/>
          <w:sz w:val="24"/>
          <w:highlight w:val="none"/>
        </w:rPr>
      </w:pPr>
      <w:r>
        <w:rPr>
          <w:rFonts w:ascii="Times New Roman" w:hAnsi="Times New Roman"/>
          <w:b/>
          <w:bCs/>
          <w:sz w:val="32"/>
          <w:szCs w:val="32"/>
          <w:highlight w:val="none"/>
        </w:rPr>
        <w:br w:type="page"/>
      </w: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三</w:t>
      </w:r>
      <w:r>
        <w:rPr>
          <w:rFonts w:ascii="Times New Roman" w:hAnsi="Times New Roman"/>
          <w:b/>
          <w:bCs/>
          <w:sz w:val="28"/>
          <w:szCs w:val="28"/>
          <w:highlight w:val="none"/>
        </w:rPr>
        <w:t>）拟委任的主要人员汇总表（格式可自定）</w:t>
      </w:r>
    </w:p>
    <w:tbl>
      <w:tblPr>
        <w:tblStyle w:val="2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备注</w:t>
            </w:r>
          </w:p>
        </w:tc>
      </w:tr>
      <w:tr>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highlight w:val="none"/>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bl>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pStyle w:val="2"/>
        <w:rPr>
          <w:highlight w:val="none"/>
        </w:rPr>
      </w:pPr>
    </w:p>
    <w:p>
      <w:pPr>
        <w:pStyle w:val="17"/>
        <w:ind w:left="420"/>
        <w:rPr>
          <w:highlight w:val="none"/>
        </w:rPr>
      </w:pPr>
    </w:p>
    <w:p>
      <w:pPr>
        <w:rPr>
          <w:rFonts w:ascii="Times New Roman" w:hAnsi="Times New Roman"/>
          <w:highlight w:val="none"/>
        </w:rPr>
      </w:pPr>
    </w:p>
    <w:p>
      <w:pPr>
        <w:pStyle w:val="17"/>
        <w:ind w:left="420"/>
        <w:rPr>
          <w:highlight w:val="none"/>
        </w:rPr>
      </w:pP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四</w:t>
      </w:r>
      <w:r>
        <w:rPr>
          <w:rFonts w:ascii="Times New Roman" w:hAnsi="Times New Roman"/>
          <w:b/>
          <w:bCs/>
          <w:sz w:val="28"/>
          <w:szCs w:val="28"/>
          <w:highlight w:val="none"/>
        </w:rPr>
        <w:t>）主要人员简历表（格式可自定）</w:t>
      </w:r>
    </w:p>
    <w:p>
      <w:pPr>
        <w:topLinePunct/>
        <w:spacing w:line="440" w:lineRule="exact"/>
        <w:jc w:val="center"/>
        <w:rPr>
          <w:rFonts w:ascii="Times New Roman" w:hAnsi="Times New Roman"/>
          <w:sz w:val="23"/>
          <w:szCs w:val="23"/>
          <w:highlight w:val="none"/>
        </w:rPr>
      </w:pPr>
      <w:r>
        <w:rPr>
          <w:rFonts w:ascii="Times New Roman" w:hAnsi="Times New Roman"/>
          <w:sz w:val="23"/>
          <w:szCs w:val="23"/>
          <w:highlight w:val="none"/>
        </w:rPr>
        <w:t xml:space="preserve"> </w:t>
      </w:r>
    </w:p>
    <w:tbl>
      <w:tblPr>
        <w:tblStyle w:val="2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sz w:val="24"/>
                <w:highlight w:val="none"/>
              </w:rPr>
            </w:pPr>
            <w:r>
              <w:rPr>
                <w:rFonts w:ascii="Times New Roman" w:hAnsi="Times New Roman"/>
                <w:sz w:val="24"/>
                <w:highlight w:val="none"/>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sz w:val="24"/>
                <w:highlight w:val="none"/>
              </w:rPr>
            </w:pPr>
            <w:r>
              <w:rPr>
                <w:rFonts w:ascii="Times New Roman" w:hAnsi="Times New Roman"/>
                <w:sz w:val="24"/>
                <w:highlight w:val="none"/>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bl>
    <w:p>
      <w:pPr>
        <w:spacing w:line="440" w:lineRule="exact"/>
        <w:rPr>
          <w:rFonts w:ascii="宋体" w:hAnsi="宋体" w:cs="宋体"/>
          <w:sz w:val="24"/>
          <w:szCs w:val="24"/>
          <w:highlight w:val="none"/>
        </w:rPr>
      </w:pPr>
      <w:r>
        <w:rPr>
          <w:rFonts w:hint="eastAsia" w:ascii="宋体" w:hAnsi="宋体" w:cs="宋体"/>
          <w:sz w:val="24"/>
          <w:szCs w:val="24"/>
          <w:highlight w:val="none"/>
        </w:rPr>
        <w:t>注：投标人应根据</w:t>
      </w:r>
      <w:r>
        <w:rPr>
          <w:rFonts w:hint="eastAsia"/>
          <w:sz w:val="24"/>
          <w:szCs w:val="24"/>
          <w:highlight w:val="none"/>
        </w:rPr>
        <w:t>第三章评标办法前附表评分标准及说明</w:t>
      </w:r>
      <w:r>
        <w:rPr>
          <w:rFonts w:hint="eastAsia" w:ascii="宋体" w:hAnsi="宋体" w:cs="宋体"/>
          <w:sz w:val="24"/>
          <w:szCs w:val="24"/>
          <w:highlight w:val="none"/>
        </w:rPr>
        <w:t>的要求在本表后附相关证明材料。</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pStyle w:val="17"/>
        <w:ind w:left="420"/>
        <w:rPr>
          <w:b/>
          <w:bCs/>
          <w:highlight w:val="none"/>
        </w:rPr>
      </w:pPr>
    </w:p>
    <w:p>
      <w:pPr>
        <w:rPr>
          <w:rFonts w:ascii="Times New Roman" w:hAnsi="Times New Roman"/>
          <w:b/>
          <w:bCs/>
          <w:highlight w:val="none"/>
        </w:rPr>
      </w:pPr>
    </w:p>
    <w:p>
      <w:pPr>
        <w:pStyle w:val="17"/>
        <w:ind w:left="420"/>
        <w:rPr>
          <w:highlight w:val="none"/>
        </w:rPr>
      </w:pPr>
    </w:p>
    <w:p>
      <w:pPr>
        <w:spacing w:before="20" w:line="415" w:lineRule="auto"/>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五</w:t>
      </w:r>
      <w:r>
        <w:rPr>
          <w:rFonts w:ascii="Times New Roman" w:hAnsi="Times New Roman"/>
          <w:b/>
          <w:bCs/>
          <w:sz w:val="28"/>
          <w:szCs w:val="28"/>
          <w:highlight w:val="none"/>
        </w:rPr>
        <w:t>）拟投入本项目的主要试验检测仪器设备表（格式可自定）</w:t>
      </w:r>
    </w:p>
    <w:p>
      <w:pPr>
        <w:ind w:firstLine="482" w:firstLineChars="200"/>
        <w:jc w:val="center"/>
        <w:rPr>
          <w:rFonts w:ascii="宋体" w:hAnsi="宋体" w:cs="楷体"/>
          <w:b/>
          <w:kern w:val="0"/>
          <w:sz w:val="24"/>
          <w:highlight w:val="none"/>
        </w:rPr>
      </w:pPr>
      <w:r>
        <w:rPr>
          <w:rFonts w:ascii="宋体" w:hAnsi="宋体" w:cs="楷体"/>
          <w:b/>
          <w:kern w:val="0"/>
          <w:sz w:val="24"/>
          <w:highlight w:val="none"/>
        </w:rPr>
        <w:t>工程项目监理</w:t>
      </w:r>
      <w:r>
        <w:rPr>
          <w:rFonts w:hint="eastAsia" w:ascii="宋体" w:hAnsi="宋体" w:cs="楷体"/>
          <w:b/>
          <w:kern w:val="0"/>
          <w:sz w:val="24"/>
          <w:highlight w:val="none"/>
        </w:rPr>
        <w:t>试验检测仪器设备</w:t>
      </w:r>
      <w:r>
        <w:rPr>
          <w:rFonts w:ascii="宋体" w:hAnsi="宋体" w:cs="楷体"/>
          <w:b/>
          <w:kern w:val="0"/>
          <w:sz w:val="24"/>
          <w:highlight w:val="none"/>
        </w:rPr>
        <w:t>配置表</w:t>
      </w:r>
    </w:p>
    <w:tbl>
      <w:tblPr>
        <w:tblStyle w:val="20"/>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bl>
    <w:p>
      <w:pPr>
        <w:spacing w:line="360" w:lineRule="auto"/>
        <w:ind w:firstLine="440" w:firstLineChars="200"/>
        <w:rPr>
          <w:rFonts w:ascii="宋体" w:hAnsi="宋体"/>
          <w:highlight w:val="none"/>
          <w:lang w:bidi="mn-Mong-CN"/>
        </w:rPr>
      </w:pPr>
      <w:r>
        <w:rPr>
          <w:rFonts w:hint="eastAsia" w:ascii="宋体" w:hAnsi="宋体"/>
          <w:highlight w:val="none"/>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spacing w:val="4"/>
          <w:sz w:val="24"/>
          <w:highlight w:val="none"/>
        </w:rPr>
      </w:pPr>
    </w:p>
    <w:p>
      <w:pPr>
        <w:topLinePunct/>
        <w:spacing w:line="360" w:lineRule="auto"/>
        <w:rPr>
          <w:rFonts w:ascii="Times New Roman" w:hAnsi="Times New Roman"/>
          <w:spacing w:val="4"/>
          <w:sz w:val="24"/>
          <w:highlight w:val="none"/>
        </w:rPr>
      </w:pPr>
      <w:r>
        <w:rPr>
          <w:rFonts w:ascii="Times New Roman" w:hAnsi="Times New Roman"/>
          <w:spacing w:val="4"/>
          <w:sz w:val="24"/>
          <w:highlight w:val="none"/>
        </w:rPr>
        <w:t>投  标  单  位（盖章）：</w:t>
      </w:r>
    </w:p>
    <w:p>
      <w:pPr>
        <w:topLinePunct/>
        <w:spacing w:line="360" w:lineRule="auto"/>
        <w:rPr>
          <w:rFonts w:ascii="Times New Roman" w:hAnsi="Times New Roman"/>
          <w:spacing w:val="18"/>
          <w:sz w:val="24"/>
          <w:highlight w:val="none"/>
        </w:rPr>
      </w:pPr>
      <w:r>
        <w:rPr>
          <w:rFonts w:ascii="Times New Roman" w:hAnsi="Times New Roman"/>
          <w:spacing w:val="4"/>
          <w:sz w:val="24"/>
          <w:highlight w:val="none"/>
        </w:rPr>
        <w:t>法定代表人或授权委托人（签名或盖章）</w:t>
      </w:r>
      <w:r>
        <w:rPr>
          <w:rFonts w:ascii="Times New Roman" w:hAnsi="Times New Roman"/>
          <w:spacing w:val="18"/>
          <w:sz w:val="24"/>
          <w:highlight w:val="none"/>
        </w:rPr>
        <w:t xml:space="preserve">：            </w:t>
      </w:r>
    </w:p>
    <w:p>
      <w:pPr>
        <w:topLinePunct/>
        <w:spacing w:line="360" w:lineRule="auto"/>
        <w:rPr>
          <w:rFonts w:ascii="Times New Roman" w:hAnsi="Times New Roman"/>
          <w:spacing w:val="18"/>
          <w:sz w:val="24"/>
          <w:highlight w:val="none"/>
        </w:rPr>
      </w:pPr>
      <w:r>
        <w:rPr>
          <w:rFonts w:ascii="Times New Roman" w:hAnsi="Times New Roman"/>
          <w:spacing w:val="18"/>
          <w:sz w:val="24"/>
          <w:highlight w:val="none"/>
        </w:rPr>
        <w:t xml:space="preserve">日期：   年  月  日 </w:t>
      </w:r>
    </w:p>
    <w:p>
      <w:pPr>
        <w:topLinePunct/>
        <w:spacing w:line="360" w:lineRule="auto"/>
        <w:rPr>
          <w:rFonts w:ascii="Times New Roman" w:hAnsi="Times New Roman"/>
          <w:spacing w:val="18"/>
          <w:sz w:val="36"/>
          <w:szCs w:val="36"/>
          <w:highlight w:val="none"/>
        </w:rPr>
      </w:pPr>
    </w:p>
    <w:p>
      <w:pPr>
        <w:topLinePunct/>
        <w:spacing w:line="360" w:lineRule="auto"/>
        <w:rPr>
          <w:rFonts w:ascii="Times New Roman" w:hAnsi="Times New Roman"/>
          <w:spacing w:val="18"/>
          <w:sz w:val="36"/>
          <w:szCs w:val="36"/>
          <w:highlight w:val="none"/>
        </w:rPr>
      </w:pPr>
    </w:p>
    <w:p>
      <w:pPr>
        <w:topLinePunct/>
        <w:spacing w:line="360" w:lineRule="auto"/>
        <w:rPr>
          <w:rFonts w:ascii="Times New Roman" w:hAnsi="Times New Roman"/>
          <w:spacing w:val="18"/>
          <w:sz w:val="36"/>
          <w:szCs w:val="36"/>
          <w:highlight w:val="none"/>
        </w:rPr>
      </w:pPr>
      <w:bookmarkStart w:id="118" w:name="_GoBack"/>
      <w:bookmarkEnd w:id="118"/>
    </w:p>
    <w:p>
      <w:pPr>
        <w:topLinePunct/>
        <w:spacing w:line="360" w:lineRule="auto"/>
        <w:rPr>
          <w:rFonts w:ascii="Times New Roman" w:hAnsi="Times New Roman"/>
          <w:b/>
          <w:bCs/>
          <w:sz w:val="28"/>
          <w:szCs w:val="28"/>
          <w:highlight w:val="none"/>
        </w:rPr>
      </w:pPr>
      <w:r>
        <w:rPr>
          <w:rFonts w:ascii="Times New Roman" w:hAnsi="Times New Roman"/>
          <w:spacing w:val="18"/>
          <w:sz w:val="36"/>
          <w:szCs w:val="36"/>
          <w:highlight w:val="none"/>
        </w:rPr>
        <w:t xml:space="preserve"> </w:t>
      </w:r>
      <w:r>
        <w:rPr>
          <w:rFonts w:hint="eastAsia" w:ascii="Times New Roman" w:hAnsi="Times New Roman"/>
          <w:b/>
          <w:bCs/>
          <w:sz w:val="28"/>
          <w:szCs w:val="28"/>
          <w:highlight w:val="none"/>
        </w:rPr>
        <w:t>五、</w:t>
      </w:r>
      <w:r>
        <w:rPr>
          <w:rFonts w:ascii="Times New Roman" w:hAnsi="Times New Roman"/>
          <w:b/>
          <w:bCs/>
          <w:sz w:val="28"/>
          <w:szCs w:val="28"/>
          <w:highlight w:val="none"/>
        </w:rPr>
        <w:t>投标人声明格式</w:t>
      </w:r>
    </w:p>
    <w:p>
      <w:pPr>
        <w:widowControl/>
        <w:snapToGrid w:val="0"/>
        <w:spacing w:before="260" w:after="260"/>
        <w:ind w:right="386"/>
        <w:jc w:val="center"/>
        <w:rPr>
          <w:color w:val="000000" w:themeColor="text1"/>
          <w:sz w:val="28"/>
          <w:szCs w:val="28"/>
          <w:highlight w:val="none"/>
          <w14:textFill>
            <w14:solidFill>
              <w14:schemeClr w14:val="tx1"/>
            </w14:solidFill>
          </w14:textFill>
        </w:rPr>
      </w:pPr>
      <w:r>
        <w:rPr>
          <w:rFonts w:ascii="Times New Roman" w:hAnsi="Times New Roman"/>
          <w:spacing w:val="18"/>
          <w:sz w:val="24"/>
          <w:highlight w:val="none"/>
        </w:rPr>
        <w:t xml:space="preserve"> </w:t>
      </w:r>
      <w:r>
        <w:rPr>
          <w:rFonts w:hint="eastAsia"/>
          <w:color w:val="000000" w:themeColor="text1"/>
          <w:sz w:val="28"/>
          <w:szCs w:val="28"/>
          <w:highlight w:val="none"/>
          <w14:textFill>
            <w14:solidFill>
              <w14:schemeClr w14:val="tx1"/>
            </w14:solidFill>
          </w14:textFill>
        </w:rPr>
        <w:t>投标人声明</w:t>
      </w:r>
    </w:p>
    <w:p>
      <w:pPr>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广州市住房和城乡建设局、本招标项目招标人及招标监管机构：</w:t>
      </w:r>
    </w:p>
    <w:p>
      <w:pPr>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本公司就参加</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项目投标工作，作出郑重声明：</w:t>
      </w:r>
    </w:p>
    <w:p>
      <w:pPr>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二、本公司承诺遵循公平公正、公开、诚实信用原则，如实投标，真实反映企业实力，公平竞争，不弄虚作假，不以低于</w:t>
      </w:r>
      <w:r>
        <w:rPr>
          <w:rFonts w:hint="eastAsia"/>
          <w:bCs/>
          <w:color w:val="000000" w:themeColor="text1"/>
          <w:sz w:val="24"/>
          <w:szCs w:val="24"/>
          <w:highlight w:val="none"/>
          <w:lang w:eastAsia="zh-CN"/>
          <w14:textFill>
            <w14:solidFill>
              <w14:schemeClr w14:val="tx1"/>
            </w14:solidFill>
          </w14:textFill>
        </w:rPr>
        <w:t>监理</w:t>
      </w:r>
      <w:r>
        <w:rPr>
          <w:rFonts w:hint="eastAsia"/>
          <w:bCs/>
          <w:color w:val="000000" w:themeColor="text1"/>
          <w:sz w:val="24"/>
          <w:szCs w:val="24"/>
          <w:highlight w:val="none"/>
          <w14:textFill>
            <w14:solidFill>
              <w14:schemeClr w14:val="tx1"/>
            </w14:solidFill>
          </w14:textFill>
        </w:rPr>
        <w:t>企业成本价竞标而降低服务质量，不与任何建设单位订立违背</w:t>
      </w:r>
      <w:r>
        <w:rPr>
          <w:rFonts w:hint="eastAsia"/>
          <w:bCs/>
          <w:color w:val="000000" w:themeColor="text1"/>
          <w:sz w:val="24"/>
          <w:szCs w:val="24"/>
          <w:highlight w:val="none"/>
          <w:lang w:eastAsia="zh-CN"/>
          <w14:textFill>
            <w14:solidFill>
              <w14:schemeClr w14:val="tx1"/>
            </w14:solidFill>
          </w14:textFill>
        </w:rPr>
        <w:t>监理</w:t>
      </w:r>
      <w:r>
        <w:rPr>
          <w:rFonts w:hint="eastAsia"/>
          <w:bCs/>
          <w:color w:val="000000" w:themeColor="text1"/>
          <w:sz w:val="24"/>
          <w:szCs w:val="24"/>
          <w:highlight w:val="none"/>
          <w14:textFill>
            <w14:solidFill>
              <w14:schemeClr w14:val="tx1"/>
            </w14:solidFill>
          </w14:textFill>
        </w:rPr>
        <w:t>企业成本取费标准及相关规定的“阴阳合同”进行恶性竞争，扰乱市场秩序，不与其他单位串通投标或以行贿手段谋取中标，不出借资质、转包或违法分包</w:t>
      </w:r>
      <w:r>
        <w:rPr>
          <w:rFonts w:hint="eastAsia"/>
          <w:bCs/>
          <w:color w:val="000000" w:themeColor="text1"/>
          <w:sz w:val="24"/>
          <w:szCs w:val="24"/>
          <w:highlight w:val="none"/>
          <w:lang w:eastAsia="zh-CN"/>
          <w14:textFill>
            <w14:solidFill>
              <w14:schemeClr w14:val="tx1"/>
            </w14:solidFill>
          </w14:textFill>
        </w:rPr>
        <w:t>监理</w:t>
      </w:r>
      <w:r>
        <w:rPr>
          <w:rFonts w:hint="eastAsia"/>
          <w:bCs/>
          <w:color w:val="000000" w:themeColor="text1"/>
          <w:sz w:val="24"/>
          <w:szCs w:val="24"/>
          <w:highlight w:val="none"/>
          <w14:textFill>
            <w14:solidFill>
              <w14:schemeClr w14:val="tx1"/>
            </w14:solidFill>
          </w14:textFill>
        </w:rPr>
        <w:t>业务。</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三、本公司不存在招标文件第二章投标人须知第1.4.3项所规定的任何一种情形。</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五、本公司承诺，中标后严格执行安全生产相关管理规定。</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六、与本公司单位负责人为同一人或者与本公司存在控股、管理关系的其他单位包括：</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pPr>
        <w:snapToGrid w:val="0"/>
        <w:spacing w:line="400" w:lineRule="exact"/>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本公司违反上述承诺，或本声明陈述与事实不符，经查实，本公司愿意接受公开通报，愿意按照《广州市建筑市场信用管理办法》（穗建规字﹝20</w:t>
      </w:r>
      <w:r>
        <w:rPr>
          <w:rFonts w:hint="eastAsia"/>
          <w:bCs/>
          <w:color w:val="000000" w:themeColor="text1"/>
          <w:sz w:val="24"/>
          <w:szCs w:val="24"/>
          <w:highlight w:val="none"/>
          <w:lang w:val="en-US"/>
          <w14:textFill>
            <w14:solidFill>
              <w14:schemeClr w14:val="tx1"/>
            </w14:solidFill>
          </w14:textFill>
        </w:rPr>
        <w:t>19</w:t>
      </w:r>
      <w:r>
        <w:rPr>
          <w:rFonts w:hint="eastAsia"/>
          <w:bCs/>
          <w:color w:val="000000" w:themeColor="text1"/>
          <w:sz w:val="24"/>
          <w:szCs w:val="24"/>
          <w:highlight w:val="none"/>
          <w14:textFill>
            <w14:solidFill>
              <w14:schemeClr w14:val="tx1"/>
            </w14:solidFill>
          </w14:textFill>
        </w:rPr>
        <w:t>﹞16号）的规定被记录为失信信息，承担由此带来的一切后果，并自愿停止参加广州市行政辖区内的招标投标活动三个月。</w:t>
      </w:r>
    </w:p>
    <w:p>
      <w:pPr>
        <w:widowControl/>
        <w:shd w:val="clear" w:color="auto" w:fill="FFFFFF"/>
        <w:snapToGrid w:val="0"/>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特此声明。</w:t>
      </w:r>
    </w:p>
    <w:p>
      <w:pPr>
        <w:snapToGrid w:val="0"/>
        <w:spacing w:line="360" w:lineRule="auto"/>
        <w:ind w:firstLine="4320" w:firstLineChars="18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声明企业：            (企业公章)</w:t>
      </w:r>
    </w:p>
    <w:p>
      <w:pPr>
        <w:snapToGrid w:val="0"/>
        <w:spacing w:line="360" w:lineRule="auto"/>
        <w:ind w:firstLine="4320" w:firstLineChars="18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总监理工程师</w:t>
      </w:r>
      <w:r>
        <w:rPr>
          <w:rFonts w:hint="eastAsia"/>
          <w:color w:val="000000" w:themeColor="text1"/>
          <w:sz w:val="24"/>
          <w:szCs w:val="24"/>
          <w:highlight w:val="none"/>
          <w14:textFill>
            <w14:solidFill>
              <w14:schemeClr w14:val="tx1"/>
            </w14:solidFill>
          </w14:textFill>
        </w:rPr>
        <w:t>：         （签字）</w:t>
      </w:r>
    </w:p>
    <w:p>
      <w:pPr>
        <w:snapToGrid w:val="0"/>
        <w:spacing w:line="360" w:lineRule="auto"/>
        <w:ind w:firstLine="4320" w:firstLineChars="18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法定代表人签字：</w:t>
      </w:r>
    </w:p>
    <w:p>
      <w:pPr>
        <w:widowControl/>
        <w:snapToGrid w:val="0"/>
        <w:spacing w:line="360" w:lineRule="auto"/>
        <w:ind w:firstLine="4252" w:firstLineChars="1772"/>
        <w:rPr>
          <w:color w:val="000000" w:themeColor="text1"/>
          <w:sz w:val="24"/>
          <w:szCs w:val="24"/>
          <w:highlight w:val="none"/>
          <w14:textFill>
            <w14:solidFill>
              <w14:schemeClr w14:val="tx1"/>
            </w14:solidFill>
          </w14:textFill>
        </w:rPr>
        <w:sectPr>
          <w:pgSz w:w="11906" w:h="16838"/>
          <w:pgMar w:top="1400" w:right="1100" w:bottom="1120" w:left="1560" w:header="0" w:footer="841" w:gutter="0"/>
          <w:cols w:space="720" w:num="1"/>
        </w:sectPr>
      </w:pP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年   月  日 </w:t>
      </w:r>
    </w:p>
    <w:bookmarkEnd w:id="104"/>
    <w:p>
      <w:pPr>
        <w:pStyle w:val="2"/>
        <w:spacing w:line="600" w:lineRule="auto"/>
        <w:jc w:val="center"/>
        <w:rPr>
          <w:rFonts w:ascii="Times New Roman" w:hAnsi="Times New Roman"/>
          <w:color w:val="auto"/>
          <w:sz w:val="30"/>
          <w:szCs w:val="30"/>
          <w:highlight w:val="none"/>
        </w:rPr>
      </w:pPr>
      <w:bookmarkStart w:id="107" w:name="_Toc535938758"/>
      <w:bookmarkStart w:id="108" w:name="_Toc530470651"/>
      <w:bookmarkStart w:id="109" w:name="_Toc529196610"/>
      <w:r>
        <w:rPr>
          <w:rFonts w:hint="eastAsia" w:ascii="Times New Roman" w:hAnsi="Times New Roman"/>
          <w:color w:val="auto"/>
          <w:sz w:val="30"/>
          <w:szCs w:val="30"/>
          <w:highlight w:val="none"/>
        </w:rPr>
        <w:t>六</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监理服务</w:t>
      </w:r>
      <w:r>
        <w:rPr>
          <w:rFonts w:ascii="Times New Roman" w:hAnsi="Times New Roman"/>
          <w:color w:val="auto"/>
          <w:sz w:val="30"/>
          <w:szCs w:val="30"/>
          <w:highlight w:val="none"/>
        </w:rPr>
        <w:t>大纲</w:t>
      </w:r>
      <w:bookmarkEnd w:id="107"/>
      <w:bookmarkEnd w:id="108"/>
      <w:bookmarkEnd w:id="109"/>
    </w:p>
    <w:p>
      <w:pPr>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监理服务大纲</w:t>
      </w:r>
    </w:p>
    <w:p>
      <w:pPr>
        <w:spacing w:line="360" w:lineRule="auto"/>
        <w:ind w:firstLine="542" w:firstLineChars="226"/>
        <w:rPr>
          <w:rFonts w:ascii="Times New Roman" w:hAnsi="Times New Roman"/>
          <w:sz w:val="24"/>
          <w:highlight w:val="none"/>
        </w:rPr>
      </w:pPr>
      <w:r>
        <w:rPr>
          <w:rFonts w:hint="eastAsia" w:ascii="Times New Roman" w:hAnsi="Times New Roman"/>
          <w:sz w:val="24"/>
          <w:highlight w:val="none"/>
        </w:rPr>
        <w:t>监理服务</w:t>
      </w:r>
      <w:r>
        <w:rPr>
          <w:rFonts w:ascii="Times New Roman" w:hAnsi="Times New Roman"/>
          <w:sz w:val="24"/>
          <w:highlight w:val="none"/>
        </w:rPr>
        <w:t>大纲应包括（但不限于）下列内容：</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一、监理工程概况；</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二、</w:t>
      </w:r>
      <w:r>
        <w:rPr>
          <w:rFonts w:hint="eastAsia" w:ascii="Times New Roman" w:hAnsi="Times New Roman"/>
          <w:sz w:val="24"/>
          <w:highlight w:val="none"/>
        </w:rPr>
        <w:t>服务</w:t>
      </w:r>
      <w:r>
        <w:rPr>
          <w:rFonts w:ascii="Times New Roman" w:hAnsi="Times New Roman"/>
          <w:sz w:val="24"/>
          <w:highlight w:val="none"/>
        </w:rPr>
        <w:t>范围、</w:t>
      </w:r>
      <w:r>
        <w:rPr>
          <w:rFonts w:hint="eastAsia" w:ascii="Times New Roman" w:hAnsi="Times New Roman"/>
          <w:sz w:val="24"/>
          <w:highlight w:val="none"/>
        </w:rPr>
        <w:t>服务</w:t>
      </w:r>
      <w:r>
        <w:rPr>
          <w:rFonts w:ascii="Times New Roman" w:hAnsi="Times New Roman"/>
          <w:sz w:val="24"/>
          <w:highlight w:val="none"/>
        </w:rPr>
        <w:t>内容；</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三、监理依据、监理工作目标；</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四、监理机构设置（</w:t>
      </w:r>
      <w:r>
        <w:rPr>
          <w:rFonts w:hint="eastAsia" w:ascii="Times New Roman" w:hAnsi="Times New Roman"/>
          <w:sz w:val="24"/>
          <w:highlight w:val="none"/>
        </w:rPr>
        <w:t>监理组织架构框图</w:t>
      </w:r>
      <w:r>
        <w:rPr>
          <w:rFonts w:ascii="Times New Roman" w:hAnsi="Times New Roman"/>
          <w:sz w:val="24"/>
          <w:highlight w:val="none"/>
        </w:rPr>
        <w:t>）、岗位职责；</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五、监理工作程序、方法和制度；</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六、拟投入的监理人员、试验检测仪器设备；</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七、质量、进度、造价、安全、环保监理措施；</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八、合同、信息管理方案；</w:t>
      </w:r>
    </w:p>
    <w:p>
      <w:pPr>
        <w:spacing w:line="360" w:lineRule="auto"/>
        <w:ind w:firstLine="542" w:firstLineChars="226"/>
        <w:rPr>
          <w:rFonts w:ascii="Times New Roman" w:hAnsi="Times New Roman"/>
          <w:sz w:val="24"/>
          <w:highlight w:val="none"/>
        </w:rPr>
      </w:pPr>
      <w:r>
        <w:rPr>
          <w:rFonts w:hint="eastAsia" w:ascii="Times New Roman" w:hAnsi="Times New Roman"/>
          <w:sz w:val="24"/>
          <w:highlight w:val="none"/>
        </w:rPr>
        <w:t>九</w:t>
      </w:r>
      <w:r>
        <w:rPr>
          <w:rFonts w:ascii="Times New Roman" w:hAnsi="Times New Roman"/>
          <w:sz w:val="24"/>
          <w:highlight w:val="none"/>
        </w:rPr>
        <w:t>、组织协调内容及措施；</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十、监理工作重点、难点分析；</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十</w:t>
      </w:r>
      <w:r>
        <w:rPr>
          <w:rFonts w:hint="eastAsia" w:ascii="Times New Roman" w:hAnsi="Times New Roman"/>
          <w:sz w:val="24"/>
          <w:highlight w:val="none"/>
        </w:rPr>
        <w:t>一</w:t>
      </w:r>
      <w:r>
        <w:rPr>
          <w:rFonts w:ascii="Times New Roman" w:hAnsi="Times New Roman"/>
          <w:sz w:val="24"/>
          <w:highlight w:val="none"/>
        </w:rPr>
        <w:t>、对本工程监理的合理化建议。</w:t>
      </w: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pStyle w:val="2"/>
        <w:spacing w:line="480" w:lineRule="auto"/>
        <w:rPr>
          <w:rFonts w:ascii="Times New Roman" w:hAnsi="Times New Roman"/>
          <w:color w:val="auto"/>
          <w:sz w:val="30"/>
          <w:szCs w:val="30"/>
          <w:highlight w:val="none"/>
        </w:rPr>
      </w:pPr>
      <w:bookmarkStart w:id="110" w:name="_Toc529196611"/>
      <w:bookmarkStart w:id="111" w:name="_Toc530470652"/>
      <w:r>
        <w:rPr>
          <w:rFonts w:ascii="Times New Roman" w:hAnsi="Times New Roman"/>
          <w:color w:val="auto"/>
          <w:highlight w:val="none"/>
        </w:rPr>
        <w:br w:type="page"/>
      </w:r>
      <w:bookmarkStart w:id="112" w:name="_Toc535938759"/>
      <w:r>
        <w:rPr>
          <w:rFonts w:hint="eastAsia" w:ascii="Times New Roman" w:hAnsi="Times New Roman"/>
          <w:color w:val="auto"/>
          <w:sz w:val="30"/>
          <w:szCs w:val="30"/>
          <w:highlight w:val="none"/>
        </w:rPr>
        <w:t>七、其他资料</w:t>
      </w:r>
      <w:bookmarkEnd w:id="110"/>
      <w:bookmarkEnd w:id="111"/>
      <w:bookmarkEnd w:id="112"/>
    </w:p>
    <w:p>
      <w:pPr>
        <w:topLinePunct/>
        <w:spacing w:line="360" w:lineRule="auto"/>
        <w:rPr>
          <w:rFonts w:ascii="Times New Roman" w:hAnsi="Times New Roman"/>
          <w:snapToGrid w:val="0"/>
          <w:spacing w:val="18"/>
          <w:sz w:val="28"/>
          <w:szCs w:val="28"/>
          <w:highlight w:val="none"/>
        </w:rPr>
      </w:pPr>
      <w:r>
        <w:rPr>
          <w:rFonts w:hint="eastAsia" w:ascii="Times New Roman" w:hAnsi="Times New Roman"/>
          <w:b/>
          <w:bCs/>
          <w:sz w:val="28"/>
          <w:szCs w:val="28"/>
          <w:highlight w:val="none"/>
        </w:rPr>
        <w:t>其他资料应包括（但不限制于）以下内容：</w:t>
      </w:r>
    </w:p>
    <w:p>
      <w:pPr>
        <w:spacing w:line="360" w:lineRule="auto"/>
        <w:jc w:val="left"/>
        <w:rPr>
          <w:rFonts w:ascii="Times New Roman" w:hAnsi="Times New Roman"/>
          <w:b/>
          <w:szCs w:val="21"/>
          <w:highlight w:val="none"/>
        </w:rPr>
      </w:pPr>
      <w:bookmarkStart w:id="113" w:name="_Toc530470659"/>
      <w:bookmarkStart w:id="114" w:name="_Toc535938766"/>
      <w:r>
        <w:rPr>
          <w:rFonts w:cs="Calibri"/>
          <w:b/>
          <w:sz w:val="28"/>
          <w:szCs w:val="28"/>
          <w:highlight w:val="none"/>
        </w:rPr>
        <w:t>①</w:t>
      </w:r>
      <w:r>
        <w:rPr>
          <w:rFonts w:hint="eastAsia" w:ascii="Times New Roman" w:hAnsi="Times New Roman"/>
          <w:b/>
          <w:sz w:val="28"/>
          <w:szCs w:val="28"/>
          <w:highlight w:val="none"/>
        </w:rPr>
        <w:t>监理项目管理团队人员信息表</w:t>
      </w:r>
      <w:bookmarkEnd w:id="113"/>
      <w:bookmarkEnd w:id="114"/>
    </w:p>
    <w:p>
      <w:pPr>
        <w:spacing w:line="360" w:lineRule="auto"/>
        <w:rPr>
          <w:rFonts w:ascii="Times New Roman" w:hAnsi="Times New Roman"/>
          <w:highlight w:val="none"/>
        </w:rPr>
      </w:pPr>
      <w:bookmarkStart w:id="115" w:name="_Toc535938767"/>
      <w:bookmarkStart w:id="116" w:name="_Toc530470660"/>
      <w:r>
        <w:rPr>
          <w:rFonts w:cs="Calibri"/>
          <w:b/>
          <w:sz w:val="28"/>
          <w:szCs w:val="28"/>
          <w:highlight w:val="none"/>
        </w:rPr>
        <w:t>②</w:t>
      </w:r>
      <w:r>
        <w:rPr>
          <w:rFonts w:hint="eastAsia" w:ascii="Times New Roman" w:hAnsi="Times New Roman"/>
          <w:b/>
          <w:sz w:val="28"/>
          <w:szCs w:val="28"/>
          <w:highlight w:val="none"/>
        </w:rPr>
        <w:t>投标人认为需要提供的资料（如有）。</w:t>
      </w:r>
      <w:bookmarkEnd w:id="115"/>
      <w:bookmarkEnd w:id="116"/>
    </w:p>
    <w:p>
      <w:pPr>
        <w:pStyle w:val="25"/>
        <w:rPr>
          <w:color w:val="000000" w:themeColor="text1"/>
          <w:sz w:val="24"/>
          <w:highlight w:val="none"/>
          <w14:textFill>
            <w14:solidFill>
              <w14:schemeClr w14:val="tx1"/>
            </w14:solidFill>
          </w14:textFill>
        </w:rPr>
      </w:pPr>
    </w:p>
    <w:p>
      <w:pPr>
        <w:pStyle w:val="7"/>
        <w:ind w:firstLine="0"/>
        <w:rPr>
          <w:color w:val="000000" w:themeColor="text1"/>
          <w:sz w:val="24"/>
          <w:szCs w:val="22"/>
          <w:highlight w:val="none"/>
          <w14:textFill>
            <w14:solidFill>
              <w14:schemeClr w14:val="tx1"/>
            </w14:solidFill>
          </w14:textFill>
        </w:rPr>
      </w:pPr>
      <w:bookmarkStart w:id="117" w:name="_bookmark194"/>
      <w:bookmarkEnd w:id="117"/>
    </w:p>
    <w:sectPr>
      <w:pgSz w:w="11906" w:h="16838"/>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4"/>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0E89"/>
    <w:multiLevelType w:val="singleLevel"/>
    <w:tmpl w:val="ECDE0E8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TcwOTkyNzZkOTYxZTExMGVkMjQ2NDg3YmU4NWUifQ=="/>
  </w:docVars>
  <w:rsids>
    <w:rsidRoot w:val="009F6590"/>
    <w:rsid w:val="00007427"/>
    <w:rsid w:val="0002117A"/>
    <w:rsid w:val="00062014"/>
    <w:rsid w:val="00066492"/>
    <w:rsid w:val="000A5C7D"/>
    <w:rsid w:val="000C5134"/>
    <w:rsid w:val="00150BBC"/>
    <w:rsid w:val="00186E6B"/>
    <w:rsid w:val="001F5185"/>
    <w:rsid w:val="002202DE"/>
    <w:rsid w:val="00227CB0"/>
    <w:rsid w:val="00247274"/>
    <w:rsid w:val="00250FFC"/>
    <w:rsid w:val="00274859"/>
    <w:rsid w:val="002C464B"/>
    <w:rsid w:val="003037BB"/>
    <w:rsid w:val="0031251E"/>
    <w:rsid w:val="00363729"/>
    <w:rsid w:val="003A5EF7"/>
    <w:rsid w:val="004825A1"/>
    <w:rsid w:val="004D1FD0"/>
    <w:rsid w:val="004E37CB"/>
    <w:rsid w:val="004F24A2"/>
    <w:rsid w:val="004F4841"/>
    <w:rsid w:val="00520C66"/>
    <w:rsid w:val="0052716E"/>
    <w:rsid w:val="00554EB6"/>
    <w:rsid w:val="00555875"/>
    <w:rsid w:val="0056634F"/>
    <w:rsid w:val="005C090D"/>
    <w:rsid w:val="005C5A62"/>
    <w:rsid w:val="005E0166"/>
    <w:rsid w:val="00616E2F"/>
    <w:rsid w:val="00634E52"/>
    <w:rsid w:val="00643BE3"/>
    <w:rsid w:val="00665086"/>
    <w:rsid w:val="006A0E7C"/>
    <w:rsid w:val="006A76D0"/>
    <w:rsid w:val="006B181F"/>
    <w:rsid w:val="006C3EDC"/>
    <w:rsid w:val="006E12AD"/>
    <w:rsid w:val="00742A22"/>
    <w:rsid w:val="0075597C"/>
    <w:rsid w:val="00762DFD"/>
    <w:rsid w:val="007818B4"/>
    <w:rsid w:val="00797610"/>
    <w:rsid w:val="0080020B"/>
    <w:rsid w:val="00827E3A"/>
    <w:rsid w:val="00864AC2"/>
    <w:rsid w:val="008B1368"/>
    <w:rsid w:val="008B5F0D"/>
    <w:rsid w:val="008D1935"/>
    <w:rsid w:val="008E017D"/>
    <w:rsid w:val="00915398"/>
    <w:rsid w:val="00915BF3"/>
    <w:rsid w:val="009333E2"/>
    <w:rsid w:val="009414E6"/>
    <w:rsid w:val="00950503"/>
    <w:rsid w:val="009739E8"/>
    <w:rsid w:val="00976B6C"/>
    <w:rsid w:val="00995D56"/>
    <w:rsid w:val="009C768C"/>
    <w:rsid w:val="009D4BA0"/>
    <w:rsid w:val="009D4C53"/>
    <w:rsid w:val="009E00F7"/>
    <w:rsid w:val="009F5AB3"/>
    <w:rsid w:val="009F6590"/>
    <w:rsid w:val="00A076B7"/>
    <w:rsid w:val="00A66BCE"/>
    <w:rsid w:val="00A70ADD"/>
    <w:rsid w:val="00A7413B"/>
    <w:rsid w:val="00A974D9"/>
    <w:rsid w:val="00AA2872"/>
    <w:rsid w:val="00B054E1"/>
    <w:rsid w:val="00B07956"/>
    <w:rsid w:val="00B46135"/>
    <w:rsid w:val="00B5332E"/>
    <w:rsid w:val="00B554C2"/>
    <w:rsid w:val="00B904D5"/>
    <w:rsid w:val="00B94D9F"/>
    <w:rsid w:val="00BA6258"/>
    <w:rsid w:val="00BE2404"/>
    <w:rsid w:val="00C249EC"/>
    <w:rsid w:val="00C83E9C"/>
    <w:rsid w:val="00D71629"/>
    <w:rsid w:val="00D75193"/>
    <w:rsid w:val="00DA39D7"/>
    <w:rsid w:val="00DC4E46"/>
    <w:rsid w:val="00DF0263"/>
    <w:rsid w:val="00E02CDF"/>
    <w:rsid w:val="00E3231C"/>
    <w:rsid w:val="00E37FB6"/>
    <w:rsid w:val="00E43782"/>
    <w:rsid w:val="00E50740"/>
    <w:rsid w:val="00E96711"/>
    <w:rsid w:val="00F24776"/>
    <w:rsid w:val="00FA74DC"/>
    <w:rsid w:val="00FA74F4"/>
    <w:rsid w:val="00FB6777"/>
    <w:rsid w:val="01011432"/>
    <w:rsid w:val="01762E7D"/>
    <w:rsid w:val="0194452E"/>
    <w:rsid w:val="01A31475"/>
    <w:rsid w:val="01C42A92"/>
    <w:rsid w:val="01ED4572"/>
    <w:rsid w:val="03282D6E"/>
    <w:rsid w:val="03B45165"/>
    <w:rsid w:val="03B92188"/>
    <w:rsid w:val="041D0905"/>
    <w:rsid w:val="044A3BC4"/>
    <w:rsid w:val="0450508D"/>
    <w:rsid w:val="04E43BF8"/>
    <w:rsid w:val="04F14FE7"/>
    <w:rsid w:val="04F629AA"/>
    <w:rsid w:val="04F76DD4"/>
    <w:rsid w:val="055A4234"/>
    <w:rsid w:val="055E4F55"/>
    <w:rsid w:val="06145DF3"/>
    <w:rsid w:val="062743A8"/>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3C34DB"/>
    <w:rsid w:val="0A4641C5"/>
    <w:rsid w:val="0B0B7F7B"/>
    <w:rsid w:val="0B2733C3"/>
    <w:rsid w:val="0B5A0F7B"/>
    <w:rsid w:val="0BFE2A5F"/>
    <w:rsid w:val="0CA1342B"/>
    <w:rsid w:val="0D296257"/>
    <w:rsid w:val="0D5154EF"/>
    <w:rsid w:val="0D973B36"/>
    <w:rsid w:val="0DA371D4"/>
    <w:rsid w:val="0DB7606F"/>
    <w:rsid w:val="0DF7671C"/>
    <w:rsid w:val="0E144AF2"/>
    <w:rsid w:val="0E286219"/>
    <w:rsid w:val="0E2B569A"/>
    <w:rsid w:val="0E4344E6"/>
    <w:rsid w:val="0E8E65AB"/>
    <w:rsid w:val="0EE508B3"/>
    <w:rsid w:val="0EF7408E"/>
    <w:rsid w:val="0F90275F"/>
    <w:rsid w:val="0FB5219B"/>
    <w:rsid w:val="100203C1"/>
    <w:rsid w:val="100F0678"/>
    <w:rsid w:val="10C67FEE"/>
    <w:rsid w:val="10D604F0"/>
    <w:rsid w:val="118156B4"/>
    <w:rsid w:val="11C10A51"/>
    <w:rsid w:val="11DB7DA1"/>
    <w:rsid w:val="12020BFE"/>
    <w:rsid w:val="120314AE"/>
    <w:rsid w:val="120576E3"/>
    <w:rsid w:val="120676C9"/>
    <w:rsid w:val="12505070"/>
    <w:rsid w:val="125A1143"/>
    <w:rsid w:val="12806406"/>
    <w:rsid w:val="12C26A16"/>
    <w:rsid w:val="133A6790"/>
    <w:rsid w:val="138C36F3"/>
    <w:rsid w:val="138D233E"/>
    <w:rsid w:val="138D5C8C"/>
    <w:rsid w:val="13D977E4"/>
    <w:rsid w:val="13E85A91"/>
    <w:rsid w:val="13EA5F3E"/>
    <w:rsid w:val="14151E51"/>
    <w:rsid w:val="141F1EE1"/>
    <w:rsid w:val="144E2788"/>
    <w:rsid w:val="148511D9"/>
    <w:rsid w:val="14952165"/>
    <w:rsid w:val="14E2238D"/>
    <w:rsid w:val="15906E3E"/>
    <w:rsid w:val="15A855CE"/>
    <w:rsid w:val="15D942D4"/>
    <w:rsid w:val="16242CF1"/>
    <w:rsid w:val="16AF1A54"/>
    <w:rsid w:val="16BD1AE5"/>
    <w:rsid w:val="172624A2"/>
    <w:rsid w:val="172A7DE0"/>
    <w:rsid w:val="177608A9"/>
    <w:rsid w:val="17933BB8"/>
    <w:rsid w:val="17A617DF"/>
    <w:rsid w:val="18027B12"/>
    <w:rsid w:val="188644B1"/>
    <w:rsid w:val="18B74DA0"/>
    <w:rsid w:val="18C64FE3"/>
    <w:rsid w:val="18F602C8"/>
    <w:rsid w:val="1950250C"/>
    <w:rsid w:val="196A6198"/>
    <w:rsid w:val="19CB30B0"/>
    <w:rsid w:val="1A6A3078"/>
    <w:rsid w:val="1A8C1793"/>
    <w:rsid w:val="1ABD5F72"/>
    <w:rsid w:val="1ABF2E24"/>
    <w:rsid w:val="1AFA2544"/>
    <w:rsid w:val="1AFE356F"/>
    <w:rsid w:val="1B366B16"/>
    <w:rsid w:val="1B3E5305"/>
    <w:rsid w:val="1C1C5240"/>
    <w:rsid w:val="1C1E4EFE"/>
    <w:rsid w:val="1C6548A8"/>
    <w:rsid w:val="1C7B6A5F"/>
    <w:rsid w:val="1CA13D9D"/>
    <w:rsid w:val="1CBA5C9C"/>
    <w:rsid w:val="1CBE5D00"/>
    <w:rsid w:val="1D2A5848"/>
    <w:rsid w:val="1DD20DCE"/>
    <w:rsid w:val="1DDC3B38"/>
    <w:rsid w:val="1E2420CC"/>
    <w:rsid w:val="1EC102EC"/>
    <w:rsid w:val="1EEE0DF0"/>
    <w:rsid w:val="1F247F42"/>
    <w:rsid w:val="1F5D0F05"/>
    <w:rsid w:val="1F5E7183"/>
    <w:rsid w:val="1FB4617B"/>
    <w:rsid w:val="1FB97362"/>
    <w:rsid w:val="1FE479EE"/>
    <w:rsid w:val="1FEB09B2"/>
    <w:rsid w:val="1FEF7B10"/>
    <w:rsid w:val="20C556E4"/>
    <w:rsid w:val="21182154"/>
    <w:rsid w:val="217C49CA"/>
    <w:rsid w:val="21DE0F1E"/>
    <w:rsid w:val="224A0233"/>
    <w:rsid w:val="22882206"/>
    <w:rsid w:val="22D85D40"/>
    <w:rsid w:val="231449D2"/>
    <w:rsid w:val="231F5671"/>
    <w:rsid w:val="23A75A11"/>
    <w:rsid w:val="23D578DF"/>
    <w:rsid w:val="23DA0456"/>
    <w:rsid w:val="241F7CE9"/>
    <w:rsid w:val="251F6D94"/>
    <w:rsid w:val="253F7037"/>
    <w:rsid w:val="255A27F5"/>
    <w:rsid w:val="25764C42"/>
    <w:rsid w:val="259479E9"/>
    <w:rsid w:val="25B34B41"/>
    <w:rsid w:val="264C1C01"/>
    <w:rsid w:val="26551809"/>
    <w:rsid w:val="265708E0"/>
    <w:rsid w:val="26840445"/>
    <w:rsid w:val="26FE61C4"/>
    <w:rsid w:val="2714367E"/>
    <w:rsid w:val="27F27B14"/>
    <w:rsid w:val="28110AC8"/>
    <w:rsid w:val="2827687A"/>
    <w:rsid w:val="28AD37B2"/>
    <w:rsid w:val="28DD0DC0"/>
    <w:rsid w:val="29027D1C"/>
    <w:rsid w:val="29524CAA"/>
    <w:rsid w:val="296A6396"/>
    <w:rsid w:val="298C2BD9"/>
    <w:rsid w:val="29A769E1"/>
    <w:rsid w:val="29B6036E"/>
    <w:rsid w:val="29BA6F14"/>
    <w:rsid w:val="2A032CDB"/>
    <w:rsid w:val="2AAC68DF"/>
    <w:rsid w:val="2AB75689"/>
    <w:rsid w:val="2AC7242D"/>
    <w:rsid w:val="2B2F7622"/>
    <w:rsid w:val="2B385A65"/>
    <w:rsid w:val="2BC947B7"/>
    <w:rsid w:val="2C19457E"/>
    <w:rsid w:val="2C1F4CDE"/>
    <w:rsid w:val="2CA844CC"/>
    <w:rsid w:val="2D384F94"/>
    <w:rsid w:val="2D61014F"/>
    <w:rsid w:val="2DF2195B"/>
    <w:rsid w:val="2DFF27AF"/>
    <w:rsid w:val="2E3F1005"/>
    <w:rsid w:val="2E956C7E"/>
    <w:rsid w:val="2EE04B4B"/>
    <w:rsid w:val="2F297B0D"/>
    <w:rsid w:val="2F604A5B"/>
    <w:rsid w:val="2FBA2AE1"/>
    <w:rsid w:val="2FCC5365"/>
    <w:rsid w:val="2FE207C4"/>
    <w:rsid w:val="302A3610"/>
    <w:rsid w:val="30360848"/>
    <w:rsid w:val="306971C1"/>
    <w:rsid w:val="31505E8D"/>
    <w:rsid w:val="317061F9"/>
    <w:rsid w:val="31A10741"/>
    <w:rsid w:val="32DA2C4E"/>
    <w:rsid w:val="33186790"/>
    <w:rsid w:val="33E4308B"/>
    <w:rsid w:val="34362BC5"/>
    <w:rsid w:val="34B65AB4"/>
    <w:rsid w:val="352769B2"/>
    <w:rsid w:val="35AA612C"/>
    <w:rsid w:val="35C63761"/>
    <w:rsid w:val="35F44CB1"/>
    <w:rsid w:val="35FA4C0F"/>
    <w:rsid w:val="360751AF"/>
    <w:rsid w:val="36226F77"/>
    <w:rsid w:val="365E3FC7"/>
    <w:rsid w:val="366C574B"/>
    <w:rsid w:val="36853990"/>
    <w:rsid w:val="36B315CD"/>
    <w:rsid w:val="36E656B5"/>
    <w:rsid w:val="371C0798"/>
    <w:rsid w:val="376A3412"/>
    <w:rsid w:val="379E2C8B"/>
    <w:rsid w:val="38A05FC8"/>
    <w:rsid w:val="38E40DE3"/>
    <w:rsid w:val="38F923EE"/>
    <w:rsid w:val="391B64AE"/>
    <w:rsid w:val="391E05E1"/>
    <w:rsid w:val="391E5E73"/>
    <w:rsid w:val="3932583D"/>
    <w:rsid w:val="398D21B6"/>
    <w:rsid w:val="39964373"/>
    <w:rsid w:val="3A190FBF"/>
    <w:rsid w:val="3ACA22B9"/>
    <w:rsid w:val="3B7364AD"/>
    <w:rsid w:val="3B8E4274"/>
    <w:rsid w:val="3BF2488F"/>
    <w:rsid w:val="3C0A47E2"/>
    <w:rsid w:val="3C3A346E"/>
    <w:rsid w:val="3C513A86"/>
    <w:rsid w:val="3C6D6E28"/>
    <w:rsid w:val="3C976F69"/>
    <w:rsid w:val="3DA64264"/>
    <w:rsid w:val="3E366EC1"/>
    <w:rsid w:val="3E4C3FFA"/>
    <w:rsid w:val="3E683393"/>
    <w:rsid w:val="3EBD3802"/>
    <w:rsid w:val="3ED92D3E"/>
    <w:rsid w:val="3EDF3CDD"/>
    <w:rsid w:val="3EF51422"/>
    <w:rsid w:val="3F0F2AD9"/>
    <w:rsid w:val="3F131F15"/>
    <w:rsid w:val="3F1E7077"/>
    <w:rsid w:val="3F214472"/>
    <w:rsid w:val="3F3B3785"/>
    <w:rsid w:val="3FDF4CAD"/>
    <w:rsid w:val="40AD06B3"/>
    <w:rsid w:val="40B52556"/>
    <w:rsid w:val="40C1653F"/>
    <w:rsid w:val="40C21B30"/>
    <w:rsid w:val="40C36392"/>
    <w:rsid w:val="414508EB"/>
    <w:rsid w:val="41647224"/>
    <w:rsid w:val="41814051"/>
    <w:rsid w:val="41AB4B6D"/>
    <w:rsid w:val="41D807F3"/>
    <w:rsid w:val="424E5295"/>
    <w:rsid w:val="42733BF6"/>
    <w:rsid w:val="42DD57D6"/>
    <w:rsid w:val="42E865A9"/>
    <w:rsid w:val="42FE695D"/>
    <w:rsid w:val="433F009B"/>
    <w:rsid w:val="43455072"/>
    <w:rsid w:val="434E0DAB"/>
    <w:rsid w:val="43541C78"/>
    <w:rsid w:val="43A656B7"/>
    <w:rsid w:val="43C35D74"/>
    <w:rsid w:val="44001434"/>
    <w:rsid w:val="44CA37BE"/>
    <w:rsid w:val="45516687"/>
    <w:rsid w:val="45F64587"/>
    <w:rsid w:val="464A534D"/>
    <w:rsid w:val="46E9309D"/>
    <w:rsid w:val="47A81166"/>
    <w:rsid w:val="47CA0117"/>
    <w:rsid w:val="47D85797"/>
    <w:rsid w:val="486D180C"/>
    <w:rsid w:val="48961F89"/>
    <w:rsid w:val="48BE1216"/>
    <w:rsid w:val="491C56F8"/>
    <w:rsid w:val="49234BEC"/>
    <w:rsid w:val="49491748"/>
    <w:rsid w:val="497A3F01"/>
    <w:rsid w:val="498542F6"/>
    <w:rsid w:val="4A2E578E"/>
    <w:rsid w:val="4A4C0CA0"/>
    <w:rsid w:val="4AAA05F0"/>
    <w:rsid w:val="4AFC7BF7"/>
    <w:rsid w:val="4B441A17"/>
    <w:rsid w:val="4B7206E4"/>
    <w:rsid w:val="4B8F3198"/>
    <w:rsid w:val="4BDD3336"/>
    <w:rsid w:val="4C426C54"/>
    <w:rsid w:val="4CC1705B"/>
    <w:rsid w:val="4D3136CA"/>
    <w:rsid w:val="4D330192"/>
    <w:rsid w:val="4D3C1263"/>
    <w:rsid w:val="4D5E7A32"/>
    <w:rsid w:val="4D627DFA"/>
    <w:rsid w:val="4D8153BF"/>
    <w:rsid w:val="4D8A4D28"/>
    <w:rsid w:val="4D8E0094"/>
    <w:rsid w:val="4DDB4FA8"/>
    <w:rsid w:val="4DE5533C"/>
    <w:rsid w:val="4DF75353"/>
    <w:rsid w:val="4E1414AF"/>
    <w:rsid w:val="4E266ACE"/>
    <w:rsid w:val="4E5E019D"/>
    <w:rsid w:val="4E747C76"/>
    <w:rsid w:val="4E91022B"/>
    <w:rsid w:val="4EF3162A"/>
    <w:rsid w:val="4F235554"/>
    <w:rsid w:val="4FAA05B3"/>
    <w:rsid w:val="4FB7118C"/>
    <w:rsid w:val="4FC81BF6"/>
    <w:rsid w:val="4FF761B4"/>
    <w:rsid w:val="50055777"/>
    <w:rsid w:val="505841B1"/>
    <w:rsid w:val="508911CB"/>
    <w:rsid w:val="50926F7D"/>
    <w:rsid w:val="50F73B65"/>
    <w:rsid w:val="513227F0"/>
    <w:rsid w:val="5156435F"/>
    <w:rsid w:val="5189533D"/>
    <w:rsid w:val="51FE3BD7"/>
    <w:rsid w:val="520366E0"/>
    <w:rsid w:val="520A23C1"/>
    <w:rsid w:val="521F5647"/>
    <w:rsid w:val="5231207B"/>
    <w:rsid w:val="52572919"/>
    <w:rsid w:val="5294038D"/>
    <w:rsid w:val="52E361B6"/>
    <w:rsid w:val="532C5FC2"/>
    <w:rsid w:val="53597850"/>
    <w:rsid w:val="53CC1890"/>
    <w:rsid w:val="54B85C1D"/>
    <w:rsid w:val="54BA4CF5"/>
    <w:rsid w:val="54E21498"/>
    <w:rsid w:val="54ED024A"/>
    <w:rsid w:val="55545420"/>
    <w:rsid w:val="55840764"/>
    <w:rsid w:val="565261A5"/>
    <w:rsid w:val="57BA0F2F"/>
    <w:rsid w:val="584E18D2"/>
    <w:rsid w:val="589958B4"/>
    <w:rsid w:val="58D84726"/>
    <w:rsid w:val="5938297B"/>
    <w:rsid w:val="596077FA"/>
    <w:rsid w:val="599D70BF"/>
    <w:rsid w:val="59A1080B"/>
    <w:rsid w:val="59CE213F"/>
    <w:rsid w:val="5A5836E3"/>
    <w:rsid w:val="5A59036A"/>
    <w:rsid w:val="5AF33DE4"/>
    <w:rsid w:val="5B5D2E7D"/>
    <w:rsid w:val="5BF50220"/>
    <w:rsid w:val="5CEF4389"/>
    <w:rsid w:val="5D19408F"/>
    <w:rsid w:val="5D2B4042"/>
    <w:rsid w:val="5E55480F"/>
    <w:rsid w:val="5EAD1EB4"/>
    <w:rsid w:val="5EEE216B"/>
    <w:rsid w:val="5F1E3C06"/>
    <w:rsid w:val="5F242D7A"/>
    <w:rsid w:val="5F291320"/>
    <w:rsid w:val="5F292F68"/>
    <w:rsid w:val="5F850E49"/>
    <w:rsid w:val="5FD04AAD"/>
    <w:rsid w:val="5FD12AC5"/>
    <w:rsid w:val="600B59F5"/>
    <w:rsid w:val="601654D5"/>
    <w:rsid w:val="602F5D3A"/>
    <w:rsid w:val="603911C4"/>
    <w:rsid w:val="60AC0F7A"/>
    <w:rsid w:val="6155520D"/>
    <w:rsid w:val="619D4A75"/>
    <w:rsid w:val="61DE0274"/>
    <w:rsid w:val="61F35244"/>
    <w:rsid w:val="628404CB"/>
    <w:rsid w:val="62D8486D"/>
    <w:rsid w:val="630E2CD3"/>
    <w:rsid w:val="633A597E"/>
    <w:rsid w:val="637366AE"/>
    <w:rsid w:val="637B39CD"/>
    <w:rsid w:val="63B035EB"/>
    <w:rsid w:val="63D61434"/>
    <w:rsid w:val="63FE4BFE"/>
    <w:rsid w:val="6410048D"/>
    <w:rsid w:val="64251946"/>
    <w:rsid w:val="642C76AE"/>
    <w:rsid w:val="64D140C0"/>
    <w:rsid w:val="64E00A12"/>
    <w:rsid w:val="6562763E"/>
    <w:rsid w:val="65832D56"/>
    <w:rsid w:val="65B71873"/>
    <w:rsid w:val="66067D9A"/>
    <w:rsid w:val="66687FFE"/>
    <w:rsid w:val="66BD2757"/>
    <w:rsid w:val="672B39E4"/>
    <w:rsid w:val="674004CA"/>
    <w:rsid w:val="675475DC"/>
    <w:rsid w:val="675D78DA"/>
    <w:rsid w:val="678A6392"/>
    <w:rsid w:val="684E6C7E"/>
    <w:rsid w:val="6859580C"/>
    <w:rsid w:val="68595D1F"/>
    <w:rsid w:val="690E546B"/>
    <w:rsid w:val="69274C15"/>
    <w:rsid w:val="69527DB7"/>
    <w:rsid w:val="69771F51"/>
    <w:rsid w:val="69F949F7"/>
    <w:rsid w:val="6A136F29"/>
    <w:rsid w:val="6A2B72A7"/>
    <w:rsid w:val="6A8E435D"/>
    <w:rsid w:val="6A9D1CFD"/>
    <w:rsid w:val="6AA62C9C"/>
    <w:rsid w:val="6B1936D6"/>
    <w:rsid w:val="6B300FB9"/>
    <w:rsid w:val="6B6825BB"/>
    <w:rsid w:val="6B6B5AAD"/>
    <w:rsid w:val="6B7D5228"/>
    <w:rsid w:val="6B892397"/>
    <w:rsid w:val="6BFA5D9B"/>
    <w:rsid w:val="6C276B06"/>
    <w:rsid w:val="6C4808BE"/>
    <w:rsid w:val="6C7E4D88"/>
    <w:rsid w:val="6CB9396A"/>
    <w:rsid w:val="6E364F96"/>
    <w:rsid w:val="6E8B5ABF"/>
    <w:rsid w:val="6EB04CAB"/>
    <w:rsid w:val="6EBA782A"/>
    <w:rsid w:val="6EC71A35"/>
    <w:rsid w:val="6EEB2223"/>
    <w:rsid w:val="6F16342F"/>
    <w:rsid w:val="6F1761AB"/>
    <w:rsid w:val="6FD20CED"/>
    <w:rsid w:val="70840045"/>
    <w:rsid w:val="70890753"/>
    <w:rsid w:val="71204BF1"/>
    <w:rsid w:val="713B4D68"/>
    <w:rsid w:val="714E16E1"/>
    <w:rsid w:val="71773B7C"/>
    <w:rsid w:val="719E2FA2"/>
    <w:rsid w:val="72075D23"/>
    <w:rsid w:val="72396EDD"/>
    <w:rsid w:val="72590EAE"/>
    <w:rsid w:val="726063F0"/>
    <w:rsid w:val="72FD4B07"/>
    <w:rsid w:val="73133F3E"/>
    <w:rsid w:val="74242C96"/>
    <w:rsid w:val="742F4BD7"/>
    <w:rsid w:val="742F7C77"/>
    <w:rsid w:val="74381E67"/>
    <w:rsid w:val="743F519E"/>
    <w:rsid w:val="74526B34"/>
    <w:rsid w:val="74837F46"/>
    <w:rsid w:val="74C26693"/>
    <w:rsid w:val="74FA2B4A"/>
    <w:rsid w:val="752E16B6"/>
    <w:rsid w:val="753E2CCF"/>
    <w:rsid w:val="755128BA"/>
    <w:rsid w:val="75597E96"/>
    <w:rsid w:val="75691D09"/>
    <w:rsid w:val="757E664F"/>
    <w:rsid w:val="75C061A8"/>
    <w:rsid w:val="75C90F3B"/>
    <w:rsid w:val="764F51C4"/>
    <w:rsid w:val="7656792B"/>
    <w:rsid w:val="769B4676"/>
    <w:rsid w:val="76BF21B8"/>
    <w:rsid w:val="76CC3DC7"/>
    <w:rsid w:val="7709593C"/>
    <w:rsid w:val="772C41D1"/>
    <w:rsid w:val="77C72403"/>
    <w:rsid w:val="77E0068F"/>
    <w:rsid w:val="77E01C3B"/>
    <w:rsid w:val="78592C86"/>
    <w:rsid w:val="787D1BCA"/>
    <w:rsid w:val="78FE09EE"/>
    <w:rsid w:val="790077DD"/>
    <w:rsid w:val="79041518"/>
    <w:rsid w:val="791526DA"/>
    <w:rsid w:val="79394D24"/>
    <w:rsid w:val="795C05E7"/>
    <w:rsid w:val="79FA5A10"/>
    <w:rsid w:val="7A717CA2"/>
    <w:rsid w:val="7A9E4394"/>
    <w:rsid w:val="7ACD3F4B"/>
    <w:rsid w:val="7AF02C54"/>
    <w:rsid w:val="7B3C6AE9"/>
    <w:rsid w:val="7B681FE9"/>
    <w:rsid w:val="7BE03F1E"/>
    <w:rsid w:val="7BF623E4"/>
    <w:rsid w:val="7C664AC6"/>
    <w:rsid w:val="7CF76B30"/>
    <w:rsid w:val="7D4A21DC"/>
    <w:rsid w:val="7D56134E"/>
    <w:rsid w:val="7D6531A0"/>
    <w:rsid w:val="7D92659B"/>
    <w:rsid w:val="7D993270"/>
    <w:rsid w:val="7DBF0B02"/>
    <w:rsid w:val="7DD76462"/>
    <w:rsid w:val="7DDA60A9"/>
    <w:rsid w:val="7E0742CC"/>
    <w:rsid w:val="7E514691"/>
    <w:rsid w:val="7E7B428D"/>
    <w:rsid w:val="7F0A050B"/>
    <w:rsid w:val="7F127358"/>
    <w:rsid w:val="7F364CFB"/>
    <w:rsid w:val="7F5021D0"/>
    <w:rsid w:val="7F906A84"/>
    <w:rsid w:val="7FCA28CE"/>
    <w:rsid w:val="7FED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2">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866" w:hanging="490"/>
      <w:outlineLvl w:val="2"/>
    </w:pPr>
    <w:rPr>
      <w:sz w:val="28"/>
      <w:szCs w:val="28"/>
    </w:rPr>
  </w:style>
  <w:style w:type="paragraph" w:styleId="5">
    <w:name w:val="heading 4"/>
    <w:basedOn w:val="1"/>
    <w:next w:val="1"/>
    <w:qFormat/>
    <w:uiPriority w:val="1"/>
    <w:pPr>
      <w:ind w:left="240" w:firstLine="479"/>
      <w:outlineLvl w:val="3"/>
    </w:pPr>
    <w:rPr>
      <w:sz w:val="24"/>
      <w:szCs w:val="24"/>
    </w:rPr>
  </w:style>
  <w:style w:type="paragraph" w:styleId="6">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annotation text"/>
    <w:basedOn w:val="1"/>
    <w:link w:val="35"/>
    <w:qFormat/>
    <w:uiPriority w:val="0"/>
  </w:style>
  <w:style w:type="paragraph" w:styleId="9">
    <w:name w:val="Body Text 3"/>
    <w:basedOn w:val="1"/>
    <w:qFormat/>
    <w:uiPriority w:val="0"/>
    <w:pPr>
      <w:spacing w:after="120"/>
    </w:pPr>
    <w:rPr>
      <w:sz w:val="16"/>
      <w:szCs w:val="16"/>
    </w:rPr>
  </w:style>
  <w:style w:type="paragraph" w:styleId="10">
    <w:name w:val="Body Text"/>
    <w:basedOn w:val="1"/>
    <w:next w:val="1"/>
    <w:qFormat/>
    <w:uiPriority w:val="1"/>
    <w:rPr>
      <w:sz w:val="21"/>
      <w:szCs w:val="21"/>
    </w:rPr>
  </w:style>
  <w:style w:type="paragraph" w:styleId="11">
    <w:name w:val="toc 3"/>
    <w:basedOn w:val="1"/>
    <w:next w:val="1"/>
    <w:qFormat/>
    <w:uiPriority w:val="1"/>
    <w:pPr>
      <w:spacing w:before="2"/>
      <w:ind w:left="1450" w:hanging="370"/>
    </w:pPr>
    <w:rPr>
      <w:sz w:val="21"/>
      <w:szCs w:val="21"/>
    </w:rPr>
  </w:style>
  <w:style w:type="paragraph" w:styleId="12">
    <w:name w:val="Plain Text"/>
    <w:basedOn w:val="1"/>
    <w:qFormat/>
    <w:uiPriority w:val="99"/>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2"/>
      <w:ind w:right="703"/>
      <w:jc w:val="right"/>
    </w:pPr>
    <w:rPr>
      <w:sz w:val="21"/>
      <w:szCs w:val="21"/>
    </w:rPr>
  </w:style>
  <w:style w:type="paragraph" w:styleId="17">
    <w:name w:val="toc 2"/>
    <w:basedOn w:val="1"/>
    <w:next w:val="1"/>
    <w:qFormat/>
    <w:uiPriority w:val="1"/>
    <w:pPr>
      <w:spacing w:before="2"/>
      <w:ind w:left="660"/>
    </w:pPr>
    <w:rPr>
      <w:sz w:val="21"/>
      <w:szCs w:val="21"/>
    </w:rPr>
  </w:style>
  <w:style w:type="paragraph" w:styleId="18">
    <w:name w:val="annotation subject"/>
    <w:basedOn w:val="8"/>
    <w:next w:val="8"/>
    <w:link w:val="36"/>
    <w:qFormat/>
    <w:uiPriority w:val="0"/>
    <w:rPr>
      <w:b/>
      <w:bCs/>
    </w:rPr>
  </w:style>
  <w:style w:type="paragraph" w:styleId="19">
    <w:name w:val="Body Text First Indent"/>
    <w:basedOn w:val="10"/>
    <w:qFormat/>
    <w:uiPriority w:val="0"/>
    <w:pPr>
      <w:spacing w:line="312" w:lineRule="auto"/>
      <w:ind w:firstLine="420"/>
    </w:pPr>
    <w:rPr>
      <w:szCs w:val="24"/>
      <w:lang w:val="en-US"/>
    </w:rPr>
  </w:style>
  <w:style w:type="character" w:styleId="22">
    <w:name w:val="page number"/>
    <w:qFormat/>
    <w:uiPriority w:val="0"/>
  </w:style>
  <w:style w:type="character" w:styleId="23">
    <w:name w:val="annotation reference"/>
    <w:basedOn w:val="21"/>
    <w:qFormat/>
    <w:uiPriority w:val="0"/>
    <w:rPr>
      <w:sz w:val="21"/>
      <w:szCs w:val="21"/>
    </w:rPr>
  </w:style>
  <w:style w:type="paragraph" w:customStyle="1" w:styleId="24">
    <w:name w:val="首行缩进"/>
    <w:basedOn w:val="1"/>
    <w:qFormat/>
    <w:uiPriority w:val="0"/>
    <w:pPr>
      <w:spacing w:line="300" w:lineRule="auto"/>
      <w:ind w:firstLine="420" w:firstLineChars="200"/>
    </w:pPr>
    <w:rPr>
      <w:rFonts w:eastAsia="方正书宋简体"/>
      <w:szCs w:val="20"/>
    </w:rPr>
  </w:style>
  <w:style w:type="paragraph" w:customStyle="1" w:styleId="25">
    <w:name w:val="表格文字"/>
    <w:basedOn w:val="1"/>
    <w:qFormat/>
    <w:uiPriority w:val="0"/>
    <w:pPr>
      <w:adjustRightInd w:val="0"/>
      <w:spacing w:line="420" w:lineRule="atLeast"/>
      <w:textAlignment w:val="baseline"/>
    </w:pPr>
    <w:rPr>
      <w:szCs w:val="20"/>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40" w:firstLine="419"/>
    </w:pPr>
  </w:style>
  <w:style w:type="paragraph" w:customStyle="1" w:styleId="29">
    <w:name w:val="Table Paragraph"/>
    <w:basedOn w:val="1"/>
    <w:qFormat/>
    <w:uiPriority w:val="1"/>
  </w:style>
  <w:style w:type="character" w:customStyle="1" w:styleId="30">
    <w:name w:val="font31"/>
    <w:basedOn w:val="21"/>
    <w:qFormat/>
    <w:uiPriority w:val="0"/>
    <w:rPr>
      <w:rFonts w:hint="eastAsia" w:ascii="仿宋" w:hAnsi="仿宋" w:eastAsia="仿宋" w:cs="仿宋"/>
      <w:color w:val="000000"/>
      <w:sz w:val="28"/>
      <w:szCs w:val="28"/>
      <w:u w:val="none"/>
    </w:rPr>
  </w:style>
  <w:style w:type="character" w:customStyle="1" w:styleId="31">
    <w:name w:val="font41"/>
    <w:basedOn w:val="21"/>
    <w:qFormat/>
    <w:uiPriority w:val="0"/>
    <w:rPr>
      <w:rFonts w:hint="eastAsia" w:ascii="仿宋" w:hAnsi="仿宋" w:eastAsia="仿宋" w:cs="仿宋"/>
      <w:b/>
      <w:bCs/>
      <w:color w:val="000000"/>
      <w:sz w:val="28"/>
      <w:szCs w:val="28"/>
      <w:u w:val="none"/>
    </w:rPr>
  </w:style>
  <w:style w:type="character" w:customStyle="1" w:styleId="32">
    <w:name w:val="批注框文本 字符"/>
    <w:basedOn w:val="21"/>
    <w:link w:val="13"/>
    <w:qFormat/>
    <w:uiPriority w:val="0"/>
    <w:rPr>
      <w:rFonts w:ascii="宋体" w:hAnsi="宋体" w:cs="宋体"/>
      <w:sz w:val="18"/>
      <w:szCs w:val="18"/>
      <w:lang w:val="zh-CN" w:bidi="zh-CN"/>
    </w:rPr>
  </w:style>
  <w:style w:type="paragraph" w:customStyle="1" w:styleId="33">
    <w:name w:val="正文文本 31"/>
    <w:basedOn w:val="1"/>
    <w:qFormat/>
    <w:uiPriority w:val="99"/>
    <w:rPr>
      <w:sz w:val="16"/>
      <w:szCs w:val="16"/>
    </w:rPr>
  </w:style>
  <w:style w:type="paragraph" w:customStyle="1" w:styleId="3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5">
    <w:name w:val="批注文字 字符"/>
    <w:basedOn w:val="21"/>
    <w:link w:val="8"/>
    <w:qFormat/>
    <w:uiPriority w:val="0"/>
    <w:rPr>
      <w:rFonts w:ascii="宋体" w:hAnsi="宋体" w:cs="宋体"/>
      <w:sz w:val="22"/>
      <w:szCs w:val="22"/>
      <w:lang w:val="zh-CN" w:bidi="zh-CN"/>
    </w:rPr>
  </w:style>
  <w:style w:type="character" w:customStyle="1" w:styleId="36">
    <w:name w:val="批注主题 字符"/>
    <w:basedOn w:val="35"/>
    <w:link w:val="18"/>
    <w:qFormat/>
    <w:uiPriority w:val="0"/>
    <w:rPr>
      <w:rFonts w:ascii="宋体" w:hAnsi="宋体" w:cs="宋体"/>
      <w:b/>
      <w:bCs/>
      <w:sz w:val="22"/>
      <w:szCs w:val="22"/>
      <w:lang w:val="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NormalCharacter"/>
    <w:semiHidden/>
    <w:qFormat/>
    <w:uiPriority w:val="0"/>
  </w:style>
  <w:style w:type="paragraph" w:customStyle="1" w:styleId="39">
    <w:name w:val="Char"/>
    <w:basedOn w:val="1"/>
    <w:qFormat/>
    <w:uiPriority w:val="0"/>
    <w:pPr>
      <w:autoSpaceDE/>
      <w:autoSpaceDN/>
      <w:ind w:left="567" w:hanging="279"/>
      <w:jc w:val="both"/>
    </w:pPr>
    <w:rPr>
      <w:rFonts w:ascii="Times New Roman" w:hAnsi="Times New Roman" w:cs="Times New Roman"/>
      <w:kern w:val="2"/>
      <w:sz w:val="24"/>
      <w:szCs w:val="24"/>
      <w:lang w:val="en-US" w:bidi="ar-SA"/>
    </w:rPr>
  </w:style>
  <w:style w:type="paragraph" w:customStyle="1" w:styleId="40">
    <w:name w:val="文二"/>
    <w:basedOn w:val="1"/>
    <w:qFormat/>
    <w:uiPriority w:val="0"/>
    <w:pPr>
      <w:jc w:val="left"/>
    </w:pPr>
    <w:rPr>
      <w:rFonts w:ascii="宋体" w:hAnsi="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26977</Words>
  <Characters>28369</Characters>
  <Lines>252</Lines>
  <Paragraphs>71</Paragraphs>
  <TotalTime>77</TotalTime>
  <ScaleCrop>false</ScaleCrop>
  <LinksUpToDate>false</LinksUpToDate>
  <CharactersWithSpaces>29822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77495</dc:creator>
  <cp:lastModifiedBy>ZhHM</cp:lastModifiedBy>
  <cp:lastPrinted>2023-06-21T07:33:00Z</cp:lastPrinted>
  <dcterms:modified xsi:type="dcterms:W3CDTF">2023-07-21T03:42:22Z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2052-11.1.0.14309</vt:lpwstr>
  </property>
  <property fmtid="{D5CDD505-2E9C-101B-9397-08002B2CF9AE}" pid="6" name="ICV">
    <vt:lpwstr>9DED4F1F4311469D886EAF445741DCD6_13</vt:lpwstr>
  </property>
</Properties>
</file>