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细黑" w:hAnsi="华文细黑" w:eastAsia="华文细黑"/>
          <w:b/>
          <w:color w:val="auto"/>
          <w:szCs w:val="21"/>
          <w:highlight w:val="none"/>
        </w:rPr>
      </w:pPr>
      <w:r>
        <w:rPr>
          <w:rFonts w:hint="eastAsia" w:ascii="华文细黑" w:hAnsi="华文细黑" w:eastAsia="华文细黑"/>
          <w:b/>
          <w:color w:val="auto"/>
          <w:szCs w:val="21"/>
          <w:highlight w:val="none"/>
        </w:rPr>
        <w:t>版本号：2015-1</w:t>
      </w:r>
    </w:p>
    <w:p>
      <w:pPr>
        <w:jc w:val="center"/>
        <w:rPr>
          <w:rFonts w:ascii="宋体" w:hAnsi="宋体"/>
          <w:b/>
          <w:color w:val="auto"/>
          <w:sz w:val="52"/>
          <w:szCs w:val="52"/>
          <w:highlight w:val="none"/>
        </w:rPr>
      </w:pPr>
    </w:p>
    <w:p>
      <w:pPr>
        <w:jc w:val="center"/>
        <w:rPr>
          <w:rFonts w:hint="eastAsia" w:ascii="宋体" w:hAnsi="宋体" w:cs="Times New Roman"/>
          <w:b/>
          <w:color w:val="auto"/>
          <w:sz w:val="52"/>
          <w:szCs w:val="52"/>
          <w:highlight w:val="none"/>
        </w:rPr>
      </w:pPr>
      <w:r>
        <w:rPr>
          <w:rFonts w:hint="eastAsia" w:ascii="宋体" w:hAnsi="宋体" w:cs="Times New Roman"/>
          <w:b/>
          <w:color w:val="auto"/>
          <w:sz w:val="52"/>
          <w:szCs w:val="52"/>
          <w:highlight w:val="none"/>
          <w:lang w:val="en-US" w:eastAsia="zh-CN"/>
        </w:rPr>
        <w:t>永宁街永惠路道路建设工程、永宁街永誉路（创盈路-创优路）道路建设工程勘察设计</w:t>
      </w:r>
      <w:r>
        <w:rPr>
          <w:rFonts w:hint="eastAsia" w:ascii="宋体" w:hAnsi="宋体" w:cs="Times New Roman"/>
          <w:b/>
          <w:color w:val="auto"/>
          <w:sz w:val="52"/>
          <w:szCs w:val="52"/>
          <w:highlight w:val="none"/>
        </w:rPr>
        <w:t>招标文件</w:t>
      </w:r>
    </w:p>
    <w:p>
      <w:pPr>
        <w:rPr>
          <w:rFonts w:ascii="宋体" w:hAnsi="宋体"/>
          <w:color w:val="auto"/>
          <w:highlight w:val="none"/>
        </w:rPr>
      </w:pPr>
    </w:p>
    <w:p>
      <w:pPr>
        <w:rPr>
          <w:rFonts w:ascii="宋体" w:hAnsi="宋体"/>
          <w:color w:val="auto"/>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pStyle w:val="30"/>
        <w:rPr>
          <w:rFonts w:ascii="宋体" w:hAnsi="宋体"/>
          <w:color w:val="auto"/>
          <w:sz w:val="24"/>
          <w:highlight w:val="none"/>
        </w:rPr>
      </w:pPr>
    </w:p>
    <w:p>
      <w:pPr>
        <w:pStyle w:val="30"/>
        <w:rPr>
          <w:rFonts w:ascii="宋体" w:hAnsi="宋体"/>
          <w:color w:val="auto"/>
          <w:sz w:val="24"/>
          <w:highlight w:val="none"/>
        </w:rPr>
      </w:pPr>
    </w:p>
    <w:p>
      <w:pPr>
        <w:pStyle w:val="30"/>
        <w:rPr>
          <w:rFonts w:ascii="宋体" w:hAnsi="宋体"/>
          <w:color w:val="auto"/>
          <w:sz w:val="24"/>
          <w:highlight w:val="none"/>
        </w:rPr>
      </w:pPr>
    </w:p>
    <w:p>
      <w:pPr>
        <w:pStyle w:val="30"/>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pStyle w:val="30"/>
        <w:rPr>
          <w:color w:val="auto"/>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sectPr>
          <w:headerReference r:id="rId3" w:type="default"/>
          <w:pgSz w:w="11906" w:h="16838"/>
          <w:pgMar w:top="1440" w:right="1440" w:bottom="1440" w:left="1440" w:header="851" w:footer="992" w:gutter="0"/>
          <w:cols w:space="425" w:num="1"/>
          <w:docGrid w:type="linesAndChars" w:linePitch="312" w:charSpace="0"/>
        </w:sectPr>
      </w:pPr>
      <w:r>
        <w:rPr>
          <w:rFonts w:hint="eastAsia" w:ascii="宋体" w:hAnsi="宋体"/>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招标人（章）：广州市增城区人民政府永宁街道办事处</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授权代表：</w:t>
      </w:r>
      <w:r>
        <w:rPr>
          <w:rFonts w:hint="eastAsia" w:ascii="宋体" w:hAnsi="宋体"/>
          <w:color w:val="auto"/>
          <w:sz w:val="24"/>
          <w:highlight w:val="none"/>
          <w:lang w:eastAsia="zh-CN"/>
        </w:rPr>
        <w:t>温工</w:t>
      </w:r>
      <w:r>
        <w:rPr>
          <w:rFonts w:hint="eastAsia" w:ascii="宋体" w:hAnsi="宋体"/>
          <w:color w:val="auto"/>
          <w:sz w:val="24"/>
          <w:highlight w:val="none"/>
          <w:lang w:val="en-US" w:eastAsia="zh-CN"/>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地址：广州市增城区</w:t>
      </w:r>
      <w:r>
        <w:rPr>
          <w:rFonts w:hint="eastAsia" w:ascii="宋体" w:hAnsi="宋体"/>
          <w:color w:val="auto"/>
          <w:sz w:val="24"/>
          <w:highlight w:val="none"/>
          <w:lang w:eastAsia="zh-CN"/>
        </w:rPr>
        <w:t>永宁街道荔香街</w:t>
      </w:r>
      <w:r>
        <w:rPr>
          <w:rFonts w:hint="eastAsia" w:ascii="宋体" w:hAnsi="宋体"/>
          <w:color w:val="auto"/>
          <w:sz w:val="24"/>
          <w:highlight w:val="none"/>
          <w:lang w:val="en-US" w:eastAsia="zh-CN"/>
        </w:rPr>
        <w:t>31号</w:t>
      </w:r>
    </w:p>
    <w:p>
      <w:pPr>
        <w:spacing w:line="360" w:lineRule="auto"/>
        <w:rPr>
          <w:rFonts w:ascii="宋体" w:hAnsi="宋体"/>
          <w:color w:val="auto"/>
          <w:sz w:val="24"/>
          <w:highlight w:val="none"/>
        </w:rPr>
      </w:pPr>
      <w:r>
        <w:rPr>
          <w:rFonts w:hint="eastAsia" w:ascii="宋体" w:hAnsi="宋体"/>
          <w:color w:val="auto"/>
          <w:sz w:val="24"/>
          <w:highlight w:val="none"/>
        </w:rPr>
        <w:t>邮政编码：</w:t>
      </w:r>
      <w:r>
        <w:rPr>
          <w:rFonts w:hint="eastAsia" w:ascii="宋体" w:hAnsi="宋体" w:cs="宋体"/>
          <w:color w:val="auto"/>
          <w:sz w:val="24"/>
          <w:highlight w:val="none"/>
        </w:rPr>
        <w:t>51</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00</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电话：</w:t>
      </w:r>
      <w:r>
        <w:rPr>
          <w:rFonts w:hint="eastAsia" w:ascii="宋体" w:hAnsi="宋体"/>
          <w:color w:val="auto"/>
          <w:sz w:val="24"/>
          <w:highlight w:val="none"/>
          <w:lang w:val="en-US" w:eastAsia="zh-CN"/>
        </w:rPr>
        <w:t xml:space="preserve">020-26223256 </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传真：</w:t>
      </w:r>
      <w:r>
        <w:rPr>
          <w:rFonts w:hint="eastAsia" w:ascii="宋体" w:hAnsi="宋体"/>
          <w:color w:val="auto"/>
          <w:sz w:val="24"/>
          <w:highlight w:val="none"/>
          <w:lang w:val="en-US" w:eastAsia="zh-CN"/>
        </w:rPr>
        <w:t xml:space="preserve"> </w:t>
      </w:r>
      <w:bookmarkStart w:id="3" w:name="_GoBack"/>
      <w:bookmarkEnd w:id="3"/>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hint="eastAsia" w:ascii="宋体" w:hAnsi="宋体"/>
          <w:color w:val="auto"/>
          <w:sz w:val="24"/>
          <w:highlight w:val="none"/>
          <w:u w:val="single"/>
        </w:rPr>
        <w:t>/</w:t>
      </w:r>
    </w:p>
    <w:p>
      <w:pPr>
        <w:spacing w:line="400" w:lineRule="exact"/>
        <w:rPr>
          <w:rFonts w:hint="eastAsia" w:ascii="宋体" w:hAnsi="宋体" w:eastAsia="宋体"/>
          <w:color w:val="auto"/>
          <w:sz w:val="24"/>
          <w:highlight w:val="none"/>
          <w:lang w:val="en-US" w:eastAsia="zh-CN"/>
        </w:rPr>
      </w:pPr>
      <w:r>
        <w:rPr>
          <w:rFonts w:hint="eastAsia" w:ascii="宋体" w:hAnsi="宋体"/>
          <w:color w:val="auto"/>
          <w:sz w:val="24"/>
          <w:highlight w:val="none"/>
        </w:rPr>
        <w:t>招标代理（章）：</w:t>
      </w:r>
      <w:r>
        <w:rPr>
          <w:rFonts w:hint="eastAsia" w:ascii="宋体" w:hAnsi="宋体"/>
          <w:color w:val="auto"/>
          <w:sz w:val="24"/>
          <w:highlight w:val="none"/>
          <w:lang w:eastAsia="zh-CN"/>
        </w:rPr>
        <w:t>广州建筑工程监理有限公司</w:t>
      </w:r>
      <w:r>
        <w:rPr>
          <w:rFonts w:hint="eastAsia" w:ascii="宋体" w:hAnsi="宋体"/>
          <w:color w:val="auto"/>
          <w:sz w:val="24"/>
          <w:highlight w:val="none"/>
          <w:lang w:val="en-US" w:eastAsia="zh-CN"/>
        </w:rPr>
        <w:t xml:space="preserve"> </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授权代表：</w:t>
      </w:r>
      <w:r>
        <w:rPr>
          <w:rFonts w:hint="eastAsia" w:ascii="宋体" w:hAnsi="宋体"/>
          <w:color w:val="auto"/>
          <w:sz w:val="24"/>
          <w:highlight w:val="none"/>
          <w:lang w:eastAsia="zh-CN"/>
        </w:rPr>
        <w:t>陆</w:t>
      </w:r>
      <w:r>
        <w:rPr>
          <w:rFonts w:hint="eastAsia" w:ascii="宋体" w:hAnsi="宋体"/>
          <w:color w:val="auto"/>
          <w:sz w:val="24"/>
          <w:highlight w:val="none"/>
        </w:rPr>
        <w:t>工</w:t>
      </w:r>
    </w:p>
    <w:p>
      <w:pPr>
        <w:spacing w:line="360" w:lineRule="auto"/>
        <w:ind w:left="720" w:hanging="720" w:hangingChars="300"/>
        <w:rPr>
          <w:rFonts w:hint="eastAsia" w:ascii="宋体" w:hAnsi="宋体" w:eastAsia="宋体"/>
          <w:color w:val="auto"/>
          <w:sz w:val="24"/>
          <w:highlight w:val="none"/>
          <w:lang w:val="en-US" w:eastAsia="zh-CN"/>
        </w:rPr>
      </w:pPr>
      <w:r>
        <w:rPr>
          <w:rFonts w:hint="eastAsia" w:ascii="宋体" w:hAnsi="宋体"/>
          <w:color w:val="auto"/>
          <w:sz w:val="24"/>
          <w:highlight w:val="none"/>
        </w:rPr>
        <w:t>地址：广州市越秀区</w:t>
      </w:r>
      <w:r>
        <w:rPr>
          <w:rFonts w:hint="eastAsia" w:ascii="宋体" w:hAnsi="宋体"/>
          <w:color w:val="auto"/>
          <w:sz w:val="24"/>
          <w:highlight w:val="none"/>
          <w:lang w:val="en-US" w:eastAsia="zh-CN"/>
        </w:rPr>
        <w:t xml:space="preserve">广卫路4号20楼 </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rPr>
        <w:t>邮政编码：5100</w:t>
      </w:r>
      <w:r>
        <w:rPr>
          <w:rFonts w:ascii="宋体" w:hAnsi="宋体"/>
          <w:color w:val="auto"/>
          <w:sz w:val="24"/>
          <w:highlight w:val="none"/>
        </w:rPr>
        <w:t>3</w:t>
      </w:r>
      <w:r>
        <w:rPr>
          <w:rFonts w:hint="eastAsia" w:ascii="宋体" w:hAnsi="宋体"/>
          <w:color w:val="auto"/>
          <w:sz w:val="24"/>
          <w:highlight w:val="none"/>
          <w:lang w:val="en-US" w:eastAsia="zh-CN"/>
        </w:rPr>
        <w:t xml:space="preserve">0 </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电话：</w:t>
      </w:r>
      <w:r>
        <w:rPr>
          <w:rFonts w:ascii="宋体" w:hAnsi="宋体"/>
          <w:color w:val="auto"/>
          <w:sz w:val="24"/>
          <w:highlight w:val="none"/>
        </w:rPr>
        <w:t>020-</w:t>
      </w:r>
      <w:r>
        <w:rPr>
          <w:rFonts w:hint="eastAsia" w:ascii="宋体" w:hAnsi="宋体"/>
          <w:color w:val="auto"/>
          <w:sz w:val="24"/>
          <w:highlight w:val="none"/>
          <w:lang w:val="en-US" w:eastAsia="zh-CN"/>
        </w:rPr>
        <w:t>82627566</w:t>
      </w:r>
    </w:p>
    <w:p>
      <w:pPr>
        <w:spacing w:line="360" w:lineRule="auto"/>
        <w:rPr>
          <w:rFonts w:ascii="宋体" w:hAnsi="宋体"/>
          <w:color w:val="auto"/>
          <w:sz w:val="24"/>
          <w:highlight w:val="none"/>
        </w:rPr>
      </w:pPr>
      <w:r>
        <w:rPr>
          <w:rFonts w:hint="eastAsia" w:ascii="宋体" w:hAnsi="宋体"/>
          <w:color w:val="auto"/>
          <w:sz w:val="24"/>
          <w:highlight w:val="none"/>
        </w:rPr>
        <w:t>传真：</w:t>
      </w:r>
      <w:r>
        <w:rPr>
          <w:rFonts w:hint="eastAsia" w:ascii="宋体" w:hAnsi="宋体"/>
          <w:color w:val="auto"/>
          <w:sz w:val="24"/>
          <w:highlight w:val="none"/>
          <w:u w:val="single"/>
        </w:rPr>
        <w:t>/</w:t>
      </w:r>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hint="eastAsia" w:ascii="宋体" w:hAnsi="宋体"/>
          <w:color w:val="auto"/>
          <w:sz w:val="24"/>
          <w:highlight w:val="none"/>
          <w:u w:val="single"/>
          <w:lang w:val="en-US" w:eastAsia="zh-CN"/>
        </w:rPr>
        <w:t>gjjlns@126.com</w:t>
      </w:r>
    </w:p>
    <w:p>
      <w:pPr>
        <w:rPr>
          <w:rFonts w:ascii="宋体" w:hAnsi="宋体"/>
          <w:color w:val="auto"/>
          <w:highlight w:val="none"/>
        </w:rPr>
        <w:sectPr>
          <w:type w:val="continuous"/>
          <w:pgSz w:w="11906" w:h="16838"/>
          <w:pgMar w:top="1440" w:right="1466" w:bottom="1440" w:left="1440" w:header="851" w:footer="992" w:gutter="0"/>
          <w:cols w:equalWidth="0" w:num="2">
            <w:col w:w="4287" w:space="425"/>
            <w:col w:w="4287"/>
          </w:cols>
          <w:docGrid w:type="linesAndChars" w:linePitch="312" w:charSpace="0"/>
        </w:sectPr>
      </w:pPr>
    </w:p>
    <w:p>
      <w:pPr>
        <w:rPr>
          <w:rFonts w:ascii="宋体" w:hAnsi="宋体"/>
          <w:color w:val="auto"/>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招标文件修改申报表</w:t>
      </w:r>
    </w:p>
    <w:p>
      <w:pPr>
        <w:spacing w:line="360" w:lineRule="auto"/>
        <w:ind w:firstLine="485"/>
        <w:rPr>
          <w:rFonts w:hint="eastAsia" w:ascii="宋体" w:hAnsi="宋体"/>
          <w:color w:val="auto"/>
          <w:sz w:val="24"/>
          <w:highlight w:val="none"/>
        </w:rPr>
      </w:pPr>
      <w:r>
        <w:rPr>
          <w:rFonts w:hint="eastAsia" w:ascii="宋体" w:hAnsi="宋体"/>
          <w:color w:val="auto"/>
          <w:sz w:val="24"/>
          <w:highlight w:val="none"/>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广州市建设工程招标管理办公室网站（网址：</w:t>
      </w:r>
      <w:r>
        <w:rPr>
          <w:rStyle w:val="28"/>
          <w:rFonts w:ascii="宋体" w:hAnsi="宋体"/>
          <w:color w:val="auto"/>
          <w:sz w:val="24"/>
          <w:highlight w:val="none"/>
        </w:rPr>
        <w:t>http://www.gzzbb.gz.cn</w:t>
      </w:r>
      <w:r>
        <w:rPr>
          <w:rStyle w:val="28"/>
          <w:rFonts w:hint="eastAsia" w:ascii="宋体" w:hAnsi="宋体"/>
          <w:color w:val="auto"/>
          <w:sz w:val="24"/>
          <w:highlight w:val="none"/>
        </w:rPr>
        <w:t>）下载查阅。</w:t>
      </w:r>
    </w:p>
    <w:tbl>
      <w:tblPr>
        <w:tblStyle w:val="24"/>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34"/>
        <w:gridCol w:w="2583"/>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57"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434"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章节、条目</w:t>
            </w:r>
          </w:p>
        </w:tc>
        <w:tc>
          <w:tcPr>
            <w:tcW w:w="2583"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范本原文</w:t>
            </w:r>
          </w:p>
        </w:tc>
        <w:tc>
          <w:tcPr>
            <w:tcW w:w="4742" w:type="dxa"/>
            <w:vAlign w:val="center"/>
          </w:tcPr>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asciiTheme="minorEastAsia" w:hAnsiTheme="minorEastAsia" w:eastAsiaTheme="minorEastAsia" w:cstheme="minorEastAsia"/>
                <w:color w:val="auto"/>
                <w:szCs w:val="21"/>
                <w:highlight w:val="none"/>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招标公告</w:t>
            </w:r>
          </w:p>
        </w:tc>
        <w:tc>
          <w:tcPr>
            <w:tcW w:w="4742" w:type="dxa"/>
            <w:vAlign w:val="center"/>
          </w:tcPr>
          <w:p>
            <w:pPr>
              <w:tabs>
                <w:tab w:val="left" w:pos="0"/>
              </w:tabs>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asciiTheme="minorEastAsia" w:hAnsiTheme="minorEastAsia" w:eastAsiaTheme="minorEastAsia" w:cstheme="minorEastAsia"/>
                <w:color w:val="auto"/>
                <w:szCs w:val="21"/>
                <w:highlight w:val="none"/>
              </w:rPr>
              <w:t>.2.1</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招标文件在招标管理机构备案。</w:t>
            </w:r>
          </w:p>
        </w:tc>
        <w:tc>
          <w:tcPr>
            <w:tcW w:w="4742" w:type="dxa"/>
            <w:vAlign w:val="center"/>
          </w:tcPr>
          <w:p>
            <w:pPr>
              <w:tabs>
                <w:tab w:val="left" w:pos="0"/>
              </w:tabs>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招标人安排投标人代表对工程现场进行考察，目的是使每个投标人查看现场并获得编制投标文件所需要的一切资料。</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投标人自行对工程现场进行考察，在考察前需提前通知招标人，招标人不另行组织投标人进行现场考察。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2.3.2~2.3.5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2.3.2  每个投标人参加现场考察的人数不宜超过3人，外国投标人代表应自带中文翻译。</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2.3.3  现场考察期间招标人将召开一次会议，接受投标人代表的提问。</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2.3.4 现场考察集合时间：。</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2.3.5 现场考察集合地点：。</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4742" w:type="dxa"/>
            <w:vAlign w:val="center"/>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Theme="minorEastAsia" w:hAnsiTheme="minorEastAsia" w:eastAsiaTheme="minorEastAsia" w:cstheme="minorEastAsia"/>
                <w:b w:val="0"/>
                <w:bCs w:val="0"/>
                <w:color w:val="auto"/>
                <w:szCs w:val="21"/>
                <w:highlight w:val="none"/>
                <w:u w:val="single"/>
              </w:rPr>
            </w:pPr>
            <w:r>
              <w:rPr>
                <w:rFonts w:hint="eastAsia" w:asciiTheme="minorEastAsia" w:hAnsiTheme="minorEastAsia" w:eastAsiaTheme="minorEastAsia" w:cstheme="minorEastAsia"/>
                <w:color w:val="auto"/>
                <w:szCs w:val="21"/>
                <w:highlight w:val="none"/>
                <w:u w:val="single"/>
              </w:rPr>
              <w:t>潜在</w:t>
            </w:r>
            <w:r>
              <w:rPr>
                <w:rFonts w:hint="eastAsia" w:asciiTheme="minorEastAsia" w:hAnsiTheme="minorEastAsia" w:eastAsiaTheme="minorEastAsia" w:cstheme="minorEastAsia"/>
                <w:b w:val="0"/>
                <w:bCs w:val="0"/>
                <w:color w:val="auto"/>
                <w:szCs w:val="21"/>
                <w:highlight w:val="none"/>
                <w:u w:val="single"/>
              </w:rPr>
              <w:t>投标人或者其他利害关系人对招标文件有异议的，应当在投标截止时间18日前提出。招标人应当自收到异议之日起3日内作出答复；作出答复前，应当暂停招标投标活动。</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Theme="minorEastAsia" w:hAnsiTheme="minorEastAsia" w:eastAsiaTheme="minorEastAsia" w:cstheme="minorEastAsia"/>
                <w:b w:val="0"/>
                <w:bCs w:val="0"/>
                <w:color w:val="auto"/>
                <w:szCs w:val="21"/>
                <w:highlight w:val="none"/>
                <w:u w:val="single"/>
                <w:lang w:val="en-US" w:eastAsia="zh-CN"/>
              </w:rPr>
            </w:pPr>
            <w:r>
              <w:rPr>
                <w:rFonts w:hint="eastAsia" w:asciiTheme="minorEastAsia" w:hAnsiTheme="minorEastAsia" w:eastAsiaTheme="minorEastAsia" w:cstheme="minorEastAsia"/>
                <w:b w:val="0"/>
                <w:bCs w:val="0"/>
                <w:color w:val="auto"/>
                <w:szCs w:val="21"/>
                <w:highlight w:val="none"/>
                <w:u w:val="single"/>
                <w:lang w:val="en-US" w:eastAsia="zh-CN"/>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Theme="minorEastAsia" w:hAnsiTheme="minorEastAsia" w:eastAsiaTheme="minorEastAsia" w:cstheme="minorEastAsia"/>
                <w:b w:val="0"/>
                <w:bCs w:val="0"/>
                <w:color w:val="auto"/>
                <w:szCs w:val="21"/>
                <w:highlight w:val="none"/>
                <w:u w:val="single"/>
                <w:lang w:val="en-US" w:eastAsia="zh-CN"/>
              </w:rPr>
            </w:pPr>
            <w:r>
              <w:rPr>
                <w:rFonts w:hint="eastAsia" w:asciiTheme="minorEastAsia" w:hAnsiTheme="minorEastAsia" w:eastAsiaTheme="minorEastAsia" w:cstheme="minorEastAsia"/>
                <w:b w:val="0"/>
                <w:bCs w:val="0"/>
                <w:color w:val="auto"/>
                <w:szCs w:val="21"/>
                <w:highlight w:val="none"/>
                <w:u w:val="single"/>
                <w:lang w:val="en-US" w:eastAsia="zh-CN"/>
              </w:rPr>
              <w:t xml:space="preserve"> 1.具体操作详见“广州交易集团有限公司（广州公共资源交易中心）门户网站首页-&gt;服务指南-&gt;系统帮助-&gt;操作手册-&gt;发起及受理异议操作指引”。</w:t>
            </w:r>
          </w:p>
          <w:p>
            <w:pPr>
              <w:widowControl/>
              <w:snapToGrid w:val="0"/>
              <w:spacing w:line="312"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color w:val="auto"/>
                <w:szCs w:val="21"/>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color w:val="auto"/>
                <w:highlight w:val="none"/>
              </w:rPr>
              <w:fldChar w:fldCharType="begin"/>
            </w:r>
            <w:r>
              <w:rPr>
                <w:color w:val="auto"/>
                <w:highlight w:val="none"/>
              </w:rPr>
              <w:instrText xml:space="preserve"> HYPERLINK "http://www.gzzb.gd.cn/t05wz/t0206zbdy/util/index_dyyz.jsp" </w:instrText>
            </w:r>
            <w:r>
              <w:rPr>
                <w:color w:val="auto"/>
                <w:highlight w:val="none"/>
              </w:rPr>
              <w:fldChar w:fldCharType="separate"/>
            </w:r>
            <w:r>
              <w:rPr>
                <w:rFonts w:hint="eastAsia" w:asciiTheme="minorEastAsia" w:hAnsiTheme="minorEastAsia" w:eastAsiaTheme="minorEastAsia" w:cstheme="minorEastAsia"/>
                <w:color w:val="auto"/>
                <w:szCs w:val="21"/>
                <w:highlight w:val="none"/>
              </w:rPr>
              <w:t>招标答疑</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”中公开登载（或以书面形式通知所有招标文件收受人）。补充材料是招标文件的组成部分，对投标人起约束作用。补充材料如与原招标文件不符，以最新的修改为准。</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2.4.4</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2.4.4投标人收到书面补充材料后，应该在首页上签名盖章，并立即传真给招标人或者代理机构，说明收到有关资料。</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澄清及补充材料一旦发出，视为各投标人已收到，请各投标人及时自行查询。投标人应及时在广州公共资源交易中心项目答疑纪要专区中查询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新增</w:t>
            </w:r>
          </w:p>
        </w:tc>
        <w:tc>
          <w:tcPr>
            <w:tcW w:w="4742" w:type="dxa"/>
            <w:vAlign w:val="center"/>
          </w:tcPr>
          <w:p>
            <w:pPr>
              <w:ind w:left="0" w:leftChars="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网上答疑的操作指南为：投标人登录交易中心数字交易平台，进入“我是投标人（供应商）”-&gt;“我的投标”-&gt;“招标答疑提问”查询项目并提问。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2.6</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b/>
                <w:color w:val="auto"/>
                <w:szCs w:val="21"/>
                <w:highlight w:val="none"/>
              </w:rPr>
              <w:t>投标时间和地点</w:t>
            </w:r>
          </w:p>
        </w:tc>
        <w:tc>
          <w:tcPr>
            <w:tcW w:w="4742" w:type="dxa"/>
            <w:vAlign w:val="center"/>
          </w:tcPr>
          <w:p>
            <w:pPr>
              <w:ind w:left="210" w:leftChars="0" w:hanging="210" w:hangingChars="100"/>
              <w:jc w:val="left"/>
              <w:rPr>
                <w:rFonts w:hint="eastAsia" w:asciiTheme="minorEastAsia" w:hAnsiTheme="minorEastAsia" w:eastAsiaTheme="minorEastAsia" w:cstheme="minorEastAsia"/>
                <w:color w:val="auto"/>
                <w:szCs w:val="21"/>
                <w:highlight w:val="none"/>
              </w:rPr>
            </w:pPr>
            <w:r>
              <w:rPr>
                <w:rFonts w:hint="eastAsia" w:ascii="宋体" w:hAnsi="宋体" w:cs="宋体"/>
                <w:b/>
                <w:color w:val="auto"/>
                <w:kern w:val="0"/>
                <w:szCs w:val="21"/>
                <w:highlight w:val="none"/>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投标截止时间为年月日时分，投标地点为。</w:t>
            </w:r>
          </w:p>
        </w:tc>
        <w:tc>
          <w:tcPr>
            <w:tcW w:w="4742" w:type="dxa"/>
            <w:vAlign w:val="center"/>
          </w:tcPr>
          <w:p>
            <w:pPr>
              <w:ind w:left="0" w:leftChars="0" w:firstLine="0" w:firstLineChars="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投标人应在投标截止时间前递交投标文件，逾期概不受理。</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投标人递交投标文件后应自行离开投标地点，不得逗留及影响他人递交投标文件。</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2.6.4</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新增</w:t>
            </w:r>
          </w:p>
        </w:tc>
        <w:tc>
          <w:tcPr>
            <w:tcW w:w="4742" w:type="dxa"/>
            <w:vAlign w:val="center"/>
          </w:tcPr>
          <w:p>
            <w:pPr>
              <w:spacing w:line="36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新增</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逾期送达的投标文件，电子招标投标交易平台将予以拒收。逾期未上传成功的电子投标文件，招标人拒绝接收。逾期或未在指定地点递交投标文件光盘的,招标人拒绝接收其投标文件光盘。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r>
              <w:rPr>
                <w:rFonts w:asciiTheme="minorEastAsia" w:hAnsiTheme="minorEastAsia" w:eastAsiaTheme="minorEastAsia" w:cstheme="minorEastAsia"/>
                <w:color w:val="auto"/>
                <w:szCs w:val="21"/>
                <w:highlight w:val="none"/>
              </w:rPr>
              <w:t>6</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新增</w:t>
            </w:r>
          </w:p>
        </w:tc>
        <w:tc>
          <w:tcPr>
            <w:tcW w:w="4742" w:type="dxa"/>
            <w:vAlign w:val="center"/>
          </w:tcPr>
          <w:p>
            <w:pPr>
              <w:spacing w:line="36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投标截止时间自招标人（招标代理机构）从招标文件发布起始日计：备标时间不少于</w:t>
            </w:r>
            <w:r>
              <w:rPr>
                <w:rFonts w:hint="eastAsia" w:asciiTheme="minorEastAsia" w:hAnsiTheme="minorEastAsia" w:eastAsiaTheme="minorEastAsia" w:cstheme="minorEastAsia"/>
                <w:color w:val="auto"/>
                <w:szCs w:val="21"/>
                <w:highlight w:val="none"/>
                <w:u w:val="single"/>
                <w:lang w:val="en-US" w:eastAsia="zh-CN"/>
              </w:rPr>
              <w:t>2</w:t>
            </w:r>
            <w:r>
              <w:rPr>
                <w:rFonts w:hint="eastAsia" w:asciiTheme="minorEastAsia" w:hAnsiTheme="minorEastAsia" w:eastAsiaTheme="minorEastAsia" w:cstheme="minorEastAsia"/>
                <w:color w:val="auto"/>
                <w:szCs w:val="21"/>
                <w:highlight w:val="none"/>
                <w:u w:val="single"/>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2.7</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b/>
                <w:bCs/>
                <w:color w:val="auto"/>
                <w:szCs w:val="21"/>
                <w:highlight w:val="none"/>
              </w:rPr>
              <w:t>投标文件编号</w:t>
            </w:r>
          </w:p>
        </w:tc>
        <w:tc>
          <w:tcPr>
            <w:tcW w:w="4742" w:type="dxa"/>
            <w:vAlign w:val="center"/>
          </w:tcPr>
          <w:p>
            <w:pPr>
              <w:spacing w:line="360" w:lineRule="exact"/>
              <w:jc w:val="left"/>
              <w:rPr>
                <w:rFonts w:hint="eastAsia" w:asciiTheme="minorEastAsia" w:hAnsiTheme="minorEastAsia" w:eastAsiaTheme="minorEastAsia" w:cstheme="minorEastAsia"/>
                <w:color w:val="auto"/>
                <w:szCs w:val="21"/>
                <w:highlight w:val="none"/>
              </w:rPr>
            </w:pPr>
            <w:r>
              <w:rPr>
                <w:rFonts w:hint="eastAsia" w:ascii="宋体" w:hAnsi="宋体" w:cs="宋体"/>
                <w:b/>
                <w:color w:val="auto"/>
                <w:kern w:val="0"/>
                <w:szCs w:val="21"/>
                <w:highlight w:val="none"/>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2.7.1</w:t>
            </w:r>
          </w:p>
        </w:tc>
        <w:tc>
          <w:tcPr>
            <w:tcW w:w="2583" w:type="dxa"/>
            <w:vAlign w:val="center"/>
          </w:tcPr>
          <w:p>
            <w:pPr>
              <w:jc w:val="left"/>
              <w:rPr>
                <w:rFonts w:hint="eastAsia" w:ascii="宋体" w:hAnsi="宋体"/>
                <w:b/>
                <w:bCs/>
                <w:color w:val="auto"/>
                <w:szCs w:val="21"/>
                <w:highlight w:val="none"/>
              </w:rPr>
            </w:pPr>
            <w:r>
              <w:rPr>
                <w:rFonts w:hint="eastAsia" w:ascii="宋体" w:hAnsi="宋体"/>
                <w:color w:val="auto"/>
                <w:szCs w:val="21"/>
                <w:highlight w:val="none"/>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4742" w:type="dxa"/>
            <w:vAlign w:val="center"/>
          </w:tcPr>
          <w:p>
            <w:pPr>
              <w:spacing w:line="360" w:lineRule="exact"/>
              <w:jc w:val="left"/>
              <w:rPr>
                <w:rFonts w:hint="eastAsia" w:ascii="宋体" w:hAnsi="宋体" w:cs="宋体"/>
                <w:b/>
                <w:color w:val="auto"/>
                <w:kern w:val="0"/>
                <w:szCs w:val="21"/>
                <w:highlight w:val="none"/>
                <w:u w:val="single"/>
              </w:rPr>
            </w:pPr>
            <w:r>
              <w:rPr>
                <w:rFonts w:ascii="宋体" w:hAnsi="宋体"/>
                <w:color w:val="auto"/>
                <w:szCs w:val="21"/>
                <w:highlight w:val="none"/>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2.7.2如果实行网上投标，投标文件由远程招标投标服务系统随机编号。</w:t>
            </w:r>
          </w:p>
        </w:tc>
        <w:tc>
          <w:tcPr>
            <w:tcW w:w="4742" w:type="dxa"/>
            <w:vAlign w:val="center"/>
          </w:tcPr>
          <w:p>
            <w:pPr>
              <w:jc w:val="left"/>
              <w:rPr>
                <w:rFonts w:asciiTheme="minorEastAsia" w:hAnsiTheme="minorEastAsia" w:eastAsiaTheme="minorEastAsia" w:cstheme="minorEastAsia"/>
                <w:color w:val="auto"/>
                <w:kern w:val="2"/>
                <w:sz w:val="21"/>
                <w:szCs w:val="21"/>
                <w:highlight w:val="none"/>
                <w:u w:val="single"/>
                <w:lang w:val="en-US" w:eastAsia="zh-CN" w:bidi="ar-SA"/>
              </w:rPr>
            </w:pPr>
            <w:r>
              <w:rPr>
                <w:rFonts w:hint="eastAsia" w:asciiTheme="minorEastAsia" w:hAnsiTheme="minorEastAsia" w:eastAsiaTheme="minorEastAsia" w:cstheme="minorEastAsia"/>
                <w:color w:val="auto"/>
                <w:szCs w:val="21"/>
                <w:highlight w:val="none"/>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2.7.3技术文件的正本、副本、展示图纸、模型、计算机文件的编号应当一致。</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w:t>
            </w:r>
          </w:p>
        </w:tc>
        <w:tc>
          <w:tcPr>
            <w:tcW w:w="2583" w:type="dxa"/>
            <w:vAlign w:val="center"/>
          </w:tcPr>
          <w:p>
            <w:pPr>
              <w:jc w:val="left"/>
              <w:rPr>
                <w:rFonts w:hint="eastAsia" w:asciiTheme="minorEastAsia" w:hAnsiTheme="minorEastAsia" w:eastAsiaTheme="minorEastAsia" w:cstheme="minorEastAsia"/>
                <w:color w:val="auto"/>
                <w:szCs w:val="21"/>
                <w:highlight w:val="none"/>
              </w:rPr>
            </w:pP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宋体" w:hAnsi="宋体" w:cs="宋体"/>
                <w:color w:val="auto"/>
                <w:kern w:val="0"/>
                <w:szCs w:val="21"/>
                <w:highlight w:val="none"/>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asciiTheme="minorEastAsia" w:hAnsiTheme="minorEastAsia" w:eastAsiaTheme="minorEastAsia" w:cstheme="minorEastAsia"/>
                <w:color w:val="auto"/>
                <w:szCs w:val="21"/>
                <w:highlight w:val="none"/>
              </w:rPr>
              <w:t>.8.1</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按招标文件规定获得补偿的投标文件，评标后不予退回。</w:t>
            </w:r>
          </w:p>
        </w:tc>
        <w:tc>
          <w:tcPr>
            <w:tcW w:w="4742" w:type="dxa"/>
            <w:vAlign w:val="center"/>
          </w:tcPr>
          <w:p>
            <w:pPr>
              <w:rPr>
                <w:rFonts w:hint="eastAsia" w:ascii="宋体" w:hAnsi="宋体" w:cs="宋体"/>
                <w:color w:val="auto"/>
                <w:kern w:val="0"/>
                <w:szCs w:val="21"/>
                <w:highlight w:val="none"/>
                <w:u w:val="single"/>
              </w:rPr>
            </w:pPr>
            <w:r>
              <w:rPr>
                <w:rFonts w:hint="eastAsia" w:ascii="宋体" w:hAnsi="宋体"/>
                <w:color w:val="auto"/>
                <w:highlight w:val="none"/>
                <w:u w:val="single"/>
              </w:rPr>
              <w:t>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2.8.2招标人有权在评标结束后公开展示获得补偿费用的所有投标方案成果，并通过传播媒介、杂志、书刊或其它形式介绍、展示及评价该方案成果，所有展示、推介、广告均不再向投标人支付费用。</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asciiTheme="minorEastAsia" w:hAnsiTheme="minorEastAsia" w:eastAsiaTheme="minorEastAsia" w:cstheme="minorEastAsia"/>
                <w:color w:val="auto"/>
                <w:szCs w:val="21"/>
                <w:highlight w:val="none"/>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2.10.1</w:t>
            </w:r>
          </w:p>
        </w:tc>
        <w:tc>
          <w:tcPr>
            <w:tcW w:w="2583" w:type="dxa"/>
            <w:vAlign w:val="top"/>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4742" w:type="dxa"/>
            <w:vAlign w:val="center"/>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u w:val="single"/>
              </w:rPr>
              <w:t>除特殊情况外，招标人有权在工程建设中根据需要对选定的实施方案进行调整和修改。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highlight w:val="none"/>
              </w:rPr>
            </w:pPr>
            <w:r>
              <w:rPr>
                <w:rFonts w:hint="eastAsia" w:ascii="宋体" w:hAnsi="宋体"/>
                <w:color w:val="auto"/>
                <w:szCs w:val="21"/>
                <w:highlight w:val="none"/>
              </w:rPr>
              <w:t>2.11</w:t>
            </w:r>
          </w:p>
        </w:tc>
        <w:tc>
          <w:tcPr>
            <w:tcW w:w="2583" w:type="dxa"/>
            <w:vAlign w:val="top"/>
          </w:tcPr>
          <w:p>
            <w:pPr>
              <w:jc w:val="left"/>
              <w:rPr>
                <w:rFonts w:hint="eastAsia" w:ascii="宋体" w:hAnsi="宋体"/>
                <w:color w:val="auto"/>
                <w:highlight w:val="none"/>
              </w:rPr>
            </w:pPr>
            <w:r>
              <w:rPr>
                <w:rFonts w:hint="eastAsia" w:ascii="宋体" w:hAnsi="宋体"/>
                <w:b/>
                <w:color w:val="auto"/>
                <w:szCs w:val="21"/>
                <w:highlight w:val="none"/>
              </w:rPr>
              <w:t>新增</w:t>
            </w:r>
          </w:p>
        </w:tc>
        <w:tc>
          <w:tcPr>
            <w:tcW w:w="4742" w:type="dxa"/>
            <w:vAlign w:val="center"/>
          </w:tcPr>
          <w:p>
            <w:pPr>
              <w:jc w:val="left"/>
              <w:rPr>
                <w:rFonts w:hint="eastAsia" w:ascii="宋体" w:hAnsi="宋体"/>
                <w:color w:val="auto"/>
                <w:highlight w:val="none"/>
              </w:rPr>
            </w:pPr>
            <w:r>
              <w:rPr>
                <w:rFonts w:hint="eastAsia" w:ascii="宋体" w:hAnsi="宋体"/>
                <w:b/>
                <w:bCs/>
                <w:color w:val="auto"/>
                <w:highlight w:val="none"/>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2.11.1</w:t>
            </w:r>
          </w:p>
        </w:tc>
        <w:tc>
          <w:tcPr>
            <w:tcW w:w="2583" w:type="dxa"/>
            <w:vAlign w:val="top"/>
          </w:tcPr>
          <w:p>
            <w:pPr>
              <w:jc w:val="left"/>
              <w:rPr>
                <w:rFonts w:hint="eastAsia" w:ascii="宋体" w:hAnsi="宋体"/>
                <w:color w:val="auto"/>
                <w:highlight w:val="none"/>
              </w:rPr>
            </w:pP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提交投标文件光盘备用</w:t>
            </w:r>
          </w:p>
          <w:p>
            <w:pPr>
              <w:jc w:val="left"/>
              <w:rPr>
                <w:rFonts w:hint="eastAsia" w:ascii="宋体" w:hAnsi="宋体"/>
                <w:b/>
                <w:bCs/>
                <w:color w:val="auto"/>
                <w:highlight w:val="none"/>
              </w:rPr>
            </w:pPr>
            <w:r>
              <w:rPr>
                <w:rFonts w:hint="eastAsia" w:asciiTheme="minorEastAsia" w:hAnsiTheme="minorEastAsia" w:eastAsiaTheme="minorEastAsia" w:cstheme="minorEastAsia"/>
                <w:color w:val="auto"/>
                <w:szCs w:val="21"/>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w:t>
            </w:r>
          </w:p>
        </w:tc>
        <w:tc>
          <w:tcPr>
            <w:tcW w:w="2583" w:type="dxa"/>
            <w:vAlign w:val="top"/>
          </w:tcPr>
          <w:p>
            <w:pPr>
              <w:jc w:val="left"/>
              <w:rPr>
                <w:rFonts w:ascii="宋体" w:hAnsi="宋体"/>
                <w:b/>
                <w:color w:val="auto"/>
                <w:szCs w:val="21"/>
                <w:highlight w:val="none"/>
              </w:rPr>
            </w:pPr>
            <w:r>
              <w:rPr>
                <w:rFonts w:hint="eastAsia" w:ascii="宋体" w:hAnsi="宋体"/>
                <w:b/>
                <w:color w:val="auto"/>
                <w:szCs w:val="21"/>
                <w:highlight w:val="none"/>
              </w:rPr>
              <w:t>新增</w:t>
            </w:r>
          </w:p>
          <w:p>
            <w:pPr>
              <w:jc w:val="left"/>
              <w:rPr>
                <w:rFonts w:hint="eastAsia" w:ascii="宋体" w:hAnsi="宋体"/>
                <w:color w:val="auto"/>
                <w:highlight w:val="none"/>
              </w:rPr>
            </w:pPr>
          </w:p>
        </w:tc>
        <w:tc>
          <w:tcPr>
            <w:tcW w:w="4742" w:type="dxa"/>
            <w:vAlign w:val="center"/>
          </w:tcPr>
          <w:p>
            <w:pPr>
              <w:jc w:val="left"/>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2.11.2.1</w:t>
            </w:r>
          </w:p>
        </w:tc>
        <w:tc>
          <w:tcPr>
            <w:tcW w:w="2583" w:type="dxa"/>
            <w:vAlign w:val="top"/>
          </w:tcPr>
          <w:p>
            <w:pPr>
              <w:jc w:val="left"/>
              <w:rPr>
                <w:rFonts w:ascii="宋体" w:hAnsi="宋体"/>
                <w:b/>
                <w:color w:val="auto"/>
                <w:szCs w:val="21"/>
                <w:highlight w:val="none"/>
              </w:rPr>
            </w:pPr>
            <w:r>
              <w:rPr>
                <w:rFonts w:hint="eastAsia" w:ascii="宋体" w:hAnsi="宋体"/>
                <w:b/>
                <w:color w:val="auto"/>
                <w:szCs w:val="21"/>
                <w:highlight w:val="none"/>
              </w:rPr>
              <w:t>新增</w:t>
            </w:r>
          </w:p>
          <w:p>
            <w:pPr>
              <w:jc w:val="left"/>
              <w:rPr>
                <w:rFonts w:hint="eastAsia" w:ascii="宋体" w:hAnsi="宋体"/>
                <w:color w:val="auto"/>
                <w:highlight w:val="none"/>
              </w:rPr>
            </w:pPr>
          </w:p>
        </w:tc>
        <w:tc>
          <w:tcPr>
            <w:tcW w:w="4742" w:type="dxa"/>
            <w:vAlign w:val="center"/>
          </w:tcPr>
          <w:p>
            <w:pPr>
              <w:jc w:val="left"/>
              <w:rPr>
                <w:rFonts w:hint="eastAsia" w:ascii="宋体" w:hAnsi="宋体"/>
                <w:color w:val="auto"/>
                <w:szCs w:val="21"/>
                <w:highlight w:val="none"/>
                <w:u w:val="single"/>
              </w:rPr>
            </w:pPr>
            <w:r>
              <w:rPr>
                <w:rFonts w:hint="eastAsia" w:ascii="宋体" w:hAnsi="宋体"/>
                <w:color w:val="auto"/>
                <w:szCs w:val="21"/>
                <w:highlight w:val="none"/>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2.11.2.2</w:t>
            </w:r>
          </w:p>
        </w:tc>
        <w:tc>
          <w:tcPr>
            <w:tcW w:w="2583" w:type="dxa"/>
            <w:vAlign w:val="top"/>
          </w:tcPr>
          <w:p>
            <w:pPr>
              <w:jc w:val="left"/>
              <w:rPr>
                <w:rFonts w:hint="eastAsia" w:ascii="宋体" w:hAnsi="宋体"/>
                <w:color w:val="auto"/>
                <w:highlight w:val="none"/>
              </w:rPr>
            </w:pPr>
          </w:p>
        </w:tc>
        <w:tc>
          <w:tcPr>
            <w:tcW w:w="4742" w:type="dxa"/>
            <w:vAlign w:val="center"/>
          </w:tcPr>
          <w:p>
            <w:pPr>
              <w:jc w:val="left"/>
              <w:rPr>
                <w:rFonts w:hint="eastAsia" w:ascii="宋体" w:hAnsi="宋体"/>
                <w:color w:val="auto"/>
                <w:szCs w:val="21"/>
                <w:highlight w:val="none"/>
                <w:u w:val="single"/>
              </w:rPr>
            </w:pPr>
            <w:r>
              <w:rPr>
                <w:rFonts w:hint="eastAsia" w:ascii="宋体" w:hAnsi="宋体"/>
                <w:color w:val="auto"/>
                <w:szCs w:val="21"/>
                <w:highlight w:val="none"/>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2.11.2.3</w:t>
            </w:r>
          </w:p>
        </w:tc>
        <w:tc>
          <w:tcPr>
            <w:tcW w:w="2583" w:type="dxa"/>
            <w:vAlign w:val="top"/>
          </w:tcPr>
          <w:p>
            <w:pPr>
              <w:jc w:val="left"/>
              <w:rPr>
                <w:rFonts w:hint="eastAsia" w:ascii="宋体" w:hAnsi="宋体"/>
                <w:color w:val="auto"/>
                <w:highlight w:val="none"/>
              </w:rPr>
            </w:pPr>
          </w:p>
        </w:tc>
        <w:tc>
          <w:tcPr>
            <w:tcW w:w="4742" w:type="dxa"/>
            <w:vAlign w:val="center"/>
          </w:tcPr>
          <w:p>
            <w:pPr>
              <w:jc w:val="left"/>
              <w:rPr>
                <w:rFonts w:hint="eastAsia" w:ascii="宋体" w:hAnsi="宋体"/>
                <w:color w:val="auto"/>
                <w:szCs w:val="21"/>
                <w:highlight w:val="none"/>
                <w:u w:val="single"/>
              </w:rPr>
            </w:pPr>
            <w:r>
              <w:rPr>
                <w:rFonts w:hint="eastAsia" w:ascii="宋体" w:hAnsi="宋体"/>
                <w:color w:val="auto"/>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3.1.1</w:t>
            </w:r>
          </w:p>
        </w:tc>
        <w:tc>
          <w:tcPr>
            <w:tcW w:w="2583" w:type="dxa"/>
            <w:vAlign w:val="top"/>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3.1.1</w:t>
            </w:r>
            <w:r>
              <w:rPr>
                <w:rFonts w:hint="eastAsia" w:asciiTheme="minorEastAsia" w:hAnsiTheme="minorEastAsia" w:eastAsiaTheme="minorEastAsia" w:cstheme="minorEastAsia"/>
                <w:color w:val="auto"/>
                <w:szCs w:val="21"/>
                <w:highlight w:val="none"/>
              </w:rPr>
              <w:t>投标文件由商务文件和技术文件两部分组成。各部分投标文件应分别编制，各自独立包装</w:t>
            </w:r>
            <w:r>
              <w:rPr>
                <w:rFonts w:hint="eastAsia" w:asciiTheme="minorEastAsia" w:hAnsiTheme="minorEastAsia" w:eastAsiaTheme="minorEastAsia" w:cstheme="minorEastAsia"/>
                <w:color w:val="auto"/>
                <w:szCs w:val="21"/>
                <w:highlight w:val="none"/>
                <w:lang w:eastAsia="zh-CN"/>
              </w:rPr>
              <w:t>。</w:t>
            </w:r>
          </w:p>
        </w:tc>
        <w:tc>
          <w:tcPr>
            <w:tcW w:w="4742" w:type="dxa"/>
            <w:vAlign w:val="center"/>
          </w:tcPr>
          <w:p>
            <w:pPr>
              <w:jc w:val="left"/>
              <w:rPr>
                <w:rFonts w:hint="eastAsia"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3.1.2投标文件由商务文件和技术文件两部分组成。各部分投标文件应分别编制，各自独立包装。商务文件和技术文件两部分组成的总页数建议不超过＿页。</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投标文件由下列部分组成：（1）开标文件；（2）商务文件（含资审文件）；（3）技术文件；（4）投标文件光盘（备用）。注：投标人也可不提交投标文件光盘（备用）。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文件全部采用电子文档，投标文件所附证书证件均为原件清晰扫描件或电子证书，并采用单位数字证书，按招标文件要求在相应位置加盖电子印章，投标文件中需个人签字或盖章的，应本人手签或盖章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3.1.6</w:t>
            </w:r>
          </w:p>
        </w:tc>
        <w:tc>
          <w:tcPr>
            <w:tcW w:w="2583" w:type="dxa"/>
            <w:vAlign w:val="center"/>
          </w:tcPr>
          <w:p>
            <w:pPr>
              <w:jc w:val="left"/>
              <w:rPr>
                <w:rFonts w:asciiTheme="minorEastAsia" w:hAnsiTheme="minorEastAsia" w:eastAsiaTheme="minorEastAsia" w:cstheme="minorEastAsia"/>
                <w:color w:val="auto"/>
                <w:szCs w:val="21"/>
                <w:highlight w:val="none"/>
              </w:rPr>
            </w:pPr>
          </w:p>
        </w:tc>
        <w:tc>
          <w:tcPr>
            <w:tcW w:w="4742" w:type="dxa"/>
            <w:vAlign w:val="center"/>
          </w:tcPr>
          <w:p>
            <w:pPr>
              <w:jc w:val="left"/>
              <w:rPr>
                <w:rFonts w:hint="eastAsia"/>
                <w:color w:val="auto"/>
                <w:highlight w:val="none"/>
              </w:rPr>
            </w:pPr>
            <w:r>
              <w:rPr>
                <w:rFonts w:hint="eastAsia"/>
                <w:color w:val="auto"/>
                <w:highlight w:val="non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p>
            <w:pPr>
              <w:jc w:val="left"/>
              <w:rPr>
                <w:color w:val="auto"/>
                <w:highlight w:val="none"/>
              </w:rPr>
            </w:pPr>
            <w:r>
              <w:rPr>
                <w:rFonts w:hint="eastAsia"/>
                <w:color w:val="auto"/>
                <w:highlight w:val="none"/>
                <w:lang w:val="en-US" w:eastAsia="zh-CN"/>
              </w:rPr>
              <w:t>联合体</w:t>
            </w:r>
            <w:r>
              <w:rPr>
                <w:rFonts w:hint="eastAsia"/>
                <w:color w:val="auto"/>
                <w:highlight w:val="none"/>
              </w:rPr>
              <w:t>投标时，法人证明及授权委托书由联合体主办方提供即可。。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asciiTheme="minorEastAsia" w:hAnsiTheme="minorEastAsia" w:eastAsiaTheme="minorEastAsia" w:cstheme="minorEastAsia"/>
                <w:color w:val="auto"/>
                <w:szCs w:val="21"/>
                <w:highlight w:val="none"/>
              </w:rPr>
              <w:t>.1.7</w:t>
            </w:r>
          </w:p>
        </w:tc>
        <w:tc>
          <w:tcPr>
            <w:tcW w:w="2583" w:type="dxa"/>
            <w:vAlign w:val="center"/>
          </w:tcPr>
          <w:p>
            <w:pPr>
              <w:jc w:val="left"/>
              <w:rPr>
                <w:rFonts w:asciiTheme="minorEastAsia" w:hAnsiTheme="minorEastAsia" w:eastAsiaTheme="minorEastAsia" w:cstheme="minorEastAsia"/>
                <w:color w:val="auto"/>
                <w:szCs w:val="21"/>
                <w:highlight w:val="none"/>
              </w:rPr>
            </w:pP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（3）投标书（格式见附录7）及联合体共同投标协议（如果有）（格式见附录8）； 勘察设计费报价表（格式见附录）</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（3）投标书（格式见附录</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）及联合体共同投标协议（如果有）（格式见附录</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；勘察设计费报价表（格式见附录</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rPr>
              <w:t>。注：本项资料要求投标人在“开标文件”和“商务文件”中同时提供，但评标委员会应根据“开标文件”中的“投标书”、联合体共同投标协议（如果有）、勘察察设计费报价表进行评审。如两者不一致，以“开标文件”中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asciiTheme="minorEastAsia" w:hAnsiTheme="minorEastAsia" w:eastAsiaTheme="minorEastAsia" w:cstheme="minorEastAsia"/>
                <w:color w:val="auto"/>
                <w:szCs w:val="21"/>
                <w:highlight w:val="none"/>
              </w:rPr>
              <w:t>2.1</w:t>
            </w:r>
          </w:p>
        </w:tc>
        <w:tc>
          <w:tcPr>
            <w:tcW w:w="2583"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（12）提供勘察、设计优质服务的保证措施和设计周期以及保证设计进度的措施，与各相关部门及当地政府协调措施，代办设计报建的措施；提出工程施工期间设计配合措施。</w:t>
            </w:r>
          </w:p>
          <w:p>
            <w:pPr>
              <w:jc w:val="left"/>
              <w:rPr>
                <w:rFonts w:ascii="宋体" w:hAnsi="宋体" w:cs="宋体"/>
                <w:color w:val="auto"/>
                <w:szCs w:val="21"/>
                <w:highlight w:val="none"/>
              </w:rPr>
            </w:pPr>
            <w:r>
              <w:rPr>
                <w:rFonts w:hint="eastAsia" w:ascii="宋体" w:hAnsi="宋体" w:cs="宋体"/>
                <w:color w:val="auto"/>
                <w:szCs w:val="21"/>
                <w:highlight w:val="none"/>
              </w:rPr>
              <w:t>（13）满足第一章第1.2条（资格审查合格条件）评审要求的资料。</w:t>
            </w:r>
          </w:p>
        </w:tc>
        <w:tc>
          <w:tcPr>
            <w:tcW w:w="4742" w:type="dxa"/>
            <w:vAlign w:val="center"/>
          </w:tcPr>
          <w:p>
            <w:pPr>
              <w:ind w:left="718" w:hanging="718" w:hangingChars="342"/>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12)</w:t>
            </w:r>
            <w:r>
              <w:rPr>
                <w:rFonts w:hint="eastAsia" w:ascii="宋体" w:hAnsi="宋体" w:cs="宋体"/>
                <w:color w:val="auto"/>
                <w:szCs w:val="21"/>
                <w:highlight w:val="none"/>
              </w:rPr>
              <w:t>投标人认为有必要的其他资料。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3.2.2</w:t>
            </w:r>
          </w:p>
        </w:tc>
        <w:tc>
          <w:tcPr>
            <w:tcW w:w="2583" w:type="dxa"/>
            <w:vAlign w:val="center"/>
          </w:tcPr>
          <w:p>
            <w:pPr>
              <w:jc w:val="left"/>
              <w:rPr>
                <w:rFonts w:hint="eastAsia" w:ascii="宋体" w:hAnsi="宋体" w:cs="宋体"/>
                <w:color w:val="auto"/>
                <w:szCs w:val="21"/>
                <w:highlight w:val="none"/>
              </w:rPr>
            </w:pPr>
            <w:r>
              <w:rPr>
                <w:rFonts w:hint="eastAsia" w:hAnsi="宋体"/>
                <w:color w:val="auto"/>
                <w:szCs w:val="21"/>
                <w:highlight w:val="none"/>
              </w:rPr>
              <w:t>商务投标文件的密封要求：投标人应确保投标文件密闭封装，外包装材料不应留有可在包封后添加或抽取投标文件的空隙。外面标注“项目名称”及“商务文件”字样。</w:t>
            </w:r>
          </w:p>
        </w:tc>
        <w:tc>
          <w:tcPr>
            <w:tcW w:w="4742" w:type="dxa"/>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u w:val="single"/>
              </w:rPr>
              <w:t>商务投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3.2.3</w:t>
            </w:r>
          </w:p>
        </w:tc>
        <w:tc>
          <w:tcPr>
            <w:tcW w:w="2583" w:type="dxa"/>
            <w:vAlign w:val="center"/>
          </w:tcPr>
          <w:p>
            <w:pPr>
              <w:jc w:val="left"/>
              <w:rPr>
                <w:rFonts w:hint="eastAsia" w:hAnsi="宋体"/>
                <w:color w:val="auto"/>
                <w:szCs w:val="21"/>
                <w:highlight w:val="none"/>
              </w:rPr>
            </w:pPr>
            <w:r>
              <w:rPr>
                <w:rFonts w:hint="eastAsia" w:ascii="宋体" w:hAnsi="宋体"/>
                <w:color w:val="auto"/>
                <w:szCs w:val="21"/>
                <w:highlight w:val="none"/>
              </w:rPr>
              <w:t>接收投标文件时，如果包封上没有按上述规定密封或加写标志，招标人予以拒绝，并退还给投标人。</w:t>
            </w:r>
          </w:p>
        </w:tc>
        <w:tc>
          <w:tcPr>
            <w:tcW w:w="4742" w:type="dxa"/>
            <w:vAlign w:val="center"/>
          </w:tcPr>
          <w:p>
            <w:pPr>
              <w:jc w:val="left"/>
              <w:rPr>
                <w:rFonts w:hint="eastAsia" w:ascii="宋体" w:hAnsi="宋体" w:cs="宋体"/>
                <w:color w:val="auto"/>
                <w:szCs w:val="21"/>
                <w:highlight w:val="none"/>
                <w:u w:val="single"/>
              </w:rPr>
            </w:pPr>
            <w:r>
              <w:rPr>
                <w:rFonts w:hint="eastAsia" w:ascii="宋体" w:hAnsi="宋体"/>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w:t>
            </w:r>
          </w:p>
        </w:tc>
        <w:tc>
          <w:tcPr>
            <w:tcW w:w="2583"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b/>
                <w:color w:val="auto"/>
                <w:szCs w:val="21"/>
                <w:highlight w:val="none"/>
              </w:rPr>
              <w:t>技术文件由下列资料组成：</w:t>
            </w:r>
          </w:p>
          <w:p>
            <w:pPr>
              <w:jc w:val="left"/>
              <w:rPr>
                <w:rFonts w:ascii="宋体" w:hAnsi="宋体" w:cs="宋体"/>
                <w:color w:val="auto"/>
                <w:szCs w:val="21"/>
                <w:highlight w:val="none"/>
              </w:rPr>
            </w:pPr>
            <w:r>
              <w:rPr>
                <w:rFonts w:hint="eastAsia" w:ascii="宋体" w:hAnsi="宋体" w:cs="宋体"/>
                <w:color w:val="auto"/>
                <w:szCs w:val="21"/>
                <w:highlight w:val="none"/>
              </w:rPr>
              <w:t>(a) 保密信封。</w:t>
            </w:r>
          </w:p>
          <w:p>
            <w:pPr>
              <w:jc w:val="left"/>
              <w:rPr>
                <w:rFonts w:ascii="宋体" w:hAnsi="宋体" w:cs="宋体"/>
                <w:color w:val="auto"/>
                <w:szCs w:val="21"/>
                <w:highlight w:val="none"/>
              </w:rPr>
            </w:pPr>
            <w:r>
              <w:rPr>
                <w:rFonts w:hint="eastAsia" w:ascii="宋体" w:hAnsi="宋体" w:cs="宋体"/>
                <w:color w:val="auto"/>
                <w:szCs w:val="21"/>
                <w:highlight w:val="none"/>
              </w:rPr>
              <w:t>(b) 设计方案。</w:t>
            </w:r>
          </w:p>
          <w:p>
            <w:pPr>
              <w:jc w:val="left"/>
              <w:rPr>
                <w:rFonts w:ascii="宋体" w:hAnsi="宋体" w:cs="宋体"/>
                <w:color w:val="auto"/>
                <w:szCs w:val="21"/>
                <w:highlight w:val="none"/>
              </w:rPr>
            </w:pPr>
            <w:r>
              <w:rPr>
                <w:rFonts w:hint="eastAsia" w:ascii="宋体" w:hAnsi="宋体" w:cs="宋体"/>
                <w:color w:val="auto"/>
                <w:szCs w:val="21"/>
                <w:highlight w:val="none"/>
              </w:rPr>
              <w:t>(c) 计算机文件。</w:t>
            </w:r>
          </w:p>
          <w:p>
            <w:pPr>
              <w:jc w:val="left"/>
              <w:rPr>
                <w:rFonts w:ascii="宋体" w:hAnsi="宋体" w:cs="宋体"/>
                <w:color w:val="auto"/>
                <w:szCs w:val="21"/>
                <w:highlight w:val="none"/>
              </w:rPr>
            </w:pPr>
            <w:r>
              <w:rPr>
                <w:rFonts w:hint="eastAsia" w:ascii="宋体" w:hAnsi="宋体" w:cs="宋体"/>
                <w:color w:val="auto"/>
                <w:szCs w:val="21"/>
                <w:highlight w:val="none"/>
              </w:rPr>
              <w:t>(d) 展示图纸。</w:t>
            </w:r>
          </w:p>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(e)。</w:t>
            </w:r>
          </w:p>
        </w:tc>
        <w:tc>
          <w:tcPr>
            <w:tcW w:w="4742"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b/>
                <w:color w:val="auto"/>
                <w:szCs w:val="21"/>
                <w:highlight w:val="none"/>
              </w:rPr>
              <w:t>技术文件由下列资料组成：</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(a) 设计方案。</w:t>
            </w:r>
          </w:p>
          <w:p>
            <w:pPr>
              <w:jc w:val="lef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w:t>
            </w:r>
          </w:p>
        </w:tc>
        <w:tc>
          <w:tcPr>
            <w:tcW w:w="2583" w:type="dxa"/>
            <w:vAlign w:val="center"/>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3.3.2 </w:t>
            </w:r>
            <w:r>
              <w:rPr>
                <w:rFonts w:hint="eastAsia" w:asciiTheme="minorEastAsia" w:hAnsiTheme="minorEastAsia" w:eastAsiaTheme="minorEastAsia" w:cstheme="minorEastAsia"/>
                <w:b/>
                <w:bCs/>
                <w:color w:val="auto"/>
                <w:szCs w:val="21"/>
                <w:highlight w:val="none"/>
              </w:rPr>
              <w:t>保密要求</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4742" w:type="dxa"/>
            <w:vAlign w:val="center"/>
          </w:tcPr>
          <w:p>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3.3.2 </w:t>
            </w:r>
            <w:r>
              <w:rPr>
                <w:rFonts w:hint="eastAsia" w:asciiTheme="minorEastAsia" w:hAnsiTheme="minorEastAsia" w:eastAsiaTheme="minorEastAsia" w:cstheme="minorEastAsia"/>
                <w:b/>
                <w:bCs/>
                <w:color w:val="auto"/>
                <w:szCs w:val="21"/>
                <w:highlight w:val="none"/>
              </w:rPr>
              <w:t>保密要求</w:t>
            </w:r>
          </w:p>
          <w:p>
            <w:pPr>
              <w:jc w:val="left"/>
              <w:rPr>
                <w:rFonts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技术文件必须隐匿投标人及专业技术人员的名称，投标人不得在技术文件的设计方案上标注或做任何可以辨认投标人及专业技术人员身份的名称、印章、商标、图形。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szCs w:val="21"/>
                <w:highlight w:val="none"/>
              </w:rPr>
              <w:t>3.3.3</w:t>
            </w:r>
          </w:p>
        </w:tc>
        <w:tc>
          <w:tcPr>
            <w:tcW w:w="2583" w:type="dxa"/>
            <w:vAlign w:val="center"/>
          </w:tcPr>
          <w:p>
            <w:pPr>
              <w:rPr>
                <w:rFonts w:ascii="宋体" w:hAnsi="宋体"/>
                <w:b/>
                <w:bCs/>
                <w:color w:val="auto"/>
                <w:szCs w:val="21"/>
                <w:highlight w:val="none"/>
              </w:rPr>
            </w:pPr>
            <w:r>
              <w:rPr>
                <w:rFonts w:hint="eastAsia" w:ascii="宋体" w:hAnsi="宋体"/>
                <w:b/>
                <w:bCs/>
                <w:color w:val="auto"/>
                <w:szCs w:val="21"/>
                <w:highlight w:val="none"/>
              </w:rPr>
              <w:t>保密信封</w:t>
            </w:r>
          </w:p>
          <w:p>
            <w:pPr>
              <w:rPr>
                <w:rFonts w:ascii="宋体" w:hAnsi="宋体"/>
                <w:bCs/>
                <w:color w:val="auto"/>
                <w:szCs w:val="21"/>
                <w:highlight w:val="none"/>
              </w:rPr>
            </w:pPr>
            <w:r>
              <w:rPr>
                <w:rFonts w:hint="eastAsia" w:ascii="宋体" w:hAnsi="宋体"/>
                <w:bCs/>
                <w:color w:val="auto"/>
                <w:szCs w:val="21"/>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jc w:val="left"/>
              <w:rPr>
                <w:rFonts w:hint="eastAsia" w:hAnsi="宋体" w:cs="宋体"/>
                <w:b/>
                <w:color w:val="auto"/>
                <w:sz w:val="21"/>
                <w:szCs w:val="21"/>
                <w:highlight w:val="none"/>
              </w:rPr>
            </w:pPr>
            <w:r>
              <w:rPr>
                <w:rFonts w:hint="eastAsia" w:ascii="宋体" w:hAnsi="宋体"/>
                <w:bCs/>
                <w:color w:val="auto"/>
                <w:szCs w:val="21"/>
                <w:highlight w:val="none"/>
              </w:rPr>
              <w:t>（2）保密信封用不透明信封独立密封，外面标注“项目名称”及“保密信封”字样。</w:t>
            </w:r>
          </w:p>
        </w:tc>
        <w:tc>
          <w:tcPr>
            <w:tcW w:w="4742" w:type="dxa"/>
            <w:vAlign w:val="center"/>
          </w:tcPr>
          <w:p>
            <w:pPr>
              <w:spacing w:line="360" w:lineRule="auto"/>
              <w:jc w:val="left"/>
              <w:rPr>
                <w:rFonts w:hint="eastAsia" w:hAnsi="宋体"/>
                <w:b/>
                <w:color w:val="auto"/>
                <w:sz w:val="21"/>
                <w:szCs w:val="21"/>
                <w:highlight w:val="none"/>
              </w:rPr>
            </w:pPr>
            <w:r>
              <w:rPr>
                <w:rFonts w:hint="eastAsia" w:hAnsi="宋体"/>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3.3.4</w:t>
            </w:r>
          </w:p>
        </w:tc>
        <w:tc>
          <w:tcPr>
            <w:tcW w:w="2583" w:type="dxa"/>
            <w:vAlign w:val="center"/>
          </w:tcPr>
          <w:p>
            <w:pPr>
              <w:pStyle w:val="13"/>
              <w:ind w:firstLine="0" w:firstLineChars="0"/>
              <w:jc w:val="left"/>
              <w:rPr>
                <w:rFonts w:hAnsi="宋体" w:cs="宋体"/>
                <w:color w:val="auto"/>
                <w:kern w:val="2"/>
                <w:sz w:val="21"/>
                <w:szCs w:val="21"/>
                <w:highlight w:val="none"/>
              </w:rPr>
            </w:pPr>
            <w:r>
              <w:rPr>
                <w:rFonts w:hint="eastAsia" w:hAnsi="宋体" w:cs="宋体"/>
                <w:color w:val="auto"/>
                <w:kern w:val="2"/>
                <w:sz w:val="21"/>
                <w:szCs w:val="21"/>
                <w:highlight w:val="none"/>
              </w:rPr>
              <w:t>（1）设计方案以A3(297mm×420mm) 规格编排装订成册  （含封面及封底建议不超过  页）。</w:t>
            </w:r>
          </w:p>
          <w:p>
            <w:pPr>
              <w:pStyle w:val="13"/>
              <w:ind w:firstLine="0" w:firstLineChars="0"/>
              <w:jc w:val="left"/>
              <w:rPr>
                <w:rFonts w:hAnsi="宋体" w:cs="宋体"/>
                <w:color w:val="auto"/>
                <w:kern w:val="2"/>
                <w:sz w:val="21"/>
                <w:szCs w:val="21"/>
                <w:highlight w:val="none"/>
              </w:rPr>
            </w:pPr>
            <w:r>
              <w:rPr>
                <w:rFonts w:hint="eastAsia" w:hAnsi="宋体" w:cs="宋体"/>
                <w:color w:val="auto"/>
                <w:kern w:val="2"/>
                <w:sz w:val="21"/>
                <w:szCs w:val="21"/>
                <w:highlight w:val="none"/>
              </w:rPr>
              <w:t>…</w:t>
            </w:r>
          </w:p>
          <w:p>
            <w:pPr>
              <w:pStyle w:val="13"/>
              <w:ind w:firstLine="0" w:firstLineChars="0"/>
              <w:jc w:val="left"/>
              <w:rPr>
                <w:rFonts w:hint="eastAsia" w:hAnsi="宋体" w:cs="宋体"/>
                <w:b/>
                <w:color w:val="auto"/>
                <w:sz w:val="21"/>
                <w:szCs w:val="21"/>
                <w:highlight w:val="none"/>
              </w:rPr>
            </w:pPr>
            <w:r>
              <w:rPr>
                <w:rFonts w:hint="eastAsia" w:hAnsi="宋体" w:cs="宋体"/>
                <w:b/>
                <w:color w:val="auto"/>
                <w:sz w:val="21"/>
                <w:szCs w:val="21"/>
                <w:highlight w:val="none"/>
              </w:rPr>
              <w:t>如本项目含勘察，则需增加如下内容：</w:t>
            </w:r>
          </w:p>
        </w:tc>
        <w:tc>
          <w:tcPr>
            <w:tcW w:w="4742" w:type="dxa"/>
            <w:vAlign w:val="center"/>
          </w:tcPr>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（1）设计方案文本文件内容：</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(a) 封面：写明项目名称、编制年月；</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(b) 目录。</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(c) 设计说明书（含本项目的难点、建议和工程创新）。</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(d) 投标人认为有必要提供的其他资料。</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（2）勘察部分内容：</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(a) 针对项目场地及工程性质采用的勘察方案及建议，本次勘察的重点、难点及建议。</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(b) 勘察工作流程和相应的工期进度计划。</w:t>
            </w:r>
            <w:r>
              <w:rPr>
                <w:rFonts w:hint="eastAsia" w:hAnsi="宋体"/>
                <w:bCs/>
                <w:color w:val="auto"/>
                <w:sz w:val="21"/>
                <w:szCs w:val="21"/>
                <w:highlight w:val="none"/>
                <w:u w:val="single"/>
              </w:rPr>
              <w:tab/>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(c) 勘察报告综合评价深度，勘察成果文件内容目录。</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(d) 投标人掌握的勘察工作有关的法律法规、标准、规范一览表。</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(e) 需要建设单位配合的事项。</w:t>
            </w:r>
          </w:p>
          <w:p>
            <w:pPr>
              <w:pStyle w:val="13"/>
              <w:ind w:firstLine="0" w:firstLineChars="0"/>
              <w:rPr>
                <w:rFonts w:hAnsi="宋体"/>
                <w:bCs/>
                <w:color w:val="auto"/>
                <w:sz w:val="21"/>
                <w:szCs w:val="21"/>
                <w:highlight w:val="none"/>
                <w:u w:val="single"/>
              </w:rPr>
            </w:pPr>
            <w:r>
              <w:rPr>
                <w:rFonts w:hint="eastAsia" w:hAnsi="宋体"/>
                <w:bCs/>
                <w:color w:val="auto"/>
                <w:sz w:val="21"/>
                <w:szCs w:val="21"/>
                <w:highlight w:val="none"/>
                <w:u w:val="single"/>
              </w:rPr>
              <w:t xml:space="preserve"> (f) 投标人参与施工验槽，解决工程设计和施工中与勘察工作有关问题的服务承诺、响应时间。</w:t>
            </w:r>
          </w:p>
          <w:p>
            <w:pPr>
              <w:pStyle w:val="13"/>
              <w:ind w:firstLine="0" w:firstLineChars="0"/>
              <w:rPr>
                <w:rFonts w:hint="eastAsia" w:hAnsi="宋体"/>
                <w:b/>
                <w:color w:val="auto"/>
                <w:sz w:val="21"/>
                <w:szCs w:val="21"/>
                <w:highlight w:val="none"/>
              </w:rPr>
            </w:pPr>
            <w:r>
              <w:rPr>
                <w:rFonts w:hint="eastAsia" w:hAnsi="宋体"/>
                <w:bCs/>
                <w:color w:val="auto"/>
                <w:sz w:val="21"/>
                <w:szCs w:val="21"/>
                <w:highlight w:val="none"/>
                <w:u w:val="single"/>
              </w:rPr>
              <w:t>注：技术文件含封面、封底、文字说明在内，总页数不超过100页。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3.3.5</w:t>
            </w:r>
          </w:p>
        </w:tc>
        <w:tc>
          <w:tcPr>
            <w:tcW w:w="2583" w:type="dxa"/>
            <w:vAlign w:val="center"/>
          </w:tcPr>
          <w:p>
            <w:pPr>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 xml:space="preserve">3.3.5 </w:t>
            </w:r>
            <w:r>
              <w:rPr>
                <w:rFonts w:hint="eastAsia" w:asciiTheme="minorEastAsia" w:hAnsiTheme="minorEastAsia" w:eastAsiaTheme="minorEastAsia" w:cstheme="minorEastAsia"/>
                <w:b/>
                <w:color w:val="auto"/>
                <w:szCs w:val="21"/>
                <w:highlight w:val="none"/>
              </w:rPr>
              <w:t>计算机文件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（1）计算机文件包括内容：</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一张用于识别投标方案的JPG格式的图型文件。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 一套PDF格式或PPT格式制作的电子版文本文件。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 一套WORD格式的电子版文本文件。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(d) 一套AutoCAD格式的设计图形文件。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（2）计算机文件应从网上投递到勘察设计远程招标投标服务系统。同时还要刻录光盘1套，随纸质文本文件一起提交。</w:t>
            </w:r>
          </w:p>
        </w:tc>
        <w:tc>
          <w:tcPr>
            <w:tcW w:w="4742" w:type="dxa"/>
            <w:vAlign w:val="center"/>
          </w:tcPr>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3.3.5 投标文件光盘（备用）</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3.3.6</w:t>
            </w:r>
          </w:p>
        </w:tc>
        <w:tc>
          <w:tcPr>
            <w:tcW w:w="2583" w:type="dxa"/>
            <w:vAlign w:val="center"/>
          </w:tcPr>
          <w:p>
            <w:pPr>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 xml:space="preserve">3.3.6 </w:t>
            </w:r>
            <w:r>
              <w:rPr>
                <w:rFonts w:hint="eastAsia" w:asciiTheme="minorEastAsia" w:hAnsiTheme="minorEastAsia" w:eastAsiaTheme="minorEastAsia" w:cstheme="minorEastAsia"/>
                <w:b/>
                <w:color w:val="auto"/>
                <w:szCs w:val="21"/>
                <w:highlight w:val="none"/>
              </w:rPr>
              <w:t>展示图纸</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设计方案展示图纸制作一套，不宜超过幅，内容为表现图、分析示意图、总平面图等，可以水平或垂直展示，图纸规格不宜大于A0（约1189mm×841mm），图纸比例由投标人根据视觉效果自行决定，展示图纸宜裱在轻质板上。</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（2）展示图纸用不透明包装物包装密封，外面标注“项目名称”及“展示图纸”字样。</w:t>
            </w:r>
          </w:p>
        </w:tc>
        <w:tc>
          <w:tcPr>
            <w:tcW w:w="4742" w:type="dxa"/>
            <w:vAlign w:val="center"/>
          </w:tcPr>
          <w:p>
            <w:pPr>
              <w:jc w:val="left"/>
              <w:rPr>
                <w:rFonts w:asciiTheme="minorEastAsia" w:hAnsiTheme="minorEastAsia" w:eastAsiaTheme="minorEastAsia" w:cstheme="minorEastAsia"/>
                <w:dstrike/>
                <w:color w:val="auto"/>
                <w:szCs w:val="21"/>
                <w:highlight w:val="none"/>
              </w:rPr>
            </w:pPr>
            <w:r>
              <w:rPr>
                <w:rFonts w:hint="eastAsia" w:asciiTheme="minorEastAsia" w:hAnsiTheme="minorEastAsia" w:eastAsiaTheme="minorEastAsia" w:cstheme="minorEastAsia"/>
                <w:color w:val="auto"/>
                <w:szCs w:val="21"/>
                <w:highlight w:val="none"/>
              </w:rPr>
              <w:t xml:space="preserve">3.3.6 </w:t>
            </w:r>
            <w:r>
              <w:rPr>
                <w:rFonts w:hint="eastAsia" w:asciiTheme="minorEastAsia" w:hAnsiTheme="minorEastAsia" w:eastAsiaTheme="minorEastAsia" w:cstheme="minorEastAsia"/>
                <w:b/>
                <w:color w:val="auto"/>
                <w:szCs w:val="21"/>
                <w:highlight w:val="none"/>
              </w:rPr>
              <w:t>展示图纸</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不单独提供展示图，所有展示图编入投标文件。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 投标人□需要/□不需要提交投标保证金元，投标保证金于年月日前交到。</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3.4.1投标人■不需要提交投标保证金。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2583" w:type="dxa"/>
            <w:vAlign w:val="center"/>
          </w:tcPr>
          <w:p>
            <w:pPr>
              <w:jc w:val="left"/>
              <w:rPr>
                <w:rFonts w:hint="eastAsia" w:asciiTheme="minorEastAsia" w:hAnsiTheme="minorEastAsia" w:eastAsiaTheme="minorEastAsia" w:cstheme="minorEastAsia"/>
                <w:color w:val="auto"/>
                <w:szCs w:val="21"/>
                <w:highlight w:val="none"/>
              </w:rPr>
            </w:pPr>
          </w:p>
        </w:tc>
        <w:tc>
          <w:tcPr>
            <w:tcW w:w="4742" w:type="dxa"/>
            <w:vAlign w:val="center"/>
          </w:tcPr>
          <w:p>
            <w:pPr>
              <w:jc w:val="left"/>
              <w:rPr>
                <w:color w:val="auto"/>
                <w:highlight w:val="none"/>
              </w:rPr>
            </w:pPr>
            <w:r>
              <w:rPr>
                <w:rFonts w:hint="eastAsia"/>
                <w:color w:val="auto"/>
                <w:highlight w:val="none"/>
              </w:rPr>
              <w:t>3.5开标文件编制要求</w:t>
            </w:r>
          </w:p>
          <w:p>
            <w:pPr>
              <w:jc w:val="left"/>
              <w:rPr>
                <w:color w:val="auto"/>
                <w:highlight w:val="none"/>
              </w:rPr>
            </w:pPr>
            <w:r>
              <w:rPr>
                <w:rFonts w:hint="eastAsia"/>
                <w:color w:val="auto"/>
                <w:highlight w:val="none"/>
              </w:rPr>
              <w:t>3.5.1开标文件由下列资料组成：</w:t>
            </w:r>
          </w:p>
          <w:p>
            <w:pPr>
              <w:jc w:val="left"/>
              <w:rPr>
                <w:color w:val="auto"/>
                <w:highlight w:val="none"/>
              </w:rPr>
            </w:pPr>
            <w:r>
              <w:rPr>
                <w:rFonts w:hint="eastAsia"/>
                <w:color w:val="auto"/>
                <w:highlight w:val="none"/>
              </w:rPr>
              <w:t>（1）《投标书》（格式见附录</w:t>
            </w:r>
            <w:r>
              <w:rPr>
                <w:rFonts w:hint="default"/>
                <w:color w:val="auto"/>
                <w:highlight w:val="none"/>
                <w:lang w:val="en-US"/>
              </w:rPr>
              <w:t>7</w:t>
            </w:r>
            <w:r>
              <w:rPr>
                <w:rFonts w:hint="eastAsia"/>
                <w:color w:val="auto"/>
                <w:highlight w:val="none"/>
              </w:rPr>
              <w:t>，填妥并签名盖章）。</w:t>
            </w:r>
          </w:p>
          <w:p>
            <w:pPr>
              <w:jc w:val="left"/>
              <w:rPr>
                <w:color w:val="auto"/>
                <w:highlight w:val="none"/>
              </w:rPr>
            </w:pPr>
            <w:r>
              <w:rPr>
                <w:rFonts w:hint="eastAsia"/>
                <w:color w:val="auto"/>
                <w:highlight w:val="none"/>
              </w:rPr>
              <w:t>（2）《联合体共同投标协议》(如有）（格式见附录</w:t>
            </w:r>
            <w:r>
              <w:rPr>
                <w:rFonts w:hint="default"/>
                <w:color w:val="auto"/>
                <w:highlight w:val="none"/>
                <w:lang w:val="en-US"/>
              </w:rPr>
              <w:t>8</w:t>
            </w:r>
            <w:r>
              <w:rPr>
                <w:rFonts w:hint="eastAsia"/>
                <w:color w:val="auto"/>
                <w:highlight w:val="none"/>
              </w:rPr>
              <w:t>，联合体投标时递交，填妥并由联合体各方共同签名盖章）。</w:t>
            </w:r>
          </w:p>
          <w:p>
            <w:pPr>
              <w:jc w:val="left"/>
              <w:rPr>
                <w:rFonts w:hint="eastAsia"/>
                <w:color w:val="auto"/>
                <w:highlight w:val="none"/>
              </w:rPr>
            </w:pPr>
            <w:r>
              <w:rPr>
                <w:rFonts w:hint="eastAsia"/>
                <w:color w:val="auto"/>
                <w:highlight w:val="none"/>
              </w:rPr>
              <w:t>（3）勘察设计费报价表（格式见附录</w:t>
            </w:r>
            <w:r>
              <w:rPr>
                <w:rFonts w:hint="default"/>
                <w:color w:val="auto"/>
                <w:highlight w:val="none"/>
                <w:lang w:val="en-US"/>
              </w:rPr>
              <w:t>5</w:t>
            </w:r>
            <w:r>
              <w:rPr>
                <w:rFonts w:hint="eastAsia"/>
                <w:color w:val="auto"/>
                <w:highlight w:val="none"/>
              </w:rPr>
              <w:t>）。</w:t>
            </w:r>
          </w:p>
          <w:p>
            <w:pPr>
              <w:jc w:val="left"/>
              <w:rPr>
                <w:rFonts w:hint="eastAsia"/>
                <w:color w:val="auto"/>
                <w:highlight w:val="none"/>
              </w:rPr>
            </w:pPr>
            <w:r>
              <w:rPr>
                <w:rFonts w:hint="eastAsia" w:asciiTheme="minorEastAsia" w:hAnsiTheme="minorEastAsia" w:eastAsiaTheme="minorEastAsia" w:cstheme="minorEastAsia"/>
                <w:color w:val="auto"/>
                <w:szCs w:val="21"/>
                <w:highlight w:val="none"/>
                <w:u w:val="single"/>
              </w:rPr>
              <w:t>3.5.2 开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投标人有下列情况之一的，招标人将拒绝接收投标人的投标文件：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在投标截止期后逾期或未在指定地点递交投标文件的。</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 投标文件未按招标文件要求密封的。</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 项目负责人未携本人身份证原件准时出席收标会或未按要求签到的。</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(d) 在投标截止时，投标人代表未同时凭法定代表人证明书原件、法定代表人授权委托书原件（非法定代表人参加时提供）、本人身份证原件递交投标文件的。</w:t>
            </w:r>
          </w:p>
        </w:tc>
        <w:tc>
          <w:tcPr>
            <w:tcW w:w="4742" w:type="dxa"/>
            <w:vAlign w:val="center"/>
          </w:tcPr>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投标人有下列情况之一的，招标人将拒绝接收投标人的投标文件或者投标文件光盘：</w:t>
            </w:r>
          </w:p>
          <w:p>
            <w:pPr>
              <w:jc w:val="lef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(a)在投标截止期后逾期或未在指定交易平台递交电子投标文件的，招标人（或招标代理）拒绝接收其电子投标文件。</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b)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w:t>
            </w:r>
            <w:r>
              <w:rPr>
                <w:rFonts w:hint="eastAsia" w:ascii="宋体" w:hAnsi="宋体"/>
                <w:color w:val="auto"/>
                <w:szCs w:val="21"/>
                <w:highlight w:val="none"/>
              </w:rPr>
              <w:t>商务文件封面未盖投标人公章</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（b）投标人与其他投标人加密打包投标文件电脑机器特征码一致的。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583" w:type="dxa"/>
            <w:vAlign w:val="center"/>
          </w:tcPr>
          <w:p>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（i）未按照招标文件要求提交投标保证金的。</w:t>
            </w:r>
          </w:p>
        </w:tc>
        <w:tc>
          <w:tcPr>
            <w:tcW w:w="4742" w:type="dxa"/>
            <w:vAlign w:val="center"/>
          </w:tcPr>
          <w:p>
            <w:pPr>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（a）投标人在设计方案内标注名称、印章、商标等记认符号，使人辨认出投标人或其专业技术人员的身份。</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w:t>
            </w:r>
            <w:r>
              <w:rPr>
                <w:rFonts w:hint="eastAsia" w:ascii="宋体" w:hAnsi="宋体"/>
                <w:color w:val="auto"/>
                <w:szCs w:val="21"/>
                <w:highlight w:val="none"/>
              </w:rPr>
              <w:t>投标人在设计方案内标注名称、印章、商标</w:t>
            </w:r>
            <w:r>
              <w:rPr>
                <w:rFonts w:hint="eastAsia" w:ascii="宋体" w:hAnsi="宋体" w:cs="宋体"/>
                <w:color w:val="auto"/>
                <w:szCs w:val="21"/>
                <w:highlight w:val="none"/>
                <w:u w:val="single"/>
              </w:rPr>
              <w:t>、图形</w:t>
            </w:r>
            <w:r>
              <w:rPr>
                <w:rFonts w:hint="eastAsia" w:ascii="宋体" w:hAnsi="宋体"/>
                <w:color w:val="auto"/>
                <w:szCs w:val="21"/>
                <w:highlight w:val="none"/>
              </w:rPr>
              <w:t xml:space="preserve">等记认符号，使人辨认出投标人或其专业技术人员的身份。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5.1.1</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5.1.1评标委员会由广州建设工程交易中心专家库随机抽取的专家名和业主代表名组成，共名。</w:t>
            </w:r>
          </w:p>
        </w:tc>
        <w:tc>
          <w:tcPr>
            <w:tcW w:w="4742"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5.1.1评标委员会由招标人依法组建。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5.2.5</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5.2.5如果少数投标人超越招标文件要求提交了模型、演示动画、特殊规格展示图纸或发生其他特殊情况，评标委员会可以对超越招标文件要求的内容不进行评审，只评审该投标文件符合要求的内容。</w:t>
            </w:r>
          </w:p>
        </w:tc>
        <w:tc>
          <w:tcPr>
            <w:tcW w:w="4742"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u w:val="single"/>
              </w:rPr>
              <w:t>5.2.5如果少数投标人超越招标文件要求提交了模型、演示动画、特殊规格展示图纸或发生其他特殊情况，评标委员会对超越招标文件要求的内容不进行评审，只评审该投标文件符合要求的内容。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5.3评标办法 采用</w:t>
            </w:r>
          </w:p>
        </w:tc>
        <w:tc>
          <w:tcPr>
            <w:tcW w:w="4742" w:type="dxa"/>
            <w:vAlign w:val="center"/>
          </w:tcPr>
          <w:p>
            <w:pPr>
              <w:spacing w:line="240" w:lineRule="auto"/>
              <w:jc w:val="left"/>
              <w:rPr>
                <w:rFonts w:hint="eastAsia" w:ascii="宋体" w:hAnsi="宋体" w:eastAsia="宋体"/>
                <w:b/>
                <w:bCs/>
                <w:color w:val="auto"/>
                <w:szCs w:val="21"/>
                <w:highlight w:val="none"/>
                <w:lang w:eastAsia="zh-CN"/>
              </w:rPr>
            </w:pPr>
            <w:r>
              <w:rPr>
                <w:rFonts w:hint="eastAsia" w:ascii="宋体" w:hAnsi="宋体"/>
                <w:b/>
                <w:bCs/>
                <w:color w:val="auto"/>
                <w:szCs w:val="21"/>
                <w:highlight w:val="none"/>
              </w:rPr>
              <w:t>评标办法 采用</w:t>
            </w:r>
            <w:r>
              <w:rPr>
                <w:rFonts w:hint="eastAsia" w:ascii="宋体" w:hAnsi="宋体" w:cs="宋体"/>
                <w:b/>
                <w:bCs/>
                <w:color w:val="auto"/>
                <w:szCs w:val="21"/>
                <w:highlight w:val="none"/>
                <w:u w:val="single"/>
              </w:rPr>
              <w:t>办法</w:t>
            </w:r>
            <w:r>
              <w:rPr>
                <w:rFonts w:hint="eastAsia" w:ascii="宋体" w:hAnsi="宋体" w:cs="宋体"/>
                <w:b/>
                <w:bCs/>
                <w:color w:val="auto"/>
                <w:szCs w:val="21"/>
                <w:highlight w:val="none"/>
                <w:u w:val="single"/>
                <w:lang w:eastAsia="zh-CN"/>
              </w:rPr>
              <w:t>二</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办法二   采用投票法评标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  开标评标程序</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5.3.1.2.截标后，开标开始时间因故推迟的，相关评标信息仍以原定的开标开始时间的信息为准。</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5.3.1.3备用光盘的读取按2.11.2的规定执行。</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5.3.1.6参加现场开标的投标人对开标结果有异议的，应当在开标现场提出，同时出示本人身份证原件，招标人应当当场作出答复，并制作记录。</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5.3.1.7参加在线开标的投标人对开标结果有异议的，投标人应通过广交易建设工程电子交易系统在线提出，招标人应通过广交易建设工程电子交易系统答复，异议答复是招标人真实意思表示。未答复的，开标程序不得结束,答复后方可结束开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注：1.具体操作详见“广州交易集团有限公司（广州公共资源交易中心）门户网站首页-&gt;服务指南-&gt;系统帮助-&gt;操作手册-&gt;发起及受理异议操作指引”。</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5.3.1.8投标人未参加开标或在规定的时间内未提出异议的，视为对开标无异议。</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5.3.1.9开标时，两个（含两个）以上的投标人加密打包投标文件电脑机器特征码一致的，由评标委员会确定其为废标。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5.3.1.11开标时，出现下列情形之一的投标人，不参与下一程序，其投标文件作无效处理：</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（1）未成功递交或因投标人原因未成功导入投标文件的；</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（2）因投标人原因造成投标文件未解密的。</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5.3.2 技术文件开标时不得开启，在评标时由广州公共资源交易中心电子评标系统自动生成技术文件的暗标编码后开启，交由评标委员会以暗标形式进行评审，不需要投标人派代表介绍投标方案。</w:t>
            </w:r>
          </w:p>
          <w:p>
            <w:pPr>
              <w:jc w:val="left"/>
              <w:rPr>
                <w:rFonts w:ascii="宋体" w:hAnsi="宋体" w:cs="宋体"/>
                <w:color w:val="auto"/>
                <w:szCs w:val="21"/>
                <w:highlight w:val="none"/>
                <w:u w:val="single"/>
              </w:rPr>
            </w:pP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(d) 评标委员会专家对各投标单位的技术文件（设计方案）进行综合评审。评审之后，以差额选举逐轮淘汰的记名投票方式选出投标方案的排序。(评标表格详见附录17、附录18、附录19)</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(e) 评标委员会揭晓投标人身份。</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(g) 招标人（或招标代理机构）提前将揭晓评标结果的会议时间和地点通知所有投标人，并邀请投标人出席。公开展示所有投标文件及其评审名次，并根据请求告知已投标但未出席会议的投标人。</w:t>
            </w:r>
          </w:p>
          <w:p>
            <w:pPr>
              <w:jc w:val="lef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u w:val="single"/>
              </w:rPr>
              <w:t>(h ) 评标委员会向招标人提交书面评标报告后即告解散，评标过程中使用的文件、表格以及其他资料应当即时归还招标人（或招标代理机构）。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5.4.2</w:t>
            </w:r>
          </w:p>
        </w:tc>
        <w:tc>
          <w:tcPr>
            <w:tcW w:w="2583" w:type="dxa"/>
            <w:vAlign w:val="center"/>
          </w:tcPr>
          <w:p>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5.4.2  招标人采用下面方法确定中标人：</w:t>
            </w:r>
          </w:p>
          <w:p>
            <w:pPr>
              <w:spacing w:line="40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□（a）招标人委托评标委员会直接确定中标人；</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5.4.2  招标人采用下面方法确定中标人：</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□（a）招标人委托评标委员会直接确定中标人；</w:t>
            </w:r>
          </w:p>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5.5（a）</w:t>
            </w:r>
          </w:p>
        </w:tc>
        <w:tc>
          <w:tcPr>
            <w:tcW w:w="2583"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递交投标文件或通过资格审查的投标人不足五人；</w:t>
            </w:r>
          </w:p>
        </w:tc>
        <w:tc>
          <w:tcPr>
            <w:tcW w:w="4742" w:type="dxa"/>
            <w:vAlign w:val="center"/>
          </w:tcPr>
          <w:p>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递交投标文件或通过资格审查的投标人不足</w:t>
            </w:r>
            <w:r>
              <w:rPr>
                <w:rFonts w:hint="eastAsia" w:asciiTheme="minorEastAsia" w:hAnsiTheme="minorEastAsia" w:eastAsiaTheme="minorEastAsia" w:cstheme="minorEastAsia"/>
                <w:color w:val="auto"/>
                <w:szCs w:val="21"/>
                <w:highlight w:val="none"/>
                <w:u w:val="single"/>
              </w:rPr>
              <w:t>三</w:t>
            </w:r>
            <w:r>
              <w:rPr>
                <w:rFonts w:hint="eastAsia" w:asciiTheme="minorEastAsia" w:hAnsiTheme="minorEastAsia" w:eastAsiaTheme="minorEastAsia" w:cstheme="minorEastAsia"/>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附录4</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正式投标人名单</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附录5</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勘察设计费报价表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附录9</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投标人已完成项目情况</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附录10</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本项目拟投入的人员基本情况表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附录12</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资格审查表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附录13</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商务文件有效性审查表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附录14</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商务文件综合评分表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附录15</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技术文件有效性审查表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s="宋体"/>
                <w:color w:val="auto"/>
                <w:highlight w:val="none"/>
              </w:rPr>
              <w:t>附录16</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技术文件综合评分表</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附录17</w:t>
            </w:r>
          </w:p>
        </w:tc>
        <w:tc>
          <w:tcPr>
            <w:tcW w:w="2583"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投票汇总表格</w:t>
            </w:r>
          </w:p>
        </w:tc>
        <w:tc>
          <w:tcPr>
            <w:tcW w:w="4742" w:type="dxa"/>
            <w:vAlign w:val="center"/>
          </w:tcPr>
          <w:p>
            <w:pPr>
              <w:jc w:val="center"/>
              <w:rPr>
                <w:rFonts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附录18</w:t>
            </w:r>
          </w:p>
        </w:tc>
        <w:tc>
          <w:tcPr>
            <w:tcW w:w="2583"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市政工程设计方案评审记录表</w:t>
            </w:r>
          </w:p>
        </w:tc>
        <w:tc>
          <w:tcPr>
            <w:tcW w:w="4742"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附录19</w:t>
            </w:r>
          </w:p>
        </w:tc>
        <w:tc>
          <w:tcPr>
            <w:tcW w:w="2583"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投票表格</w:t>
            </w:r>
          </w:p>
        </w:tc>
        <w:tc>
          <w:tcPr>
            <w:tcW w:w="4742"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2"/>
              </w:numPr>
              <w:ind w:left="425" w:leftChars="0" w:hanging="425" w:firstLineChars="0"/>
              <w:jc w:val="center"/>
              <w:rPr>
                <w:rFonts w:hint="default" w:asciiTheme="minorEastAsia" w:hAnsiTheme="minorEastAsia" w:eastAsiaTheme="minorEastAsia" w:cstheme="minorEastAsia"/>
                <w:color w:val="auto"/>
                <w:szCs w:val="21"/>
                <w:highlight w:val="none"/>
                <w:lang w:val="en-US" w:eastAsia="zh-CN"/>
              </w:rPr>
            </w:pPr>
          </w:p>
        </w:tc>
        <w:tc>
          <w:tcPr>
            <w:tcW w:w="1434"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附录20</w:t>
            </w:r>
          </w:p>
        </w:tc>
        <w:tc>
          <w:tcPr>
            <w:tcW w:w="2583"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基础资料和设计任务书</w:t>
            </w:r>
          </w:p>
        </w:tc>
        <w:tc>
          <w:tcPr>
            <w:tcW w:w="4742" w:type="dxa"/>
            <w:vAlign w:val="center"/>
          </w:tcPr>
          <w:p>
            <w:pPr>
              <w:jc w:val="center"/>
              <w:rPr>
                <w:rFonts w:hint="eastAsia" w:asciiTheme="minorEastAsia" w:hAnsiTheme="minorEastAsia" w:eastAsiaTheme="minorEastAsia" w:cstheme="minorEastAsia"/>
                <w:color w:val="auto"/>
                <w:szCs w:val="21"/>
                <w:highlight w:val="none"/>
              </w:rPr>
            </w:pPr>
            <w:r>
              <w:rPr>
                <w:rFonts w:hint="eastAsia" w:ascii="宋体" w:hAnsi="宋体"/>
                <w:color w:val="auto"/>
                <w:highlight w:val="none"/>
              </w:rPr>
              <w:t>详见附录20</w:t>
            </w:r>
          </w:p>
        </w:tc>
      </w:tr>
    </w:tbl>
    <w:p>
      <w:pPr>
        <w:pStyle w:val="2"/>
        <w:rPr>
          <w:color w:val="auto"/>
          <w:highlight w:val="none"/>
        </w:rPr>
      </w:pPr>
    </w:p>
    <w:p>
      <w:pPr>
        <w:rPr>
          <w:color w:val="auto"/>
          <w:highlight w:val="none"/>
        </w:rPr>
      </w:pPr>
    </w:p>
    <w:p>
      <w:pPr>
        <w:rPr>
          <w:rFonts w:ascii="宋体" w:hAnsi="宋体"/>
          <w:color w:val="auto"/>
          <w:highlight w:val="none"/>
        </w:rPr>
      </w:pPr>
    </w:p>
    <w:p>
      <w:pPr>
        <w:jc w:val="center"/>
        <w:rPr>
          <w:rFonts w:ascii="宋体" w:hAnsi="宋体"/>
          <w:b/>
          <w:color w:val="auto"/>
          <w:sz w:val="32"/>
          <w:highlight w:val="none"/>
        </w:rPr>
      </w:pPr>
      <w:r>
        <w:rPr>
          <w:rFonts w:ascii="宋体" w:hAnsi="宋体"/>
          <w:color w:val="auto"/>
          <w:highlight w:val="none"/>
        </w:rPr>
        <w:br w:type="page"/>
      </w:r>
      <w:r>
        <w:rPr>
          <w:rFonts w:hint="eastAsia" w:ascii="宋体" w:hAnsi="宋体"/>
          <w:b/>
          <w:color w:val="auto"/>
          <w:sz w:val="32"/>
          <w:highlight w:val="none"/>
        </w:rPr>
        <w:t>目  录</w:t>
      </w:r>
    </w:p>
    <w:p>
      <w:pPr>
        <w:rPr>
          <w:rFonts w:ascii="宋体" w:hAnsi="宋体"/>
          <w:color w:val="auto"/>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第一章  招标公告  ┈┈┈┈┈┈┈┈┈┈┈┈┈┈┈┈┈┈┈┈┈┈┈┈┈</w:t>
      </w:r>
    </w:p>
    <w:p>
      <w:pPr>
        <w:spacing w:line="360" w:lineRule="auto"/>
        <w:rPr>
          <w:rFonts w:ascii="宋体" w:hAnsi="宋体"/>
          <w:color w:val="auto"/>
          <w:sz w:val="24"/>
          <w:highlight w:val="none"/>
        </w:rPr>
      </w:pPr>
      <w:r>
        <w:rPr>
          <w:rFonts w:hint="eastAsia" w:ascii="宋体" w:hAnsi="宋体"/>
          <w:color w:val="auto"/>
          <w:sz w:val="24"/>
          <w:highlight w:val="none"/>
        </w:rPr>
        <w:t>第二章  招标说明  ┈┈┈┈┈┈┈┈┈┈┈┈┈┈┈┈┈┈┈┈┈┈┈┈┈</w:t>
      </w:r>
    </w:p>
    <w:p>
      <w:pPr>
        <w:spacing w:line="360" w:lineRule="auto"/>
        <w:rPr>
          <w:rFonts w:ascii="宋体" w:hAnsi="宋体"/>
          <w:color w:val="auto"/>
          <w:sz w:val="24"/>
          <w:highlight w:val="none"/>
        </w:rPr>
      </w:pPr>
      <w:r>
        <w:rPr>
          <w:rFonts w:hint="eastAsia" w:ascii="宋体" w:hAnsi="宋体"/>
          <w:color w:val="auto"/>
          <w:sz w:val="24"/>
          <w:highlight w:val="none"/>
        </w:rPr>
        <w:t>第三章  投标文件编制要求  ┈┈┈┈┈┈┈┈┈┈┈┈┈┈┈┈┈┈┈┈┈</w:t>
      </w:r>
    </w:p>
    <w:p>
      <w:pPr>
        <w:spacing w:line="360" w:lineRule="auto"/>
        <w:rPr>
          <w:rFonts w:ascii="宋体" w:hAnsi="宋体"/>
          <w:color w:val="auto"/>
          <w:sz w:val="24"/>
          <w:highlight w:val="none"/>
        </w:rPr>
      </w:pPr>
      <w:r>
        <w:rPr>
          <w:rFonts w:hint="eastAsia" w:ascii="宋体" w:hAnsi="宋体"/>
          <w:color w:val="auto"/>
          <w:sz w:val="24"/>
          <w:highlight w:val="none"/>
        </w:rPr>
        <w:t>第四章  废标条款  ┈┈┈┈┈┈┈┈┈┈┈┈┈┈┈┈┈┈┈┈┈┈┈┈┈</w:t>
      </w:r>
    </w:p>
    <w:p>
      <w:pPr>
        <w:spacing w:line="360" w:lineRule="auto"/>
        <w:rPr>
          <w:rFonts w:ascii="宋体" w:hAnsi="宋体"/>
          <w:color w:val="auto"/>
          <w:sz w:val="24"/>
          <w:highlight w:val="none"/>
        </w:rPr>
      </w:pPr>
      <w:r>
        <w:rPr>
          <w:rFonts w:hint="eastAsia" w:ascii="宋体" w:hAnsi="宋体"/>
          <w:color w:val="auto"/>
          <w:sz w:val="24"/>
          <w:highlight w:val="none"/>
        </w:rPr>
        <w:t xml:space="preserve">第五章  开标评标定标  ┈┈┈┈┈┈┈┈┈┈┈┈┈┈┈┈┈┈┈┈┈┈  </w:t>
      </w:r>
    </w:p>
    <w:p>
      <w:pPr>
        <w:spacing w:line="360" w:lineRule="auto"/>
        <w:rPr>
          <w:rFonts w:ascii="宋体" w:hAnsi="宋体"/>
          <w:color w:val="auto"/>
          <w:sz w:val="24"/>
          <w:highlight w:val="none"/>
        </w:rPr>
      </w:pPr>
      <w:r>
        <w:rPr>
          <w:rFonts w:hint="eastAsia" w:ascii="宋体" w:hAnsi="宋体"/>
          <w:color w:val="auto"/>
          <w:sz w:val="24"/>
          <w:highlight w:val="none"/>
        </w:rPr>
        <w:t>第六章  合同主要条款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附录1  投标申请表（申请人、资质、机构简介）  ┈┈┈┈┈┈┈┈┈┈┈</w:t>
      </w:r>
    </w:p>
    <w:p>
      <w:pPr>
        <w:spacing w:line="360" w:lineRule="auto"/>
        <w:rPr>
          <w:rFonts w:ascii="宋体" w:hAnsi="宋体"/>
          <w:color w:val="auto"/>
          <w:sz w:val="24"/>
          <w:highlight w:val="none"/>
        </w:rPr>
      </w:pPr>
      <w:r>
        <w:rPr>
          <w:rFonts w:hint="eastAsia" w:ascii="宋体" w:hAnsi="宋体"/>
          <w:color w:val="auto"/>
          <w:sz w:val="24"/>
          <w:highlight w:val="none"/>
        </w:rPr>
        <w:t>附录2  投标申请表（投标人的业绩）  ┈┈┈┈┈┈┈┈┈┈┈┈┈┈┈┈</w:t>
      </w:r>
    </w:p>
    <w:p>
      <w:pPr>
        <w:spacing w:line="360" w:lineRule="auto"/>
        <w:rPr>
          <w:rFonts w:ascii="宋体" w:hAnsi="宋体"/>
          <w:color w:val="auto"/>
          <w:sz w:val="24"/>
          <w:highlight w:val="none"/>
        </w:rPr>
      </w:pPr>
      <w:r>
        <w:rPr>
          <w:rFonts w:hint="eastAsia" w:ascii="宋体" w:hAnsi="宋体"/>
          <w:color w:val="auto"/>
          <w:sz w:val="24"/>
          <w:highlight w:val="none"/>
        </w:rPr>
        <w:t>附录3  投标申请表（关键人员配备）  ┈┈┈┈┈┈┈┈┈┈┈┈┈┈┈┈</w:t>
      </w:r>
    </w:p>
    <w:p>
      <w:pPr>
        <w:spacing w:line="360" w:lineRule="auto"/>
        <w:rPr>
          <w:rFonts w:ascii="宋体" w:hAnsi="宋体"/>
          <w:color w:val="auto"/>
          <w:sz w:val="24"/>
          <w:highlight w:val="none"/>
        </w:rPr>
      </w:pPr>
      <w:r>
        <w:rPr>
          <w:rFonts w:hint="eastAsia" w:ascii="宋体" w:hAnsi="宋体"/>
          <w:color w:val="auto"/>
          <w:sz w:val="24"/>
          <w:highlight w:val="none"/>
        </w:rPr>
        <w:t>附录4  正式投标人名单  ┈┈┈┈┈┈┈┈┈┈┈┈┈┈┈┈┈┈┈┈┈┈</w:t>
      </w:r>
    </w:p>
    <w:p>
      <w:pPr>
        <w:spacing w:line="360" w:lineRule="auto"/>
        <w:rPr>
          <w:rFonts w:ascii="宋体" w:hAnsi="宋体"/>
          <w:color w:val="auto"/>
          <w:sz w:val="24"/>
          <w:highlight w:val="none"/>
        </w:rPr>
      </w:pPr>
      <w:r>
        <w:rPr>
          <w:rFonts w:hint="eastAsia" w:ascii="宋体" w:hAnsi="宋体"/>
          <w:color w:val="auto"/>
          <w:sz w:val="24"/>
          <w:highlight w:val="none"/>
        </w:rPr>
        <w:t>附录5  勘察设计费报价表┈┈┈┈┈┈┈┈┈┈┈┈┈┈┈┈┈┈┈┈┈┈</w:t>
      </w:r>
    </w:p>
    <w:p>
      <w:pPr>
        <w:spacing w:line="360" w:lineRule="auto"/>
        <w:rPr>
          <w:rFonts w:ascii="宋体" w:hAnsi="宋体"/>
          <w:color w:val="auto"/>
          <w:sz w:val="24"/>
          <w:highlight w:val="none"/>
        </w:rPr>
      </w:pPr>
      <w:r>
        <w:rPr>
          <w:rFonts w:hint="eastAsia" w:ascii="宋体" w:hAnsi="宋体"/>
          <w:color w:val="auto"/>
          <w:sz w:val="24"/>
          <w:highlight w:val="none"/>
        </w:rPr>
        <w:t>附录7  投标书  ┈┈┈┈┈┈┈┈┈┈┈┈┈┈┈┈┈┈┈┈┈┈┈┈┈┈</w:t>
      </w:r>
    </w:p>
    <w:p>
      <w:pPr>
        <w:spacing w:line="360" w:lineRule="auto"/>
        <w:rPr>
          <w:rFonts w:ascii="宋体" w:hAnsi="宋体"/>
          <w:color w:val="auto"/>
          <w:sz w:val="24"/>
          <w:highlight w:val="none"/>
        </w:rPr>
      </w:pPr>
      <w:r>
        <w:rPr>
          <w:rFonts w:hint="eastAsia" w:ascii="宋体" w:hAnsi="宋体"/>
          <w:color w:val="auto"/>
          <w:sz w:val="24"/>
          <w:highlight w:val="none"/>
        </w:rPr>
        <w:t>附录8  联合体共同投标协议  ┈┈┈┈┈┈┈┈┈┈┈┈┈┈┈┈┈┈┈┈</w:t>
      </w:r>
    </w:p>
    <w:p>
      <w:pPr>
        <w:spacing w:line="360" w:lineRule="auto"/>
        <w:rPr>
          <w:rFonts w:ascii="宋体" w:hAnsi="宋体"/>
          <w:color w:val="auto"/>
          <w:sz w:val="24"/>
          <w:highlight w:val="none"/>
        </w:rPr>
      </w:pPr>
      <w:r>
        <w:rPr>
          <w:rFonts w:hint="eastAsia" w:ascii="宋体" w:hAnsi="宋体"/>
          <w:color w:val="auto"/>
          <w:sz w:val="24"/>
          <w:highlight w:val="none"/>
        </w:rPr>
        <w:t>附录9  投标人已完成项目情况  ┈┈┈┈┈┈┈┈┈┈┈┈┈┈┈┈┈┈┈</w:t>
      </w:r>
    </w:p>
    <w:p>
      <w:pPr>
        <w:spacing w:line="360" w:lineRule="auto"/>
        <w:rPr>
          <w:rFonts w:ascii="宋体" w:hAnsi="宋体"/>
          <w:color w:val="auto"/>
          <w:sz w:val="24"/>
          <w:highlight w:val="none"/>
        </w:rPr>
      </w:pPr>
      <w:r>
        <w:rPr>
          <w:rFonts w:hint="eastAsia" w:ascii="宋体" w:hAnsi="宋体"/>
          <w:color w:val="auto"/>
          <w:sz w:val="24"/>
          <w:highlight w:val="none"/>
        </w:rPr>
        <w:t>附录10 本项目拟投入的人员基本情况表  ┈┈┈┈┈┈┈┈┈┈┈┈┈┈┈</w:t>
      </w:r>
    </w:p>
    <w:p>
      <w:pPr>
        <w:spacing w:line="360" w:lineRule="auto"/>
        <w:rPr>
          <w:rFonts w:ascii="宋体" w:hAnsi="宋体"/>
          <w:color w:val="auto"/>
          <w:sz w:val="24"/>
          <w:highlight w:val="none"/>
        </w:rPr>
      </w:pPr>
      <w:r>
        <w:rPr>
          <w:rFonts w:hint="eastAsia" w:ascii="宋体" w:hAnsi="宋体"/>
          <w:color w:val="auto"/>
          <w:sz w:val="24"/>
          <w:highlight w:val="none"/>
        </w:rPr>
        <w:t>附录11 投标文件接收记录表格  ┈┈┈┈┈┈┈┈┈┈┈┈┈┈┈┈┈┈┈</w:t>
      </w:r>
    </w:p>
    <w:p>
      <w:pPr>
        <w:spacing w:line="360" w:lineRule="auto"/>
        <w:rPr>
          <w:rFonts w:ascii="宋体" w:hAnsi="宋体"/>
          <w:color w:val="auto"/>
          <w:sz w:val="24"/>
          <w:highlight w:val="none"/>
        </w:rPr>
      </w:pPr>
      <w:r>
        <w:rPr>
          <w:rFonts w:hint="eastAsia" w:ascii="宋体" w:hAnsi="宋体"/>
          <w:color w:val="auto"/>
          <w:sz w:val="24"/>
          <w:highlight w:val="none"/>
        </w:rPr>
        <w:t>附录12 资格审查表  ┈┈┈┈┈┈┈┈┈┈┈┈┈┈┈┈┈┈┈┈┈┈┈┈</w:t>
      </w:r>
    </w:p>
    <w:p>
      <w:pPr>
        <w:spacing w:line="360" w:lineRule="auto"/>
        <w:rPr>
          <w:rFonts w:ascii="宋体" w:hAnsi="宋体"/>
          <w:color w:val="auto"/>
          <w:sz w:val="24"/>
          <w:highlight w:val="none"/>
        </w:rPr>
      </w:pPr>
      <w:r>
        <w:rPr>
          <w:rFonts w:hint="eastAsia" w:ascii="宋体" w:hAnsi="宋体"/>
          <w:color w:val="auto"/>
          <w:sz w:val="24"/>
          <w:highlight w:val="none"/>
        </w:rPr>
        <w:t>附录13 商务文件有效性审查表  ┈┈┈┈┈┈┈┈┈┈┈┈┈┈┈┈┈┈┈</w:t>
      </w:r>
    </w:p>
    <w:p>
      <w:pPr>
        <w:spacing w:line="360" w:lineRule="auto"/>
        <w:rPr>
          <w:rFonts w:ascii="宋体" w:hAnsi="宋体"/>
          <w:color w:val="auto"/>
          <w:sz w:val="24"/>
          <w:highlight w:val="none"/>
        </w:rPr>
      </w:pPr>
      <w:r>
        <w:rPr>
          <w:rFonts w:hint="eastAsia" w:ascii="宋体" w:hAnsi="宋体"/>
          <w:color w:val="auto"/>
          <w:sz w:val="24"/>
          <w:highlight w:val="none"/>
        </w:rPr>
        <w:t>附录14 商务文件综合评分表  ┈┈┈┈┈┈┈┈┈┈┈┈┈┈┈┈┈┈┈┈</w:t>
      </w:r>
    </w:p>
    <w:p>
      <w:pPr>
        <w:spacing w:line="360" w:lineRule="auto"/>
        <w:rPr>
          <w:rFonts w:ascii="宋体" w:hAnsi="宋体"/>
          <w:color w:val="auto"/>
          <w:sz w:val="24"/>
          <w:highlight w:val="none"/>
        </w:rPr>
      </w:pPr>
      <w:r>
        <w:rPr>
          <w:rFonts w:hint="eastAsia" w:ascii="宋体" w:hAnsi="宋体"/>
          <w:color w:val="auto"/>
          <w:sz w:val="24"/>
          <w:highlight w:val="none"/>
        </w:rPr>
        <w:t>附录15 技术文件有效性审查表  ┈┈┈┈┈┈┈┈┈┈┈┈┈┈┈┈┈┈┈</w:t>
      </w:r>
    </w:p>
    <w:p>
      <w:pPr>
        <w:spacing w:line="360" w:lineRule="auto"/>
        <w:rPr>
          <w:rFonts w:ascii="宋体" w:hAnsi="宋体"/>
          <w:color w:val="auto"/>
          <w:sz w:val="24"/>
          <w:highlight w:val="none"/>
        </w:rPr>
      </w:pPr>
      <w:r>
        <w:rPr>
          <w:rFonts w:hint="eastAsia" w:ascii="宋体" w:hAnsi="宋体"/>
          <w:color w:val="auto"/>
          <w:sz w:val="24"/>
          <w:highlight w:val="none"/>
        </w:rPr>
        <w:t>附录16 技术文件综合评分表  ┈┈┈┈┈┈┈┈┈┈┈┈┈┈┈┈┈┈┈┈</w:t>
      </w:r>
    </w:p>
    <w:p>
      <w:pPr>
        <w:spacing w:line="360" w:lineRule="auto"/>
        <w:rPr>
          <w:rFonts w:ascii="宋体" w:hAnsi="宋体"/>
          <w:color w:val="auto"/>
          <w:sz w:val="24"/>
          <w:highlight w:val="none"/>
        </w:rPr>
      </w:pPr>
      <w:r>
        <w:rPr>
          <w:rFonts w:hint="eastAsia" w:ascii="宋体" w:hAnsi="宋体"/>
          <w:color w:val="auto"/>
          <w:sz w:val="24"/>
          <w:highlight w:val="none"/>
        </w:rPr>
        <w:t>附录17 投票汇总表  ┈┈┈┈┈┈┈┈┈┈┈┈┈┈┈┈┈┈┈┈┈┈┈┈</w:t>
      </w:r>
    </w:p>
    <w:p>
      <w:pPr>
        <w:spacing w:line="360" w:lineRule="auto"/>
        <w:rPr>
          <w:rFonts w:ascii="宋体" w:hAnsi="宋体"/>
          <w:color w:val="auto"/>
          <w:sz w:val="24"/>
          <w:highlight w:val="none"/>
        </w:rPr>
      </w:pPr>
      <w:r>
        <w:rPr>
          <w:rFonts w:hint="eastAsia" w:ascii="宋体" w:hAnsi="宋体"/>
          <w:color w:val="auto"/>
          <w:sz w:val="24"/>
          <w:highlight w:val="none"/>
        </w:rPr>
        <w:t>附录18 市政工程设计方案评审记录表  ┈┈┈┈┈┈┈┈┈┈┈┈┈┈┈┈</w:t>
      </w:r>
    </w:p>
    <w:p>
      <w:pPr>
        <w:spacing w:line="360" w:lineRule="auto"/>
        <w:rPr>
          <w:rFonts w:ascii="宋体" w:hAnsi="宋体"/>
          <w:color w:val="auto"/>
          <w:sz w:val="24"/>
          <w:highlight w:val="none"/>
        </w:rPr>
      </w:pPr>
      <w:r>
        <w:rPr>
          <w:rFonts w:hint="eastAsia" w:ascii="宋体" w:hAnsi="宋体"/>
          <w:color w:val="auto"/>
          <w:sz w:val="24"/>
          <w:highlight w:val="none"/>
        </w:rPr>
        <w:t>附录19 投票表格  ┈┈┈┈┈┈┈┈┈┈┈┈┈┈┈┈┈┈┈┈┈┈┈┈┈</w:t>
      </w:r>
    </w:p>
    <w:p>
      <w:pPr>
        <w:rPr>
          <w:rFonts w:ascii="宋体" w:hAnsi="宋体"/>
          <w:color w:val="auto"/>
          <w:sz w:val="24"/>
          <w:highlight w:val="none"/>
        </w:rPr>
      </w:pPr>
      <w:r>
        <w:rPr>
          <w:rFonts w:hint="eastAsia" w:ascii="宋体" w:hAnsi="宋体"/>
          <w:color w:val="auto"/>
          <w:sz w:val="24"/>
          <w:highlight w:val="none"/>
        </w:rPr>
        <w:t>附录20 基础资料和设计任务书  ┈┈┈┈┈┈┈┈┈┈┈┈┈┈┈┈┈┈┈</w:t>
      </w:r>
    </w:p>
    <w:p>
      <w:pPr>
        <w:jc w:val="center"/>
        <w:rPr>
          <w:rFonts w:ascii="宋体" w:hAnsi="宋体"/>
          <w:b/>
          <w:color w:val="auto"/>
          <w:sz w:val="36"/>
          <w:szCs w:val="36"/>
          <w:highlight w:val="none"/>
        </w:rPr>
      </w:pPr>
      <w:r>
        <w:rPr>
          <w:rFonts w:ascii="宋体" w:hAnsi="宋体"/>
          <w:color w:val="auto"/>
          <w:highlight w:val="none"/>
        </w:rPr>
        <w:br w:type="page"/>
      </w:r>
      <w:r>
        <w:rPr>
          <w:rFonts w:hint="eastAsia" w:ascii="宋体" w:hAnsi="宋体"/>
          <w:b/>
          <w:color w:val="auto"/>
          <w:sz w:val="36"/>
          <w:szCs w:val="36"/>
          <w:highlight w:val="none"/>
        </w:rPr>
        <w:t>第一章  招标公告</w:t>
      </w:r>
    </w:p>
    <w:p>
      <w:pPr>
        <w:spacing w:line="400" w:lineRule="exact"/>
        <w:jc w:val="center"/>
        <w:rPr>
          <w:rFonts w:ascii="宋体" w:hAnsi="宋体"/>
          <w:color w:val="auto"/>
          <w:sz w:val="24"/>
          <w:highlight w:val="none"/>
        </w:rPr>
      </w:pPr>
      <w:r>
        <w:rPr>
          <w:rFonts w:hint="eastAsia" w:ascii="宋体" w:hAnsi="宋体"/>
          <w:color w:val="auto"/>
          <w:sz w:val="24"/>
          <w:highlight w:val="none"/>
        </w:rPr>
        <w:t>详见招标公告。</w:t>
      </w:r>
    </w:p>
    <w:p>
      <w:pPr>
        <w:widowControl/>
        <w:jc w:val="left"/>
        <w:rPr>
          <w:rFonts w:ascii="宋体" w:hAnsi="宋体"/>
          <w:color w:val="auto"/>
          <w:sz w:val="24"/>
          <w:highlight w:val="none"/>
        </w:rPr>
      </w:pPr>
      <w:r>
        <w:rPr>
          <w:rFonts w:ascii="宋体" w:hAnsi="宋体"/>
          <w:color w:val="auto"/>
          <w:sz w:val="24"/>
          <w:highlight w:val="none"/>
        </w:rPr>
        <w:br w:type="page"/>
      </w:r>
    </w:p>
    <w:p>
      <w:pPr>
        <w:jc w:val="center"/>
        <w:rPr>
          <w:rFonts w:ascii="宋体" w:hAnsi="宋体"/>
          <w:b/>
          <w:color w:val="auto"/>
          <w:sz w:val="36"/>
          <w:szCs w:val="36"/>
          <w:highlight w:val="none"/>
        </w:rPr>
      </w:pPr>
      <w:r>
        <w:rPr>
          <w:rFonts w:hint="eastAsia" w:ascii="宋体" w:hAnsi="宋体"/>
          <w:b/>
          <w:color w:val="auto"/>
          <w:sz w:val="36"/>
          <w:szCs w:val="36"/>
          <w:highlight w:val="none"/>
        </w:rPr>
        <w:t>第二章  招标说明</w:t>
      </w:r>
    </w:p>
    <w:p>
      <w:pPr>
        <w:spacing w:line="400" w:lineRule="exact"/>
        <w:ind w:left="824" w:hanging="820" w:hangingChars="342"/>
        <w:rPr>
          <w:rFonts w:ascii="宋体" w:hAnsi="宋体"/>
          <w:b/>
          <w:color w:val="auto"/>
          <w:sz w:val="24"/>
          <w:highlight w:val="none"/>
        </w:rPr>
      </w:pPr>
    </w:p>
    <w:p>
      <w:pPr>
        <w:spacing w:line="400" w:lineRule="exact"/>
        <w:jc w:val="left"/>
        <w:rPr>
          <w:rFonts w:ascii="宋体" w:hAnsi="宋体"/>
          <w:b/>
          <w:bCs/>
          <w:color w:val="auto"/>
          <w:sz w:val="24"/>
          <w:highlight w:val="none"/>
        </w:rPr>
      </w:pPr>
    </w:p>
    <w:p>
      <w:pPr>
        <w:spacing w:line="400" w:lineRule="exact"/>
        <w:jc w:val="left"/>
        <w:rPr>
          <w:rFonts w:ascii="宋体" w:hAnsi="宋体"/>
          <w:b/>
          <w:bCs/>
          <w:color w:val="auto"/>
          <w:sz w:val="24"/>
          <w:highlight w:val="none"/>
        </w:rPr>
      </w:pPr>
      <w:r>
        <w:rPr>
          <w:rFonts w:hint="eastAsia" w:ascii="宋体" w:hAnsi="宋体"/>
          <w:b/>
          <w:bCs/>
          <w:color w:val="auto"/>
          <w:sz w:val="24"/>
          <w:highlight w:val="none"/>
        </w:rPr>
        <w:t>2.1    免责条款</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2.1.3  招标人向投标人提供的资料和数据，是招标人现有的能使投标人利用的资料，招标人对投标人由此而作出的推论、理解和结论概不负责。</w:t>
      </w:r>
    </w:p>
    <w:p>
      <w:pPr>
        <w:pStyle w:val="14"/>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2.1.5  </w:t>
      </w:r>
      <w:r>
        <w:rPr>
          <w:rFonts w:hint="eastAsia" w:hAnsi="宋体"/>
          <w:color w:val="auto"/>
          <w:sz w:val="24"/>
          <w:highlight w:val="none"/>
        </w:rPr>
        <w:t>招标人（或招标代理机构）对投标人的失误不负任何责任，</w:t>
      </w:r>
      <w:r>
        <w:rPr>
          <w:rFonts w:hint="eastAsia" w:ascii="宋体" w:hAnsi="宋体"/>
          <w:color w:val="auto"/>
          <w:sz w:val="24"/>
          <w:highlight w:val="none"/>
        </w:rPr>
        <w:t>投标人应指定一名投标事务负责人，专门负责跟踪、接收、阅读和理解招标文件及随后收到的有关资料，向招标人</w:t>
      </w:r>
      <w:r>
        <w:rPr>
          <w:rFonts w:hint="eastAsia" w:hAnsi="宋体"/>
          <w:color w:val="auto"/>
          <w:sz w:val="24"/>
          <w:highlight w:val="none"/>
        </w:rPr>
        <w:t>（或招标代理机构）</w:t>
      </w:r>
      <w:r>
        <w:rPr>
          <w:rFonts w:hint="eastAsia" w:ascii="宋体" w:hAnsi="宋体"/>
          <w:color w:val="auto"/>
          <w:sz w:val="24"/>
          <w:highlight w:val="none"/>
        </w:rPr>
        <w:t>发出质疑，检查投标文件，协助有关人员尽力克服各种投标失误。</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2.1.6  评标委员会成员</w:t>
      </w:r>
      <w:r>
        <w:rPr>
          <w:rFonts w:hint="eastAsia" w:hAnsi="宋体"/>
          <w:color w:val="auto"/>
          <w:sz w:val="24"/>
          <w:highlight w:val="none"/>
        </w:rPr>
        <w:t>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2.2    招标文件效力</w:t>
      </w:r>
    </w:p>
    <w:p>
      <w:pPr>
        <w:spacing w:line="400" w:lineRule="exact"/>
        <w:rPr>
          <w:rFonts w:ascii="宋体" w:hAnsi="宋体"/>
          <w:strike/>
          <w:dstrike w:val="0"/>
          <w:color w:val="auto"/>
          <w:sz w:val="24"/>
          <w:highlight w:val="none"/>
        </w:rPr>
      </w:pPr>
      <w:r>
        <w:rPr>
          <w:rFonts w:hint="eastAsia" w:ascii="宋体" w:hAnsi="宋体"/>
          <w:strike/>
          <w:dstrike w:val="0"/>
          <w:color w:val="auto"/>
          <w:sz w:val="24"/>
          <w:highlight w:val="none"/>
        </w:rPr>
        <w:t>2.2.1  招标文件在招标管理机构备案。</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2.2.2  招标文件是招标人发出的</w:t>
      </w:r>
      <w:r>
        <w:rPr>
          <w:rFonts w:ascii="宋体" w:hAnsi="宋体"/>
          <w:color w:val="auto"/>
          <w:sz w:val="24"/>
          <w:highlight w:val="none"/>
        </w:rPr>
        <w:t>要约</w:t>
      </w:r>
      <w:r>
        <w:rPr>
          <w:rFonts w:hint="eastAsia" w:ascii="宋体" w:hAnsi="宋体"/>
          <w:color w:val="auto"/>
          <w:sz w:val="24"/>
          <w:highlight w:val="none"/>
        </w:rPr>
        <w:t>邀请，投标人参加投标均视为承认招标公告、招标文件及附件的所有条款</w:t>
      </w:r>
      <w:r>
        <w:rPr>
          <w:rFonts w:ascii="宋体" w:hAnsi="宋体"/>
          <w:color w:val="auto"/>
          <w:sz w:val="24"/>
          <w:highlight w:val="none"/>
        </w:rPr>
        <w:t>,</w:t>
      </w:r>
      <w:r>
        <w:rPr>
          <w:rFonts w:hint="eastAsia" w:ascii="宋体" w:hAnsi="宋体"/>
          <w:color w:val="auto"/>
          <w:sz w:val="24"/>
          <w:highlight w:val="none"/>
        </w:rPr>
        <w:t>并承诺一旦中标将按招标文件、投标文件、合同条款、技术规范要求的质量和进度完成全部委托任务。</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2.2.3  招标人</w:t>
      </w:r>
      <w:r>
        <w:rPr>
          <w:rFonts w:hint="eastAsia" w:hAnsi="宋体"/>
          <w:color w:val="auto"/>
          <w:sz w:val="24"/>
          <w:highlight w:val="none"/>
        </w:rPr>
        <w:t>（或招标代理机构）</w:t>
      </w:r>
      <w:r>
        <w:rPr>
          <w:rFonts w:hint="eastAsia" w:ascii="宋体" w:hAnsi="宋体"/>
          <w:color w:val="auto"/>
          <w:sz w:val="24"/>
          <w:highlight w:val="none"/>
        </w:rPr>
        <w:t>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2.2.4  招标人</w:t>
      </w:r>
      <w:r>
        <w:rPr>
          <w:rFonts w:hint="eastAsia" w:hAnsi="宋体"/>
          <w:color w:val="auto"/>
          <w:sz w:val="24"/>
          <w:highlight w:val="none"/>
        </w:rPr>
        <w:t>（或招标代理机构）</w:t>
      </w:r>
      <w:r>
        <w:rPr>
          <w:rFonts w:hint="eastAsia" w:ascii="宋体" w:hAnsi="宋体"/>
          <w:color w:val="auto"/>
          <w:sz w:val="24"/>
          <w:highlight w:val="none"/>
        </w:rPr>
        <w:t>通过交易服务机构公开登载的文件，与盖章发出的文件一样具有同等效力。</w:t>
      </w:r>
    </w:p>
    <w:p>
      <w:pPr>
        <w:spacing w:line="400" w:lineRule="exact"/>
        <w:jc w:val="left"/>
        <w:rPr>
          <w:rFonts w:ascii="宋体" w:hAnsi="宋体"/>
          <w:b/>
          <w:color w:val="auto"/>
          <w:sz w:val="24"/>
          <w:highlight w:val="none"/>
        </w:rPr>
      </w:pPr>
    </w:p>
    <w:p>
      <w:pPr>
        <w:spacing w:line="400" w:lineRule="exact"/>
        <w:jc w:val="left"/>
        <w:rPr>
          <w:rFonts w:ascii="宋体" w:hAnsi="宋体"/>
          <w:b/>
          <w:color w:val="auto"/>
          <w:sz w:val="24"/>
          <w:highlight w:val="none"/>
        </w:rPr>
      </w:pPr>
      <w:r>
        <w:rPr>
          <w:rFonts w:hint="eastAsia" w:ascii="宋体" w:hAnsi="宋体"/>
          <w:b/>
          <w:color w:val="auto"/>
          <w:sz w:val="24"/>
          <w:highlight w:val="none"/>
        </w:rPr>
        <w:t>2.3    现场考察</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2.3.1  </w:t>
      </w:r>
      <w:r>
        <w:rPr>
          <w:rFonts w:hint="eastAsia" w:ascii="宋体" w:hAnsi="宋体"/>
          <w:color w:val="auto"/>
          <w:sz w:val="24"/>
          <w:highlight w:val="none"/>
          <w:u w:val="single"/>
        </w:rPr>
        <w:t>投标人自行对工程现场进行考察，在考察前需提前通知招标人，招标人不另行组织投标人进行现场</w:t>
      </w:r>
      <w:r>
        <w:rPr>
          <w:rFonts w:hint="eastAsia" w:ascii="宋体" w:hAnsi="宋体" w:cs="Times New Roman"/>
          <w:color w:val="auto"/>
          <w:sz w:val="24"/>
          <w:highlight w:val="none"/>
          <w:u w:val="single"/>
        </w:rPr>
        <w:t>考察。</w:t>
      </w:r>
    </w:p>
    <w:p>
      <w:pPr>
        <w:spacing w:line="400" w:lineRule="exact"/>
        <w:ind w:left="840" w:hanging="840" w:hangingChars="350"/>
        <w:jc w:val="left"/>
        <w:rPr>
          <w:rFonts w:ascii="宋体" w:hAnsi="宋体"/>
          <w:strike/>
          <w:dstrike w:val="0"/>
          <w:color w:val="auto"/>
          <w:sz w:val="24"/>
          <w:highlight w:val="none"/>
        </w:rPr>
      </w:pPr>
      <w:r>
        <w:rPr>
          <w:rFonts w:hint="eastAsia" w:ascii="宋体" w:hAnsi="宋体"/>
          <w:strike/>
          <w:dstrike w:val="0"/>
          <w:color w:val="auto"/>
          <w:sz w:val="24"/>
          <w:highlight w:val="none"/>
        </w:rPr>
        <w:t>2.3.2  每个投标人参加现场考察的人数不宜超过3人，外国投标人代表应自带中文翻译。</w:t>
      </w:r>
    </w:p>
    <w:p>
      <w:pPr>
        <w:spacing w:line="400" w:lineRule="exact"/>
        <w:jc w:val="left"/>
        <w:rPr>
          <w:rFonts w:ascii="宋体" w:hAnsi="宋体"/>
          <w:strike/>
          <w:dstrike w:val="0"/>
          <w:color w:val="auto"/>
          <w:sz w:val="24"/>
          <w:highlight w:val="none"/>
        </w:rPr>
      </w:pPr>
      <w:r>
        <w:rPr>
          <w:rFonts w:hint="eastAsia" w:ascii="宋体" w:hAnsi="宋体"/>
          <w:strike/>
          <w:dstrike w:val="0"/>
          <w:color w:val="auto"/>
          <w:sz w:val="24"/>
          <w:highlight w:val="none"/>
        </w:rPr>
        <w:t>2.3.3  现场考察期间招标人将召开一次会议，接受投标人代表的提问。</w:t>
      </w:r>
    </w:p>
    <w:p>
      <w:pPr>
        <w:spacing w:line="400" w:lineRule="exact"/>
        <w:jc w:val="left"/>
        <w:rPr>
          <w:rFonts w:ascii="宋体" w:hAnsi="宋体"/>
          <w:strike/>
          <w:dstrike w:val="0"/>
          <w:color w:val="auto"/>
          <w:sz w:val="24"/>
          <w:highlight w:val="none"/>
        </w:rPr>
      </w:pPr>
      <w:r>
        <w:rPr>
          <w:rFonts w:hint="eastAsia" w:ascii="宋体" w:hAnsi="宋体"/>
          <w:strike/>
          <w:dstrike w:val="0"/>
          <w:color w:val="auto"/>
          <w:sz w:val="24"/>
          <w:highlight w:val="none"/>
        </w:rPr>
        <w:t>2.3.4  现场考察集合时间：。</w:t>
      </w:r>
    </w:p>
    <w:p>
      <w:pPr>
        <w:spacing w:line="400" w:lineRule="exact"/>
        <w:ind w:left="821" w:hanging="820" w:hangingChars="342"/>
        <w:jc w:val="left"/>
        <w:rPr>
          <w:rFonts w:ascii="宋体" w:hAnsi="宋体"/>
          <w:strike/>
          <w:dstrike w:val="0"/>
          <w:color w:val="auto"/>
          <w:sz w:val="24"/>
          <w:highlight w:val="none"/>
        </w:rPr>
      </w:pPr>
      <w:r>
        <w:rPr>
          <w:rFonts w:hint="eastAsia" w:ascii="宋体" w:hAnsi="宋体"/>
          <w:strike/>
          <w:dstrike w:val="0"/>
          <w:color w:val="auto"/>
          <w:sz w:val="24"/>
          <w:highlight w:val="none"/>
        </w:rPr>
        <w:t>2.3.5  现场考察集合地点：。</w:t>
      </w:r>
    </w:p>
    <w:p>
      <w:pPr>
        <w:spacing w:line="400" w:lineRule="exact"/>
        <w:jc w:val="left"/>
        <w:rPr>
          <w:rFonts w:ascii="宋体" w:hAnsi="宋体"/>
          <w:color w:val="auto"/>
          <w:sz w:val="24"/>
          <w:highlight w:val="none"/>
        </w:rPr>
      </w:pPr>
    </w:p>
    <w:p>
      <w:pPr>
        <w:spacing w:line="400" w:lineRule="exact"/>
        <w:rPr>
          <w:rFonts w:ascii="宋体" w:hAnsi="宋体"/>
          <w:color w:val="auto"/>
          <w:sz w:val="24"/>
          <w:highlight w:val="none"/>
        </w:rPr>
      </w:pPr>
      <w:r>
        <w:rPr>
          <w:rFonts w:hint="eastAsia" w:ascii="宋体" w:hAnsi="宋体"/>
          <w:b/>
          <w:bCs/>
          <w:color w:val="auto"/>
          <w:sz w:val="24"/>
          <w:highlight w:val="none"/>
        </w:rPr>
        <w:t>2.4    质疑和澄清</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2.4.1  投标人应认真审阅招标文件和有关资料，</w:t>
      </w:r>
      <w:r>
        <w:rPr>
          <w:rFonts w:ascii="宋体" w:hAnsi="宋体"/>
          <w:color w:val="auto"/>
          <w:sz w:val="24"/>
          <w:highlight w:val="none"/>
        </w:rPr>
        <w:t>尽力澄清一切疑点</w:t>
      </w:r>
      <w:r>
        <w:rPr>
          <w:rFonts w:hint="eastAsia" w:ascii="宋体" w:hAnsi="宋体"/>
          <w:color w:val="auto"/>
          <w:sz w:val="24"/>
          <w:highlight w:val="none"/>
        </w:rPr>
        <w:t>，对工程现场和周围环境进行勘察，以获取编制投标文件和签署合同所需的所有资料。</w:t>
      </w:r>
    </w:p>
    <w:p>
      <w:pPr>
        <w:keepNext w:val="0"/>
        <w:keepLines w:val="0"/>
        <w:pageBreakBefore w:val="0"/>
        <w:widowControl/>
        <w:kinsoku/>
        <w:wordWrap/>
        <w:overflowPunct/>
        <w:topLinePunct w:val="0"/>
        <w:autoSpaceDE/>
        <w:autoSpaceDN/>
        <w:bidi w:val="0"/>
        <w:adjustRightInd/>
        <w:snapToGrid w:val="0"/>
        <w:spacing w:line="312" w:lineRule="auto"/>
        <w:ind w:left="720" w:hanging="720" w:hangingChars="300"/>
        <w:jc w:val="left"/>
        <w:textAlignment w:val="auto"/>
        <w:rPr>
          <w:rFonts w:hint="eastAsia" w:ascii="宋体" w:hAnsi="宋体"/>
          <w:color w:val="auto"/>
          <w:sz w:val="24"/>
          <w:highlight w:val="none"/>
        </w:rPr>
      </w:pPr>
      <w:r>
        <w:rPr>
          <w:rFonts w:hint="eastAsia" w:ascii="宋体" w:hAnsi="宋体"/>
          <w:color w:val="auto"/>
          <w:sz w:val="24"/>
          <w:highlight w:val="none"/>
        </w:rPr>
        <w:t xml:space="preserve">2.4.2  </w:t>
      </w:r>
      <w:r>
        <w:rPr>
          <w:rFonts w:hint="eastAsia" w:ascii="宋体" w:hAnsi="宋体" w:cs="宋体"/>
          <w:color w:val="auto"/>
          <w:sz w:val="24"/>
          <w:highlight w:val="none"/>
          <w:u w:val="single"/>
        </w:rPr>
        <w:t>潜在投标人或者其他利害关系人对招标文件有异议的，应当在投标截止时间18日前提出。招标人应当自收到异议之日起3日内作出答复；作出答复前，应当暂停招标投标活动</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val="0"/>
        <w:spacing w:line="312" w:lineRule="auto"/>
        <w:ind w:left="718" w:leftChars="342" w:firstLine="0" w:firstLineChars="0"/>
        <w:jc w:val="left"/>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keepNext w:val="0"/>
        <w:keepLines w:val="0"/>
        <w:pageBreakBefore w:val="0"/>
        <w:widowControl/>
        <w:kinsoku/>
        <w:wordWrap/>
        <w:overflowPunct/>
        <w:topLinePunct w:val="0"/>
        <w:autoSpaceDE/>
        <w:autoSpaceDN/>
        <w:bidi w:val="0"/>
        <w:adjustRightInd/>
        <w:snapToGrid w:val="0"/>
        <w:spacing w:line="312" w:lineRule="auto"/>
        <w:ind w:left="720" w:hanging="720" w:hangingChars="300"/>
        <w:jc w:val="left"/>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none"/>
          <w:lang w:val="en-US" w:eastAsia="zh-CN"/>
        </w:rPr>
        <w:t>　　　</w:t>
      </w:r>
      <w:r>
        <w:rPr>
          <w:rFonts w:hint="eastAsia" w:ascii="宋体" w:hAnsi="宋体" w:cs="宋体"/>
          <w:color w:val="auto"/>
          <w:sz w:val="24"/>
          <w:highlight w:val="none"/>
          <w:u w:val="single"/>
          <w:lang w:val="en-US" w:eastAsia="zh-CN"/>
        </w:rPr>
        <w:t>1.具体操作详见“广州交易集团有限公司（广州公共资源交易中心）门户网站首页-&gt;服务指南-&gt;系统帮助-&gt;操作手册-&gt;发起及受理异议操作指引”。</w:t>
      </w:r>
    </w:p>
    <w:p>
      <w:pPr>
        <w:widowControl/>
        <w:snapToGrid w:val="0"/>
        <w:spacing w:line="312" w:lineRule="auto"/>
        <w:ind w:left="720" w:hanging="720" w:hangingChars="300"/>
        <w:jc w:val="left"/>
        <w:rPr>
          <w:rFonts w:ascii="宋体" w:hAnsi="宋体"/>
          <w:color w:val="auto"/>
          <w:sz w:val="24"/>
          <w:highlight w:val="none"/>
        </w:rPr>
      </w:pPr>
      <w:r>
        <w:rPr>
          <w:rFonts w:hint="eastAsia" w:ascii="宋体" w:hAnsi="宋体" w:cs="宋体"/>
          <w:color w:val="auto"/>
          <w:sz w:val="24"/>
          <w:highlight w:val="none"/>
          <w:u w:val="none"/>
          <w:lang w:val="en-US" w:eastAsia="zh-CN"/>
        </w:rPr>
        <w:t>　　　</w:t>
      </w:r>
      <w:r>
        <w:rPr>
          <w:rFonts w:hint="eastAsia" w:ascii="宋体" w:hAnsi="宋体" w:cs="宋体"/>
          <w:color w:val="auto"/>
          <w:sz w:val="24"/>
          <w:highlight w:val="none"/>
          <w:u w:val="single"/>
          <w:lang w:val="en-US" w:eastAsia="zh-CN"/>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2.4.3  </w:t>
      </w:r>
      <w:r>
        <w:rPr>
          <w:rFonts w:hint="eastAsia" w:ascii="宋体" w:hAnsi="宋体" w:cs="宋体"/>
          <w:color w:val="auto"/>
          <w:sz w:val="24"/>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p>
      <w:pPr>
        <w:spacing w:line="400" w:lineRule="exact"/>
        <w:ind w:left="821" w:hanging="820" w:hangingChars="342"/>
        <w:rPr>
          <w:rFonts w:hint="eastAsia" w:ascii="宋体" w:hAnsi="宋体" w:cs="宋体"/>
          <w:color w:val="auto"/>
          <w:sz w:val="24"/>
          <w:highlight w:val="none"/>
          <w:u w:val="single"/>
        </w:rPr>
      </w:pPr>
      <w:r>
        <w:rPr>
          <w:rFonts w:hint="eastAsia" w:ascii="宋体" w:hAnsi="宋体"/>
          <w:color w:val="auto"/>
          <w:sz w:val="24"/>
          <w:highlight w:val="none"/>
        </w:rPr>
        <w:t xml:space="preserve">2.4.4  </w:t>
      </w:r>
      <w:r>
        <w:rPr>
          <w:rFonts w:hint="eastAsia" w:ascii="宋体" w:hAnsi="宋体" w:cs="宋体"/>
          <w:color w:val="auto"/>
          <w:sz w:val="24"/>
          <w:highlight w:val="none"/>
          <w:u w:val="single"/>
        </w:rPr>
        <w:t>澄清及补充材料一旦发出，视为各投标人已收到，请各投标人及时自行查询。投标人应及时在广州公共资源交易中心项目答疑纪要专区中查询。</w:t>
      </w:r>
    </w:p>
    <w:p>
      <w:pPr>
        <w:spacing w:line="400" w:lineRule="exact"/>
        <w:ind w:left="821" w:hanging="820" w:hangingChars="342"/>
        <w:rPr>
          <w:rFonts w:ascii="宋体" w:hAnsi="宋体" w:cs="宋体"/>
          <w:color w:val="auto"/>
          <w:sz w:val="24"/>
          <w:highlight w:val="none"/>
        </w:rPr>
      </w:pPr>
      <w:r>
        <w:rPr>
          <w:rFonts w:hint="eastAsia" w:ascii="宋体" w:hAnsi="宋体" w:cs="宋体"/>
          <w:color w:val="auto"/>
          <w:sz w:val="24"/>
          <w:highlight w:val="none"/>
        </w:rPr>
        <w:t xml:space="preserve">2.4.5  </w:t>
      </w:r>
      <w:r>
        <w:rPr>
          <w:rFonts w:hint="eastAsia" w:ascii="宋体" w:hAnsi="宋体" w:cs="宋体"/>
          <w:color w:val="auto"/>
          <w:sz w:val="24"/>
          <w:highlight w:val="none"/>
          <w:u w:val="single"/>
        </w:rPr>
        <w:t>网上答疑的操作指南为：投标人登录交易中心数字交易平台，进入“我是投标人（供应商）”-&gt;“我的投标”-&gt;“招标答疑提问”查询项目并提问。</w:t>
      </w:r>
    </w:p>
    <w:p>
      <w:pPr>
        <w:pStyle w:val="14"/>
        <w:spacing w:line="400" w:lineRule="exact"/>
        <w:rPr>
          <w:rFonts w:hint="eastAsia" w:hAnsi="宋体"/>
          <w:b/>
          <w:bCs/>
          <w:color w:val="auto"/>
          <w:sz w:val="24"/>
          <w:highlight w:val="none"/>
        </w:rPr>
      </w:pPr>
    </w:p>
    <w:p>
      <w:pPr>
        <w:pStyle w:val="14"/>
        <w:spacing w:line="400" w:lineRule="exact"/>
        <w:rPr>
          <w:rFonts w:hAnsi="宋体"/>
          <w:b/>
          <w:color w:val="auto"/>
          <w:sz w:val="24"/>
          <w:szCs w:val="24"/>
          <w:highlight w:val="none"/>
        </w:rPr>
      </w:pPr>
      <w:r>
        <w:rPr>
          <w:rFonts w:hint="eastAsia" w:hAnsi="宋体"/>
          <w:b/>
          <w:bCs/>
          <w:color w:val="auto"/>
          <w:sz w:val="24"/>
          <w:highlight w:val="none"/>
        </w:rPr>
        <w:t>2</w:t>
      </w:r>
      <w:r>
        <w:rPr>
          <w:rFonts w:hint="eastAsia" w:hAnsi="宋体"/>
          <w:b/>
          <w:color w:val="auto"/>
          <w:sz w:val="24"/>
          <w:szCs w:val="24"/>
          <w:highlight w:val="none"/>
        </w:rPr>
        <w:t>.5    延期</w:t>
      </w:r>
    </w:p>
    <w:p>
      <w:pPr>
        <w:pStyle w:val="14"/>
        <w:spacing w:line="400" w:lineRule="exact"/>
        <w:ind w:left="821" w:hanging="820" w:hangingChars="342"/>
        <w:rPr>
          <w:rFonts w:hAnsi="宋体"/>
          <w:color w:val="auto"/>
          <w:sz w:val="24"/>
          <w:szCs w:val="24"/>
          <w:highlight w:val="none"/>
        </w:rPr>
      </w:pPr>
      <w:r>
        <w:rPr>
          <w:rFonts w:hint="eastAsia" w:hAnsi="宋体"/>
          <w:color w:val="auto"/>
          <w:sz w:val="24"/>
          <w:szCs w:val="24"/>
          <w:highlight w:val="none"/>
        </w:rPr>
        <w:t>2.5.1  如果招标过程出现招标管理机构要求暂停、重新评标等意外情形，招标投标各项期限相应延长</w:t>
      </w:r>
      <w:r>
        <w:rPr>
          <w:rFonts w:hAnsi="宋体"/>
          <w:color w:val="auto"/>
          <w:sz w:val="24"/>
          <w:szCs w:val="24"/>
          <w:highlight w:val="none"/>
        </w:rPr>
        <w:t>。</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2.5.2  为使投标人在编制投标文件时把</w:t>
      </w:r>
      <w:r>
        <w:rPr>
          <w:rFonts w:hint="eastAsia" w:ascii="宋体" w:hAnsi="宋体"/>
          <w:color w:val="auto"/>
          <w:kern w:val="0"/>
          <w:sz w:val="24"/>
          <w:highlight w:val="none"/>
        </w:rPr>
        <w:t>招标人</w:t>
      </w:r>
      <w:r>
        <w:rPr>
          <w:rFonts w:ascii="宋体" w:hAnsi="宋体"/>
          <w:color w:val="auto"/>
          <w:kern w:val="0"/>
          <w:sz w:val="24"/>
          <w:highlight w:val="none"/>
        </w:rPr>
        <w:t>对招标文件</w:t>
      </w:r>
      <w:r>
        <w:rPr>
          <w:rFonts w:hint="eastAsia" w:ascii="宋体" w:hAnsi="宋体"/>
          <w:color w:val="auto"/>
          <w:kern w:val="0"/>
          <w:sz w:val="24"/>
          <w:highlight w:val="none"/>
        </w:rPr>
        <w:t>的</w:t>
      </w:r>
      <w:r>
        <w:rPr>
          <w:rFonts w:ascii="宋体" w:hAnsi="宋体"/>
          <w:color w:val="auto"/>
          <w:kern w:val="0"/>
          <w:sz w:val="24"/>
          <w:highlight w:val="none"/>
        </w:rPr>
        <w:t>澄清、修改</w:t>
      </w:r>
      <w:r>
        <w:rPr>
          <w:rFonts w:hint="eastAsia" w:ascii="宋体" w:hAnsi="宋体"/>
          <w:color w:val="auto"/>
          <w:kern w:val="0"/>
          <w:sz w:val="24"/>
          <w:highlight w:val="none"/>
        </w:rPr>
        <w:t>和</w:t>
      </w:r>
      <w:r>
        <w:rPr>
          <w:rFonts w:hint="eastAsia" w:ascii="宋体" w:hAnsi="宋体"/>
          <w:color w:val="auto"/>
          <w:sz w:val="24"/>
          <w:highlight w:val="none"/>
        </w:rPr>
        <w:t>补充内容考虑进去，招标人可以酌情延长提交投标文件的截止日期。</w:t>
      </w:r>
    </w:p>
    <w:p>
      <w:pPr>
        <w:spacing w:line="400" w:lineRule="exact"/>
        <w:rPr>
          <w:rFonts w:ascii="宋体" w:hAnsi="宋体"/>
          <w:b/>
          <w:color w:val="auto"/>
          <w:sz w:val="24"/>
          <w:highlight w:val="none"/>
        </w:rPr>
      </w:pPr>
    </w:p>
    <w:p>
      <w:pPr>
        <w:spacing w:line="400" w:lineRule="exact"/>
        <w:rPr>
          <w:rFonts w:hint="eastAsia" w:ascii="宋体" w:hAnsi="宋体" w:eastAsia="宋体" w:cs="Times New Roman"/>
          <w:b/>
          <w:color w:val="auto"/>
          <w:kern w:val="0"/>
          <w:sz w:val="24"/>
          <w:szCs w:val="24"/>
          <w:highlight w:val="none"/>
          <w:u w:val="single"/>
          <w:lang w:val="en-US" w:eastAsia="zh-CN" w:bidi="ar-SA"/>
        </w:rPr>
      </w:pPr>
      <w:r>
        <w:rPr>
          <w:rFonts w:hint="eastAsia" w:ascii="宋体" w:hAnsi="宋体"/>
          <w:b/>
          <w:color w:val="auto"/>
          <w:sz w:val="24"/>
          <w:highlight w:val="none"/>
        </w:rPr>
        <w:t xml:space="preserve">2.6    </w:t>
      </w:r>
      <w:r>
        <w:rPr>
          <w:rFonts w:hint="eastAsia" w:ascii="宋体" w:hAnsi="宋体" w:eastAsia="宋体" w:cs="Times New Roman"/>
          <w:b/>
          <w:color w:val="auto"/>
          <w:kern w:val="0"/>
          <w:sz w:val="24"/>
          <w:szCs w:val="24"/>
          <w:highlight w:val="none"/>
          <w:u w:val="single"/>
          <w:lang w:val="en-US" w:eastAsia="zh-CN" w:bidi="ar-SA"/>
        </w:rPr>
        <w:t>投标时间、投标文件的递交和接收</w:t>
      </w:r>
    </w:p>
    <w:p>
      <w:pPr>
        <w:spacing w:line="400" w:lineRule="exact"/>
        <w:ind w:left="821" w:hanging="820" w:hangingChars="342"/>
        <w:jc w:val="left"/>
        <w:rPr>
          <w:rFonts w:ascii="宋体" w:hAnsi="宋体"/>
          <w:color w:val="auto"/>
          <w:sz w:val="24"/>
          <w:highlight w:val="none"/>
          <w:u w:val="single"/>
        </w:rPr>
      </w:pPr>
      <w:r>
        <w:rPr>
          <w:rFonts w:hint="eastAsia" w:ascii="宋体" w:hAnsi="宋体"/>
          <w:color w:val="auto"/>
          <w:sz w:val="24"/>
          <w:highlight w:val="none"/>
        </w:rPr>
        <w:t xml:space="preserve">2.6.1  </w:t>
      </w:r>
      <w:r>
        <w:rPr>
          <w:rFonts w:hint="eastAsia" w:ascii="宋体" w:hAnsi="宋体" w:cs="宋体"/>
          <w:color w:val="auto"/>
          <w:sz w:val="24"/>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2.6.2  </w:t>
      </w:r>
      <w:r>
        <w:rPr>
          <w:rFonts w:hint="eastAsia" w:ascii="宋体" w:hAnsi="宋体" w:cs="宋体"/>
          <w:color w:val="auto"/>
          <w:sz w:val="24"/>
          <w:highlight w:val="none"/>
          <w:u w:val="single"/>
        </w:rPr>
        <w:t>投标人通过下载招标文件的交易平台递交电子投标文件。</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2.6.3  </w:t>
      </w:r>
      <w:r>
        <w:rPr>
          <w:rFonts w:hint="eastAsia" w:ascii="宋体" w:hAnsi="宋体" w:cs="宋体"/>
          <w:color w:val="auto"/>
          <w:sz w:val="24"/>
          <w:highlight w:val="none"/>
          <w:u w:val="single"/>
        </w:rPr>
        <w:t>投标人完成电子投标文件上传后，交易平台即时向投标人发出递交回执通知。递交时间以递交回执通知载明的传输完成时间为准</w:t>
      </w:r>
      <w:r>
        <w:rPr>
          <w:rFonts w:hint="eastAsia" w:ascii="宋体" w:hAnsi="宋体"/>
          <w:color w:val="auto"/>
          <w:sz w:val="24"/>
          <w:highlight w:val="none"/>
        </w:rPr>
        <w:t>。</w:t>
      </w:r>
    </w:p>
    <w:p>
      <w:pPr>
        <w:spacing w:line="400" w:lineRule="exact"/>
        <w:ind w:left="821" w:hanging="820" w:hangingChars="342"/>
        <w:rPr>
          <w:rFonts w:hint="eastAsia" w:ascii="宋体" w:hAnsi="宋体" w:cs="宋体"/>
          <w:color w:val="auto"/>
          <w:sz w:val="24"/>
          <w:highlight w:val="none"/>
          <w:u w:val="single"/>
        </w:rPr>
      </w:pPr>
      <w:r>
        <w:rPr>
          <w:rFonts w:hint="eastAsia" w:ascii="宋体" w:hAnsi="宋体" w:cs="宋体"/>
          <w:color w:val="auto"/>
          <w:sz w:val="24"/>
          <w:highlight w:val="none"/>
        </w:rPr>
        <w:t xml:space="preserve">2.6.4  </w:t>
      </w:r>
      <w:r>
        <w:rPr>
          <w:rFonts w:hint="eastAsia" w:ascii="宋体" w:hAnsi="宋体" w:cs="宋体"/>
          <w:color w:val="auto"/>
          <w:sz w:val="24"/>
          <w:highlight w:val="none"/>
          <w:u w:val="single"/>
        </w:rPr>
        <w:t>如按招标公告要求需要提交投标文件光盘（备用），备用光盘不得加密。如使用投标文件光盘（备用）时无法读取或导入的，则视为未提交投标文件。</w:t>
      </w:r>
    </w:p>
    <w:p>
      <w:pPr>
        <w:spacing w:line="400" w:lineRule="exact"/>
        <w:ind w:left="821" w:hanging="820" w:hangingChars="342"/>
        <w:jc w:val="left"/>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color w:val="auto"/>
          <w:sz w:val="24"/>
          <w:highlight w:val="none"/>
          <w:u w:val="single"/>
          <w:lang w:val="en-US" w:eastAsia="zh-CN"/>
        </w:rPr>
        <w:t xml:space="preserve">2.6.5  </w:t>
      </w:r>
      <w:r>
        <w:rPr>
          <w:rFonts w:hint="eastAsia" w:ascii="宋体" w:hAnsi="宋体" w:eastAsia="宋体" w:cs="宋体"/>
          <w:color w:val="auto"/>
          <w:kern w:val="2"/>
          <w:sz w:val="24"/>
          <w:szCs w:val="24"/>
          <w:highlight w:val="none"/>
          <w:u w:val="single"/>
          <w:lang w:val="en-US" w:eastAsia="zh-CN" w:bidi="ar-SA"/>
        </w:rPr>
        <w:t>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21" w:hanging="820" w:hangingChars="342"/>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 xml:space="preserve">2.6.6  </w:t>
      </w:r>
      <w:r>
        <w:rPr>
          <w:rFonts w:hint="eastAsia" w:ascii="宋体" w:hAnsi="宋体" w:cs="宋体"/>
          <w:color w:val="auto"/>
          <w:sz w:val="24"/>
          <w:highlight w:val="none"/>
          <w:u w:val="single"/>
        </w:rPr>
        <w:t>投标截止时间自招标人（招标代理机构）从招标文件发布起始日计：备标时间不少于</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0天。</w:t>
      </w:r>
    </w:p>
    <w:p>
      <w:pPr>
        <w:spacing w:line="400" w:lineRule="exact"/>
        <w:rPr>
          <w:rFonts w:ascii="宋体" w:hAnsi="宋体"/>
          <w:b/>
          <w:bCs/>
          <w:color w:val="auto"/>
          <w:sz w:val="24"/>
          <w:highlight w:val="none"/>
        </w:rPr>
      </w:pPr>
      <w:r>
        <w:rPr>
          <w:rFonts w:hint="eastAsia" w:ascii="宋体" w:hAnsi="宋体"/>
          <w:b/>
          <w:bCs/>
          <w:color w:val="auto"/>
          <w:sz w:val="24"/>
          <w:highlight w:val="none"/>
        </w:rPr>
        <w:t xml:space="preserve">2.7    </w:t>
      </w:r>
      <w:r>
        <w:rPr>
          <w:rFonts w:hint="eastAsia" w:ascii="宋体" w:hAnsi="宋体"/>
          <w:b/>
          <w:bCs/>
          <w:color w:val="auto"/>
          <w:sz w:val="24"/>
          <w:highlight w:val="none"/>
          <w:u w:val="single"/>
        </w:rPr>
        <w:t>投标文件的修改与撤回</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2.7.1  </w:t>
      </w:r>
      <w:r>
        <w:rPr>
          <w:rFonts w:hint="default" w:ascii="宋体" w:hAnsi="宋体" w:cs="宋体"/>
          <w:color w:val="auto"/>
          <w:sz w:val="24"/>
          <w:highlight w:val="none"/>
          <w:u w:val="single"/>
          <w:lang w:val="en-US" w:eastAsia="zh-CN"/>
        </w:rPr>
        <w:t>在规定的投标截止时间前，投标人可以修改或撤回已递交的投标文件</w:t>
      </w:r>
      <w:r>
        <w:rPr>
          <w:rFonts w:hint="eastAsia" w:ascii="宋体" w:hAnsi="宋体"/>
          <w:color w:val="auto"/>
          <w:sz w:val="24"/>
          <w:highlight w:val="none"/>
        </w:rPr>
        <w:t>。</w:t>
      </w:r>
    </w:p>
    <w:p>
      <w:pPr>
        <w:spacing w:line="400" w:lineRule="exact"/>
        <w:ind w:left="821" w:hanging="820" w:hangingChars="342"/>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2.7.2  投标人修改或撤回已递交的投标文件，需在交易平台发出撤回通知，并按要求加盖电子印章。电子招标投标交易平台收到通知后，即时向投标人发布确认回执通知。</w:t>
      </w:r>
    </w:p>
    <w:p>
      <w:pPr>
        <w:spacing w:line="400" w:lineRule="exact"/>
        <w:rPr>
          <w:rFonts w:hint="eastAsia" w:ascii="宋体" w:hAnsi="宋体" w:cs="宋体"/>
          <w:color w:val="auto"/>
          <w:sz w:val="24"/>
          <w:highlight w:val="none"/>
          <w:u w:val="single"/>
          <w:lang w:val="en-US" w:eastAsia="zh-CN"/>
        </w:rPr>
      </w:pPr>
      <w:r>
        <w:rPr>
          <w:rFonts w:hint="eastAsia" w:ascii="宋体" w:hAnsi="宋体"/>
          <w:color w:val="auto"/>
          <w:sz w:val="24"/>
          <w:highlight w:val="none"/>
        </w:rPr>
        <w:t xml:space="preserve">2.7.3  </w:t>
      </w:r>
      <w:r>
        <w:rPr>
          <w:rFonts w:hint="eastAsia" w:ascii="宋体" w:hAnsi="宋体" w:cs="宋体"/>
          <w:color w:val="auto"/>
          <w:sz w:val="24"/>
          <w:highlight w:val="none"/>
          <w:u w:val="single"/>
          <w:lang w:val="en-US" w:eastAsia="zh-CN"/>
        </w:rPr>
        <w:t>修改后再次递交的，按2.6的规定执行。</w:t>
      </w:r>
    </w:p>
    <w:p>
      <w:pPr>
        <w:spacing w:line="400" w:lineRule="exact"/>
        <w:ind w:left="821" w:hanging="820" w:hangingChars="342"/>
        <w:jc w:val="left"/>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2.7.4  在投标截止时间后，投标人不得补充、修改或更换投标文件。</w:t>
      </w:r>
    </w:p>
    <w:p>
      <w:pPr>
        <w:pStyle w:val="14"/>
        <w:rPr>
          <w:rFonts w:hAnsi="宋体"/>
          <w:color w:val="auto"/>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2.8    公开展示</w:t>
      </w:r>
    </w:p>
    <w:p>
      <w:pPr>
        <w:spacing w:line="400" w:lineRule="exact"/>
        <w:ind w:left="824" w:hanging="820" w:hangingChars="342"/>
        <w:rPr>
          <w:rFonts w:ascii="宋体" w:hAnsi="宋体"/>
          <w:color w:val="auto"/>
          <w:sz w:val="24"/>
          <w:highlight w:val="none"/>
        </w:rPr>
      </w:pPr>
      <w:r>
        <w:rPr>
          <w:rFonts w:hint="eastAsia" w:ascii="宋体" w:hAnsi="宋体"/>
          <w:b/>
          <w:bCs/>
          <w:color w:val="auto"/>
          <w:sz w:val="24"/>
          <w:highlight w:val="none"/>
        </w:rPr>
        <w:t>2.8</w:t>
      </w:r>
      <w:r>
        <w:rPr>
          <w:rFonts w:hint="eastAsia" w:ascii="宋体" w:hAnsi="宋体"/>
          <w:color w:val="auto"/>
          <w:sz w:val="24"/>
          <w:highlight w:val="none"/>
        </w:rPr>
        <w:t xml:space="preserve">.1  </w:t>
      </w:r>
      <w:r>
        <w:rPr>
          <w:rFonts w:hint="eastAsia" w:ascii="宋体" w:hAnsi="宋体" w:cs="宋体"/>
          <w:color w:val="auto"/>
          <w:sz w:val="24"/>
          <w:highlight w:val="none"/>
          <w:u w:val="single"/>
          <w:lang w:val="en-US" w:eastAsia="zh-CN"/>
        </w:rPr>
        <w:t>投标文件评标后不予退回。</w:t>
      </w:r>
    </w:p>
    <w:p>
      <w:pPr>
        <w:spacing w:line="400" w:lineRule="exact"/>
        <w:ind w:left="824" w:hanging="820" w:hangingChars="342"/>
        <w:jc w:val="left"/>
        <w:rPr>
          <w:rFonts w:ascii="宋体" w:hAnsi="宋体"/>
          <w:strike/>
          <w:dstrike w:val="0"/>
          <w:color w:val="auto"/>
          <w:sz w:val="24"/>
          <w:highlight w:val="none"/>
        </w:rPr>
      </w:pPr>
      <w:r>
        <w:rPr>
          <w:rFonts w:hint="eastAsia" w:ascii="宋体" w:hAnsi="宋体"/>
          <w:b/>
          <w:bCs/>
          <w:strike/>
          <w:dstrike w:val="0"/>
          <w:color w:val="auto"/>
          <w:sz w:val="24"/>
          <w:highlight w:val="none"/>
        </w:rPr>
        <w:t>2.8</w:t>
      </w:r>
      <w:r>
        <w:rPr>
          <w:rFonts w:hint="eastAsia" w:ascii="宋体" w:hAnsi="宋体"/>
          <w:strike/>
          <w:dstrike w:val="0"/>
          <w:color w:val="auto"/>
          <w:sz w:val="24"/>
          <w:highlight w:val="none"/>
        </w:rPr>
        <w:t>.2  招标人有权在评标结束后公开展示获得补偿费用的所有投标方案成果，并通过传播媒介、杂志、书刊或其它形式介绍、展示及评价该方案成果，所有展示、推介、广告均不再向投标人支付费用。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2.9   知识产权转移</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2.9.1  授予合同并支付定金后，中标方案的一次性使用权归招标人所有（署名权除外）。</w:t>
      </w:r>
    </w:p>
    <w:p>
      <w:pPr>
        <w:spacing w:line="400" w:lineRule="exact"/>
        <w:ind w:left="821" w:hanging="820" w:hangingChars="342"/>
        <w:rPr>
          <w:rFonts w:ascii="宋体" w:hAnsi="宋体"/>
          <w:strike/>
          <w:dstrike w:val="0"/>
          <w:color w:val="auto"/>
          <w:sz w:val="24"/>
          <w:highlight w:val="none"/>
        </w:rPr>
      </w:pPr>
      <w:r>
        <w:rPr>
          <w:rFonts w:hint="eastAsia" w:ascii="宋体" w:hAnsi="宋体"/>
          <w:strike/>
          <w:dstrike w:val="0"/>
          <w:color w:val="auto"/>
          <w:sz w:val="24"/>
          <w:highlight w:val="none"/>
        </w:rPr>
        <w:t>2.9.2  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spacing w:line="400" w:lineRule="exact"/>
        <w:ind w:left="821" w:hanging="820" w:hangingChars="342"/>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2.10    其他</w:t>
      </w:r>
    </w:p>
    <w:p>
      <w:pPr>
        <w:spacing w:line="400" w:lineRule="exact"/>
        <w:ind w:left="821" w:hanging="820" w:hangingChars="342"/>
        <w:rPr>
          <w:rFonts w:ascii="宋体" w:hAnsi="宋体"/>
          <w:color w:val="auto"/>
          <w:sz w:val="24"/>
          <w:highlight w:val="none"/>
          <w:u w:val="single"/>
        </w:rPr>
      </w:pPr>
      <w:r>
        <w:rPr>
          <w:rFonts w:hint="eastAsia" w:ascii="宋体" w:hAnsi="宋体"/>
          <w:color w:val="auto"/>
          <w:sz w:val="24"/>
          <w:highlight w:val="none"/>
          <w:u w:val="single"/>
        </w:rPr>
        <w:t>2.10.1  除特殊情况外，招标人有权在工程建设中根据需要对选定的实施方案进行调整和修改。</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2.10.2  投标人保证投标文件及资料均未侵犯他人的知识产权，否则必须承担全部责任。若投标人使用了他人的专利、专有技术，涉及的费用由投标人负责。</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2.10.3  招标人有权无须事先征求中标人的同意而披露关于中标人的名称、地址、合同条款。</w:t>
      </w:r>
    </w:p>
    <w:p>
      <w:pPr>
        <w:spacing w:line="400" w:lineRule="exact"/>
        <w:ind w:left="821" w:hanging="820" w:hangingChars="342"/>
        <w:jc w:val="left"/>
        <w:rPr>
          <w:rFonts w:ascii="宋体" w:hAnsi="宋体"/>
          <w:color w:val="auto"/>
          <w:highlight w:val="none"/>
        </w:rPr>
      </w:pPr>
      <w:r>
        <w:rPr>
          <w:rFonts w:hint="eastAsia" w:ascii="宋体" w:hAnsi="宋体"/>
          <w:color w:val="auto"/>
          <w:sz w:val="24"/>
          <w:highlight w:val="none"/>
        </w:rPr>
        <w:t>2.10.4  本次招标由交易服务机构对各投标人提交的成果和评标过程、评标结果予以见证，若有纠纷，将按现行法律、法规通过友好协商或诉讼程序解决。</w:t>
      </w:r>
    </w:p>
    <w:p>
      <w:pPr>
        <w:spacing w:line="400" w:lineRule="exact"/>
        <w:rPr>
          <w:rFonts w:ascii="宋体" w:hAnsi="宋体"/>
          <w:b/>
          <w:bCs/>
          <w:color w:val="auto"/>
          <w:sz w:val="24"/>
          <w:highlight w:val="none"/>
          <w:u w:val="single"/>
        </w:rPr>
      </w:pPr>
      <w:r>
        <w:rPr>
          <w:rFonts w:hint="eastAsia" w:ascii="宋体" w:hAnsi="宋体"/>
          <w:b/>
          <w:bCs/>
          <w:color w:val="auto"/>
          <w:sz w:val="24"/>
          <w:highlight w:val="none"/>
          <w:u w:val="single"/>
        </w:rPr>
        <w:t>2.11    电子招标投标解密失败及突发状况的补救</w:t>
      </w:r>
    </w:p>
    <w:p>
      <w:pPr>
        <w:spacing w:line="400" w:lineRule="exact"/>
        <w:ind w:left="821" w:hanging="820" w:hangingChars="342"/>
        <w:jc w:val="left"/>
        <w:rPr>
          <w:rFonts w:hint="eastAsia" w:ascii="宋体" w:hAnsi="宋体" w:cs="宋体"/>
          <w:color w:val="auto"/>
          <w:sz w:val="24"/>
          <w:highlight w:val="none"/>
          <w:u w:val="single"/>
        </w:rPr>
      </w:pPr>
      <w:r>
        <w:rPr>
          <w:rFonts w:hint="eastAsia" w:ascii="宋体" w:hAnsi="宋体"/>
          <w:color w:val="auto"/>
          <w:sz w:val="24"/>
          <w:highlight w:val="none"/>
          <w:u w:val="single"/>
        </w:rPr>
        <w:t>2.11.1  提交投标文件光盘备用</w:t>
      </w:r>
    </w:p>
    <w:p>
      <w:pPr>
        <w:spacing w:line="400" w:lineRule="exact"/>
        <w:ind w:left="821" w:hanging="820" w:hangingChars="342"/>
        <w:jc w:val="left"/>
        <w:rPr>
          <w:rFonts w:ascii="宋体" w:hAnsi="宋体" w:cs="宋体"/>
          <w:color w:val="auto"/>
          <w:sz w:val="24"/>
          <w:highlight w:val="none"/>
          <w:u w:val="single"/>
        </w:rPr>
      </w:pPr>
      <w:r>
        <w:rPr>
          <w:rFonts w:hint="eastAsia" w:ascii="宋体" w:hAnsi="宋体"/>
          <w:color w:val="auto"/>
          <w:sz w:val="24"/>
          <w:highlight w:val="none"/>
        </w:rPr>
        <w:t xml:space="preserve">      　</w:t>
      </w:r>
      <w:r>
        <w:rPr>
          <w:rFonts w:hint="eastAsia" w:ascii="宋体" w:hAnsi="宋体" w:cs="宋体"/>
          <w:color w:val="auto"/>
          <w:sz w:val="24"/>
          <w:highlight w:val="none"/>
          <w:u w:val="singl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400" w:lineRule="exact"/>
        <w:ind w:left="821" w:hanging="820" w:hangingChars="342"/>
        <w:jc w:val="left"/>
        <w:rPr>
          <w:rFonts w:ascii="宋体" w:hAnsi="宋体"/>
          <w:color w:val="auto"/>
          <w:sz w:val="24"/>
          <w:highlight w:val="none"/>
          <w:u w:val="single"/>
        </w:rPr>
      </w:pPr>
      <w:r>
        <w:rPr>
          <w:rFonts w:hint="eastAsia" w:ascii="宋体" w:hAnsi="宋体"/>
          <w:color w:val="auto"/>
          <w:sz w:val="24"/>
          <w:highlight w:val="none"/>
          <w:u w:val="single"/>
        </w:rPr>
        <w:t>2.11.2  补救方案</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ind w:left="821" w:hanging="820" w:hangingChars="342"/>
        <w:jc w:val="left"/>
        <w:rPr>
          <w:rFonts w:ascii="宋体" w:hAnsi="宋体"/>
          <w:color w:val="auto"/>
          <w:sz w:val="24"/>
          <w:highlight w:val="none"/>
          <w:u w:val="single"/>
        </w:rPr>
      </w:pPr>
      <w:r>
        <w:rPr>
          <w:rFonts w:hint="eastAsia" w:ascii="宋体" w:hAnsi="宋体"/>
          <w:color w:val="auto"/>
          <w:sz w:val="24"/>
          <w:highlight w:val="none"/>
          <w:u w:val="single"/>
        </w:rPr>
        <w:t>2.11.2.2</w:t>
      </w:r>
      <w:r>
        <w:rPr>
          <w:rFonts w:hint="eastAsia" w:ascii="宋体" w:hAnsi="宋体" w:cs="宋体"/>
          <w:color w:val="auto"/>
          <w:sz w:val="24"/>
          <w:highlight w:val="none"/>
          <w:u w:val="single"/>
        </w:rPr>
        <w:t>评标</w:t>
      </w:r>
      <w:r>
        <w:rPr>
          <w:rFonts w:hint="eastAsia" w:ascii="宋体" w:hAnsi="宋体"/>
          <w:color w:val="auto"/>
          <w:sz w:val="24"/>
          <w:highlight w:val="none"/>
          <w:u w:val="single"/>
        </w:rPr>
        <w:t>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400" w:lineRule="exact"/>
        <w:ind w:left="821" w:hanging="820" w:hangingChars="342"/>
        <w:jc w:val="left"/>
        <w:rPr>
          <w:color w:val="auto"/>
          <w:highlight w:val="none"/>
        </w:rPr>
      </w:pPr>
      <w:r>
        <w:rPr>
          <w:rFonts w:hint="eastAsia" w:ascii="宋体" w:hAnsi="宋体"/>
          <w:color w:val="auto"/>
          <w:sz w:val="24"/>
          <w:highlight w:val="none"/>
          <w:u w:val="single"/>
        </w:rPr>
        <w:t>2.11.2.3除</w:t>
      </w:r>
      <w:r>
        <w:rPr>
          <w:rFonts w:hint="eastAsia" w:ascii="宋体" w:hAnsi="宋体" w:cs="宋体"/>
          <w:color w:val="auto"/>
          <w:sz w:val="24"/>
          <w:highlight w:val="none"/>
          <w:u w:val="single"/>
        </w:rPr>
        <w:t>发生</w:t>
      </w:r>
      <w:r>
        <w:rPr>
          <w:rFonts w:hint="eastAsia" w:ascii="宋体" w:hAnsi="宋体"/>
          <w:color w:val="auto"/>
          <w:sz w:val="24"/>
          <w:highlight w:val="none"/>
          <w:u w:val="single"/>
        </w:rPr>
        <w:t>上述情况外，开标评标均以投标人通过交易平台网上递交的电子投标文件为准。</w:t>
      </w:r>
    </w:p>
    <w:p>
      <w:pPr>
        <w:jc w:val="center"/>
        <w:rPr>
          <w:rFonts w:ascii="宋体" w:hAnsi="宋体"/>
          <w:b/>
          <w:color w:val="auto"/>
          <w:sz w:val="36"/>
          <w:szCs w:val="36"/>
          <w:highlight w:val="none"/>
        </w:rPr>
      </w:pPr>
      <w:r>
        <w:rPr>
          <w:rFonts w:hAnsi="宋体"/>
          <w:color w:val="auto"/>
          <w:highlight w:val="none"/>
        </w:rPr>
        <w:br w:type="page"/>
      </w:r>
      <w:r>
        <w:rPr>
          <w:rFonts w:hint="eastAsia" w:ascii="宋体" w:hAnsi="宋体"/>
          <w:b/>
          <w:color w:val="auto"/>
          <w:sz w:val="36"/>
          <w:szCs w:val="36"/>
          <w:highlight w:val="none"/>
        </w:rPr>
        <w:t>第三章  投标文件编制要求</w:t>
      </w:r>
    </w:p>
    <w:p>
      <w:pPr>
        <w:jc w:val="center"/>
        <w:rPr>
          <w:rFonts w:ascii="宋体" w:hAnsi="宋体"/>
          <w:color w:val="auto"/>
          <w:highlight w:val="none"/>
        </w:rPr>
      </w:pPr>
    </w:p>
    <w:p>
      <w:pPr>
        <w:spacing w:line="400" w:lineRule="exact"/>
        <w:jc w:val="left"/>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b/>
          <w:bCs/>
          <w:color w:val="auto"/>
          <w:sz w:val="24"/>
          <w:highlight w:val="none"/>
        </w:rPr>
        <w:t>3.1   投标文件</w:t>
      </w:r>
    </w:p>
    <w:p>
      <w:pPr>
        <w:pStyle w:val="13"/>
        <w:spacing w:line="360" w:lineRule="auto"/>
        <w:ind w:left="821" w:hanging="820" w:hangingChars="342"/>
        <w:rPr>
          <w:rFonts w:hAnsi="宋体"/>
          <w:strike/>
          <w:color w:val="auto"/>
          <w:sz w:val="24"/>
          <w:highlight w:val="none"/>
        </w:rPr>
      </w:pPr>
      <w:r>
        <w:rPr>
          <w:rFonts w:hint="eastAsia" w:hAnsi="宋体"/>
          <w:strike/>
          <w:color w:val="auto"/>
          <w:sz w:val="24"/>
          <w:highlight w:val="none"/>
        </w:rPr>
        <w:t xml:space="preserve">3.1.1  </w:t>
      </w:r>
      <w:r>
        <w:rPr>
          <w:rFonts w:hint="eastAsia" w:hAnsi="宋体"/>
          <w:strike/>
          <w:dstrike w:val="0"/>
          <w:color w:val="auto"/>
          <w:sz w:val="24"/>
          <w:highlight w:val="none"/>
        </w:rPr>
        <w:t>投标文件由商务文件和技术文件两部分组成。各部分投标文件应分别编制，各自独立包装</w:t>
      </w:r>
      <w:r>
        <w:rPr>
          <w:rFonts w:hint="eastAsia" w:hAnsi="宋体"/>
          <w:strike/>
          <w:dstrike w:val="0"/>
          <w:color w:val="auto"/>
          <w:sz w:val="24"/>
          <w:highlight w:val="none"/>
          <w:lang w:eastAsia="zh-CN"/>
        </w:rPr>
        <w:t>。</w:t>
      </w:r>
    </w:p>
    <w:p>
      <w:pPr>
        <w:pStyle w:val="13"/>
        <w:spacing w:line="360" w:lineRule="auto"/>
        <w:ind w:left="821" w:hanging="820" w:hangingChars="342"/>
        <w:rPr>
          <w:rFonts w:hAnsi="宋体"/>
          <w:color w:val="auto"/>
          <w:sz w:val="24"/>
          <w:szCs w:val="24"/>
          <w:highlight w:val="none"/>
          <w:u w:val="single"/>
        </w:rPr>
      </w:pPr>
      <w:r>
        <w:rPr>
          <w:rFonts w:hint="eastAsia" w:hAnsi="宋体"/>
          <w:color w:val="auto"/>
          <w:sz w:val="24"/>
          <w:highlight w:val="none"/>
          <w:u w:val="single"/>
        </w:rPr>
        <w:t xml:space="preserve">3.1.2  </w:t>
      </w:r>
      <w:r>
        <w:rPr>
          <w:rFonts w:hint="eastAsia" w:hAnsi="宋体"/>
          <w:color w:val="auto"/>
          <w:sz w:val="24"/>
          <w:szCs w:val="24"/>
          <w:highlight w:val="none"/>
          <w:u w:val="single"/>
        </w:rPr>
        <w:t>投标文件由下列部分组成：（1）开标文件；（2）商务文件（含资审文件）；（3）技术文件；（4）投标文件光盘（备用）。注：投标人也可不提交投标文件光盘（备用）。</w:t>
      </w:r>
    </w:p>
    <w:p>
      <w:pPr>
        <w:pStyle w:val="13"/>
        <w:spacing w:line="360" w:lineRule="auto"/>
        <w:ind w:left="821" w:hanging="820" w:hangingChars="342"/>
        <w:rPr>
          <w:rFonts w:hAnsi="宋体"/>
          <w:color w:val="auto"/>
          <w:sz w:val="24"/>
          <w:szCs w:val="24"/>
          <w:highlight w:val="none"/>
        </w:rPr>
      </w:pPr>
      <w:r>
        <w:rPr>
          <w:rFonts w:hint="eastAsia" w:hAnsi="宋体"/>
          <w:color w:val="auto"/>
          <w:sz w:val="24"/>
          <w:highlight w:val="none"/>
          <w:u w:val="single"/>
        </w:rPr>
        <w:t>3.1.3</w:t>
      </w:r>
      <w:r>
        <w:rPr>
          <w:rFonts w:hint="eastAsia" w:hAnsi="宋体"/>
          <w:color w:val="auto"/>
          <w:sz w:val="24"/>
          <w:highlight w:val="none"/>
          <w:u w:val="single"/>
          <w:lang w:val="en-US" w:eastAsia="zh-CN"/>
        </w:rPr>
        <w:t xml:space="preserve"> </w:t>
      </w:r>
      <w:r>
        <w:rPr>
          <w:rFonts w:hint="eastAsia" w:hAnsi="宋体"/>
          <w:color w:val="auto"/>
          <w:sz w:val="24"/>
          <w:highlight w:val="none"/>
          <w:u w:val="single"/>
        </w:rPr>
        <w:t xml:space="preserve"> 投标文件全部采用电子文档，投标文件所附证书证件均为原件清晰扫描件或</w:t>
      </w:r>
      <w:r>
        <w:rPr>
          <w:rFonts w:hAnsi="宋体"/>
          <w:color w:val="auto"/>
          <w:sz w:val="24"/>
          <w:highlight w:val="none"/>
          <w:u w:val="single"/>
        </w:rPr>
        <w:t>电子证书</w:t>
      </w:r>
      <w:r>
        <w:rPr>
          <w:rFonts w:hint="eastAsia" w:hAnsi="宋体"/>
          <w:color w:val="auto"/>
          <w:sz w:val="24"/>
          <w:highlight w:val="none"/>
          <w:u w:val="single"/>
        </w:rPr>
        <w:t>，并采用单位数字证书，按招标文件要求在相应位置加盖电子印章，投标文件中需个人签字或盖章的，应本人手签或盖章后扫描上传，具体操作详见交易平台发布的相关操作指引。</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3.1.4  投标文件应做到清晰、完整，文本、图纸规格应当尽量统一。</w:t>
      </w:r>
      <w:r>
        <w:rPr>
          <w:rFonts w:hint="eastAsia" w:hAnsi="宋体"/>
          <w:color w:val="auto"/>
          <w:sz w:val="24"/>
          <w:highlight w:val="none"/>
        </w:rPr>
        <w:t>除非另有规定，否则投标文件的</w:t>
      </w:r>
      <w:r>
        <w:rPr>
          <w:rFonts w:hint="eastAsia" w:ascii="宋体" w:hAnsi="宋体"/>
          <w:color w:val="auto"/>
          <w:sz w:val="24"/>
          <w:highlight w:val="none"/>
        </w:rPr>
        <w:t>计量单位宜采用国际标准计量单位，尺寸齐全、准确，</w:t>
      </w:r>
      <w:r>
        <w:rPr>
          <w:rFonts w:hint="eastAsia" w:hAnsi="宋体"/>
          <w:color w:val="auto"/>
          <w:sz w:val="24"/>
          <w:highlight w:val="none"/>
        </w:rPr>
        <w:t>所有文字说明和文字标注以中文为准，报价均为人民币，时间均为北京时间。</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3.1.5  每个投标人报送一个投标方案，投标文件应达到招标文件规定的深度，满足评审需要。不响应招标文件要求的投标文件可能被拒绝，责任由投标人自负。</w:t>
      </w:r>
    </w:p>
    <w:p>
      <w:pPr>
        <w:spacing w:line="400" w:lineRule="exact"/>
        <w:rPr>
          <w:rFonts w:hint="eastAsia" w:ascii="宋体" w:hAnsi="宋体"/>
          <w:color w:val="auto"/>
          <w:sz w:val="24"/>
          <w:highlight w:val="none"/>
          <w:u w:val="single"/>
        </w:rPr>
      </w:pPr>
      <w:r>
        <w:rPr>
          <w:rFonts w:hint="eastAsia" w:ascii="宋体" w:hAnsi="宋体"/>
          <w:color w:val="auto"/>
          <w:sz w:val="24"/>
          <w:highlight w:val="none"/>
          <w:u w:val="single"/>
        </w:rPr>
        <w:t xml:space="preserve">3.1.6  </w:t>
      </w:r>
      <w:bookmarkStart w:id="0" w:name="_Hlk83750820"/>
      <w:r>
        <w:rPr>
          <w:rFonts w:hint="eastAsia" w:ascii="宋体" w:hAnsi="宋体"/>
          <w:color w:val="auto"/>
          <w:sz w:val="24"/>
          <w:highlight w:val="none"/>
          <w:u w:val="singl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bookmarkEnd w:id="0"/>
      <w:r>
        <w:rPr>
          <w:rFonts w:hint="eastAsia" w:ascii="宋体" w:hAnsi="宋体"/>
          <w:color w:val="auto"/>
          <w:sz w:val="24"/>
          <w:highlight w:val="none"/>
          <w:u w:val="single"/>
          <w:lang w:val="en-US" w:eastAsia="zh-CN"/>
        </w:rPr>
        <w:t>联合体</w:t>
      </w:r>
      <w:r>
        <w:rPr>
          <w:rFonts w:hint="eastAsia" w:ascii="宋体" w:hAnsi="宋体"/>
          <w:color w:val="auto"/>
          <w:sz w:val="24"/>
          <w:highlight w:val="none"/>
          <w:u w:val="single"/>
        </w:rPr>
        <w:t>投标时，法人证明及授权委托书由联合体主办方提供即可。</w:t>
      </w:r>
    </w:p>
    <w:p>
      <w:pPr>
        <w:pStyle w:val="13"/>
        <w:spacing w:line="360" w:lineRule="auto"/>
        <w:ind w:left="821" w:hanging="820" w:hangingChars="342"/>
        <w:rPr>
          <w:color w:val="auto"/>
          <w:highlight w:val="none"/>
        </w:rPr>
      </w:pPr>
      <w:r>
        <w:rPr>
          <w:rFonts w:ascii="宋体" w:hAnsi="宋体"/>
          <w:color w:val="auto"/>
          <w:sz w:val="24"/>
          <w:highlight w:val="none"/>
          <w:u w:val="single"/>
        </w:rPr>
        <w:t xml:space="preserve">3.1.7  </w:t>
      </w:r>
      <w:r>
        <w:rPr>
          <w:rFonts w:hint="eastAsia" w:ascii="宋体" w:hAnsi="宋体"/>
          <w:color w:val="auto"/>
          <w:sz w:val="24"/>
          <w:highlight w:val="none"/>
          <w:u w:val="single"/>
        </w:rPr>
        <w:t>投标文件加密要求：递交的电子投标文件必须进行加密。具体操作详见交易平台发布的相关操作指引。未按要求加密的投标文件，交易平台将予以拒收。</w:t>
      </w:r>
    </w:p>
    <w:p>
      <w:pPr>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b/>
          <w:color w:val="auto"/>
          <w:sz w:val="24"/>
          <w:highlight w:val="none"/>
        </w:rPr>
        <w:t>3</w:t>
      </w:r>
      <w:r>
        <w:rPr>
          <w:rFonts w:hint="eastAsia" w:ascii="宋体" w:hAnsi="宋体"/>
          <w:b/>
          <w:bCs/>
          <w:color w:val="auto"/>
          <w:sz w:val="24"/>
          <w:highlight w:val="none"/>
        </w:rPr>
        <w:t>.2  商务文件（含资格审查文件）编制要求</w:t>
      </w:r>
    </w:p>
    <w:p>
      <w:pPr>
        <w:pStyle w:val="14"/>
        <w:spacing w:line="360" w:lineRule="auto"/>
        <w:rPr>
          <w:rFonts w:hAnsi="宋体"/>
          <w:color w:val="auto"/>
          <w:sz w:val="24"/>
          <w:highlight w:val="none"/>
        </w:rPr>
      </w:pPr>
      <w:r>
        <w:rPr>
          <w:rFonts w:hint="eastAsia" w:hAnsi="宋体"/>
          <w:color w:val="auto"/>
          <w:sz w:val="24"/>
          <w:highlight w:val="none"/>
        </w:rPr>
        <w:t xml:space="preserve">3.2.1 </w:t>
      </w:r>
      <w:r>
        <w:rPr>
          <w:rFonts w:hint="eastAsia" w:hAnsi="宋体"/>
          <w:color w:val="auto"/>
          <w:sz w:val="24"/>
          <w:szCs w:val="24"/>
          <w:highlight w:val="none"/>
        </w:rPr>
        <w:t>商务文件由下列资料组成：</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（1）封面：写明项目名称、商务文件、投标人单位及年月日；加盖投标人公章。</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（2）目录。</w:t>
      </w:r>
    </w:p>
    <w:p>
      <w:pPr>
        <w:spacing w:line="360" w:lineRule="auto"/>
        <w:jc w:val="left"/>
        <w:rPr>
          <w:rFonts w:hAnsi="宋体"/>
          <w:color w:val="auto"/>
          <w:sz w:val="24"/>
          <w:highlight w:val="none"/>
        </w:rPr>
      </w:pPr>
      <w:r>
        <w:rPr>
          <w:rFonts w:hint="eastAsia" w:ascii="宋体" w:hAnsi="宋体" w:cs="Times New Roman"/>
          <w:color w:val="auto"/>
          <w:sz w:val="24"/>
          <w:highlight w:val="none"/>
          <w:u w:val="single"/>
        </w:rPr>
        <w:t>（3）投标书（格式见附录</w:t>
      </w:r>
      <w:r>
        <w:rPr>
          <w:rFonts w:hint="eastAsia" w:ascii="宋体" w:hAnsi="宋体" w:cs="Times New Roman"/>
          <w:color w:val="auto"/>
          <w:sz w:val="24"/>
          <w:highlight w:val="none"/>
          <w:u w:val="single"/>
          <w:lang w:val="en-US" w:eastAsia="zh-CN"/>
        </w:rPr>
        <w:t>7</w:t>
      </w:r>
      <w:r>
        <w:rPr>
          <w:rFonts w:hint="eastAsia" w:ascii="宋体" w:hAnsi="宋体" w:cs="Times New Roman"/>
          <w:color w:val="auto"/>
          <w:sz w:val="24"/>
          <w:highlight w:val="none"/>
          <w:u w:val="single"/>
        </w:rPr>
        <w:t>）及联合体共同投标协议（如果有）（格式见附录</w:t>
      </w:r>
      <w:r>
        <w:rPr>
          <w:rFonts w:hint="eastAsia" w:ascii="宋体" w:hAnsi="宋体" w:cs="Times New Roman"/>
          <w:color w:val="auto"/>
          <w:sz w:val="24"/>
          <w:highlight w:val="none"/>
          <w:u w:val="single"/>
          <w:lang w:val="en-US" w:eastAsia="zh-CN"/>
        </w:rPr>
        <w:t>8</w:t>
      </w:r>
      <w:r>
        <w:rPr>
          <w:rFonts w:hint="eastAsia" w:ascii="宋体" w:hAnsi="宋体" w:cs="Times New Roman"/>
          <w:color w:val="auto"/>
          <w:sz w:val="24"/>
          <w:highlight w:val="none"/>
          <w:u w:val="single"/>
        </w:rPr>
        <w:t>）；勘察设计费报价表（格式见附录</w:t>
      </w:r>
      <w:r>
        <w:rPr>
          <w:rFonts w:hint="eastAsia" w:ascii="宋体" w:hAnsi="宋体" w:cs="Times New Roman"/>
          <w:color w:val="auto"/>
          <w:sz w:val="24"/>
          <w:highlight w:val="none"/>
          <w:u w:val="single"/>
          <w:lang w:val="en-US" w:eastAsia="zh-CN"/>
        </w:rPr>
        <w:t>5</w:t>
      </w:r>
      <w:r>
        <w:rPr>
          <w:rFonts w:hint="eastAsia" w:ascii="宋体" w:hAnsi="宋体" w:cs="Times New Roman"/>
          <w:color w:val="auto"/>
          <w:sz w:val="24"/>
          <w:highlight w:val="none"/>
          <w:u w:val="single"/>
        </w:rPr>
        <w:t>）。注：本项资料要求投标人在“开标文件”和“商务文件”中同时提供，但评标委员会应根据“开标文件”中的“投标书”、联合体共同投标协议（如果有）、</w:t>
      </w:r>
      <w:r>
        <w:rPr>
          <w:rFonts w:hint="eastAsia" w:ascii="宋体" w:hAnsi="宋体"/>
          <w:color w:val="auto"/>
          <w:sz w:val="24"/>
          <w:highlight w:val="none"/>
          <w:u w:val="single"/>
        </w:rPr>
        <w:t>察设计费报价表进行评审。如两者不一致，以“开标文件”中的为准。）</w:t>
      </w:r>
    </w:p>
    <w:p>
      <w:pPr>
        <w:spacing w:line="360" w:lineRule="auto"/>
        <w:jc w:val="left"/>
        <w:rPr>
          <w:rFonts w:hAnsi="宋体"/>
          <w:color w:val="auto"/>
          <w:sz w:val="24"/>
          <w:highlight w:val="none"/>
        </w:rPr>
      </w:pPr>
      <w:r>
        <w:rPr>
          <w:rFonts w:hint="eastAsia" w:ascii="宋体" w:hAnsi="宋体"/>
          <w:color w:val="auto"/>
          <w:sz w:val="24"/>
          <w:highlight w:val="none"/>
        </w:rPr>
        <w:t>（4）填妥并盖章的《投标申请表》</w:t>
      </w:r>
      <w:r>
        <w:rPr>
          <w:rFonts w:hint="eastAsia" w:hAnsi="宋体"/>
          <w:color w:val="auto"/>
          <w:sz w:val="24"/>
          <w:highlight w:val="none"/>
        </w:rPr>
        <w:t>（格式见附录1、</w:t>
      </w:r>
      <w:r>
        <w:rPr>
          <w:rFonts w:hint="eastAsia" w:hAnsi="宋体"/>
          <w:strike/>
          <w:dstrike w:val="0"/>
          <w:color w:val="auto"/>
          <w:sz w:val="24"/>
          <w:highlight w:val="none"/>
        </w:rPr>
        <w:t>2、</w:t>
      </w:r>
      <w:r>
        <w:rPr>
          <w:rFonts w:hint="eastAsia" w:hAnsi="宋体"/>
          <w:color w:val="auto"/>
          <w:sz w:val="24"/>
          <w:highlight w:val="none"/>
        </w:rPr>
        <w:t>3）。</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（5）企业营业执照副本复印件。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（6）企业资质证书副本复印件。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（7）项目负责人注册证书或职称证书复印件。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（8）各专业负责人注册证书或职称证书复印件。</w:t>
      </w:r>
    </w:p>
    <w:p>
      <w:pPr>
        <w:spacing w:line="360" w:lineRule="auto"/>
        <w:ind w:left="600" w:hanging="600" w:hangingChars="250"/>
        <w:jc w:val="left"/>
        <w:rPr>
          <w:rFonts w:ascii="宋体" w:hAnsi="宋体"/>
          <w:strike/>
          <w:color w:val="auto"/>
          <w:sz w:val="24"/>
          <w:highlight w:val="none"/>
        </w:rPr>
      </w:pPr>
      <w:r>
        <w:rPr>
          <w:rFonts w:hint="eastAsia" w:ascii="宋体" w:hAnsi="宋体"/>
          <w:strike/>
          <w:color w:val="auto"/>
          <w:sz w:val="24"/>
          <w:highlight w:val="none"/>
        </w:rPr>
        <w:t>（9）企业类似工程业绩证明材料复印件。</w:t>
      </w:r>
    </w:p>
    <w:p>
      <w:pPr>
        <w:spacing w:line="360" w:lineRule="auto"/>
        <w:ind w:left="600" w:hanging="600" w:hangingChars="250"/>
        <w:jc w:val="left"/>
        <w:rPr>
          <w:rFonts w:ascii="宋体" w:hAnsi="宋体"/>
          <w:strike/>
          <w:color w:val="auto"/>
          <w:sz w:val="24"/>
          <w:highlight w:val="none"/>
        </w:rPr>
      </w:pPr>
      <w:r>
        <w:rPr>
          <w:rFonts w:hint="eastAsia" w:ascii="宋体" w:hAnsi="宋体"/>
          <w:strike/>
          <w:color w:val="auto"/>
          <w:sz w:val="24"/>
          <w:highlight w:val="none"/>
        </w:rPr>
        <w:t>（10）项目负责人类似工程业绩证明材料复印件。</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11）为本项目拟投入的技术力量。主要包括项目负责人及各专业负责人的资格、设计经历及业务能力，主要设计人员的资格、设计经历及业务能力，工程勘察人员的资格、业务能力，参加本项目人员配置情况等，对资格等内容必须附上有关的证明材料，并能保证材料的真实性；（格式见附录</w:t>
      </w:r>
      <w:r>
        <w:rPr>
          <w:rFonts w:hint="eastAsia" w:ascii="宋体" w:hAnsi="宋体"/>
          <w:color w:val="auto"/>
          <w:sz w:val="24"/>
          <w:highlight w:val="none"/>
          <w:lang w:val="en-US" w:eastAsia="zh-CN"/>
        </w:rPr>
        <w:t>10</w:t>
      </w:r>
      <w:r>
        <w:rPr>
          <w:rFonts w:hint="eastAsia" w:ascii="宋体" w:hAnsi="宋体"/>
          <w:color w:val="auto"/>
          <w:sz w:val="24"/>
          <w:highlight w:val="none"/>
        </w:rPr>
        <w:t>）。</w:t>
      </w:r>
    </w:p>
    <w:p>
      <w:pPr>
        <w:spacing w:line="360" w:lineRule="auto"/>
        <w:ind w:left="600" w:hanging="600" w:hangingChars="250"/>
        <w:jc w:val="left"/>
        <w:rPr>
          <w:rFonts w:ascii="宋体" w:hAnsi="宋体"/>
          <w:color w:val="auto"/>
          <w:sz w:val="24"/>
          <w:highlight w:val="none"/>
          <w:u w:val="single"/>
        </w:rPr>
      </w:pPr>
      <w:r>
        <w:rPr>
          <w:rFonts w:hint="eastAsia" w:ascii="宋体" w:hAnsi="宋体"/>
          <w:color w:val="auto"/>
          <w:sz w:val="24"/>
          <w:highlight w:val="none"/>
          <w:u w:val="single"/>
        </w:rPr>
        <w:t>（12）投标人认为有必要的其他资料。</w:t>
      </w:r>
    </w:p>
    <w:p>
      <w:pPr>
        <w:spacing w:line="360" w:lineRule="auto"/>
        <w:ind w:left="600" w:hanging="600" w:hangingChars="250"/>
        <w:rPr>
          <w:rFonts w:ascii="宋体" w:hAnsi="宋体"/>
          <w:color w:val="auto"/>
          <w:sz w:val="24"/>
          <w:highlight w:val="none"/>
          <w:u w:val="single"/>
        </w:rPr>
      </w:pPr>
      <w:r>
        <w:rPr>
          <w:rFonts w:hint="eastAsia" w:hAnsi="宋体"/>
          <w:color w:val="auto"/>
          <w:sz w:val="24"/>
          <w:highlight w:val="none"/>
          <w:u w:val="single"/>
        </w:rPr>
        <w:t xml:space="preserve">3.2.2 </w:t>
      </w:r>
      <w:r>
        <w:rPr>
          <w:rFonts w:hint="eastAsia" w:ascii="宋体" w:hAnsi="宋体"/>
          <w:color w:val="auto"/>
          <w:sz w:val="24"/>
          <w:highlight w:val="none"/>
          <w:u w:val="single"/>
        </w:rPr>
        <w:t>商务投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p>
      <w:pPr>
        <w:spacing w:line="360" w:lineRule="auto"/>
        <w:ind w:left="600" w:hanging="600" w:hangingChars="250"/>
        <w:rPr>
          <w:rFonts w:hint="eastAsia" w:ascii="宋体" w:hAnsi="宋体"/>
          <w:strike/>
          <w:dstrike w:val="0"/>
          <w:color w:val="auto"/>
          <w:sz w:val="24"/>
          <w:highlight w:val="none"/>
        </w:rPr>
      </w:pPr>
      <w:r>
        <w:rPr>
          <w:rFonts w:hint="eastAsia" w:ascii="宋体" w:hAnsi="宋体"/>
          <w:strike/>
          <w:dstrike w:val="0"/>
          <w:color w:val="auto"/>
          <w:sz w:val="24"/>
          <w:highlight w:val="none"/>
        </w:rPr>
        <w:t>3.2.3接收投标文件时，如果包封上没有按上述规定密封或加写标志，招标人予以拒绝，并退还给投标人。</w:t>
      </w: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rPr>
        <w:t>3.3   技术文件编制要求</w:t>
      </w: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 xml:space="preserve">3.3.1 </w:t>
      </w:r>
      <w:r>
        <w:rPr>
          <w:rFonts w:hint="eastAsia" w:ascii="宋体" w:hAnsi="宋体"/>
          <w:b/>
          <w:color w:val="auto"/>
          <w:sz w:val="24"/>
          <w:highlight w:val="none"/>
        </w:rPr>
        <w:t>技术文件由下列资料组成：</w:t>
      </w:r>
    </w:p>
    <w:p>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(a) 设计方案。</w:t>
      </w:r>
    </w:p>
    <w:p>
      <w:pPr>
        <w:spacing w:line="360" w:lineRule="auto"/>
        <w:rPr>
          <w:rFonts w:ascii="宋体" w:hAnsi="宋体"/>
          <w:color w:val="auto"/>
          <w:sz w:val="24"/>
          <w:highlight w:val="none"/>
        </w:rPr>
      </w:pPr>
      <w:r>
        <w:rPr>
          <w:rFonts w:hint="eastAsia" w:ascii="宋体" w:hAnsi="宋体"/>
          <w:color w:val="auto"/>
          <w:sz w:val="24"/>
          <w:highlight w:val="none"/>
        </w:rPr>
        <w:t xml:space="preserve">3.3.2 </w:t>
      </w:r>
      <w:r>
        <w:rPr>
          <w:rFonts w:hint="eastAsia" w:ascii="宋体" w:hAnsi="宋体"/>
          <w:b/>
          <w:bCs/>
          <w:color w:val="auto"/>
          <w:sz w:val="24"/>
          <w:highlight w:val="none"/>
        </w:rPr>
        <w:t>保密要求</w:t>
      </w:r>
    </w:p>
    <w:p>
      <w:pPr>
        <w:spacing w:line="360" w:lineRule="auto"/>
        <w:ind w:left="718" w:leftChars="342"/>
        <w:jc w:val="left"/>
        <w:rPr>
          <w:rFonts w:ascii="宋体" w:hAnsi="宋体"/>
          <w:color w:val="auto"/>
          <w:sz w:val="24"/>
          <w:highlight w:val="none"/>
        </w:rPr>
      </w:pPr>
      <w:r>
        <w:rPr>
          <w:rFonts w:hint="eastAsia" w:ascii="宋体" w:hAnsi="宋体" w:cs="宋体"/>
          <w:color w:val="auto"/>
          <w:sz w:val="24"/>
          <w:highlight w:val="none"/>
          <w:u w:val="single"/>
        </w:rPr>
        <w:t>技术文件必须隐匿投标人及专业技术人员的名称，投标人不得在技术文件的设计方案上标注或做任何可以辨认投标人及专业技术人员身份的名称、印章、商标、图形</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spacing w:line="360" w:lineRule="auto"/>
        <w:rPr>
          <w:rFonts w:ascii="宋体" w:hAnsi="宋体"/>
          <w:b/>
          <w:strike/>
          <w:dstrike w:val="0"/>
          <w:color w:val="auto"/>
          <w:sz w:val="24"/>
          <w:highlight w:val="none"/>
        </w:rPr>
      </w:pPr>
      <w:r>
        <w:rPr>
          <w:rFonts w:hint="eastAsia" w:ascii="宋体" w:hAnsi="宋体"/>
          <w:strike/>
          <w:dstrike w:val="0"/>
          <w:color w:val="auto"/>
          <w:sz w:val="24"/>
          <w:highlight w:val="none"/>
        </w:rPr>
        <w:t xml:space="preserve">3.3.3 </w:t>
      </w:r>
      <w:r>
        <w:rPr>
          <w:rFonts w:hint="eastAsia" w:ascii="宋体" w:hAnsi="宋体"/>
          <w:b/>
          <w:strike/>
          <w:dstrike w:val="0"/>
          <w:color w:val="auto"/>
          <w:sz w:val="24"/>
          <w:highlight w:val="none"/>
        </w:rPr>
        <w:t>保密信封</w:t>
      </w:r>
    </w:p>
    <w:p>
      <w:pPr>
        <w:spacing w:line="360" w:lineRule="auto"/>
        <w:ind w:left="719" w:leftChars="114" w:hanging="480" w:hangingChars="200"/>
        <w:jc w:val="left"/>
        <w:rPr>
          <w:rFonts w:ascii="宋体" w:hAnsi="宋体"/>
          <w:strike/>
          <w:dstrike w:val="0"/>
          <w:color w:val="auto"/>
          <w:sz w:val="24"/>
          <w:highlight w:val="none"/>
        </w:rPr>
      </w:pPr>
      <w:r>
        <w:rPr>
          <w:rFonts w:hint="eastAsia" w:ascii="宋体" w:hAnsi="宋体"/>
          <w:strike/>
          <w:dstrike w:val="0"/>
          <w:color w:val="auto"/>
          <w:sz w:val="24"/>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ind w:left="719" w:leftChars="114" w:hanging="480" w:hangingChars="200"/>
        <w:jc w:val="left"/>
        <w:rPr>
          <w:rFonts w:ascii="宋体" w:hAnsi="宋体"/>
          <w:strike/>
          <w:dstrike w:val="0"/>
          <w:color w:val="auto"/>
          <w:sz w:val="24"/>
          <w:highlight w:val="none"/>
        </w:rPr>
      </w:pPr>
      <w:r>
        <w:rPr>
          <w:rFonts w:hint="eastAsia" w:ascii="宋体" w:hAnsi="宋体"/>
          <w:strike/>
          <w:dstrike w:val="0"/>
          <w:color w:val="auto"/>
          <w:sz w:val="24"/>
          <w:highlight w:val="none"/>
        </w:rPr>
        <w:t>（2）保密信封用不透明信封独立密封，外面标注“项目名称”及“保密信封”字样。</w:t>
      </w:r>
    </w:p>
    <w:p>
      <w:pPr>
        <w:spacing w:line="360" w:lineRule="auto"/>
        <w:rPr>
          <w:rFonts w:ascii="宋体" w:hAnsi="宋体"/>
          <w:b/>
          <w:color w:val="auto"/>
          <w:sz w:val="24"/>
          <w:highlight w:val="none"/>
        </w:rPr>
      </w:pPr>
      <w:r>
        <w:rPr>
          <w:rFonts w:hint="eastAsia" w:ascii="宋体" w:hAnsi="宋体"/>
          <w:color w:val="auto"/>
          <w:sz w:val="24"/>
          <w:highlight w:val="none"/>
        </w:rPr>
        <w:t xml:space="preserve">3.3.4 </w:t>
      </w:r>
      <w:r>
        <w:rPr>
          <w:rFonts w:hint="eastAsia" w:ascii="宋体" w:hAnsi="宋体"/>
          <w:b/>
          <w:color w:val="auto"/>
          <w:sz w:val="24"/>
          <w:highlight w:val="none"/>
        </w:rPr>
        <w:t>设计方案</w:t>
      </w:r>
    </w:p>
    <w:p>
      <w:pPr>
        <w:spacing w:line="360" w:lineRule="auto"/>
        <w:ind w:left="1199" w:leftChars="114" w:hanging="960" w:hangingChars="400"/>
        <w:jc w:val="left"/>
        <w:rPr>
          <w:rFonts w:ascii="宋体" w:hAnsi="宋体"/>
          <w:color w:val="auto"/>
          <w:sz w:val="24"/>
          <w:highlight w:val="none"/>
          <w:u w:val="single"/>
        </w:rPr>
      </w:pPr>
      <w:r>
        <w:rPr>
          <w:rFonts w:hint="eastAsia" w:ascii="宋体" w:hAnsi="宋体"/>
          <w:color w:val="auto"/>
          <w:sz w:val="24"/>
          <w:highlight w:val="none"/>
          <w:u w:val="single"/>
        </w:rPr>
        <w:t>（1）设计方案文本文件内容：</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(a) 封面：写明项目名称、编制年月；</w:t>
      </w:r>
    </w:p>
    <w:p>
      <w:pPr>
        <w:spacing w:line="360" w:lineRule="auto"/>
        <w:jc w:val="left"/>
        <w:rPr>
          <w:rFonts w:hAnsi="宋体"/>
          <w:color w:val="auto"/>
          <w:sz w:val="24"/>
          <w:highlight w:val="none"/>
          <w:u w:val="single"/>
        </w:rPr>
      </w:pPr>
      <w:r>
        <w:rPr>
          <w:rFonts w:hint="eastAsia" w:hAnsi="宋体"/>
          <w:color w:val="auto"/>
          <w:sz w:val="24"/>
          <w:highlight w:val="none"/>
          <w:u w:val="single"/>
        </w:rPr>
        <w:t xml:space="preserve">    (b) 目录。</w:t>
      </w:r>
    </w:p>
    <w:p>
      <w:pPr>
        <w:spacing w:line="360" w:lineRule="auto"/>
        <w:ind w:firstLine="120" w:firstLineChars="50"/>
        <w:jc w:val="left"/>
        <w:rPr>
          <w:rFonts w:hAnsi="宋体"/>
          <w:color w:val="auto"/>
          <w:sz w:val="24"/>
          <w:highlight w:val="none"/>
          <w:u w:val="single"/>
        </w:rPr>
      </w:pPr>
      <w:r>
        <w:rPr>
          <w:rFonts w:hint="eastAsia" w:hAnsi="宋体"/>
          <w:color w:val="auto"/>
          <w:sz w:val="24"/>
          <w:highlight w:val="none"/>
          <w:u w:val="single"/>
        </w:rPr>
        <w:t xml:space="preserve">   (c) 设计说明书（含本项目的难点、建议和</w:t>
      </w:r>
      <w:r>
        <w:rPr>
          <w:rFonts w:hAnsi="宋体"/>
          <w:color w:val="auto"/>
          <w:sz w:val="24"/>
          <w:highlight w:val="none"/>
          <w:u w:val="single"/>
        </w:rPr>
        <w:t>工程创新</w:t>
      </w:r>
      <w:r>
        <w:rPr>
          <w:rFonts w:hint="eastAsia" w:hAnsi="宋体"/>
          <w:color w:val="auto"/>
          <w:sz w:val="24"/>
          <w:highlight w:val="none"/>
          <w:u w:val="single"/>
        </w:rPr>
        <w:t>）。</w:t>
      </w:r>
    </w:p>
    <w:p>
      <w:pPr>
        <w:spacing w:line="360" w:lineRule="auto"/>
        <w:jc w:val="left"/>
        <w:rPr>
          <w:rFonts w:hAnsi="宋体"/>
          <w:color w:val="auto"/>
          <w:sz w:val="24"/>
          <w:highlight w:val="none"/>
          <w:u w:val="single"/>
        </w:rPr>
      </w:pPr>
      <w:r>
        <w:rPr>
          <w:rFonts w:hint="eastAsia" w:hAnsi="宋体"/>
          <w:color w:val="auto"/>
          <w:sz w:val="24"/>
          <w:highlight w:val="none"/>
          <w:u w:val="single"/>
        </w:rPr>
        <w:t xml:space="preserve">    (</w:t>
      </w:r>
      <w:r>
        <w:rPr>
          <w:rFonts w:hAnsi="宋体"/>
          <w:color w:val="auto"/>
          <w:sz w:val="24"/>
          <w:highlight w:val="none"/>
          <w:u w:val="single"/>
        </w:rPr>
        <w:t>d</w:t>
      </w:r>
      <w:r>
        <w:rPr>
          <w:rFonts w:hint="eastAsia" w:hAnsi="宋体"/>
          <w:color w:val="auto"/>
          <w:sz w:val="24"/>
          <w:highlight w:val="none"/>
          <w:u w:val="single"/>
        </w:rPr>
        <w:t>) 投标人认为有必要提供的其他资料。</w:t>
      </w:r>
    </w:p>
    <w:p>
      <w:pPr>
        <w:pStyle w:val="13"/>
        <w:spacing w:line="360" w:lineRule="auto"/>
        <w:ind w:firstLine="0" w:firstLineChars="0"/>
        <w:rPr>
          <w:rFonts w:hAnsi="宋体"/>
          <w:b/>
          <w:color w:val="auto"/>
          <w:sz w:val="24"/>
          <w:szCs w:val="24"/>
          <w:highlight w:val="none"/>
          <w:u w:val="single"/>
        </w:rPr>
      </w:pPr>
      <w:r>
        <w:rPr>
          <w:rFonts w:hint="eastAsia" w:hAnsi="宋体"/>
          <w:color w:val="auto"/>
          <w:sz w:val="24"/>
          <w:highlight w:val="none"/>
          <w:u w:val="single"/>
        </w:rPr>
        <w:t>（</w:t>
      </w:r>
      <w:r>
        <w:rPr>
          <w:rFonts w:hAnsi="宋体"/>
          <w:color w:val="auto"/>
          <w:sz w:val="24"/>
          <w:highlight w:val="none"/>
          <w:u w:val="single"/>
        </w:rPr>
        <w:t>2</w:t>
      </w:r>
      <w:r>
        <w:rPr>
          <w:rFonts w:hint="eastAsia" w:hAnsi="宋体"/>
          <w:color w:val="auto"/>
          <w:sz w:val="24"/>
          <w:highlight w:val="none"/>
          <w:u w:val="single"/>
        </w:rPr>
        <w:t>）</w:t>
      </w:r>
      <w:r>
        <w:rPr>
          <w:rFonts w:hint="eastAsia" w:hAnsi="宋体"/>
          <w:b/>
          <w:color w:val="auto"/>
          <w:sz w:val="24"/>
          <w:szCs w:val="24"/>
          <w:highlight w:val="none"/>
          <w:u w:val="single"/>
        </w:rPr>
        <w:t>勘察部分内容：</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(a) 针对项目场地及工程性质采用的勘察方案及建议，本次勘察的重点、难点及建议。</w:t>
      </w:r>
    </w:p>
    <w:p>
      <w:pPr>
        <w:tabs>
          <w:tab w:val="right" w:pos="8350"/>
        </w:tabs>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(b) 勘察工作流程和相应的工期进度计划。</w:t>
      </w:r>
      <w:r>
        <w:rPr>
          <w:rFonts w:hint="eastAsia" w:hAnsi="宋体"/>
          <w:color w:val="auto"/>
          <w:sz w:val="24"/>
          <w:highlight w:val="none"/>
          <w:u w:val="single"/>
        </w:rPr>
        <w:tab/>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(c) 勘察报告综合评价深度，勘察成果文件内容目录。</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(d) 投标人掌握的勘察工作有关的法律法规、标准、规范一览表。</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(e) 需要建设单位配合的事项。</w:t>
      </w:r>
    </w:p>
    <w:p>
      <w:pPr>
        <w:spacing w:line="360" w:lineRule="auto"/>
        <w:ind w:left="720" w:hanging="720" w:hangingChars="300"/>
        <w:jc w:val="left"/>
        <w:rPr>
          <w:rFonts w:hAnsi="宋体"/>
          <w:color w:val="auto"/>
          <w:sz w:val="24"/>
          <w:highlight w:val="none"/>
          <w:u w:val="single"/>
        </w:rPr>
      </w:pPr>
      <w:r>
        <w:rPr>
          <w:rFonts w:hint="eastAsia" w:hAnsi="宋体"/>
          <w:color w:val="auto"/>
          <w:sz w:val="24"/>
          <w:highlight w:val="none"/>
          <w:u w:val="single"/>
        </w:rPr>
        <w:t xml:space="preserve">    (f) 投标人参与施工验槽，解决工程设计和施工中与勘察工作有关问题的服务承诺、响应时间。</w:t>
      </w:r>
    </w:p>
    <w:p>
      <w:pPr>
        <w:spacing w:line="360" w:lineRule="auto"/>
        <w:ind w:left="720" w:hanging="720" w:hangingChars="300"/>
        <w:jc w:val="left"/>
        <w:rPr>
          <w:rFonts w:hint="eastAsia" w:ascii="Times New Roman" w:hAnsi="宋体" w:eastAsia="宋体" w:cs="Times New Roman"/>
          <w:color w:val="auto"/>
          <w:sz w:val="24"/>
          <w:highlight w:val="none"/>
          <w:u w:val="single"/>
        </w:rPr>
      </w:pPr>
      <w:r>
        <w:rPr>
          <w:rFonts w:hint="eastAsia" w:ascii="Times New Roman" w:hAnsi="宋体" w:eastAsia="宋体" w:cs="Times New Roman"/>
          <w:color w:val="auto"/>
          <w:sz w:val="24"/>
          <w:highlight w:val="none"/>
          <w:u w:val="single"/>
        </w:rPr>
        <w:t>注：</w:t>
      </w:r>
      <w:r>
        <w:rPr>
          <w:rFonts w:hint="eastAsia" w:ascii="宋体" w:hAnsi="宋体"/>
          <w:color w:val="auto"/>
          <w:sz w:val="24"/>
          <w:highlight w:val="none"/>
          <w:u w:val="single"/>
        </w:rPr>
        <w:t>技术文件含封面</w:t>
      </w:r>
      <w:r>
        <w:rPr>
          <w:rFonts w:ascii="宋体" w:hAnsi="宋体"/>
          <w:color w:val="auto"/>
          <w:sz w:val="24"/>
          <w:highlight w:val="none"/>
          <w:u w:val="single"/>
        </w:rPr>
        <w:t>、封底、</w:t>
      </w:r>
      <w:r>
        <w:rPr>
          <w:rFonts w:hint="eastAsia" w:ascii="宋体" w:hAnsi="宋体"/>
          <w:color w:val="auto"/>
          <w:sz w:val="24"/>
          <w:highlight w:val="none"/>
          <w:u w:val="single"/>
        </w:rPr>
        <w:t>文字说明在内，总页数不超过</w:t>
      </w:r>
      <w:r>
        <w:rPr>
          <w:rFonts w:ascii="宋体" w:hAnsi="宋体"/>
          <w:color w:val="auto"/>
          <w:sz w:val="24"/>
          <w:highlight w:val="none"/>
          <w:u w:val="single"/>
        </w:rPr>
        <w:t xml:space="preserve">100 </w:t>
      </w:r>
      <w:r>
        <w:rPr>
          <w:rFonts w:hint="eastAsia" w:ascii="宋体" w:hAnsi="宋体"/>
          <w:color w:val="auto"/>
          <w:sz w:val="24"/>
          <w:highlight w:val="none"/>
          <w:u w:val="single"/>
        </w:rPr>
        <w:t>页</w:t>
      </w:r>
      <w:r>
        <w:rPr>
          <w:rFonts w:hint="eastAsia" w:ascii="Times New Roman" w:hAnsi="宋体" w:eastAsia="宋体" w:cs="Times New Roman"/>
          <w:color w:val="auto"/>
          <w:sz w:val="24"/>
          <w:highlight w:val="none"/>
          <w:u w:val="single"/>
        </w:rPr>
        <w:t>。</w:t>
      </w:r>
    </w:p>
    <w:p>
      <w:pPr>
        <w:spacing w:line="360" w:lineRule="auto"/>
        <w:rPr>
          <w:rFonts w:ascii="宋体" w:hAnsi="宋体"/>
          <w:b/>
          <w:color w:val="auto"/>
          <w:sz w:val="24"/>
          <w:highlight w:val="none"/>
          <w:u w:val="single"/>
        </w:rPr>
      </w:pPr>
      <w:r>
        <w:rPr>
          <w:rFonts w:hint="eastAsia" w:ascii="宋体" w:hAnsi="宋体"/>
          <w:color w:val="auto"/>
          <w:sz w:val="24"/>
          <w:highlight w:val="none"/>
          <w:u w:val="single"/>
        </w:rPr>
        <w:t xml:space="preserve">3.3.5 </w:t>
      </w:r>
      <w:r>
        <w:rPr>
          <w:rFonts w:hint="eastAsia" w:ascii="宋体" w:hAnsi="宋体"/>
          <w:b/>
          <w:color w:val="auto"/>
          <w:sz w:val="24"/>
          <w:highlight w:val="none"/>
          <w:u w:val="single"/>
        </w:rPr>
        <w:t>投标文件光盘（备用）</w:t>
      </w:r>
    </w:p>
    <w:p>
      <w:pPr>
        <w:spacing w:line="360" w:lineRule="auto"/>
        <w:ind w:left="630" w:leftChars="300"/>
        <w:jc w:val="left"/>
        <w:rPr>
          <w:rFonts w:hAnsi="宋体"/>
          <w:color w:val="auto"/>
          <w:sz w:val="24"/>
          <w:highlight w:val="none"/>
        </w:rPr>
      </w:pPr>
      <w:r>
        <w:rPr>
          <w:rFonts w:hint="eastAsia" w:hAnsi="宋体"/>
          <w:color w:val="auto"/>
          <w:sz w:val="24"/>
          <w:highlight w:val="none"/>
          <w:u w:val="single"/>
        </w:rPr>
        <w:t>投标文件光盘（备用）的封装要求详见招标文件第二章第2.11.1款的规定。投标人可自主选择是否递交投标文件光盘（备用）。</w:t>
      </w:r>
    </w:p>
    <w:p>
      <w:pPr>
        <w:spacing w:line="360" w:lineRule="auto"/>
        <w:rPr>
          <w:rFonts w:ascii="宋体" w:hAnsi="宋体"/>
          <w:b/>
          <w:color w:val="auto"/>
          <w:sz w:val="24"/>
          <w:highlight w:val="none"/>
        </w:rPr>
      </w:pPr>
      <w:r>
        <w:rPr>
          <w:rFonts w:hint="eastAsia" w:ascii="宋体" w:hAnsi="宋体"/>
          <w:color w:val="auto"/>
          <w:sz w:val="24"/>
          <w:highlight w:val="none"/>
        </w:rPr>
        <w:t xml:space="preserve">3.3.6 </w:t>
      </w:r>
      <w:r>
        <w:rPr>
          <w:rFonts w:hint="eastAsia" w:ascii="宋体" w:hAnsi="宋体"/>
          <w:b/>
          <w:color w:val="auto"/>
          <w:sz w:val="24"/>
          <w:highlight w:val="none"/>
        </w:rPr>
        <w:t>展示图纸</w:t>
      </w:r>
    </w:p>
    <w:p>
      <w:pPr>
        <w:spacing w:line="360" w:lineRule="auto"/>
        <w:ind w:left="600" w:hanging="600" w:hangingChars="250"/>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u w:val="single"/>
        </w:rPr>
        <w:t>不单独提供展示图，所有展示图编入投标文件。</w:t>
      </w:r>
    </w:p>
    <w:p>
      <w:pPr>
        <w:spacing w:line="400" w:lineRule="exact"/>
        <w:rPr>
          <w:rFonts w:ascii="宋体" w:hAnsi="宋体"/>
          <w:b/>
          <w:color w:val="auto"/>
          <w:sz w:val="24"/>
          <w:highlight w:val="none"/>
        </w:rPr>
      </w:pPr>
      <w:r>
        <w:rPr>
          <w:rFonts w:hint="eastAsia" w:ascii="宋体" w:hAnsi="宋体"/>
          <w:b/>
          <w:color w:val="auto"/>
          <w:sz w:val="24"/>
          <w:highlight w:val="none"/>
        </w:rPr>
        <w:t>3.4    投标保证</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3.4.1  投标人□需要/</w:t>
      </w:r>
      <w:r>
        <w:rPr>
          <w:rFonts w:hint="eastAsia" w:ascii="宋体" w:hAnsi="宋体" w:cs="宋体"/>
          <w:color w:val="auto"/>
          <w:sz w:val="24"/>
          <w:highlight w:val="none"/>
        </w:rPr>
        <w:t>■</w:t>
      </w:r>
      <w:r>
        <w:rPr>
          <w:rFonts w:hint="eastAsia" w:ascii="宋体" w:hAnsi="宋体"/>
          <w:color w:val="auto"/>
          <w:sz w:val="24"/>
          <w:highlight w:val="none"/>
        </w:rPr>
        <w:t xml:space="preserve">不需要提交投标保证金。     </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3.4.2  </w:t>
      </w:r>
      <w:r>
        <w:rPr>
          <w:rFonts w:hint="eastAsia" w:ascii="宋体" w:hAnsi="宋体"/>
          <w:color w:val="auto"/>
          <w:kern w:val="0"/>
          <w:sz w:val="24"/>
          <w:highlight w:val="none"/>
        </w:rPr>
        <w:t>投标有效期90天，</w:t>
      </w:r>
      <w:r>
        <w:rPr>
          <w:rFonts w:hint="eastAsia" w:ascii="宋体" w:hAnsi="宋体"/>
          <w:color w:val="auto"/>
          <w:sz w:val="24"/>
          <w:highlight w:val="none"/>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3.4.3  招标人因特殊情况需要延长投标有效期时间，投标人可以拒绝投标，招标人对退出的投标人不作任何经济补偿。同意延长投标有效期的投标人，在延长期内本招标文件的规定仍然适用。</w:t>
      </w:r>
    </w:p>
    <w:p>
      <w:pPr>
        <w:spacing w:line="400" w:lineRule="exact"/>
        <w:rPr>
          <w:rFonts w:ascii="宋体" w:hAnsi="宋体"/>
          <w:color w:val="auto"/>
          <w:sz w:val="24"/>
          <w:highlight w:val="none"/>
          <w:u w:val="single"/>
        </w:rPr>
      </w:pPr>
      <w:r>
        <w:rPr>
          <w:rFonts w:hint="eastAsia" w:ascii="宋体" w:hAnsi="宋体"/>
          <w:b/>
          <w:color w:val="auto"/>
          <w:sz w:val="24"/>
          <w:highlight w:val="none"/>
          <w:u w:val="single"/>
        </w:rPr>
        <w:t>3.5</w:t>
      </w:r>
      <w:r>
        <w:rPr>
          <w:rFonts w:ascii="宋体" w:hAnsi="宋体"/>
          <w:b/>
          <w:color w:val="auto"/>
          <w:sz w:val="24"/>
          <w:highlight w:val="none"/>
          <w:u w:val="single"/>
        </w:rPr>
        <w:t xml:space="preserve">  </w:t>
      </w:r>
      <w:r>
        <w:rPr>
          <w:rFonts w:hint="eastAsia" w:ascii="宋体" w:hAnsi="宋体"/>
          <w:b/>
          <w:color w:val="auto"/>
          <w:sz w:val="24"/>
          <w:highlight w:val="none"/>
          <w:u w:val="single"/>
        </w:rPr>
        <w:t>开标文件编制要求</w:t>
      </w:r>
    </w:p>
    <w:p>
      <w:pPr>
        <w:pStyle w:val="13"/>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3.5.1开标文件由下列资料组成：</w:t>
      </w:r>
    </w:p>
    <w:p>
      <w:pPr>
        <w:pStyle w:val="13"/>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（1）《投标书》（格式见附录</w:t>
      </w:r>
      <w:r>
        <w:rPr>
          <w:rFonts w:hint="eastAsia" w:hAnsi="宋体"/>
          <w:color w:val="auto"/>
          <w:sz w:val="24"/>
          <w:highlight w:val="none"/>
          <w:u w:val="single"/>
          <w:lang w:val="en-US" w:eastAsia="zh-CN"/>
        </w:rPr>
        <w:t>7</w:t>
      </w:r>
      <w:r>
        <w:rPr>
          <w:rFonts w:hint="eastAsia" w:ascii="宋体" w:hAnsi="宋体"/>
          <w:color w:val="auto"/>
          <w:sz w:val="24"/>
          <w:highlight w:val="none"/>
          <w:u w:val="single"/>
        </w:rPr>
        <w:t>，填妥并签名盖章）。</w:t>
      </w:r>
    </w:p>
    <w:p>
      <w:pPr>
        <w:pStyle w:val="13"/>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u w:val="single"/>
        </w:rPr>
        <w:t>（2）《联合体共同投标协议》(如有）（格式见附录</w:t>
      </w:r>
      <w:r>
        <w:rPr>
          <w:rFonts w:hint="eastAsia" w:hAnsi="宋体"/>
          <w:color w:val="auto"/>
          <w:sz w:val="24"/>
          <w:highlight w:val="none"/>
          <w:u w:val="single"/>
          <w:lang w:val="en-US" w:eastAsia="zh-CN"/>
        </w:rPr>
        <w:t>8</w:t>
      </w:r>
      <w:r>
        <w:rPr>
          <w:rFonts w:hint="eastAsia" w:ascii="宋体" w:hAnsi="宋体"/>
          <w:color w:val="auto"/>
          <w:sz w:val="24"/>
          <w:highlight w:val="none"/>
          <w:u w:val="single"/>
        </w:rPr>
        <w:t>，联合体投标时递交，填妥并由联合体各方共同签名盖章）。</w:t>
      </w:r>
    </w:p>
    <w:p>
      <w:pPr>
        <w:pStyle w:val="13"/>
        <w:spacing w:line="360" w:lineRule="auto"/>
        <w:ind w:left="821" w:hanging="820" w:hangingChars="342"/>
        <w:rPr>
          <w:rFonts w:hint="eastAsia" w:hAnsi="宋体"/>
          <w:color w:val="auto"/>
          <w:sz w:val="24"/>
          <w:highlight w:val="none"/>
          <w:u w:val="single"/>
          <w:lang w:val="en-US" w:eastAsia="zh-CN"/>
        </w:rPr>
      </w:pPr>
      <w:r>
        <w:rPr>
          <w:rFonts w:hint="eastAsia" w:hAnsi="宋体"/>
          <w:color w:val="auto"/>
          <w:sz w:val="24"/>
          <w:highlight w:val="none"/>
          <w:u w:val="single"/>
          <w:lang w:val="en-US" w:eastAsia="zh-CN"/>
        </w:rPr>
        <w:t>（3）勘察设计费报价表（格式见附录5）。</w:t>
      </w:r>
    </w:p>
    <w:p>
      <w:pPr>
        <w:pStyle w:val="13"/>
        <w:spacing w:line="360" w:lineRule="auto"/>
        <w:ind w:left="0" w:firstLine="0" w:firstLineChars="0"/>
        <w:rPr>
          <w:color w:val="auto"/>
          <w:highlight w:val="none"/>
        </w:rPr>
      </w:pPr>
      <w:r>
        <w:rPr>
          <w:rFonts w:hint="eastAsia" w:ascii="宋体" w:hAnsi="宋体"/>
          <w:color w:val="auto"/>
          <w:sz w:val="24"/>
          <w:highlight w:val="none"/>
          <w:u w:val="single"/>
        </w:rPr>
        <w:t>3.5.2 开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p>
      <w:pPr>
        <w:pStyle w:val="13"/>
        <w:spacing w:line="360" w:lineRule="auto"/>
        <w:ind w:left="821" w:hanging="820" w:hangingChars="342"/>
        <w:rPr>
          <w:rFonts w:hint="eastAsia" w:hAnsi="宋体"/>
          <w:color w:val="auto"/>
          <w:sz w:val="24"/>
          <w:highlight w:val="none"/>
          <w:u w:val="single"/>
          <w:lang w:val="en-US" w:eastAsia="zh-CN"/>
        </w:rPr>
      </w:pPr>
    </w:p>
    <w:p>
      <w:pPr>
        <w:spacing w:line="360" w:lineRule="auto"/>
        <w:ind w:left="600" w:hanging="600" w:hangingChars="250"/>
        <w:jc w:val="center"/>
        <w:rPr>
          <w:rFonts w:ascii="宋体" w:hAnsi="宋体"/>
          <w:b/>
          <w:color w:val="auto"/>
          <w:sz w:val="36"/>
          <w:szCs w:val="36"/>
          <w:highlight w:val="none"/>
        </w:rPr>
      </w:pPr>
      <w:r>
        <w:rPr>
          <w:color w:val="auto"/>
          <w:sz w:val="24"/>
          <w:highlight w:val="none"/>
        </w:rPr>
        <w:br w:type="page"/>
      </w:r>
      <w:r>
        <w:rPr>
          <w:rFonts w:hint="eastAsia" w:ascii="宋体" w:hAnsi="宋体"/>
          <w:b/>
          <w:color w:val="auto"/>
          <w:sz w:val="36"/>
          <w:szCs w:val="36"/>
          <w:highlight w:val="none"/>
        </w:rPr>
        <w:t>第四章  废标条款</w:t>
      </w:r>
    </w:p>
    <w:p>
      <w:pPr>
        <w:pStyle w:val="14"/>
        <w:rPr>
          <w:rFonts w:hAnsi="宋体"/>
          <w:color w:val="auto"/>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4.1    废标</w:t>
      </w:r>
    </w:p>
    <w:p>
      <w:pPr>
        <w:spacing w:line="400" w:lineRule="exact"/>
        <w:ind w:left="960" w:hanging="960" w:hangingChars="400"/>
        <w:rPr>
          <w:rFonts w:ascii="宋体" w:hAnsi="宋体"/>
          <w:color w:val="auto"/>
          <w:sz w:val="24"/>
          <w:highlight w:val="none"/>
          <w:u w:val="single"/>
        </w:rPr>
      </w:pPr>
      <w:r>
        <w:rPr>
          <w:rFonts w:hint="eastAsia" w:ascii="宋体" w:hAnsi="宋体"/>
          <w:color w:val="auto"/>
          <w:sz w:val="24"/>
          <w:highlight w:val="none"/>
          <w:u w:val="single"/>
        </w:rPr>
        <w:t>4.1</w:t>
      </w:r>
      <w:r>
        <w:rPr>
          <w:rFonts w:ascii="宋体" w:hAnsi="宋体"/>
          <w:color w:val="auto"/>
          <w:sz w:val="24"/>
          <w:highlight w:val="none"/>
          <w:u w:val="single"/>
        </w:rPr>
        <w:t>.1</w:t>
      </w:r>
      <w:r>
        <w:rPr>
          <w:rFonts w:hint="eastAsia" w:ascii="宋体" w:hAnsi="宋体"/>
          <w:color w:val="auto"/>
          <w:sz w:val="24"/>
          <w:highlight w:val="none"/>
          <w:u w:val="single"/>
        </w:rPr>
        <w:t xml:space="preserve">  投标人有下列情况之一的，招标人将拒绝接收投标人的投标文件或者投标文件光盘：</w:t>
      </w:r>
    </w:p>
    <w:p>
      <w:pPr>
        <w:spacing w:line="400" w:lineRule="exact"/>
        <w:ind w:left="842" w:leftChars="228" w:hanging="364" w:hangingChars="152"/>
        <w:rPr>
          <w:rFonts w:ascii="宋体" w:hAnsi="宋体"/>
          <w:color w:val="auto"/>
          <w:sz w:val="24"/>
          <w:highlight w:val="none"/>
          <w:u w:val="single"/>
        </w:rPr>
      </w:pPr>
      <w:r>
        <w:rPr>
          <w:rFonts w:hint="eastAsia" w:ascii="宋体" w:hAnsi="宋体"/>
          <w:color w:val="auto"/>
          <w:sz w:val="24"/>
          <w:highlight w:val="none"/>
          <w:u w:val="single"/>
        </w:rPr>
        <w:t xml:space="preserve"> (a) 在投标截止期后逾期或未在指定交易平台递交电子投标文件的，招标人（或招标代理）拒绝接收其电子投标文件。</w:t>
      </w:r>
    </w:p>
    <w:p>
      <w:pPr>
        <w:spacing w:line="400" w:lineRule="exact"/>
        <w:ind w:left="615" w:leftChars="171" w:hanging="256" w:hangingChars="107"/>
        <w:rPr>
          <w:rFonts w:ascii="宋体" w:hAnsi="宋体"/>
          <w:color w:val="auto"/>
          <w:sz w:val="24"/>
          <w:highlight w:val="none"/>
        </w:rPr>
      </w:pPr>
      <w:r>
        <w:rPr>
          <w:rFonts w:hint="eastAsia" w:ascii="宋体" w:hAnsi="宋体"/>
          <w:color w:val="auto"/>
          <w:sz w:val="24"/>
          <w:highlight w:val="none"/>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spacing w:line="400" w:lineRule="exact"/>
        <w:rPr>
          <w:rFonts w:ascii="宋体" w:hAnsi="宋体"/>
          <w:color w:val="auto"/>
          <w:sz w:val="24"/>
          <w:highlight w:val="none"/>
        </w:rPr>
      </w:pPr>
      <w:r>
        <w:rPr>
          <w:rFonts w:hint="eastAsia" w:ascii="宋体" w:hAnsi="宋体"/>
          <w:color w:val="auto"/>
          <w:sz w:val="24"/>
          <w:highlight w:val="none"/>
        </w:rPr>
        <w:t>4.1.2  商务投标文件有下列情况之一的，由评标委员会确定其为废标：</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（a）投标人与招标人、评标委员会成员或者其他投标人串通投标。</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u w:val="single"/>
        </w:rPr>
        <w:t>（b）投标人与其他投标人加密打包投标文件电脑机器特征码一致的</w:t>
      </w:r>
      <w:r>
        <w:rPr>
          <w:rFonts w:hint="eastAsia" w:ascii="宋体" w:hAnsi="宋体"/>
          <w:color w:val="auto"/>
          <w:sz w:val="24"/>
          <w:highlight w:val="none"/>
        </w:rPr>
        <w:t xml:space="preserve">。 </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 xml:space="preserve">（c）《投标书》未加盖投标人公章。 </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 xml:space="preserve">（d）《投标书》未经法定代表人或者其授权代表签名或盖章。 </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（e）《投标书》包含有招标人不能接受的偏差，并且投标人拒绝书面撤回偏差。</w:t>
      </w:r>
    </w:p>
    <w:p>
      <w:pPr>
        <w:spacing w:line="400" w:lineRule="exact"/>
        <w:ind w:left="719" w:leftChars="114" w:hanging="480" w:hangingChars="200"/>
        <w:rPr>
          <w:rFonts w:ascii="宋体" w:hAnsi="宋体"/>
          <w:color w:val="auto"/>
          <w:sz w:val="24"/>
          <w:highlight w:val="none"/>
        </w:rPr>
      </w:pPr>
      <w:r>
        <w:rPr>
          <w:rFonts w:hint="eastAsia" w:ascii="宋体" w:hAnsi="宋体"/>
          <w:color w:val="auto"/>
          <w:sz w:val="24"/>
          <w:highlight w:val="none"/>
        </w:rPr>
        <w:t>（f）《投标书》未按招标文件规定的格式填写，内容不全或者关键字迹模糊无法辨认的。</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（g）证明材料有弄虚作假者。</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（h）不按第三章投标文件编制要求编制的投标文件。</w:t>
      </w:r>
    </w:p>
    <w:p>
      <w:pPr>
        <w:spacing w:line="400" w:lineRule="exact"/>
        <w:ind w:firstLine="240" w:firstLineChars="100"/>
        <w:rPr>
          <w:rFonts w:ascii="宋体" w:hAnsi="宋体"/>
          <w:strike/>
          <w:dstrike w:val="0"/>
          <w:color w:val="auto"/>
          <w:sz w:val="24"/>
          <w:highlight w:val="none"/>
        </w:rPr>
      </w:pPr>
      <w:r>
        <w:rPr>
          <w:rFonts w:hint="eastAsia" w:ascii="宋体" w:hAnsi="宋体"/>
          <w:strike/>
          <w:dstrike w:val="0"/>
          <w:color w:val="auto"/>
          <w:sz w:val="24"/>
          <w:highlight w:val="none"/>
        </w:rPr>
        <w:t>（i）未按照招标文件要求提交投标保证金的。</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（j）不按照要求对投标文件进行澄清、说明或者补正的。</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（k）未按照招标文件要求进行投标报价的。</w:t>
      </w:r>
    </w:p>
    <w:p>
      <w:pPr>
        <w:spacing w:line="400" w:lineRule="exact"/>
        <w:ind w:firstLine="360" w:firstLineChars="150"/>
        <w:rPr>
          <w:rFonts w:ascii="宋体" w:hAnsi="宋体"/>
          <w:color w:val="auto"/>
          <w:sz w:val="24"/>
          <w:highlight w:val="none"/>
        </w:rPr>
      </w:pPr>
      <w:r>
        <w:rPr>
          <w:rFonts w:hint="eastAsia" w:ascii="宋体" w:hAnsi="宋体"/>
          <w:color w:val="auto"/>
          <w:sz w:val="24"/>
          <w:highlight w:val="none"/>
        </w:rPr>
        <w:t>(l) 以联合体形式投标的，未向招标人提交联合体共同投标协议。</w:t>
      </w:r>
    </w:p>
    <w:p>
      <w:pPr>
        <w:spacing w:line="400" w:lineRule="exac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3  技术投标文件有下列情况之一的，由评标委员会确定其为废标：</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（a）投标人在设计方案内标注名称、印章、商标</w:t>
      </w:r>
      <w:r>
        <w:rPr>
          <w:rFonts w:hint="eastAsia" w:ascii="宋体" w:hAnsi="宋体" w:cs="宋体"/>
          <w:color w:val="auto"/>
          <w:sz w:val="24"/>
          <w:highlight w:val="none"/>
          <w:u w:val="single"/>
        </w:rPr>
        <w:t>、图形</w:t>
      </w:r>
      <w:r>
        <w:rPr>
          <w:rFonts w:hint="eastAsia" w:ascii="宋体" w:hAnsi="宋体"/>
          <w:color w:val="auto"/>
          <w:sz w:val="24"/>
          <w:highlight w:val="none"/>
        </w:rPr>
        <w:t xml:space="preserve">等记认符号，使人辨认出投标人或其专业技术人员的身份。 </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 xml:space="preserve">（b）有互相雷同或串通投标的。 </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 xml:space="preserve">（c）有明显抄袭行为。 </w:t>
      </w:r>
    </w:p>
    <w:p>
      <w:pPr>
        <w:spacing w:line="360" w:lineRule="auto"/>
        <w:ind w:left="599" w:leftChars="114" w:hanging="360" w:hangingChars="150"/>
        <w:rPr>
          <w:rFonts w:ascii="宋体" w:hAnsi="宋体"/>
          <w:color w:val="auto"/>
          <w:sz w:val="24"/>
          <w:highlight w:val="none"/>
        </w:rPr>
      </w:pPr>
      <w:r>
        <w:rPr>
          <w:rFonts w:hint="eastAsia" w:ascii="宋体" w:hAnsi="宋体"/>
          <w:color w:val="auto"/>
          <w:sz w:val="24"/>
          <w:highlight w:val="none"/>
        </w:rPr>
        <w:t>（d）侵犯他人著作权和特许权。</w:t>
      </w:r>
    </w:p>
    <w:p>
      <w:pPr>
        <w:spacing w:line="400" w:lineRule="exact"/>
        <w:ind w:firstLine="240" w:firstLineChars="100"/>
        <w:rPr>
          <w:rFonts w:ascii="宋体" w:hAnsi="宋体"/>
          <w:color w:val="auto"/>
          <w:sz w:val="24"/>
          <w:highlight w:val="none"/>
        </w:rPr>
      </w:pPr>
      <w:r>
        <w:rPr>
          <w:rFonts w:hint="eastAsia" w:ascii="宋体" w:hAnsi="宋体"/>
          <w:color w:val="auto"/>
          <w:sz w:val="24"/>
          <w:highlight w:val="none"/>
        </w:rPr>
        <w:t>（e）不按第三章投标文件编制要求编制投标文件。</w:t>
      </w:r>
    </w:p>
    <w:p>
      <w:pPr>
        <w:spacing w:line="360" w:lineRule="auto"/>
        <w:rPr>
          <w:rFonts w:ascii="宋体" w:hAnsi="宋体"/>
          <w:color w:val="auto"/>
          <w:sz w:val="24"/>
          <w:highlight w:val="none"/>
        </w:rPr>
        <w:sectPr>
          <w:footerReference r:id="rId4" w:type="default"/>
          <w:type w:val="nextColumn"/>
          <w:pgSz w:w="11906" w:h="16838"/>
          <w:pgMar w:top="1418" w:right="1418" w:bottom="1418" w:left="1418" w:header="851" w:footer="992" w:gutter="0"/>
          <w:pgNumType w:start="1"/>
          <w:cols w:space="425" w:num="1"/>
          <w:docGrid w:type="linesAndChars" w:linePitch="312" w:charSpace="0"/>
        </w:sectPr>
      </w:pPr>
    </w:p>
    <w:p>
      <w:pPr>
        <w:spacing w:line="400" w:lineRule="exact"/>
        <w:ind w:firstLine="240" w:firstLineChars="100"/>
        <w:rPr>
          <w:rFonts w:ascii="宋体" w:hAnsi="宋体"/>
          <w:color w:val="auto"/>
          <w:sz w:val="24"/>
          <w:highlight w:val="none"/>
        </w:rPr>
      </w:pPr>
    </w:p>
    <w:p>
      <w:pPr>
        <w:spacing w:line="360" w:lineRule="auto"/>
        <w:ind w:left="904" w:hanging="900" w:hangingChars="250"/>
        <w:jc w:val="center"/>
        <w:rPr>
          <w:rFonts w:ascii="宋体" w:hAnsi="宋体"/>
          <w:b/>
          <w:color w:val="auto"/>
          <w:sz w:val="36"/>
          <w:szCs w:val="36"/>
          <w:highlight w:val="none"/>
        </w:rPr>
      </w:pPr>
      <w:r>
        <w:rPr>
          <w:rFonts w:hint="eastAsia" w:ascii="宋体" w:hAnsi="宋体"/>
          <w:b/>
          <w:color w:val="auto"/>
          <w:sz w:val="36"/>
          <w:szCs w:val="36"/>
          <w:highlight w:val="none"/>
        </w:rPr>
        <w:t>第五章  开标评标定标</w:t>
      </w:r>
    </w:p>
    <w:p>
      <w:pPr>
        <w:pStyle w:val="14"/>
        <w:spacing w:line="400" w:lineRule="exact"/>
        <w:rPr>
          <w:rFonts w:hAnsi="宋体"/>
          <w:b/>
          <w:bCs/>
          <w:color w:val="auto"/>
          <w:sz w:val="24"/>
          <w:szCs w:val="24"/>
          <w:highlight w:val="none"/>
        </w:rPr>
      </w:pPr>
    </w:p>
    <w:p>
      <w:pPr>
        <w:pStyle w:val="14"/>
        <w:spacing w:line="400" w:lineRule="exact"/>
        <w:rPr>
          <w:rFonts w:hAnsi="宋体"/>
          <w:b/>
          <w:bCs/>
          <w:color w:val="auto"/>
          <w:sz w:val="24"/>
          <w:szCs w:val="24"/>
          <w:highlight w:val="none"/>
        </w:rPr>
      </w:pPr>
      <w:r>
        <w:rPr>
          <w:rFonts w:hint="eastAsia" w:hAnsi="宋体"/>
          <w:b/>
          <w:bCs/>
          <w:color w:val="auto"/>
          <w:sz w:val="24"/>
          <w:szCs w:val="24"/>
          <w:highlight w:val="none"/>
        </w:rPr>
        <w:t>5.1    评标委员会</w:t>
      </w:r>
    </w:p>
    <w:p>
      <w:pPr>
        <w:pStyle w:val="14"/>
        <w:spacing w:line="400" w:lineRule="exact"/>
        <w:ind w:left="821" w:hanging="820" w:hangingChars="342"/>
        <w:rPr>
          <w:rFonts w:hAnsi="宋体"/>
          <w:color w:val="auto"/>
          <w:sz w:val="24"/>
          <w:szCs w:val="24"/>
          <w:highlight w:val="none"/>
          <w:u w:val="single"/>
        </w:rPr>
      </w:pPr>
      <w:r>
        <w:rPr>
          <w:rFonts w:hint="eastAsia" w:hAnsi="宋体"/>
          <w:color w:val="auto"/>
          <w:sz w:val="24"/>
          <w:szCs w:val="24"/>
          <w:highlight w:val="none"/>
          <w:u w:val="single"/>
        </w:rPr>
        <w:t>5.1</w:t>
      </w:r>
      <w:r>
        <w:rPr>
          <w:rFonts w:hAnsi="宋体"/>
          <w:color w:val="auto"/>
          <w:sz w:val="24"/>
          <w:szCs w:val="24"/>
          <w:highlight w:val="none"/>
          <w:u w:val="single"/>
        </w:rPr>
        <w:t>.</w:t>
      </w:r>
      <w:r>
        <w:rPr>
          <w:rFonts w:hint="eastAsia" w:hAnsi="宋体"/>
          <w:color w:val="auto"/>
          <w:sz w:val="24"/>
          <w:szCs w:val="24"/>
          <w:highlight w:val="none"/>
          <w:u w:val="single"/>
        </w:rPr>
        <w:t xml:space="preserve">1  </w:t>
      </w:r>
      <w:r>
        <w:rPr>
          <w:rFonts w:hint="eastAsia" w:hAnsi="宋体" w:cs="宋体"/>
          <w:color w:val="auto"/>
          <w:sz w:val="24"/>
          <w:szCs w:val="24"/>
          <w:highlight w:val="none"/>
          <w:u w:val="single"/>
        </w:rPr>
        <w:t>评标委员会由招标人依法组建</w:t>
      </w:r>
      <w:r>
        <w:rPr>
          <w:rFonts w:hint="eastAsia" w:hAnsi="宋体"/>
          <w:color w:val="auto"/>
          <w:sz w:val="24"/>
          <w:szCs w:val="24"/>
          <w:highlight w:val="none"/>
          <w:u w:val="single"/>
        </w:rPr>
        <w:t>。</w:t>
      </w:r>
    </w:p>
    <w:p>
      <w:pPr>
        <w:pStyle w:val="14"/>
        <w:spacing w:line="400" w:lineRule="exact"/>
        <w:ind w:left="821" w:hanging="820" w:hangingChars="342"/>
        <w:rPr>
          <w:rFonts w:hAnsi="宋体"/>
          <w:color w:val="auto"/>
          <w:sz w:val="24"/>
          <w:szCs w:val="24"/>
          <w:highlight w:val="none"/>
        </w:rPr>
      </w:pPr>
      <w:r>
        <w:rPr>
          <w:rFonts w:hint="eastAsia" w:hAnsi="宋体"/>
          <w:color w:val="auto"/>
          <w:sz w:val="24"/>
          <w:szCs w:val="24"/>
          <w:highlight w:val="none"/>
        </w:rPr>
        <w:t>5.1.2  评标委员会随机产生1名负责人，主持评审工作，负责人与其他成员有同等表决权。在评标分数统计结束后，</w:t>
      </w:r>
      <w:r>
        <w:rPr>
          <w:rFonts w:hint="eastAsia" w:hAnsi="宋体" w:cs="Arial"/>
          <w:color w:val="auto"/>
          <w:sz w:val="24"/>
          <w:szCs w:val="24"/>
          <w:highlight w:val="none"/>
        </w:rPr>
        <w:t>如果有得分相同的投标方案，则评标委员会对得分相同的投标方案进行投票表决。</w:t>
      </w:r>
    </w:p>
    <w:p>
      <w:pPr>
        <w:spacing w:line="400" w:lineRule="exact"/>
        <w:rPr>
          <w:rFonts w:ascii="宋体" w:hAnsi="宋体"/>
          <w:b/>
          <w:bCs/>
          <w:color w:val="auto"/>
          <w:sz w:val="24"/>
          <w:highlight w:val="none"/>
        </w:rPr>
      </w:pPr>
      <w:r>
        <w:rPr>
          <w:rFonts w:hint="eastAsia" w:ascii="宋体" w:hAnsi="宋体"/>
          <w:b/>
          <w:bCs/>
          <w:color w:val="auto"/>
          <w:sz w:val="24"/>
          <w:highlight w:val="none"/>
        </w:rPr>
        <w:t>5.2    评标原则</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5.2.2  在符合招标文件规定的前提下，评标委员会主要对投标方案</w:t>
      </w:r>
      <w:r>
        <w:rPr>
          <w:rFonts w:ascii="宋体" w:hAnsi="宋体"/>
          <w:color w:val="auto"/>
          <w:sz w:val="24"/>
          <w:highlight w:val="none"/>
        </w:rPr>
        <w:t>的</w:t>
      </w:r>
      <w:r>
        <w:rPr>
          <w:rFonts w:hint="eastAsia" w:ascii="宋体" w:hAnsi="宋体"/>
          <w:color w:val="auto"/>
          <w:sz w:val="24"/>
          <w:highlight w:val="none"/>
        </w:rPr>
        <w:t>总体设计、可行性、</w:t>
      </w:r>
      <w:r>
        <w:rPr>
          <w:rFonts w:ascii="宋体" w:hAnsi="宋体"/>
          <w:color w:val="auto"/>
          <w:sz w:val="24"/>
          <w:highlight w:val="none"/>
        </w:rPr>
        <w:t>经济性</w:t>
      </w:r>
      <w:r>
        <w:rPr>
          <w:rFonts w:hint="eastAsia" w:ascii="宋体" w:hAnsi="宋体"/>
          <w:color w:val="auto"/>
          <w:sz w:val="24"/>
          <w:highlight w:val="none"/>
        </w:rPr>
        <w:t>、优越性、功能和造型、运行和维护费用、对环境的影响等进行比选、评价和裁定，确定方案的优劣和分值。</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360" w:lineRule="auto"/>
        <w:rPr>
          <w:rFonts w:ascii="宋体" w:hAnsi="宋体"/>
          <w:color w:val="auto"/>
          <w:sz w:val="24"/>
          <w:highlight w:val="none"/>
        </w:rPr>
      </w:pPr>
      <w:r>
        <w:rPr>
          <w:rFonts w:hint="eastAsia" w:ascii="宋体" w:hAnsi="宋体"/>
          <w:color w:val="auto"/>
          <w:sz w:val="24"/>
          <w:highlight w:val="none"/>
        </w:rPr>
        <w:t>5.2.4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若在评标期间</w:t>
      </w:r>
      <w:r>
        <w:rPr>
          <w:rFonts w:hint="eastAsia" w:ascii="宋体" w:hAnsi="宋体"/>
          <w:b/>
          <w:color w:val="auto"/>
          <w:sz w:val="24"/>
          <w:highlight w:val="none"/>
        </w:rPr>
        <w:t>（设计</w:t>
      </w:r>
      <w:r>
        <w:rPr>
          <w:rFonts w:ascii="宋体" w:hAnsi="宋体"/>
          <w:b/>
          <w:color w:val="auto"/>
          <w:sz w:val="24"/>
          <w:highlight w:val="none"/>
        </w:rPr>
        <w:t>方案评审阶段除外</w:t>
      </w:r>
      <w:r>
        <w:rPr>
          <w:rFonts w:hint="eastAsia" w:ascii="宋体" w:hAnsi="宋体"/>
          <w:b/>
          <w:color w:val="auto"/>
          <w:sz w:val="24"/>
          <w:highlight w:val="none"/>
        </w:rPr>
        <w:t>）</w:t>
      </w:r>
      <w:r>
        <w:rPr>
          <w:rFonts w:hint="eastAsia" w:ascii="宋体" w:hAnsi="宋体"/>
          <w:color w:val="auto"/>
          <w:sz w:val="24"/>
          <w:highlight w:val="none"/>
        </w:rPr>
        <w:t>，经评标委员会两人以上（含两人）以书面形式提出动议，评标委员会应当书面发出澄清通知，要求投标人对投标文件含义不明确的内容作出澄清。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评标委员会均应当阅读投标人的澄清，但应独立参考澄清对投标文件进行评审。</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u w:val="single"/>
        </w:rPr>
        <w:t>5.2</w:t>
      </w:r>
      <w:r>
        <w:rPr>
          <w:rFonts w:ascii="宋体" w:hAnsi="宋体"/>
          <w:color w:val="auto"/>
          <w:sz w:val="24"/>
          <w:highlight w:val="none"/>
          <w:u w:val="single"/>
        </w:rPr>
        <w:t>.</w:t>
      </w:r>
      <w:r>
        <w:rPr>
          <w:rFonts w:hint="eastAsia" w:ascii="宋体" w:hAnsi="宋体"/>
          <w:color w:val="auto"/>
          <w:sz w:val="24"/>
          <w:highlight w:val="none"/>
          <w:u w:val="single"/>
        </w:rPr>
        <w:t>5  如果少数投标人超越招标文件要求提交了模型、演示动画、特殊规格展示图纸或发生其他特殊情况，评标委员会对超越招标文件要求的内容不进行评审，只评审该投标文件符合要求的内容。</w:t>
      </w:r>
    </w:p>
    <w:p>
      <w:pPr>
        <w:spacing w:line="400" w:lineRule="exact"/>
        <w:rPr>
          <w:rFonts w:ascii="宋体" w:hAnsi="宋体"/>
          <w:color w:val="auto"/>
          <w:sz w:val="24"/>
          <w:highlight w:val="none"/>
        </w:rPr>
      </w:pPr>
    </w:p>
    <w:p>
      <w:pPr>
        <w:spacing w:line="400" w:lineRule="exact"/>
        <w:rPr>
          <w:rFonts w:ascii="宋体" w:hAnsi="宋体"/>
          <w:b/>
          <w:bCs/>
          <w:strike/>
          <w:dstrike w:val="0"/>
          <w:color w:val="auto"/>
          <w:sz w:val="24"/>
          <w:highlight w:val="none"/>
        </w:rPr>
      </w:pPr>
      <w:r>
        <w:rPr>
          <w:rFonts w:hint="eastAsia" w:ascii="宋体" w:hAnsi="宋体"/>
          <w:b/>
          <w:bCs/>
          <w:strike/>
          <w:dstrike w:val="0"/>
          <w:color w:val="auto"/>
          <w:sz w:val="24"/>
          <w:highlight w:val="none"/>
        </w:rPr>
        <w:t>5.3    评标办法 采用</w:t>
      </w:r>
      <w:r>
        <w:rPr>
          <w:rFonts w:hint="eastAsia" w:ascii="宋体" w:hAnsi="宋体" w:cs="宋体"/>
          <w:b/>
          <w:bCs/>
          <w:strike/>
          <w:dstrike w:val="0"/>
          <w:color w:val="auto"/>
          <w:sz w:val="24"/>
          <w:highlight w:val="none"/>
          <w:u w:val="single"/>
        </w:rPr>
        <w:t>办法一</w:t>
      </w:r>
    </w:p>
    <w:p>
      <w:pPr>
        <w:spacing w:line="400" w:lineRule="exact"/>
        <w:rPr>
          <w:rFonts w:ascii="宋体" w:hAnsi="宋体"/>
          <w:b/>
          <w:bCs/>
          <w:strike/>
          <w:dstrike w:val="0"/>
          <w:color w:val="auto"/>
          <w:sz w:val="24"/>
          <w:highlight w:val="none"/>
          <w:u w:val="single"/>
        </w:rPr>
      </w:pPr>
      <w:r>
        <w:rPr>
          <w:rFonts w:hint="eastAsia" w:ascii="宋体" w:hAnsi="宋体"/>
          <w:b/>
          <w:bCs/>
          <w:strike/>
          <w:dstrike w:val="0"/>
          <w:color w:val="auto"/>
          <w:sz w:val="24"/>
          <w:highlight w:val="none"/>
          <w:u w:val="single"/>
        </w:rPr>
        <w:t>办法一   采用综合评分法评标</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5.3.1  开标评标程序</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.2.截标后，开标开始时间因故推迟的，相关评标信息仍以原定的开标开始时间的信息为准。</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.3备用光盘的读取按2.11.2的规定执行。</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21" w:hanging="820" w:hangingChars="342"/>
        <w:rPr>
          <w:strike/>
          <w:dstrike w:val="0"/>
          <w:color w:val="auto"/>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.6参加现场开标的投标人对开标结果有异议的，应当在开标现场提出，招标人应当当场作出答复，并制作记录。</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.8投标人未参加开标或在规定的时间内未提出异议的，视为对开标无异议。</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.9开标时，两个（含两个）以上的投标人加密打包投标文件电脑机器特征码一致的，由评标委员会确定其为废标。</w:t>
      </w:r>
    </w:p>
    <w:p>
      <w:pPr>
        <w:spacing w:line="400" w:lineRule="exact"/>
        <w:ind w:left="821" w:hanging="820" w:hangingChars="342"/>
        <w:rPr>
          <w:strike/>
          <w:dstrike w:val="0"/>
          <w:color w:val="auto"/>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5.3</w:t>
      </w:r>
      <w:r>
        <w:rPr>
          <w:rFonts w:ascii="宋体" w:hAnsi="宋体"/>
          <w:strike/>
          <w:dstrike w:val="0"/>
          <w:color w:val="auto"/>
          <w:sz w:val="24"/>
          <w:highlight w:val="none"/>
          <w:u w:val="single"/>
        </w:rPr>
        <w:t>.1</w:t>
      </w:r>
      <w:r>
        <w:rPr>
          <w:rFonts w:hint="eastAsia" w:ascii="宋体" w:hAnsi="宋体"/>
          <w:strike/>
          <w:dstrike w:val="0"/>
          <w:color w:val="auto"/>
          <w:sz w:val="24"/>
          <w:highlight w:val="none"/>
          <w:u w:val="single"/>
        </w:rPr>
        <w:t>.11开标时，出现下列情形之一的投标人，不参与下一程序，其投标文件作无效处理：</w:t>
      </w:r>
    </w:p>
    <w:p>
      <w:pPr>
        <w:spacing w:line="400" w:lineRule="exact"/>
        <w:ind w:left="821" w:hanging="820" w:hangingChars="342"/>
        <w:rPr>
          <w:rFonts w:ascii="宋体" w:hAnsi="宋体"/>
          <w:strike/>
          <w:dstrike w:val="0"/>
          <w:color w:val="auto"/>
          <w:sz w:val="24"/>
          <w:highlight w:val="none"/>
          <w:u w:val="single"/>
        </w:rPr>
      </w:pPr>
      <w:r>
        <w:rPr>
          <w:rFonts w:hint="eastAsia" w:ascii="宋体" w:hAnsi="宋体"/>
          <w:strike/>
          <w:dstrike w:val="0"/>
          <w:color w:val="auto"/>
          <w:sz w:val="24"/>
          <w:highlight w:val="none"/>
          <w:u w:val="single"/>
        </w:rPr>
        <w:t>（1）未成功递交或因投标人原因未成功导入投标文件的；</w:t>
      </w:r>
    </w:p>
    <w:p>
      <w:pPr>
        <w:spacing w:line="400" w:lineRule="exact"/>
        <w:ind w:left="821" w:hanging="820" w:hangingChars="342"/>
        <w:rPr>
          <w:strike/>
          <w:dstrike w:val="0"/>
          <w:color w:val="auto"/>
          <w:highlight w:val="none"/>
          <w:u w:val="single"/>
        </w:rPr>
      </w:pPr>
      <w:r>
        <w:rPr>
          <w:rFonts w:hint="eastAsia" w:ascii="宋体" w:hAnsi="宋体"/>
          <w:strike/>
          <w:dstrike w:val="0"/>
          <w:color w:val="auto"/>
          <w:sz w:val="24"/>
          <w:highlight w:val="none"/>
          <w:u w:val="single"/>
        </w:rPr>
        <w:t>（2）因投标人原因造成投标文件未解密的。</w:t>
      </w:r>
    </w:p>
    <w:p>
      <w:pPr>
        <w:spacing w:line="400" w:lineRule="exact"/>
        <w:ind w:left="821" w:hanging="820" w:hangingChars="342"/>
        <w:rPr>
          <w:strike/>
          <w:dstrike w:val="0"/>
          <w:color w:val="auto"/>
          <w:highlight w:val="none"/>
          <w:u w:val="single"/>
        </w:rPr>
      </w:pPr>
      <w:r>
        <w:rPr>
          <w:rFonts w:hint="eastAsia" w:ascii="宋体" w:hAnsi="宋体"/>
          <w:strike/>
          <w:dstrike w:val="0"/>
          <w:color w:val="auto"/>
          <w:sz w:val="24"/>
          <w:highlight w:val="none"/>
          <w:u w:val="single"/>
        </w:rPr>
        <w:t>5.3.2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14、16）。评委必须严格按照“综合评分表”对投标文件进行评议、打分。</w:t>
      </w:r>
    </w:p>
    <w:p>
      <w:pPr>
        <w:spacing w:line="400" w:lineRule="exact"/>
        <w:ind w:left="839" w:leftChars="171" w:hanging="480" w:hangingChars="200"/>
        <w:jc w:val="left"/>
        <w:rPr>
          <w:rFonts w:ascii="宋体" w:hAnsi="宋体"/>
          <w:strike/>
          <w:dstrike w:val="0"/>
          <w:color w:val="auto"/>
          <w:sz w:val="24"/>
          <w:highlight w:val="none"/>
          <w:u w:val="single"/>
        </w:rPr>
      </w:pP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(c) 评标委员会专家按附录14《商务文件综合评分表》对各投标单位的商务文件进行综合评分。</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(e) 评标委员会专家按附录16《技术文件综合评分表》对各投标单位的技术文件（设计方案）进行综合评分。</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(g) 广州公共资源交易中心电子评标系统自动揭晓技术文件的暗标编码，列出各编码技术文件所对应的投标人。</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(h) 计算各投标人的综合得分，投标人的综合得分（满分100分）＝商务文件得分×30％（招标人确定）+技术文件得分×70％</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napToGrid w:val="0"/>
        <w:spacing w:line="360" w:lineRule="auto"/>
        <w:ind w:left="640" w:leftChars="248" w:hanging="120" w:hangingChars="50"/>
        <w:rPr>
          <w:strike/>
          <w:dstrike w:val="0"/>
          <w:color w:val="auto"/>
          <w:sz w:val="24"/>
          <w:highlight w:val="none"/>
          <w:u w:val="single"/>
        </w:rPr>
      </w:pPr>
      <w:r>
        <w:rPr>
          <w:rFonts w:hint="eastAsia"/>
          <w:strike/>
          <w:dstrike w:val="0"/>
          <w:color w:val="auto"/>
          <w:sz w:val="24"/>
          <w:highlight w:val="none"/>
          <w:u w:val="single"/>
        </w:rPr>
        <w:t>(k ) 评标委员会向招标人提交评标报告后即告解散，评标过程中使用的文件、表格以及其他资料应当即时归还招标人（或招标代理机构）。</w:t>
      </w:r>
    </w:p>
    <w:p>
      <w:pPr>
        <w:pStyle w:val="30"/>
        <w:rPr>
          <w:color w:val="auto"/>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办法二   采用投票法评标</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  开标评标程序</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5.3.1.2.截标后，开标开始时间因故推迟的，相关评标信息仍以原定的开标开始时间的信息为准。</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5.3.1.3备用光盘的读取按2.11.2的规定执行。</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5.3.1.6参加现场开标的投标人对开标结果有异议的，应当在开标现场提出，同时出示本人身份证原件，招标人应当当场作出答复，并制作记录。</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5.3.1.7参加在线开标的投标人对开标结果有异议的，应当在唱标结束后的规定时间内、</w:t>
      </w:r>
    </w:p>
    <w:p>
      <w:pPr>
        <w:widowControl/>
        <w:snapToGrid w:val="0"/>
        <w:spacing w:line="312" w:lineRule="auto"/>
        <w:jc w:val="left"/>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投标人应通过广交易建设工程电子交易系统在线提出，招标人应通过广交易建设</w:t>
      </w:r>
    </w:p>
    <w:p>
      <w:pPr>
        <w:widowControl/>
        <w:snapToGrid w:val="0"/>
        <w:spacing w:line="312" w:lineRule="auto"/>
        <w:jc w:val="left"/>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工程电子交易系统答复，异议答复是招标人真实意思表示。未答复的，开标程序</w:t>
      </w:r>
    </w:p>
    <w:p>
      <w:pPr>
        <w:widowControl/>
        <w:snapToGrid w:val="0"/>
        <w:spacing w:line="312" w:lineRule="auto"/>
        <w:jc w:val="left"/>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不得结束。</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注：1.具体操作详见“广州交易集团有限公司（广州公共资源交易中心）门户网站首页-&gt;服务指南-&gt;系统帮助-&gt;操作手册-&gt;发起及受理异议操作指引”。</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rPr>
        <w:t>　　　</w:t>
      </w:r>
      <w:r>
        <w:rPr>
          <w:rFonts w:hint="eastAsia" w:ascii="宋体" w:hAnsi="宋体"/>
          <w:color w:val="auto"/>
          <w:sz w:val="24"/>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5.3.1.8投标人未参加开标或在规定的时间内未提出异议的，视为对开标无异议。</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5.3.1.9开标时，两个（含两个）以上的投标人加密打包投标文件电脑机器特征码一致的，由评标委员会确定其为废标。</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5.3.1.11开标时，出现下列情形之一的投标人，不参与下一程序，其投标文件作无效处理：</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（1）未成功递交或因投标人原因未成功导入投标文件的；</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（2）因投标人原因造成投标文件未解密的。</w:t>
      </w:r>
    </w:p>
    <w:p>
      <w:pPr>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5.3.2 技术文件开标时不得开启，在评标时由广州公共资源交易中心电子评标系统自动生成技术文件的暗标编码后开启，交由评标委员会以暗标形式进行评审，不需要投标人派代表介绍投标方案。</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(d) 评标委员会专家对各投标单位的技术文件（设计方案）进行综合评审。评审之后，以差额选举逐轮淘汰的记名投票方式选出投标方案的排序。(评标表格详见附录17、附录18、附录19)</w:t>
      </w:r>
    </w:p>
    <w:p>
      <w:pPr>
        <w:spacing w:line="400" w:lineRule="exact"/>
        <w:ind w:left="837" w:leftChars="170" w:hanging="480" w:hangingChars="200"/>
        <w:rPr>
          <w:rFonts w:ascii="宋体" w:hAnsi="宋体"/>
          <w:color w:val="auto"/>
          <w:sz w:val="24"/>
          <w:highlight w:val="none"/>
          <w:u w:val="single"/>
        </w:rPr>
      </w:pPr>
      <w:r>
        <w:rPr>
          <w:rFonts w:hint="eastAsia" w:ascii="宋体" w:hAnsi="宋体"/>
          <w:color w:val="auto"/>
          <w:sz w:val="24"/>
          <w:highlight w:val="none"/>
          <w:u w:val="single"/>
        </w:rPr>
        <w:t>(e) 招标人（或招标代理机构）和交易中心工作人员开启保密信封，找出各编号技术文件所对应的投标人。</w:t>
      </w:r>
    </w:p>
    <w:p>
      <w:pPr>
        <w:spacing w:line="400" w:lineRule="exact"/>
        <w:ind w:left="717" w:leftChars="170" w:hanging="360" w:hangingChars="150"/>
        <w:rPr>
          <w:rFonts w:ascii="宋体" w:hAnsi="宋体"/>
          <w:color w:val="auto"/>
          <w:sz w:val="24"/>
          <w:highlight w:val="none"/>
          <w:u w:val="single"/>
        </w:rPr>
      </w:pPr>
      <w:r>
        <w:rPr>
          <w:rFonts w:hint="eastAsia" w:ascii="宋体" w:hAnsi="宋体"/>
          <w:color w:val="auto"/>
          <w:sz w:val="24"/>
          <w:highlight w:val="none"/>
          <w:u w:val="singl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spacing w:line="400" w:lineRule="exact"/>
        <w:ind w:left="717" w:leftChars="170" w:hanging="360" w:hangingChars="150"/>
        <w:rPr>
          <w:rFonts w:ascii="宋体" w:hAnsi="宋体"/>
          <w:color w:val="auto"/>
          <w:sz w:val="24"/>
          <w:highlight w:val="none"/>
          <w:u w:val="single"/>
        </w:rPr>
      </w:pPr>
      <w:r>
        <w:rPr>
          <w:rFonts w:hint="eastAsia" w:ascii="宋体" w:hAnsi="宋体"/>
          <w:color w:val="auto"/>
          <w:sz w:val="24"/>
          <w:highlight w:val="none"/>
          <w:u w:val="single"/>
        </w:rPr>
        <w:t>(g) 招标人（或招标代理机构）提前将揭晓评标结果的会议时间和地点通知所有投标人，并邀请投标人出席。公开展示所有投标文件及其评审名次，</w:t>
      </w:r>
      <w:r>
        <w:rPr>
          <w:rFonts w:ascii="宋体" w:hAnsi="宋体"/>
          <w:color w:val="auto"/>
          <w:sz w:val="24"/>
          <w:highlight w:val="none"/>
          <w:u w:val="single"/>
        </w:rPr>
        <w:t>并根据请求告知已投标但未出席</w:t>
      </w:r>
      <w:r>
        <w:rPr>
          <w:rFonts w:hint="eastAsia" w:ascii="宋体" w:hAnsi="宋体"/>
          <w:color w:val="auto"/>
          <w:sz w:val="24"/>
          <w:highlight w:val="none"/>
          <w:u w:val="single"/>
        </w:rPr>
        <w:t>会议</w:t>
      </w:r>
      <w:r>
        <w:rPr>
          <w:rFonts w:ascii="宋体" w:hAnsi="宋体"/>
          <w:color w:val="auto"/>
          <w:sz w:val="24"/>
          <w:highlight w:val="none"/>
          <w:u w:val="single"/>
        </w:rPr>
        <w:t>的</w:t>
      </w:r>
      <w:r>
        <w:rPr>
          <w:rFonts w:hint="eastAsia" w:ascii="宋体" w:hAnsi="宋体"/>
          <w:color w:val="auto"/>
          <w:sz w:val="24"/>
          <w:highlight w:val="none"/>
          <w:u w:val="single"/>
        </w:rPr>
        <w:t>投标人。</w:t>
      </w:r>
    </w:p>
    <w:p>
      <w:pPr>
        <w:spacing w:line="400" w:lineRule="exact"/>
        <w:ind w:left="839" w:leftChars="171" w:hanging="480" w:hangingChars="200"/>
        <w:jc w:val="left"/>
        <w:rPr>
          <w:rFonts w:ascii="宋体" w:hAnsi="宋体"/>
          <w:color w:val="auto"/>
          <w:sz w:val="24"/>
          <w:highlight w:val="none"/>
          <w:u w:val="single"/>
        </w:rPr>
      </w:pPr>
      <w:r>
        <w:rPr>
          <w:rFonts w:hint="eastAsia" w:ascii="宋体" w:hAnsi="宋体"/>
          <w:color w:val="auto"/>
          <w:sz w:val="24"/>
          <w:highlight w:val="none"/>
          <w:u w:val="single"/>
        </w:rPr>
        <w:t>(h ) 评标委员会向招标人提交书面评标报告后即告解散，评标过程中使用的文件、表格以及其他资料应当即时归还招标人（或招标代理机构）。</w:t>
      </w:r>
    </w:p>
    <w:p>
      <w:pPr>
        <w:spacing w:line="400" w:lineRule="exact"/>
        <w:jc w:val="left"/>
        <w:rPr>
          <w:rFonts w:ascii="宋体" w:hAnsi="宋体"/>
          <w:b/>
          <w:color w:val="auto"/>
          <w:sz w:val="24"/>
          <w:highlight w:val="none"/>
        </w:rPr>
      </w:pPr>
      <w:r>
        <w:rPr>
          <w:rFonts w:hint="eastAsia" w:ascii="宋体" w:hAnsi="宋体"/>
          <w:b/>
          <w:color w:val="auto"/>
          <w:sz w:val="24"/>
          <w:highlight w:val="none"/>
        </w:rPr>
        <w:t>5.4   定标</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5.4.1  </w:t>
      </w:r>
      <w:r>
        <w:rPr>
          <w:rFonts w:hint="eastAsia"/>
          <w:color w:val="auto"/>
          <w:sz w:val="24"/>
          <w:highlight w:val="none"/>
        </w:rPr>
        <w:t>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 xml:space="preserve">5.4.2  </w:t>
      </w:r>
      <w:r>
        <w:rPr>
          <w:rFonts w:hint="eastAsia"/>
          <w:color w:val="auto"/>
          <w:sz w:val="24"/>
          <w:highlight w:val="none"/>
        </w:rPr>
        <w:t>招标人采用下面方法确定中标人：</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□（a）招标人委托评标委员会直接确定中标人；</w:t>
      </w:r>
    </w:p>
    <w:p>
      <w:pPr>
        <w:spacing w:line="400" w:lineRule="exact"/>
        <w:ind w:left="821" w:hanging="820" w:hangingChars="342"/>
        <w:jc w:val="left"/>
        <w:rPr>
          <w:rFonts w:ascii="宋体" w:hAnsi="宋体"/>
          <w:color w:val="auto"/>
          <w:sz w:val="24"/>
          <w:highlight w:val="none"/>
        </w:rPr>
      </w:pPr>
      <w:r>
        <w:rPr>
          <w:rFonts w:hint="eastAsia" w:ascii="宋体" w:hAnsi="宋体" w:cs="宋体"/>
          <w:color w:val="auto"/>
          <w:sz w:val="24"/>
          <w:highlight w:val="none"/>
        </w:rPr>
        <w:t>■</w:t>
      </w:r>
      <w:r>
        <w:rPr>
          <w:rFonts w:hint="eastAsia" w:ascii="宋体" w:hAnsi="宋体"/>
          <w:color w:val="auto"/>
          <w:sz w:val="24"/>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rPr>
          <w:rFonts w:ascii="宋体" w:hAnsi="宋体"/>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5.5  发生下列情形之一的，招标人将重新组织招标：</w:t>
      </w:r>
    </w:p>
    <w:p>
      <w:pPr>
        <w:spacing w:line="400" w:lineRule="exact"/>
        <w:rPr>
          <w:rFonts w:ascii="宋体" w:hAnsi="宋体"/>
          <w:color w:val="auto"/>
          <w:sz w:val="24"/>
          <w:highlight w:val="none"/>
        </w:rPr>
      </w:pPr>
      <w:r>
        <w:rPr>
          <w:rFonts w:hint="eastAsia" w:ascii="宋体" w:hAnsi="宋体"/>
          <w:color w:val="auto"/>
          <w:sz w:val="24"/>
          <w:highlight w:val="none"/>
        </w:rPr>
        <w:t xml:space="preserve">     (a) 递交投标文件或通过资格审查的投标人不足</w:t>
      </w:r>
      <w:r>
        <w:rPr>
          <w:rFonts w:hint="eastAsia" w:ascii="宋体" w:hAnsi="宋体"/>
          <w:color w:val="auto"/>
          <w:sz w:val="24"/>
          <w:highlight w:val="none"/>
          <w:u w:val="single"/>
        </w:rPr>
        <w:t>三</w:t>
      </w:r>
      <w:r>
        <w:rPr>
          <w:rFonts w:hint="eastAsia" w:ascii="宋体" w:hAnsi="宋体"/>
          <w:color w:val="auto"/>
          <w:sz w:val="24"/>
          <w:highlight w:val="none"/>
        </w:rPr>
        <w:t>人；</w:t>
      </w:r>
    </w:p>
    <w:p>
      <w:pPr>
        <w:spacing w:line="400" w:lineRule="exact"/>
        <w:rPr>
          <w:rFonts w:ascii="宋体" w:hAnsi="宋体"/>
          <w:color w:val="auto"/>
          <w:sz w:val="24"/>
          <w:highlight w:val="none"/>
        </w:rPr>
      </w:pPr>
      <w:r>
        <w:rPr>
          <w:rFonts w:hint="eastAsia" w:ascii="宋体" w:hAnsi="宋体"/>
          <w:color w:val="auto"/>
          <w:sz w:val="24"/>
          <w:highlight w:val="none"/>
        </w:rPr>
        <w:t xml:space="preserve">     (b) 所有投标被否决，或者经评议有效投标的投标人不足三人；</w:t>
      </w:r>
    </w:p>
    <w:p>
      <w:pPr>
        <w:spacing w:line="400" w:lineRule="exact"/>
        <w:ind w:left="617" w:hanging="616" w:hangingChars="257"/>
        <w:rPr>
          <w:rFonts w:ascii="宋体" w:hAnsi="宋体"/>
          <w:color w:val="auto"/>
          <w:sz w:val="24"/>
          <w:highlight w:val="none"/>
        </w:rPr>
      </w:pPr>
    </w:p>
    <w:p>
      <w:pPr>
        <w:spacing w:line="400" w:lineRule="exact"/>
        <w:rPr>
          <w:rFonts w:ascii="宋体" w:hAnsi="宋体"/>
          <w:b/>
          <w:bCs/>
          <w:color w:val="auto"/>
          <w:sz w:val="24"/>
          <w:highlight w:val="none"/>
        </w:rPr>
      </w:pPr>
      <w:r>
        <w:rPr>
          <w:rFonts w:hint="eastAsia" w:ascii="宋体" w:hAnsi="宋体"/>
          <w:b/>
          <w:bCs/>
          <w:color w:val="auto"/>
          <w:sz w:val="24"/>
          <w:highlight w:val="none"/>
        </w:rPr>
        <w:t>5.6    授予合同</w:t>
      </w:r>
    </w:p>
    <w:p>
      <w:pPr>
        <w:pStyle w:val="14"/>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5.6.1  招标人一般将合同授予中标人，合同在投标有效期或投标人接受的延长期内授出。</w:t>
      </w:r>
    </w:p>
    <w:p>
      <w:pPr>
        <w:pStyle w:val="14"/>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5.6.2  联合体中标的，由所有联合体成员法定代表人签署授权委托书，指定牵头人或代表，授权其代表所有联合体成员与招标人签订合同，负责整个合同实施阶段的协调工作。</w:t>
      </w:r>
    </w:p>
    <w:p>
      <w:pPr>
        <w:pStyle w:val="14"/>
        <w:spacing w:line="400" w:lineRule="exact"/>
        <w:ind w:left="821" w:hanging="820" w:hangingChars="342"/>
        <w:jc w:val="left"/>
        <w:rPr>
          <w:rFonts w:hAnsi="宋体"/>
          <w:color w:val="auto"/>
          <w:sz w:val="24"/>
          <w:szCs w:val="24"/>
          <w:highlight w:val="none"/>
        </w:rPr>
      </w:pPr>
      <w:r>
        <w:rPr>
          <w:rFonts w:hint="eastAsia" w:hAnsi="宋体"/>
          <w:color w:val="auto"/>
          <w:sz w:val="24"/>
          <w:szCs w:val="24"/>
          <w:highlight w:val="none"/>
        </w:rPr>
        <w:t>5.6.3  中标人必须签署并执行招标文件规定的合同条件，</w:t>
      </w:r>
      <w:r>
        <w:rPr>
          <w:rFonts w:hAnsi="宋体"/>
          <w:color w:val="auto"/>
          <w:sz w:val="24"/>
          <w:szCs w:val="24"/>
          <w:highlight w:val="none"/>
        </w:rPr>
        <w:t>如</w:t>
      </w:r>
      <w:r>
        <w:rPr>
          <w:rFonts w:hint="eastAsia" w:hAnsi="宋体"/>
          <w:color w:val="auto"/>
          <w:sz w:val="24"/>
          <w:szCs w:val="24"/>
          <w:highlight w:val="none"/>
        </w:rPr>
        <w:t>中标人</w:t>
      </w:r>
      <w:r>
        <w:rPr>
          <w:rFonts w:hAnsi="宋体"/>
          <w:color w:val="auto"/>
          <w:sz w:val="24"/>
          <w:szCs w:val="24"/>
          <w:highlight w:val="none"/>
        </w:rPr>
        <w:t>所提供的投标条件</w:t>
      </w:r>
      <w:r>
        <w:rPr>
          <w:rFonts w:hint="eastAsia" w:hAnsi="宋体"/>
          <w:color w:val="auto"/>
          <w:sz w:val="24"/>
          <w:szCs w:val="24"/>
          <w:highlight w:val="none"/>
        </w:rPr>
        <w:t>（报价、工期、估算工程造价）比其他投标</w:t>
      </w:r>
      <w:r>
        <w:rPr>
          <w:rFonts w:hAnsi="宋体"/>
          <w:color w:val="auto"/>
          <w:sz w:val="24"/>
          <w:szCs w:val="24"/>
          <w:highlight w:val="none"/>
        </w:rPr>
        <w:t>异常低，</w:t>
      </w:r>
      <w:r>
        <w:rPr>
          <w:rFonts w:hint="eastAsia" w:hAnsi="宋体"/>
          <w:color w:val="auto"/>
          <w:sz w:val="24"/>
          <w:szCs w:val="24"/>
          <w:highlight w:val="none"/>
        </w:rPr>
        <w:t>招标人</w:t>
      </w:r>
      <w:r>
        <w:rPr>
          <w:rFonts w:hAnsi="宋体"/>
          <w:color w:val="auto"/>
          <w:sz w:val="24"/>
          <w:szCs w:val="24"/>
          <w:highlight w:val="none"/>
        </w:rPr>
        <w:t>可要求</w:t>
      </w:r>
      <w:r>
        <w:rPr>
          <w:rFonts w:hint="eastAsia" w:hAnsi="宋体"/>
          <w:color w:val="auto"/>
          <w:sz w:val="24"/>
          <w:szCs w:val="24"/>
          <w:highlight w:val="none"/>
        </w:rPr>
        <w:t>中</w:t>
      </w:r>
      <w:r>
        <w:rPr>
          <w:rFonts w:hAnsi="宋体"/>
          <w:color w:val="auto"/>
          <w:sz w:val="24"/>
          <w:szCs w:val="24"/>
          <w:highlight w:val="none"/>
        </w:rPr>
        <w:t>标人对遵守参加投标的各项条件和履行合同的能力作出保证。</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5.6.4  招标人提供证据证明中标人有下列行为之一的，经有关行政监督部门确认，该中标无效，招标人可以不与中标人签订合同：</w:t>
      </w:r>
    </w:p>
    <w:p>
      <w:pPr>
        <w:spacing w:line="400" w:lineRule="exact"/>
        <w:rPr>
          <w:rFonts w:ascii="宋体" w:hAnsi="宋体"/>
          <w:color w:val="auto"/>
          <w:sz w:val="24"/>
          <w:highlight w:val="none"/>
        </w:rPr>
      </w:pPr>
      <w:r>
        <w:rPr>
          <w:rFonts w:hint="eastAsia" w:ascii="宋体" w:hAnsi="宋体"/>
          <w:color w:val="auto"/>
          <w:sz w:val="24"/>
          <w:highlight w:val="none"/>
        </w:rPr>
        <w:t xml:space="preserve">   (a) 不能兑现投标承诺。</w:t>
      </w:r>
    </w:p>
    <w:p>
      <w:pPr>
        <w:spacing w:line="400" w:lineRule="exact"/>
        <w:rPr>
          <w:rFonts w:ascii="宋体" w:hAnsi="宋体"/>
          <w:color w:val="auto"/>
          <w:sz w:val="24"/>
          <w:highlight w:val="none"/>
        </w:rPr>
      </w:pPr>
      <w:r>
        <w:rPr>
          <w:rFonts w:hint="eastAsia" w:ascii="宋体" w:hAnsi="宋体"/>
          <w:color w:val="auto"/>
          <w:sz w:val="24"/>
          <w:highlight w:val="none"/>
        </w:rPr>
        <w:t xml:space="preserve">   (b) 弄虚作假骗取中标。</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 xml:space="preserve">   (c) </w:t>
      </w:r>
      <w:r>
        <w:rPr>
          <w:rFonts w:hint="eastAsia" w:hAnsi="宋体"/>
          <w:color w:val="auto"/>
          <w:sz w:val="24"/>
          <w:highlight w:val="none"/>
        </w:rPr>
        <w:t>在招标、投标、评标、定标以及授予合同过程中，对招标人、代理机构、其他投标人、评标委员会成员、</w:t>
      </w:r>
      <w:r>
        <w:rPr>
          <w:rFonts w:hint="eastAsia" w:hAnsi="宋体"/>
          <w:color w:val="auto"/>
          <w:kern w:val="0"/>
          <w:sz w:val="24"/>
          <w:highlight w:val="none"/>
        </w:rPr>
        <w:t>交易服务机构的</w:t>
      </w:r>
      <w:r>
        <w:rPr>
          <w:rFonts w:hint="eastAsia" w:hAnsi="宋体"/>
          <w:color w:val="auto"/>
          <w:sz w:val="24"/>
          <w:highlight w:val="none"/>
        </w:rPr>
        <w:t>工作人员行贿、</w:t>
      </w:r>
      <w:r>
        <w:rPr>
          <w:rFonts w:hAnsi="宋体"/>
          <w:color w:val="auto"/>
          <w:kern w:val="0"/>
          <w:sz w:val="24"/>
          <w:highlight w:val="none"/>
        </w:rPr>
        <w:t>利诱</w:t>
      </w:r>
      <w:r>
        <w:rPr>
          <w:rFonts w:hint="eastAsia" w:hAnsi="宋体"/>
          <w:color w:val="auto"/>
          <w:kern w:val="0"/>
          <w:sz w:val="24"/>
          <w:highlight w:val="none"/>
        </w:rPr>
        <w:t>、</w:t>
      </w:r>
      <w:r>
        <w:rPr>
          <w:rFonts w:hint="eastAsia" w:hAnsi="宋体"/>
          <w:color w:val="auto"/>
          <w:sz w:val="24"/>
          <w:highlight w:val="none"/>
        </w:rPr>
        <w:t>欺诈或者施加影响。</w:t>
      </w:r>
    </w:p>
    <w:p>
      <w:pPr>
        <w:spacing w:line="400" w:lineRule="exact"/>
        <w:rPr>
          <w:rFonts w:ascii="宋体" w:hAnsi="宋体"/>
          <w:color w:val="auto"/>
          <w:sz w:val="24"/>
          <w:highlight w:val="none"/>
        </w:rPr>
      </w:pPr>
      <w:r>
        <w:rPr>
          <w:rFonts w:hint="eastAsia" w:ascii="宋体" w:hAnsi="宋体"/>
          <w:color w:val="auto"/>
          <w:sz w:val="24"/>
          <w:highlight w:val="none"/>
        </w:rPr>
        <w:t xml:space="preserve">   (d) 擅自将任务转包其他单位。</w:t>
      </w:r>
    </w:p>
    <w:p>
      <w:pPr>
        <w:spacing w:line="400" w:lineRule="exact"/>
        <w:rPr>
          <w:rFonts w:ascii="宋体" w:hAnsi="宋体"/>
          <w:color w:val="auto"/>
          <w:sz w:val="24"/>
          <w:highlight w:val="none"/>
        </w:rPr>
      </w:pPr>
      <w:r>
        <w:rPr>
          <w:rFonts w:hint="eastAsia" w:ascii="宋体" w:hAnsi="宋体"/>
          <w:color w:val="auto"/>
          <w:sz w:val="24"/>
          <w:highlight w:val="none"/>
        </w:rPr>
        <w:t xml:space="preserve">   (e) 中标人实质上不符合资格审查合格条件。</w:t>
      </w:r>
    </w:p>
    <w:p>
      <w:pPr>
        <w:spacing w:line="400" w:lineRule="exact"/>
        <w:rPr>
          <w:rFonts w:ascii="宋体" w:hAnsi="宋体"/>
          <w:color w:val="auto"/>
          <w:sz w:val="24"/>
          <w:highlight w:val="none"/>
        </w:rPr>
      </w:pPr>
      <w:r>
        <w:rPr>
          <w:rFonts w:hint="eastAsia" w:ascii="宋体" w:hAnsi="宋体"/>
          <w:color w:val="auto"/>
          <w:sz w:val="24"/>
          <w:highlight w:val="none"/>
        </w:rPr>
        <w:t xml:space="preserve">   (f) 法律、法规规定的其他损害招标人利益和社会公共利益的情形。</w:t>
      </w:r>
    </w:p>
    <w:p>
      <w:pPr>
        <w:spacing w:line="400" w:lineRule="exact"/>
        <w:ind w:left="821" w:hanging="820" w:hangingChars="342"/>
        <w:rPr>
          <w:rFonts w:ascii="宋体" w:hAnsi="宋体"/>
          <w:color w:val="auto"/>
          <w:sz w:val="24"/>
          <w:highlight w:val="none"/>
        </w:rPr>
      </w:pPr>
      <w:r>
        <w:rPr>
          <w:rFonts w:hint="eastAsia" w:ascii="宋体" w:hAnsi="宋体"/>
          <w:color w:val="auto"/>
          <w:sz w:val="24"/>
          <w:highlight w:val="none"/>
        </w:rPr>
        <w:t>5.6.5  中标人不得擅自更换投标文件中拟派的设计人员及项目负责人，否则每人次扣合同金额1%。</w:t>
      </w:r>
    </w:p>
    <w:p>
      <w:pPr>
        <w:spacing w:line="0" w:lineRule="atLeast"/>
        <w:rPr>
          <w:rFonts w:ascii="宋体" w:hAnsi="宋体"/>
          <w:color w:val="auto"/>
          <w:highlight w:val="none"/>
        </w:rPr>
      </w:pPr>
    </w:p>
    <w:p>
      <w:pPr>
        <w:spacing w:line="400" w:lineRule="exact"/>
        <w:ind w:left="1236" w:hanging="1231" w:hangingChars="342"/>
        <w:jc w:val="center"/>
        <w:rPr>
          <w:rFonts w:ascii="宋体" w:hAnsi="宋体"/>
          <w:b/>
          <w:bCs/>
          <w:color w:val="auto"/>
          <w:sz w:val="24"/>
          <w:highlight w:val="none"/>
        </w:rPr>
      </w:pPr>
      <w:r>
        <w:rPr>
          <w:rFonts w:ascii="宋体" w:hAnsi="宋体"/>
          <w:b/>
          <w:color w:val="auto"/>
          <w:sz w:val="36"/>
          <w:szCs w:val="36"/>
          <w:highlight w:val="none"/>
        </w:rPr>
        <w:br w:type="page"/>
      </w:r>
    </w:p>
    <w:p>
      <w:pPr>
        <w:jc w:val="center"/>
        <w:rPr>
          <w:rFonts w:ascii="宋体" w:hAnsi="宋体"/>
          <w:b/>
          <w:color w:val="auto"/>
          <w:sz w:val="36"/>
          <w:szCs w:val="36"/>
          <w:highlight w:val="none"/>
        </w:rPr>
      </w:pPr>
      <w:r>
        <w:rPr>
          <w:rFonts w:hint="eastAsia" w:ascii="宋体" w:hAnsi="宋体"/>
          <w:b/>
          <w:color w:val="auto"/>
          <w:sz w:val="36"/>
          <w:szCs w:val="36"/>
          <w:highlight w:val="none"/>
        </w:rPr>
        <w:t>第六章  合同主要条款</w:t>
      </w:r>
    </w:p>
    <w:p>
      <w:pPr>
        <w:spacing w:line="0" w:lineRule="atLeast"/>
        <w:rPr>
          <w:rFonts w:ascii="宋体" w:hAnsi="宋体"/>
          <w:color w:val="auto"/>
          <w:highlight w:val="none"/>
        </w:rPr>
      </w:pPr>
    </w:p>
    <w:p>
      <w:pPr>
        <w:spacing w:line="0" w:lineRule="atLeast"/>
        <w:jc w:val="center"/>
        <w:rPr>
          <w:rFonts w:ascii="宋体" w:hAnsi="宋体"/>
          <w:color w:val="auto"/>
          <w:sz w:val="24"/>
          <w:highlight w:val="none"/>
        </w:rPr>
      </w:pPr>
      <w:r>
        <w:rPr>
          <w:rFonts w:hint="eastAsia" w:ascii="宋体" w:hAnsi="宋体"/>
          <w:color w:val="auto"/>
          <w:sz w:val="24"/>
          <w:highlight w:val="none"/>
        </w:rPr>
        <w:t>（另册）</w:t>
      </w:r>
    </w:p>
    <w:p>
      <w:pPr>
        <w:rPr>
          <w:rFonts w:ascii="宋体" w:hAnsi="宋体"/>
          <w:color w:val="auto"/>
          <w:szCs w:val="21"/>
          <w:highlight w:val="none"/>
        </w:rPr>
      </w:pPr>
    </w:p>
    <w:p>
      <w:pPr>
        <w:rPr>
          <w:rFonts w:ascii="宋体" w:hAnsi="宋体"/>
          <w:color w:val="auto"/>
          <w:szCs w:val="21"/>
          <w:highlight w:val="none"/>
        </w:rPr>
        <w:sectPr>
          <w:footerReference r:id="rId5" w:type="default"/>
          <w:pgSz w:w="11906" w:h="16838"/>
          <w:pgMar w:top="1418" w:right="1418" w:bottom="1418" w:left="1418" w:header="851" w:footer="992" w:gutter="0"/>
          <w:cols w:space="425" w:num="1"/>
          <w:docGrid w:type="linesAndChars" w:linePitch="312" w:charSpace="0"/>
        </w:sectPr>
      </w:pPr>
    </w:p>
    <w:p>
      <w:pPr>
        <w:rPr>
          <w:rFonts w:ascii="宋体" w:hAnsi="宋体"/>
          <w:color w:val="auto"/>
          <w:sz w:val="24"/>
          <w:highlight w:val="none"/>
        </w:rPr>
      </w:pPr>
      <w:r>
        <w:rPr>
          <w:rFonts w:hint="eastAsia" w:ascii="宋体" w:hAnsi="宋体"/>
          <w:b/>
          <w:bCs/>
          <w:color w:val="auto"/>
          <w:sz w:val="24"/>
          <w:highlight w:val="none"/>
        </w:rPr>
        <w:t>附录1</w:t>
      </w:r>
    </w:p>
    <w:p>
      <w:pPr>
        <w:jc w:val="center"/>
        <w:rPr>
          <w:rFonts w:ascii="宋体" w:hAnsi="宋体"/>
          <w:b/>
          <w:color w:val="auto"/>
          <w:sz w:val="36"/>
          <w:szCs w:val="36"/>
          <w:highlight w:val="none"/>
        </w:rPr>
      </w:pPr>
      <w:r>
        <w:rPr>
          <w:rFonts w:hint="eastAsia" w:ascii="宋体" w:hAnsi="宋体"/>
          <w:b/>
          <w:color w:val="auto"/>
          <w:sz w:val="36"/>
          <w:szCs w:val="36"/>
          <w:highlight w:val="none"/>
        </w:rPr>
        <w:t>投标申请表（申请人、资质、机构简介）</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3240" w:type="dxa"/>
            <w:vAlign w:val="center"/>
          </w:tcPr>
          <w:p>
            <w:pPr>
              <w:jc w:val="center"/>
              <w:rPr>
                <w:rFonts w:ascii="宋体" w:hAnsi="宋体"/>
                <w:color w:val="auto"/>
                <w:szCs w:val="21"/>
                <w:highlight w:val="none"/>
              </w:rPr>
            </w:pPr>
            <w:r>
              <w:rPr>
                <w:rFonts w:hint="eastAsia" w:ascii="宋体" w:hAnsi="宋体"/>
                <w:color w:val="auto"/>
                <w:szCs w:val="21"/>
                <w:highlight w:val="none"/>
              </w:rPr>
              <w:t>内容</w:t>
            </w:r>
          </w:p>
        </w:tc>
        <w:tc>
          <w:tcPr>
            <w:tcW w:w="4616" w:type="dxa"/>
            <w:vAlign w:val="center"/>
          </w:tcPr>
          <w:p>
            <w:pPr>
              <w:jc w:val="center"/>
              <w:rPr>
                <w:rFonts w:ascii="宋体" w:hAnsi="宋体"/>
                <w:color w:val="auto"/>
                <w:szCs w:val="21"/>
                <w:highlight w:val="none"/>
              </w:rPr>
            </w:pPr>
            <w:r>
              <w:rPr>
                <w:rFonts w:hint="eastAsia" w:ascii="宋体" w:hAnsi="宋体"/>
                <w:color w:val="auto"/>
                <w:highlight w:val="none"/>
              </w:rPr>
              <w:t>申请人（牵头人）</w:t>
            </w:r>
          </w:p>
        </w:tc>
        <w:tc>
          <w:tcPr>
            <w:tcW w:w="2835" w:type="dxa"/>
            <w:vAlign w:val="center"/>
          </w:tcPr>
          <w:p>
            <w:pPr>
              <w:jc w:val="center"/>
              <w:rPr>
                <w:rFonts w:ascii="宋体" w:hAnsi="宋体"/>
                <w:color w:val="auto"/>
                <w:szCs w:val="21"/>
                <w:highlight w:val="none"/>
              </w:rPr>
            </w:pPr>
            <w:r>
              <w:rPr>
                <w:rFonts w:hint="eastAsia" w:ascii="宋体" w:hAnsi="宋体"/>
                <w:color w:val="auto"/>
                <w:highlight w:val="none"/>
              </w:rPr>
              <w:t>联合体成员</w:t>
            </w:r>
          </w:p>
        </w:tc>
        <w:tc>
          <w:tcPr>
            <w:tcW w:w="2835" w:type="dxa"/>
            <w:vAlign w:val="center"/>
          </w:tcPr>
          <w:p>
            <w:pPr>
              <w:jc w:val="center"/>
              <w:rPr>
                <w:rFonts w:ascii="宋体" w:hAnsi="宋体"/>
                <w:color w:val="auto"/>
                <w:szCs w:val="21"/>
                <w:highlight w:val="none"/>
              </w:rPr>
            </w:pPr>
            <w:r>
              <w:rPr>
                <w:rFonts w:hint="eastAsia" w:ascii="宋体" w:hAnsi="宋体"/>
                <w:color w:val="auto"/>
                <w:highlight w:val="none"/>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3240" w:type="dxa"/>
          </w:tcPr>
          <w:p>
            <w:pPr>
              <w:rPr>
                <w:rFonts w:ascii="宋体" w:hAnsi="宋体"/>
                <w:color w:val="auto"/>
                <w:szCs w:val="21"/>
                <w:highlight w:val="none"/>
              </w:rPr>
            </w:pPr>
            <w:r>
              <w:rPr>
                <w:rFonts w:hint="eastAsia" w:ascii="宋体" w:hAnsi="宋体"/>
                <w:color w:val="auto"/>
                <w:highlight w:val="none"/>
              </w:rPr>
              <w:t>名称（盖章）</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3240" w:type="dxa"/>
          </w:tcPr>
          <w:p>
            <w:pPr>
              <w:rPr>
                <w:rFonts w:ascii="宋体" w:hAnsi="宋体"/>
                <w:color w:val="auto"/>
                <w:szCs w:val="21"/>
                <w:highlight w:val="none"/>
              </w:rPr>
            </w:pPr>
            <w:r>
              <w:rPr>
                <w:rFonts w:hint="eastAsia" w:ascii="宋体" w:hAnsi="宋体"/>
                <w:color w:val="auto"/>
                <w:highlight w:val="none"/>
              </w:rPr>
              <w:t>法定代表人</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3240" w:type="dxa"/>
          </w:tcPr>
          <w:p>
            <w:pPr>
              <w:rPr>
                <w:rFonts w:ascii="宋体" w:hAnsi="宋体"/>
                <w:color w:val="auto"/>
                <w:szCs w:val="21"/>
                <w:highlight w:val="none"/>
              </w:rPr>
            </w:pPr>
            <w:r>
              <w:rPr>
                <w:rFonts w:hint="eastAsia" w:ascii="宋体" w:hAnsi="宋体"/>
                <w:color w:val="auto"/>
                <w:highlight w:val="none"/>
              </w:rPr>
              <w:t>总部邮政编码、注册地址</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3240" w:type="dxa"/>
          </w:tcPr>
          <w:p>
            <w:pPr>
              <w:rPr>
                <w:rFonts w:ascii="宋体" w:hAnsi="宋体"/>
                <w:color w:val="auto"/>
                <w:szCs w:val="21"/>
                <w:highlight w:val="none"/>
              </w:rPr>
            </w:pPr>
            <w:r>
              <w:rPr>
                <w:rFonts w:hint="eastAsia" w:ascii="宋体" w:hAnsi="宋体"/>
                <w:color w:val="auto"/>
                <w:highlight w:val="none"/>
              </w:rPr>
              <w:t>总部电话号码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3240" w:type="dxa"/>
          </w:tcPr>
          <w:p>
            <w:pPr>
              <w:rPr>
                <w:rFonts w:ascii="宋体" w:hAnsi="宋体"/>
                <w:color w:val="auto"/>
                <w:highlight w:val="none"/>
              </w:rPr>
            </w:pPr>
            <w:r>
              <w:rPr>
                <w:rFonts w:hint="eastAsia" w:ascii="宋体" w:hAnsi="宋体"/>
                <w:color w:val="auto"/>
                <w:highlight w:val="none"/>
              </w:rPr>
              <w:t>总部传真号码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3240" w:type="dxa"/>
          </w:tcPr>
          <w:p>
            <w:pPr>
              <w:rPr>
                <w:rFonts w:ascii="宋体" w:hAnsi="宋体"/>
                <w:color w:val="auto"/>
                <w:highlight w:val="none"/>
              </w:rPr>
            </w:pPr>
            <w:r>
              <w:rPr>
                <w:rFonts w:hint="eastAsia" w:ascii="宋体" w:hAnsi="宋体"/>
                <w:color w:val="auto"/>
                <w:highlight w:val="none"/>
              </w:rPr>
              <w:t>总部联络人、手机号码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3240" w:type="dxa"/>
          </w:tcPr>
          <w:p>
            <w:pPr>
              <w:rPr>
                <w:rFonts w:ascii="宋体" w:hAnsi="宋体"/>
                <w:color w:val="auto"/>
                <w:highlight w:val="none"/>
              </w:rPr>
            </w:pPr>
            <w:r>
              <w:rPr>
                <w:rFonts w:hint="eastAsia" w:ascii="宋体" w:hAnsi="宋体"/>
                <w:color w:val="auto"/>
                <w:highlight w:val="none"/>
              </w:rPr>
              <w:t>本地邮政编码、注册地址</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3240" w:type="dxa"/>
          </w:tcPr>
          <w:p>
            <w:pPr>
              <w:rPr>
                <w:rFonts w:ascii="宋体" w:hAnsi="宋体"/>
                <w:color w:val="auto"/>
                <w:szCs w:val="21"/>
                <w:highlight w:val="none"/>
              </w:rPr>
            </w:pPr>
            <w:r>
              <w:rPr>
                <w:rFonts w:hint="eastAsia" w:ascii="宋体" w:hAnsi="宋体"/>
                <w:color w:val="auto"/>
                <w:highlight w:val="none"/>
              </w:rPr>
              <w:t>本地电话号码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3240" w:type="dxa"/>
          </w:tcPr>
          <w:p>
            <w:pPr>
              <w:rPr>
                <w:rFonts w:ascii="宋体" w:hAnsi="宋体"/>
                <w:color w:val="auto"/>
                <w:highlight w:val="none"/>
              </w:rPr>
            </w:pPr>
            <w:r>
              <w:rPr>
                <w:rFonts w:hint="eastAsia" w:ascii="宋体" w:hAnsi="宋体"/>
                <w:color w:val="auto"/>
                <w:highlight w:val="none"/>
              </w:rPr>
              <w:t>本地传真号码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3240" w:type="dxa"/>
          </w:tcPr>
          <w:p>
            <w:pPr>
              <w:rPr>
                <w:rFonts w:ascii="宋体" w:hAnsi="宋体"/>
                <w:color w:val="auto"/>
                <w:highlight w:val="none"/>
              </w:rPr>
            </w:pPr>
            <w:r>
              <w:rPr>
                <w:rFonts w:hint="eastAsia" w:ascii="宋体" w:hAnsi="宋体"/>
                <w:color w:val="auto"/>
                <w:highlight w:val="none"/>
              </w:rPr>
              <w:t>本地联络人、手机号码</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3240" w:type="dxa"/>
          </w:tcPr>
          <w:p>
            <w:pPr>
              <w:rPr>
                <w:rFonts w:ascii="宋体" w:hAnsi="宋体"/>
                <w:color w:val="auto"/>
                <w:highlight w:val="none"/>
              </w:rPr>
            </w:pPr>
            <w:r>
              <w:rPr>
                <w:rFonts w:hint="eastAsia" w:ascii="宋体" w:hAnsi="宋体"/>
                <w:color w:val="auto"/>
                <w:highlight w:val="none"/>
              </w:rPr>
              <w:t>电子邮箱</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3240" w:type="dxa"/>
          </w:tcPr>
          <w:p>
            <w:pPr>
              <w:rPr>
                <w:rFonts w:ascii="宋体" w:hAnsi="宋体"/>
                <w:color w:val="auto"/>
                <w:highlight w:val="none"/>
              </w:rPr>
            </w:pPr>
            <w:r>
              <w:rPr>
                <w:rFonts w:hint="eastAsia" w:ascii="宋体" w:hAnsi="宋体"/>
                <w:color w:val="auto"/>
                <w:highlight w:val="none"/>
              </w:rPr>
              <w:t>法人营业执照号、营业范围</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3240" w:type="dxa"/>
          </w:tcPr>
          <w:p>
            <w:pPr>
              <w:rPr>
                <w:rFonts w:hAnsi="宋体"/>
                <w:color w:val="auto"/>
                <w:highlight w:val="none"/>
              </w:rPr>
            </w:pPr>
            <w:r>
              <w:rPr>
                <w:rFonts w:hint="eastAsia" w:hAnsi="宋体"/>
                <w:color w:val="auto"/>
                <w:highlight w:val="none"/>
              </w:rPr>
              <w:t>工程设计资质证号、范围和等级</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3240" w:type="dxa"/>
          </w:tcPr>
          <w:p>
            <w:pPr>
              <w:rPr>
                <w:rFonts w:ascii="宋体" w:hAnsi="宋体"/>
                <w:color w:val="auto"/>
                <w:highlight w:val="none"/>
              </w:rPr>
            </w:pPr>
            <w:r>
              <w:rPr>
                <w:rFonts w:hint="eastAsia" w:hAnsi="宋体"/>
                <w:color w:val="auto"/>
                <w:highlight w:val="none"/>
              </w:rPr>
              <w:t>工程勘察资质证号、范围和等级</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3240" w:type="dxa"/>
          </w:tcPr>
          <w:p>
            <w:pPr>
              <w:rPr>
                <w:rFonts w:ascii="宋体" w:hAnsi="宋体"/>
                <w:color w:val="auto"/>
                <w:highlight w:val="none"/>
              </w:rPr>
            </w:pPr>
            <w:r>
              <w:rPr>
                <w:rFonts w:hint="eastAsia" w:hAnsi="宋体"/>
                <w:color w:val="auto"/>
                <w:highlight w:val="none"/>
              </w:rPr>
              <w:t>ISO9000认证号、范围</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3240" w:type="dxa"/>
          </w:tcPr>
          <w:p>
            <w:pPr>
              <w:rPr>
                <w:rFonts w:ascii="宋体" w:hAnsi="宋体"/>
                <w:color w:val="auto"/>
                <w:highlight w:val="none"/>
              </w:rPr>
            </w:pPr>
            <w:r>
              <w:rPr>
                <w:rFonts w:hint="eastAsia" w:ascii="宋体" w:hAnsi="宋体"/>
                <w:color w:val="auto"/>
                <w:highlight w:val="none"/>
              </w:rPr>
              <w:t>简介（宜300字以内）</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3240" w:type="dxa"/>
          </w:tcPr>
          <w:p>
            <w:pPr>
              <w:rPr>
                <w:rFonts w:ascii="宋体" w:hAnsi="宋体"/>
                <w:color w:val="auto"/>
                <w:highlight w:val="none"/>
              </w:rPr>
            </w:pPr>
            <w:r>
              <w:rPr>
                <w:rFonts w:ascii="宋体" w:hAnsi="宋体"/>
                <w:color w:val="auto"/>
                <w:highlight w:val="none"/>
              </w:rPr>
              <w:t>完成</w:t>
            </w:r>
            <w:r>
              <w:rPr>
                <w:rFonts w:hint="eastAsia" w:ascii="宋体" w:hAnsi="宋体"/>
                <w:color w:val="auto"/>
                <w:highlight w:val="none"/>
              </w:rPr>
              <w:t>本项目</w:t>
            </w:r>
            <w:r>
              <w:rPr>
                <w:rFonts w:ascii="宋体" w:hAnsi="宋体"/>
                <w:color w:val="auto"/>
                <w:highlight w:val="none"/>
              </w:rPr>
              <w:t>所独有的有利条件</w:t>
            </w:r>
          </w:p>
          <w:p>
            <w:pPr>
              <w:rPr>
                <w:rFonts w:ascii="宋体" w:hAnsi="宋体"/>
                <w:color w:val="auto"/>
                <w:highlight w:val="none"/>
              </w:rPr>
            </w:pPr>
            <w:r>
              <w:rPr>
                <w:rFonts w:hint="eastAsia" w:ascii="宋体" w:hAnsi="宋体"/>
                <w:color w:val="auto"/>
                <w:highlight w:val="none"/>
              </w:rPr>
              <w:t>（宜200字以内）</w:t>
            </w: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3240" w:type="dxa"/>
          </w:tcPr>
          <w:p>
            <w:pPr>
              <w:rPr>
                <w:rFonts w:ascii="宋体" w:hAnsi="宋体"/>
                <w:color w:val="auto"/>
                <w:highlight w:val="none"/>
              </w:rPr>
            </w:pPr>
          </w:p>
        </w:tc>
        <w:tc>
          <w:tcPr>
            <w:tcW w:w="4616"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c>
          <w:tcPr>
            <w:tcW w:w="2835" w:type="dxa"/>
          </w:tcPr>
          <w:p>
            <w:pPr>
              <w:rPr>
                <w:rFonts w:ascii="宋体" w:hAnsi="宋体"/>
                <w:color w:val="auto"/>
                <w:szCs w:val="21"/>
                <w:highlight w:val="none"/>
              </w:rPr>
            </w:pPr>
          </w:p>
        </w:tc>
      </w:tr>
    </w:tbl>
    <w:p>
      <w:pPr>
        <w:rPr>
          <w:rFonts w:ascii="宋体" w:hAnsi="宋体"/>
          <w:color w:val="auto"/>
          <w:highlight w:val="none"/>
        </w:rPr>
      </w:pPr>
      <w:r>
        <w:rPr>
          <w:rFonts w:hint="eastAsia" w:ascii="宋体" w:hAnsi="宋体"/>
          <w:color w:val="auto"/>
          <w:highlight w:val="none"/>
        </w:rPr>
        <w:t>申请人：                                                                                          申请日期：       年    月    日</w:t>
      </w:r>
    </w:p>
    <w:p>
      <w:pPr>
        <w:rPr>
          <w:rFonts w:ascii="宋体" w:hAnsi="宋体"/>
          <w:color w:val="auto"/>
          <w:szCs w:val="21"/>
          <w:highlight w:val="none"/>
        </w:rPr>
      </w:pPr>
    </w:p>
    <w:p>
      <w:pPr>
        <w:rPr>
          <w:rFonts w:ascii="宋体" w:hAnsi="宋体"/>
          <w:strike/>
          <w:color w:val="auto"/>
          <w:sz w:val="24"/>
          <w:highlight w:val="none"/>
        </w:rPr>
      </w:pPr>
      <w:r>
        <w:rPr>
          <w:rFonts w:ascii="宋体" w:hAnsi="宋体"/>
          <w:color w:val="auto"/>
          <w:szCs w:val="21"/>
          <w:highlight w:val="none"/>
        </w:rPr>
        <w:br w:type="page"/>
      </w:r>
      <w:r>
        <w:rPr>
          <w:rFonts w:hint="eastAsia" w:ascii="宋体" w:hAnsi="宋体"/>
          <w:b/>
          <w:bCs/>
          <w:strike/>
          <w:color w:val="auto"/>
          <w:sz w:val="24"/>
          <w:highlight w:val="none"/>
        </w:rPr>
        <w:t>附录2</w:t>
      </w:r>
    </w:p>
    <w:p>
      <w:pPr>
        <w:jc w:val="center"/>
        <w:rPr>
          <w:rFonts w:ascii="宋体" w:hAnsi="宋体"/>
          <w:b/>
          <w:strike/>
          <w:color w:val="auto"/>
          <w:sz w:val="36"/>
          <w:szCs w:val="36"/>
          <w:highlight w:val="none"/>
        </w:rPr>
      </w:pPr>
      <w:r>
        <w:rPr>
          <w:rFonts w:hint="eastAsia" w:ascii="宋体" w:hAnsi="宋体"/>
          <w:b/>
          <w:strike/>
          <w:color w:val="auto"/>
          <w:sz w:val="36"/>
          <w:szCs w:val="36"/>
          <w:highlight w:val="none"/>
        </w:rPr>
        <w:t>投标申请表</w:t>
      </w:r>
      <w:r>
        <w:rPr>
          <w:rFonts w:hint="eastAsia" w:ascii="宋体" w:hAnsi="宋体"/>
          <w:b/>
          <w:bCs/>
          <w:strike/>
          <w:color w:val="auto"/>
          <w:sz w:val="36"/>
          <w:szCs w:val="36"/>
          <w:highlight w:val="none"/>
        </w:rPr>
        <w:t>（投标人的业绩）</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trike/>
                <w:color w:val="auto"/>
                <w:szCs w:val="21"/>
                <w:highlight w:val="none"/>
              </w:rPr>
            </w:pPr>
            <w:r>
              <w:rPr>
                <w:rFonts w:hint="eastAsia" w:ascii="宋体" w:hAnsi="宋体"/>
                <w:strike/>
                <w:color w:val="auto"/>
                <w:szCs w:val="21"/>
                <w:highlight w:val="none"/>
              </w:rPr>
              <w:t>序号</w:t>
            </w:r>
          </w:p>
        </w:tc>
        <w:tc>
          <w:tcPr>
            <w:tcW w:w="2700" w:type="dxa"/>
            <w:vAlign w:val="center"/>
          </w:tcPr>
          <w:p>
            <w:pPr>
              <w:jc w:val="center"/>
              <w:rPr>
                <w:rFonts w:ascii="宋体" w:hAnsi="宋体"/>
                <w:strike/>
                <w:color w:val="auto"/>
                <w:highlight w:val="none"/>
              </w:rPr>
            </w:pPr>
            <w:r>
              <w:rPr>
                <w:rFonts w:hint="eastAsia" w:ascii="宋体" w:hAnsi="宋体"/>
                <w:strike/>
                <w:color w:val="auto"/>
                <w:highlight w:val="none"/>
              </w:rPr>
              <w:t>投标人</w:t>
            </w:r>
          </w:p>
          <w:p>
            <w:pPr>
              <w:jc w:val="center"/>
              <w:rPr>
                <w:rFonts w:ascii="宋体" w:hAnsi="宋体"/>
                <w:strike/>
                <w:color w:val="auto"/>
                <w:szCs w:val="21"/>
                <w:highlight w:val="none"/>
              </w:rPr>
            </w:pPr>
            <w:r>
              <w:rPr>
                <w:rFonts w:hint="eastAsia" w:ascii="宋体" w:hAnsi="宋体"/>
                <w:strike/>
                <w:color w:val="auto"/>
                <w:highlight w:val="none"/>
              </w:rPr>
              <w:t>（联合体成员）</w:t>
            </w:r>
          </w:p>
        </w:tc>
        <w:tc>
          <w:tcPr>
            <w:tcW w:w="3780" w:type="dxa"/>
            <w:shd w:val="clear" w:color="auto" w:fill="auto"/>
            <w:vAlign w:val="center"/>
          </w:tcPr>
          <w:p>
            <w:pPr>
              <w:jc w:val="center"/>
              <w:rPr>
                <w:rFonts w:ascii="宋体" w:hAnsi="宋体"/>
                <w:strike/>
                <w:color w:val="auto"/>
                <w:szCs w:val="21"/>
                <w:highlight w:val="none"/>
              </w:rPr>
            </w:pPr>
            <w:r>
              <w:rPr>
                <w:rFonts w:hint="eastAsia" w:hAnsi="宋体"/>
                <w:strike/>
                <w:color w:val="auto"/>
                <w:highlight w:val="none"/>
              </w:rPr>
              <w:t>作品、业绩、著作名称</w:t>
            </w:r>
          </w:p>
        </w:tc>
        <w:tc>
          <w:tcPr>
            <w:tcW w:w="4500" w:type="dxa"/>
            <w:shd w:val="clear" w:color="auto" w:fill="auto"/>
            <w:vAlign w:val="center"/>
          </w:tcPr>
          <w:p>
            <w:pPr>
              <w:jc w:val="center"/>
              <w:rPr>
                <w:rFonts w:ascii="宋体" w:hAnsi="宋体"/>
                <w:strike/>
                <w:color w:val="auto"/>
                <w:szCs w:val="21"/>
                <w:highlight w:val="none"/>
              </w:rPr>
            </w:pPr>
            <w:r>
              <w:rPr>
                <w:rFonts w:hint="eastAsia" w:ascii="宋体" w:hAnsi="宋体"/>
                <w:strike/>
                <w:color w:val="auto"/>
                <w:highlight w:val="none"/>
              </w:rPr>
              <w:t>简介</w:t>
            </w:r>
          </w:p>
        </w:tc>
        <w:tc>
          <w:tcPr>
            <w:tcW w:w="1128" w:type="dxa"/>
            <w:shd w:val="clear" w:color="auto" w:fill="auto"/>
            <w:vAlign w:val="center"/>
          </w:tcPr>
          <w:p>
            <w:pPr>
              <w:jc w:val="center"/>
              <w:rPr>
                <w:rFonts w:ascii="宋体" w:hAnsi="宋体"/>
                <w:strike/>
                <w:color w:val="auto"/>
                <w:highlight w:val="none"/>
              </w:rPr>
            </w:pPr>
            <w:r>
              <w:rPr>
                <w:rFonts w:hint="eastAsia" w:ascii="宋体" w:hAnsi="宋体"/>
                <w:strike/>
                <w:color w:val="auto"/>
                <w:highlight w:val="none"/>
              </w:rPr>
              <w:t>投资金额</w:t>
            </w:r>
          </w:p>
          <w:p>
            <w:pPr>
              <w:jc w:val="center"/>
              <w:rPr>
                <w:rFonts w:ascii="宋体" w:hAnsi="宋体"/>
                <w:strike/>
                <w:color w:val="auto"/>
                <w:szCs w:val="21"/>
                <w:highlight w:val="none"/>
              </w:rPr>
            </w:pPr>
            <w:r>
              <w:rPr>
                <w:rFonts w:hint="eastAsia" w:ascii="宋体" w:hAnsi="宋体"/>
                <w:strike/>
                <w:color w:val="auto"/>
                <w:highlight w:val="none"/>
              </w:rPr>
              <w:t>（万元）</w:t>
            </w:r>
          </w:p>
        </w:tc>
        <w:tc>
          <w:tcPr>
            <w:tcW w:w="1418" w:type="dxa"/>
            <w:shd w:val="clear" w:color="auto" w:fill="auto"/>
            <w:vAlign w:val="center"/>
          </w:tcPr>
          <w:p>
            <w:pPr>
              <w:jc w:val="center"/>
              <w:rPr>
                <w:rFonts w:ascii="宋体" w:hAnsi="宋体"/>
                <w:strike/>
                <w:color w:val="auto"/>
                <w:szCs w:val="21"/>
                <w:highlight w:val="none"/>
              </w:rPr>
            </w:pPr>
            <w:r>
              <w:rPr>
                <w:rFonts w:hint="eastAsia" w:ascii="宋体" w:hAnsi="宋体"/>
                <w:strike/>
                <w:color w:val="auto"/>
                <w:szCs w:val="21"/>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shd w:val="clear" w:color="auto" w:fill="auto"/>
          </w:tcPr>
          <w:p>
            <w:pPr>
              <w:rPr>
                <w:rFonts w:ascii="宋体" w:hAnsi="宋体"/>
                <w:strike/>
                <w:color w:val="auto"/>
                <w:szCs w:val="21"/>
                <w:highlight w:val="none"/>
              </w:rPr>
            </w:pPr>
          </w:p>
        </w:tc>
        <w:tc>
          <w:tcPr>
            <w:tcW w:w="4500" w:type="dxa"/>
            <w:shd w:val="clear" w:color="auto" w:fill="auto"/>
          </w:tcPr>
          <w:p>
            <w:pPr>
              <w:rPr>
                <w:rFonts w:ascii="宋体" w:hAnsi="宋体"/>
                <w:strike/>
                <w:color w:val="auto"/>
                <w:szCs w:val="21"/>
                <w:highlight w:val="none"/>
              </w:rPr>
            </w:pPr>
          </w:p>
        </w:tc>
        <w:tc>
          <w:tcPr>
            <w:tcW w:w="1128" w:type="dxa"/>
            <w:shd w:val="clear" w:color="auto" w:fill="auto"/>
          </w:tcPr>
          <w:p>
            <w:pPr>
              <w:rPr>
                <w:rFonts w:ascii="宋体" w:hAnsi="宋体"/>
                <w:strike/>
                <w:color w:val="auto"/>
                <w:szCs w:val="21"/>
                <w:highlight w:val="none"/>
              </w:rPr>
            </w:pPr>
          </w:p>
        </w:tc>
        <w:tc>
          <w:tcPr>
            <w:tcW w:w="1418" w:type="dxa"/>
            <w:shd w:val="clear" w:color="auto" w:fill="auto"/>
          </w:tcPr>
          <w:p>
            <w:pPr>
              <w:rPr>
                <w:rFonts w:ascii="宋体" w:hAnsi="宋体"/>
                <w:strike/>
                <w:color w:val="auto"/>
                <w:szCs w:val="21"/>
                <w:highlight w:val="none"/>
              </w:rPr>
            </w:pPr>
          </w:p>
        </w:tc>
      </w:tr>
    </w:tbl>
    <w:p>
      <w:pPr>
        <w:rPr>
          <w:rFonts w:ascii="宋体" w:hAnsi="宋体"/>
          <w:strike/>
          <w:color w:val="auto"/>
          <w:highlight w:val="none"/>
        </w:rPr>
      </w:pPr>
      <w:r>
        <w:rPr>
          <w:rFonts w:hint="eastAsia" w:ascii="宋体" w:hAnsi="宋体"/>
          <w:strike/>
          <w:color w:val="auto"/>
          <w:highlight w:val="none"/>
        </w:rPr>
        <w:t>申请人（盖章）：                                                                                    申请日期：       年    月    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附录3</w:t>
      </w:r>
    </w:p>
    <w:p>
      <w:pPr>
        <w:jc w:val="center"/>
        <w:rPr>
          <w:rFonts w:ascii="宋体" w:hAnsi="宋体"/>
          <w:b/>
          <w:color w:val="auto"/>
          <w:sz w:val="36"/>
          <w:szCs w:val="36"/>
          <w:highlight w:val="none"/>
        </w:rPr>
      </w:pPr>
      <w:r>
        <w:rPr>
          <w:rFonts w:hint="eastAsia" w:ascii="宋体" w:hAnsi="宋体"/>
          <w:b/>
          <w:color w:val="auto"/>
          <w:sz w:val="36"/>
          <w:szCs w:val="36"/>
          <w:highlight w:val="none"/>
        </w:rPr>
        <w:t>投标申请表（关键人员配备）</w:t>
      </w:r>
    </w:p>
    <w:tbl>
      <w:tblPr>
        <w:tblStyle w:val="24"/>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080" w:type="dxa"/>
            <w:vAlign w:val="center"/>
          </w:tcPr>
          <w:p>
            <w:pPr>
              <w:jc w:val="center"/>
              <w:rPr>
                <w:rFonts w:ascii="宋体" w:hAnsi="宋体"/>
                <w:color w:val="auto"/>
                <w:highlight w:val="none"/>
              </w:rPr>
            </w:pPr>
            <w:r>
              <w:rPr>
                <w:rFonts w:hint="eastAsia" w:ascii="宋体" w:hAnsi="宋体"/>
                <w:color w:val="auto"/>
                <w:highlight w:val="none"/>
              </w:rPr>
              <w:t>姓名</w:t>
            </w:r>
          </w:p>
        </w:tc>
        <w:tc>
          <w:tcPr>
            <w:tcW w:w="1800" w:type="dxa"/>
            <w:shd w:val="clear" w:color="auto" w:fill="auto"/>
            <w:vAlign w:val="center"/>
          </w:tcPr>
          <w:p>
            <w:pPr>
              <w:jc w:val="center"/>
              <w:rPr>
                <w:rFonts w:ascii="宋体" w:hAnsi="宋体"/>
                <w:color w:val="auto"/>
                <w:highlight w:val="none"/>
              </w:rPr>
            </w:pPr>
            <w:r>
              <w:rPr>
                <w:rFonts w:hint="eastAsia" w:ascii="宋体" w:hAnsi="宋体"/>
                <w:color w:val="auto"/>
                <w:highlight w:val="none"/>
              </w:rPr>
              <w:t>专业分工</w:t>
            </w:r>
          </w:p>
        </w:tc>
        <w:tc>
          <w:tcPr>
            <w:tcW w:w="1800" w:type="dxa"/>
            <w:shd w:val="clear" w:color="auto" w:fill="auto"/>
            <w:vAlign w:val="center"/>
          </w:tcPr>
          <w:p>
            <w:pPr>
              <w:jc w:val="center"/>
              <w:rPr>
                <w:rFonts w:ascii="宋体" w:hAnsi="宋体"/>
                <w:color w:val="auto"/>
                <w:highlight w:val="none"/>
              </w:rPr>
            </w:pPr>
            <w:r>
              <w:rPr>
                <w:rFonts w:hint="eastAsia" w:ascii="宋体" w:hAnsi="宋体"/>
                <w:color w:val="auto"/>
                <w:highlight w:val="none"/>
              </w:rPr>
              <w:t>职务</w:t>
            </w:r>
          </w:p>
        </w:tc>
        <w:tc>
          <w:tcPr>
            <w:tcW w:w="2160" w:type="dxa"/>
            <w:shd w:val="clear" w:color="auto" w:fill="auto"/>
            <w:vAlign w:val="center"/>
          </w:tcPr>
          <w:p>
            <w:pPr>
              <w:jc w:val="center"/>
              <w:rPr>
                <w:rFonts w:ascii="宋体" w:hAnsi="宋体"/>
                <w:color w:val="auto"/>
                <w:highlight w:val="none"/>
              </w:rPr>
            </w:pPr>
            <w:r>
              <w:rPr>
                <w:rFonts w:hint="eastAsia" w:ascii="宋体" w:hAnsi="宋体"/>
                <w:color w:val="auto"/>
                <w:highlight w:val="none"/>
              </w:rPr>
              <w:t>专业职称</w:t>
            </w:r>
          </w:p>
        </w:tc>
        <w:tc>
          <w:tcPr>
            <w:tcW w:w="1800" w:type="dxa"/>
            <w:vAlign w:val="center"/>
          </w:tcPr>
          <w:p>
            <w:pPr>
              <w:jc w:val="center"/>
              <w:rPr>
                <w:rFonts w:hAnsi="宋体"/>
                <w:color w:val="auto"/>
                <w:highlight w:val="none"/>
              </w:rPr>
            </w:pPr>
            <w:r>
              <w:rPr>
                <w:rFonts w:hint="eastAsia" w:ascii="宋体" w:hAnsi="宋体"/>
                <w:color w:val="auto"/>
                <w:highlight w:val="none"/>
              </w:rPr>
              <w:t>工龄（年）</w:t>
            </w:r>
          </w:p>
        </w:tc>
        <w:tc>
          <w:tcPr>
            <w:tcW w:w="4320" w:type="dxa"/>
            <w:shd w:val="clear" w:color="auto" w:fill="auto"/>
            <w:vAlign w:val="center"/>
          </w:tcPr>
          <w:p>
            <w:pPr>
              <w:jc w:val="center"/>
              <w:rPr>
                <w:rFonts w:ascii="宋体" w:hAnsi="宋体"/>
                <w:color w:val="auto"/>
                <w:highlight w:val="none"/>
              </w:rPr>
            </w:pPr>
            <w:r>
              <w:rPr>
                <w:rFonts w:hint="eastAsia" w:hAnsi="宋体"/>
                <w:color w:val="auto"/>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color w:val="auto"/>
                <w:szCs w:val="21"/>
                <w:highlight w:val="none"/>
              </w:rPr>
            </w:pPr>
          </w:p>
        </w:tc>
        <w:tc>
          <w:tcPr>
            <w:tcW w:w="1080" w:type="dxa"/>
            <w:vAlign w:val="center"/>
          </w:tcPr>
          <w:p>
            <w:pPr>
              <w:jc w:val="center"/>
              <w:rPr>
                <w:rFonts w:ascii="宋体" w:hAnsi="宋体"/>
                <w:color w:val="auto"/>
                <w:szCs w:val="21"/>
                <w:highlight w:val="none"/>
              </w:rPr>
            </w:pPr>
          </w:p>
        </w:tc>
        <w:tc>
          <w:tcPr>
            <w:tcW w:w="1800" w:type="dxa"/>
            <w:shd w:val="clear" w:color="auto" w:fill="auto"/>
            <w:vAlign w:val="center"/>
          </w:tcPr>
          <w:p>
            <w:pPr>
              <w:jc w:val="center"/>
              <w:rPr>
                <w:rFonts w:ascii="宋体" w:hAnsi="宋体"/>
                <w:color w:val="auto"/>
                <w:highlight w:val="none"/>
              </w:rPr>
            </w:pPr>
            <w:r>
              <w:rPr>
                <w:rFonts w:hint="eastAsia" w:ascii="宋体" w:hAnsi="宋体"/>
                <w:color w:val="auto"/>
                <w:highlight w:val="none"/>
              </w:rPr>
              <w:t>项目负责人</w:t>
            </w:r>
          </w:p>
        </w:tc>
        <w:tc>
          <w:tcPr>
            <w:tcW w:w="1800" w:type="dxa"/>
            <w:shd w:val="clear" w:color="auto" w:fill="auto"/>
            <w:vAlign w:val="center"/>
          </w:tcPr>
          <w:p>
            <w:pPr>
              <w:jc w:val="center"/>
              <w:rPr>
                <w:rFonts w:ascii="宋体" w:hAnsi="宋体"/>
                <w:color w:val="auto"/>
                <w:szCs w:val="21"/>
                <w:highlight w:val="none"/>
              </w:rPr>
            </w:pPr>
          </w:p>
        </w:tc>
        <w:tc>
          <w:tcPr>
            <w:tcW w:w="2160" w:type="dxa"/>
            <w:shd w:val="clear" w:color="auto" w:fill="auto"/>
            <w:vAlign w:val="center"/>
          </w:tcPr>
          <w:p>
            <w:pPr>
              <w:jc w:val="center"/>
              <w:rPr>
                <w:rFonts w:ascii="宋体" w:hAnsi="宋体"/>
                <w:color w:val="auto"/>
                <w:szCs w:val="21"/>
                <w:highlight w:val="none"/>
              </w:rPr>
            </w:pPr>
          </w:p>
        </w:tc>
        <w:tc>
          <w:tcPr>
            <w:tcW w:w="1800" w:type="dxa"/>
          </w:tcPr>
          <w:p>
            <w:pPr>
              <w:jc w:val="center"/>
              <w:rPr>
                <w:rFonts w:ascii="宋体" w:hAnsi="宋体"/>
                <w:color w:val="auto"/>
                <w:szCs w:val="21"/>
                <w:highlight w:val="none"/>
              </w:rPr>
            </w:pPr>
          </w:p>
        </w:tc>
        <w:tc>
          <w:tcPr>
            <w:tcW w:w="4320" w:type="dxa"/>
            <w:shd w:val="clear" w:color="auto" w:fill="auto"/>
            <w:vAlign w:val="center"/>
          </w:tcPr>
          <w:p>
            <w:pPr>
              <w:jc w:val="center"/>
              <w:rPr>
                <w:rFonts w:ascii="宋体" w:hAnsi="宋体"/>
                <w:color w:val="auto"/>
                <w:szCs w:val="21"/>
                <w:highlight w:val="none"/>
              </w:rPr>
            </w:pPr>
          </w:p>
        </w:tc>
      </w:tr>
    </w:tbl>
    <w:p>
      <w:pPr>
        <w:spacing w:line="360" w:lineRule="auto"/>
        <w:rPr>
          <w:rFonts w:hAnsi="宋体"/>
          <w:color w:val="auto"/>
          <w:highlight w:val="none"/>
        </w:rPr>
      </w:pPr>
      <w:r>
        <w:rPr>
          <w:rFonts w:hint="eastAsia" w:hAnsi="宋体"/>
          <w:color w:val="auto"/>
          <w:highlight w:val="none"/>
        </w:rPr>
        <w:t>注：总负责人和负责人按本工程的实际需求填写。</w:t>
      </w:r>
    </w:p>
    <w:p>
      <w:pPr>
        <w:spacing w:line="360" w:lineRule="auto"/>
        <w:rPr>
          <w:rFonts w:ascii="宋体" w:hAnsi="宋体"/>
          <w:color w:val="auto"/>
          <w:highlight w:val="none"/>
        </w:rPr>
      </w:pPr>
      <w:r>
        <w:rPr>
          <w:rFonts w:hint="eastAsia" w:ascii="宋体" w:hAnsi="宋体"/>
          <w:color w:val="auto"/>
          <w:highlight w:val="none"/>
        </w:rPr>
        <w:t>申请人：                                                                                          申请日期：       年    月    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sectPr>
          <w:pgSz w:w="16838" w:h="11906" w:orient="landscape"/>
          <w:pgMar w:top="1440" w:right="1440" w:bottom="1466" w:left="1440" w:header="851" w:footer="992" w:gutter="0"/>
          <w:cols w:space="425" w:num="1"/>
          <w:docGrid w:type="linesAndChars" w:linePitch="312" w:charSpace="0"/>
        </w:sectPr>
      </w:pPr>
    </w:p>
    <w:p>
      <w:pPr>
        <w:jc w:val="left"/>
        <w:rPr>
          <w:rFonts w:ascii="宋体" w:hAnsi="宋体"/>
          <w:strike/>
          <w:color w:val="auto"/>
          <w:sz w:val="24"/>
          <w:highlight w:val="none"/>
        </w:rPr>
      </w:pPr>
      <w:r>
        <w:rPr>
          <w:rFonts w:hint="eastAsia" w:ascii="宋体" w:hAnsi="宋体"/>
          <w:b/>
          <w:bCs/>
          <w:strike/>
          <w:color w:val="auto"/>
          <w:sz w:val="24"/>
          <w:highlight w:val="none"/>
        </w:rPr>
        <w:t>附录4</w:t>
      </w:r>
      <w:r>
        <w:rPr>
          <w:rFonts w:hint="eastAsia" w:ascii="宋体" w:hAnsi="宋体"/>
          <w:strike/>
          <w:color w:val="auto"/>
          <w:sz w:val="24"/>
          <w:highlight w:val="none"/>
        </w:rPr>
        <w:t>（本表送交易服务机构备案）</w:t>
      </w:r>
    </w:p>
    <w:p>
      <w:pPr>
        <w:ind w:left="178" w:leftChars="85"/>
        <w:jc w:val="center"/>
        <w:rPr>
          <w:rFonts w:ascii="宋体" w:hAnsi="宋体"/>
          <w:b/>
          <w:strike/>
          <w:color w:val="auto"/>
          <w:sz w:val="32"/>
          <w:highlight w:val="none"/>
        </w:rPr>
      </w:pPr>
      <w:r>
        <w:rPr>
          <w:rFonts w:hint="eastAsia" w:ascii="宋体" w:hAnsi="宋体"/>
          <w:b/>
          <w:strike/>
          <w:color w:val="auto"/>
          <w:sz w:val="32"/>
          <w:highlight w:val="none"/>
        </w:rPr>
        <w:t>正式投标人名单</w:t>
      </w:r>
    </w:p>
    <w:p>
      <w:pPr>
        <w:ind w:left="178" w:leftChars="85"/>
        <w:rPr>
          <w:rFonts w:ascii="宋体" w:hAnsi="宋体"/>
          <w:strike/>
          <w:color w:val="auto"/>
          <w:highlight w:val="none"/>
        </w:rPr>
      </w:pPr>
    </w:p>
    <w:p>
      <w:pPr>
        <w:ind w:left="178" w:leftChars="85"/>
        <w:rPr>
          <w:rFonts w:ascii="宋体" w:hAnsi="宋体"/>
          <w:strike/>
          <w:color w:val="auto"/>
          <w:highlight w:val="none"/>
        </w:rPr>
      </w:pPr>
      <w:r>
        <w:rPr>
          <w:rFonts w:hint="eastAsia" w:ascii="宋体" w:hAnsi="宋体"/>
          <w:strike/>
          <w:color w:val="auto"/>
          <w:highlight w:val="none"/>
        </w:rPr>
        <w:t>招标项目名称：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600"/>
        <w:gridCol w:w="1440"/>
        <w:gridCol w:w="216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rPr>
                <w:rFonts w:ascii="宋体" w:hAnsi="宋体"/>
                <w:strike/>
                <w:color w:val="auto"/>
                <w:highlight w:val="none"/>
              </w:rPr>
            </w:pPr>
            <w:r>
              <w:rPr>
                <w:rFonts w:hint="eastAsia" w:ascii="宋体" w:hAnsi="宋体"/>
                <w:strike/>
                <w:color w:val="auto"/>
                <w:highlight w:val="none"/>
              </w:rPr>
              <w:t>序号</w:t>
            </w:r>
          </w:p>
        </w:tc>
        <w:tc>
          <w:tcPr>
            <w:tcW w:w="3600" w:type="dxa"/>
            <w:vAlign w:val="center"/>
          </w:tcPr>
          <w:p>
            <w:pPr>
              <w:jc w:val="center"/>
              <w:rPr>
                <w:rFonts w:ascii="宋体" w:hAnsi="宋体"/>
                <w:strike/>
                <w:color w:val="auto"/>
                <w:highlight w:val="none"/>
              </w:rPr>
            </w:pPr>
            <w:r>
              <w:rPr>
                <w:rFonts w:hint="eastAsia" w:ascii="宋体" w:hAnsi="宋体"/>
                <w:strike/>
                <w:color w:val="auto"/>
                <w:highlight w:val="none"/>
              </w:rPr>
              <w:t>投标人名称</w:t>
            </w:r>
          </w:p>
        </w:tc>
        <w:tc>
          <w:tcPr>
            <w:tcW w:w="1440" w:type="dxa"/>
            <w:vAlign w:val="center"/>
          </w:tcPr>
          <w:p>
            <w:pPr>
              <w:jc w:val="center"/>
              <w:rPr>
                <w:rFonts w:ascii="宋体" w:hAnsi="宋体"/>
                <w:strike/>
                <w:color w:val="auto"/>
                <w:highlight w:val="none"/>
              </w:rPr>
            </w:pPr>
            <w:r>
              <w:rPr>
                <w:rFonts w:hint="eastAsia" w:ascii="宋体" w:hAnsi="宋体"/>
                <w:strike/>
                <w:color w:val="auto"/>
                <w:highlight w:val="none"/>
              </w:rPr>
              <w:t>联络人</w:t>
            </w:r>
          </w:p>
        </w:tc>
        <w:tc>
          <w:tcPr>
            <w:tcW w:w="2160" w:type="dxa"/>
            <w:vAlign w:val="center"/>
          </w:tcPr>
          <w:p>
            <w:pPr>
              <w:jc w:val="center"/>
              <w:rPr>
                <w:rFonts w:ascii="宋体" w:hAnsi="宋体"/>
                <w:strike/>
                <w:color w:val="auto"/>
                <w:highlight w:val="none"/>
              </w:rPr>
            </w:pPr>
            <w:r>
              <w:rPr>
                <w:rFonts w:hint="eastAsia" w:ascii="宋体" w:hAnsi="宋体"/>
                <w:strike/>
                <w:color w:val="auto"/>
                <w:highlight w:val="none"/>
              </w:rPr>
              <w:t>电话号码</w:t>
            </w:r>
          </w:p>
          <w:p>
            <w:pPr>
              <w:jc w:val="center"/>
              <w:rPr>
                <w:rFonts w:ascii="宋体" w:hAnsi="宋体"/>
                <w:strike/>
                <w:color w:val="auto"/>
                <w:highlight w:val="none"/>
              </w:rPr>
            </w:pPr>
            <w:r>
              <w:rPr>
                <w:rFonts w:hint="eastAsia" w:ascii="宋体" w:hAnsi="宋体"/>
                <w:strike/>
                <w:color w:val="auto"/>
                <w:highlight w:val="none"/>
              </w:rPr>
              <w:t>（移动电话）</w:t>
            </w:r>
          </w:p>
        </w:tc>
        <w:tc>
          <w:tcPr>
            <w:tcW w:w="1548" w:type="dxa"/>
            <w:vAlign w:val="center"/>
          </w:tcPr>
          <w:p>
            <w:pPr>
              <w:ind w:left="-106" w:leftChars="-51" w:hanging="1"/>
              <w:jc w:val="center"/>
              <w:rPr>
                <w:rFonts w:ascii="宋体" w:hAnsi="宋体"/>
                <w:strike/>
                <w:color w:val="auto"/>
                <w:highlight w:val="none"/>
              </w:rPr>
            </w:pPr>
            <w:r>
              <w:rPr>
                <w:rFonts w:hint="eastAsia" w:ascii="宋体" w:hAnsi="宋体"/>
                <w:strike/>
                <w:color w:val="auto"/>
                <w:highlight w:val="none"/>
              </w:rPr>
              <w:t>购买招标文件日期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bl>
    <w:p>
      <w:pPr>
        <w:ind w:left="178" w:leftChars="85"/>
        <w:rPr>
          <w:rFonts w:ascii="宋体" w:hAnsi="宋体"/>
          <w:strike/>
          <w:color w:val="auto"/>
          <w:highlight w:val="none"/>
        </w:rPr>
      </w:pPr>
      <w:r>
        <w:rPr>
          <w:rFonts w:hint="eastAsia" w:ascii="宋体" w:hAnsi="宋体"/>
          <w:strike/>
          <w:color w:val="auto"/>
          <w:highlight w:val="none"/>
        </w:rPr>
        <w:t>经办人：                  电话：                      日期：       年   月   日</w:t>
      </w:r>
    </w:p>
    <w:p>
      <w:pPr>
        <w:ind w:left="178" w:leftChars="85"/>
        <w:rPr>
          <w:rFonts w:ascii="宋体" w:hAnsi="宋体"/>
          <w:color w:val="auto"/>
          <w:highlight w:val="none"/>
        </w:rPr>
        <w:sectPr>
          <w:type w:val="nextColumn"/>
          <w:pgSz w:w="11906" w:h="16838"/>
          <w:pgMar w:top="1440" w:right="1466" w:bottom="1440" w:left="1440" w:header="851" w:footer="992" w:gutter="0"/>
          <w:cols w:space="425" w:num="1"/>
          <w:docGrid w:type="linesAndChars" w:linePitch="312" w:charSpace="0"/>
        </w:sectPr>
      </w:pPr>
    </w:p>
    <w:p>
      <w:pPr>
        <w:jc w:val="left"/>
        <w:rPr>
          <w:rFonts w:ascii="宋体" w:hAnsi="宋体"/>
          <w:color w:val="auto"/>
          <w:sz w:val="24"/>
          <w:highlight w:val="none"/>
        </w:rPr>
      </w:pPr>
      <w:r>
        <w:rPr>
          <w:rFonts w:hint="eastAsia" w:ascii="宋体" w:hAnsi="宋体"/>
          <w:b/>
          <w:bCs/>
          <w:color w:val="auto"/>
          <w:sz w:val="24"/>
          <w:highlight w:val="none"/>
        </w:rPr>
        <w:t>附录5</w:t>
      </w:r>
    </w:p>
    <w:p>
      <w:pPr>
        <w:ind w:left="178" w:leftChars="85"/>
        <w:jc w:val="center"/>
        <w:rPr>
          <w:rFonts w:ascii="宋体" w:hAnsi="宋体"/>
          <w:b/>
          <w:color w:val="auto"/>
          <w:sz w:val="32"/>
          <w:highlight w:val="none"/>
        </w:rPr>
      </w:pPr>
      <w:r>
        <w:rPr>
          <w:rFonts w:hint="eastAsia" w:ascii="宋体" w:hAnsi="宋体"/>
          <w:b/>
          <w:color w:val="auto"/>
          <w:sz w:val="32"/>
          <w:highlight w:val="none"/>
        </w:rPr>
        <w:t>勘察设计费报价表</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475"/>
        <w:gridCol w:w="1155"/>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序号</w:t>
            </w:r>
          </w:p>
        </w:tc>
        <w:tc>
          <w:tcPr>
            <w:tcW w:w="5475" w:type="dxa"/>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项目</w:t>
            </w:r>
          </w:p>
        </w:tc>
        <w:tc>
          <w:tcPr>
            <w:tcW w:w="1155" w:type="dxa"/>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报价</w:t>
            </w:r>
          </w:p>
        </w:tc>
        <w:tc>
          <w:tcPr>
            <w:tcW w:w="1745" w:type="dxa"/>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spacing w:line="360" w:lineRule="auto"/>
              <w:jc w:val="center"/>
              <w:rPr>
                <w:rFonts w:ascii="宋体" w:hAnsi="宋体" w:cs="宋体"/>
                <w:color w:val="auto"/>
                <w:szCs w:val="21"/>
                <w:highlight w:val="none"/>
              </w:rPr>
            </w:pPr>
            <w:r>
              <w:rPr>
                <w:rFonts w:hint="eastAsia" w:ascii="宋体" w:hAnsi="宋体" w:cs="仿宋_GB2312"/>
                <w:color w:val="auto"/>
                <w:szCs w:val="21"/>
                <w:highlight w:val="none"/>
              </w:rPr>
              <w:t>永宁街永惠路道路建设工程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1</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岩土工程勘探费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2</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工程测量费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3</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工程物探费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4</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其他勘察费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勘察费小计</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5</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方案设计费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6</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初步设计费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7</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施工图设计费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设计费小计</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勘察设计费合计</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spacing w:line="360" w:lineRule="auto"/>
              <w:jc w:val="center"/>
              <w:rPr>
                <w:rFonts w:ascii="宋体" w:hAnsi="宋体" w:cs="仿宋_GB2312"/>
                <w:color w:val="auto"/>
                <w:szCs w:val="21"/>
                <w:highlight w:val="none"/>
              </w:rPr>
            </w:pPr>
            <w:r>
              <w:rPr>
                <w:rFonts w:hint="eastAsia" w:ascii="宋体" w:hAnsi="宋体" w:cs="宋体"/>
                <w:color w:val="auto"/>
                <w:szCs w:val="21"/>
                <w:highlight w:val="none"/>
              </w:rPr>
              <w:t>永宁街永誉路（创盈路-创优路）道路建设工程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1</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岩土工程勘探费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2</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工程测量费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3</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工程物探费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4</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其他勘察费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勘察费小计</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5</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方案设计费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6</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初步设计费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7</w:t>
            </w: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施工图设计费</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下浮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设计费小计</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勘察设计费合计</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color w:val="auto"/>
                <w:szCs w:val="21"/>
                <w:highlight w:val="none"/>
              </w:rPr>
            </w:pPr>
          </w:p>
        </w:tc>
        <w:tc>
          <w:tcPr>
            <w:tcW w:w="5475" w:type="dxa"/>
          </w:tcPr>
          <w:p>
            <w:pPr>
              <w:spacing w:line="360" w:lineRule="auto"/>
              <w:rPr>
                <w:rFonts w:ascii="宋体" w:hAnsi="宋体" w:cs="仿宋_GB2312"/>
                <w:b/>
                <w:bCs/>
                <w:color w:val="auto"/>
                <w:szCs w:val="21"/>
                <w:highlight w:val="none"/>
              </w:rPr>
            </w:pPr>
            <w:r>
              <w:rPr>
                <w:rFonts w:hint="eastAsia" w:ascii="宋体" w:hAnsi="宋体" w:cs="仿宋_GB2312"/>
                <w:b/>
                <w:bCs/>
                <w:color w:val="auto"/>
                <w:szCs w:val="21"/>
                <w:highlight w:val="none"/>
              </w:rPr>
              <w:t>勘察设计费总计</w:t>
            </w:r>
          </w:p>
        </w:tc>
        <w:tc>
          <w:tcPr>
            <w:tcW w:w="1155" w:type="dxa"/>
          </w:tcPr>
          <w:p>
            <w:pPr>
              <w:spacing w:line="360" w:lineRule="auto"/>
              <w:rPr>
                <w:rFonts w:ascii="宋体" w:hAnsi="宋体" w:cs="仿宋_GB2312"/>
                <w:color w:val="auto"/>
                <w:szCs w:val="21"/>
                <w:highlight w:val="none"/>
              </w:rPr>
            </w:pPr>
          </w:p>
        </w:tc>
        <w:tc>
          <w:tcPr>
            <w:tcW w:w="1745" w:type="dxa"/>
          </w:tcPr>
          <w:p>
            <w:pPr>
              <w:spacing w:line="360" w:lineRule="auto"/>
              <w:rPr>
                <w:rFonts w:ascii="宋体" w:hAnsi="宋体" w:cs="仿宋_GB2312"/>
                <w:color w:val="auto"/>
                <w:szCs w:val="21"/>
                <w:highlight w:val="none"/>
              </w:rPr>
            </w:pPr>
          </w:p>
        </w:tc>
      </w:tr>
    </w:tbl>
    <w:p>
      <w:pPr>
        <w:spacing w:line="360" w:lineRule="auto"/>
        <w:ind w:firstLine="420" w:firstLineChars="200"/>
        <w:rPr>
          <w:color w:val="auto"/>
          <w:highlight w:val="none"/>
          <w:u w:val="single"/>
        </w:rPr>
      </w:pPr>
      <w:r>
        <w:rPr>
          <w:rFonts w:hint="eastAsia" w:ascii="宋体" w:hAnsi="宋体" w:cs="仿宋_GB2312"/>
          <w:color w:val="auto"/>
          <w:highlight w:val="none"/>
        </w:rPr>
        <w:t>注释：表格可调整，投标人根据实际情况进行报价。投标人报价应不高于限价。</w:t>
      </w:r>
    </w:p>
    <w:p>
      <w:pPr>
        <w:spacing w:line="360" w:lineRule="auto"/>
        <w:ind w:firstLine="420" w:firstLineChars="200"/>
        <w:jc w:val="center"/>
        <w:rPr>
          <w:rFonts w:ascii="宋体" w:hAnsi="宋体" w:cs="仿宋_GB2312"/>
          <w:color w:val="auto"/>
          <w:szCs w:val="21"/>
          <w:highlight w:val="none"/>
        </w:rPr>
      </w:pPr>
      <w:r>
        <w:rPr>
          <w:color w:val="auto"/>
          <w:highlight w:val="none"/>
        </w:rPr>
        <w:br w:type="page"/>
      </w:r>
    </w:p>
    <w:p>
      <w:pPr>
        <w:rPr>
          <w:rFonts w:ascii="宋体" w:hAnsi="宋体"/>
          <w:b/>
          <w:bCs/>
          <w:color w:val="auto"/>
          <w:sz w:val="24"/>
          <w:highlight w:val="none"/>
        </w:rPr>
      </w:pPr>
      <w:r>
        <w:rPr>
          <w:rFonts w:hint="eastAsia" w:ascii="宋体" w:hAnsi="宋体"/>
          <w:b/>
          <w:bCs/>
          <w:color w:val="auto"/>
          <w:sz w:val="24"/>
          <w:highlight w:val="none"/>
        </w:rPr>
        <w:t>附录</w:t>
      </w:r>
      <w:r>
        <w:rPr>
          <w:rFonts w:ascii="宋体" w:hAnsi="宋体"/>
          <w:b/>
          <w:bCs/>
          <w:color w:val="auto"/>
          <w:sz w:val="24"/>
          <w:highlight w:val="none"/>
        </w:rPr>
        <w:t>7</w:t>
      </w:r>
    </w:p>
    <w:p>
      <w:pPr>
        <w:jc w:val="center"/>
        <w:rPr>
          <w:rFonts w:ascii="宋体" w:hAnsi="宋体"/>
          <w:b/>
          <w:bCs/>
          <w:color w:val="auto"/>
          <w:sz w:val="32"/>
          <w:highlight w:val="none"/>
        </w:rPr>
      </w:pPr>
      <w:r>
        <w:rPr>
          <w:rFonts w:hint="eastAsia" w:ascii="宋体" w:hAnsi="宋体"/>
          <w:b/>
          <w:bCs/>
          <w:color w:val="auto"/>
          <w:sz w:val="32"/>
          <w:highlight w:val="none"/>
        </w:rPr>
        <w:t>投标书</w:t>
      </w:r>
    </w:p>
    <w:p>
      <w:pPr>
        <w:rPr>
          <w:rFonts w:ascii="宋体" w:hAnsi="宋体"/>
          <w:color w:val="auto"/>
          <w:highlight w:val="none"/>
        </w:rPr>
      </w:pPr>
    </w:p>
    <w:p>
      <w:pPr>
        <w:jc w:val="left"/>
        <w:rPr>
          <w:rFonts w:ascii="宋体" w:hAnsi="宋体"/>
          <w:color w:val="auto"/>
          <w:highlight w:val="none"/>
        </w:rPr>
      </w:pPr>
      <w:r>
        <w:rPr>
          <w:rFonts w:hint="eastAsia" w:ascii="宋体" w:hAnsi="宋体"/>
          <w:color w:val="auto"/>
          <w:highlight w:val="none"/>
        </w:rPr>
        <w:t>项目名称：</w:t>
      </w:r>
    </w:p>
    <w:p>
      <w:pPr>
        <w:pStyle w:val="14"/>
        <w:rPr>
          <w:rFonts w:hAnsi="宋体"/>
          <w:color w:val="auto"/>
          <w:highlight w:val="none"/>
        </w:rPr>
      </w:pPr>
    </w:p>
    <w:p>
      <w:pPr>
        <w:pStyle w:val="14"/>
        <w:rPr>
          <w:rFonts w:hAnsi="宋体"/>
          <w:color w:val="auto"/>
          <w:highlight w:val="none"/>
        </w:rPr>
      </w:pPr>
      <w:r>
        <w:rPr>
          <w:rFonts w:hint="eastAsia" w:hAnsi="宋体"/>
          <w:color w:val="auto"/>
          <w:highlight w:val="none"/>
        </w:rPr>
        <w:t>致：（招标人、招标代理机构名称）</w:t>
      </w:r>
    </w:p>
    <w:p>
      <w:pPr>
        <w:jc w:val="left"/>
        <w:rPr>
          <w:rFonts w:ascii="宋体" w:hAnsi="宋体"/>
          <w:color w:val="auto"/>
          <w:highlight w:val="none"/>
        </w:rPr>
      </w:pPr>
    </w:p>
    <w:p>
      <w:pPr>
        <w:pStyle w:val="14"/>
        <w:ind w:firstLine="420"/>
        <w:rPr>
          <w:rFonts w:hAnsi="宋体"/>
          <w:color w:val="auto"/>
          <w:highlight w:val="none"/>
        </w:rPr>
      </w:pPr>
      <w:r>
        <w:rPr>
          <w:rFonts w:hint="eastAsia" w:hAnsi="宋体"/>
          <w:color w:val="auto"/>
          <w:highlight w:val="none"/>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4"/>
        <w:ind w:firstLine="420"/>
        <w:rPr>
          <w:rFonts w:hAnsi="宋体"/>
          <w:color w:val="auto"/>
          <w:highlight w:val="none"/>
        </w:rPr>
      </w:pPr>
      <w:r>
        <w:rPr>
          <w:rFonts w:hint="eastAsia" w:hAnsi="宋体"/>
          <w:color w:val="auto"/>
          <w:highlight w:val="none"/>
        </w:rPr>
        <w:t>我方愿以人民币</w:t>
      </w:r>
      <w:r>
        <w:rPr>
          <w:rFonts w:hint="eastAsia" w:hAnsi="宋体"/>
          <w:color w:val="auto"/>
          <w:highlight w:val="none"/>
          <w:u w:val="single"/>
        </w:rPr>
        <w:t xml:space="preserve">     </w:t>
      </w:r>
      <w:r>
        <w:rPr>
          <w:rFonts w:hint="eastAsia" w:hAnsi="宋体"/>
          <w:color w:val="auto"/>
          <w:highlight w:val="none"/>
        </w:rPr>
        <w:t>元（大写：</w:t>
      </w:r>
      <w:r>
        <w:rPr>
          <w:rFonts w:hint="eastAsia" w:hAnsi="宋体"/>
          <w:color w:val="auto"/>
          <w:highlight w:val="none"/>
          <w:u w:val="single"/>
        </w:rPr>
        <w:t xml:space="preserve">    </w:t>
      </w:r>
      <w:r>
        <w:rPr>
          <w:rFonts w:hint="eastAsia" w:hAnsi="宋体"/>
          <w:color w:val="auto"/>
          <w:highlight w:val="none"/>
        </w:rPr>
        <w:t>元）</w:t>
      </w:r>
      <w:r>
        <w:rPr>
          <w:rFonts w:hAnsi="宋体"/>
          <w:color w:val="auto"/>
          <w:highlight w:val="none"/>
        </w:rPr>
        <w:t>[（其中：</w:t>
      </w:r>
      <w:r>
        <w:rPr>
          <w:rFonts w:hint="eastAsia" w:hAnsi="宋体"/>
          <w:color w:val="auto"/>
          <w:highlight w:val="none"/>
        </w:rPr>
        <w:t>工程</w:t>
      </w:r>
      <w:r>
        <w:rPr>
          <w:rFonts w:hAnsi="宋体"/>
          <w:color w:val="auto"/>
          <w:highlight w:val="none"/>
        </w:rPr>
        <w:t>勘察费</w:t>
      </w:r>
      <w:r>
        <w:rPr>
          <w:rFonts w:hint="eastAsia" w:hAnsi="宋体"/>
          <w:color w:val="auto"/>
          <w:highlight w:val="none"/>
          <w:u w:val="single"/>
        </w:rPr>
        <w:t xml:space="preserve">     </w:t>
      </w:r>
      <w:r>
        <w:rPr>
          <w:rFonts w:hint="eastAsia" w:hAnsi="宋体"/>
          <w:color w:val="auto"/>
          <w:highlight w:val="none"/>
        </w:rPr>
        <w:t>元；工程设计费</w:t>
      </w:r>
      <w:r>
        <w:rPr>
          <w:rFonts w:hint="eastAsia" w:hAnsi="宋体"/>
          <w:color w:val="auto"/>
          <w:highlight w:val="none"/>
          <w:u w:val="single"/>
        </w:rPr>
        <w:t xml:space="preserve">    </w:t>
      </w:r>
      <w:r>
        <w:rPr>
          <w:rFonts w:hint="eastAsia" w:hAnsi="宋体"/>
          <w:color w:val="auto"/>
          <w:highlight w:val="none"/>
        </w:rPr>
        <w:t>元）]的投标总报价，承包本次招标所包含的工作，并承担任何质量缺陷责任。我方项目负责人为网上投标登记时选择的项目负责人。</w:t>
      </w:r>
    </w:p>
    <w:p>
      <w:pPr>
        <w:pStyle w:val="14"/>
        <w:ind w:firstLine="420"/>
        <w:rPr>
          <w:rFonts w:hAnsi="宋体"/>
          <w:color w:val="auto"/>
          <w:highlight w:val="none"/>
        </w:rPr>
      </w:pPr>
      <w:r>
        <w:rPr>
          <w:rFonts w:hint="eastAsia" w:hAnsi="宋体"/>
          <w:color w:val="auto"/>
          <w:highlight w:val="none"/>
        </w:rPr>
        <w:t xml:space="preserve">    我方遵守本投标书直至投标有效期满，在投标有效期满前，本投标书对我方一直具有约束力，随时可接受中标。我方承认所附投标文件资料为本投标书的一部分。</w:t>
      </w:r>
    </w:p>
    <w:p>
      <w:pPr>
        <w:pStyle w:val="14"/>
        <w:rPr>
          <w:rFonts w:hAnsi="宋体"/>
          <w:color w:val="auto"/>
          <w:highlight w:val="none"/>
        </w:rPr>
      </w:pPr>
      <w:r>
        <w:rPr>
          <w:rFonts w:hint="eastAsia" w:hAnsi="宋体"/>
          <w:color w:val="auto"/>
          <w:highlight w:val="none"/>
        </w:rPr>
        <w:t xml:space="preserve">    我方认同招标文件规定的评审规则，遵守评标委员会的裁决结果，并且不会采取妨碍项目进展的行为。</w:t>
      </w:r>
    </w:p>
    <w:p>
      <w:pPr>
        <w:pStyle w:val="14"/>
        <w:rPr>
          <w:rFonts w:hAnsi="宋体"/>
          <w:color w:val="auto"/>
          <w:highlight w:val="none"/>
        </w:rPr>
      </w:pPr>
      <w:r>
        <w:rPr>
          <w:rFonts w:hint="eastAsia" w:hAnsi="宋体"/>
          <w:color w:val="auto"/>
          <w:highlight w:val="none"/>
        </w:rPr>
        <w:t xml:space="preserve">    如果我方中标，我方将提供规定的履约担保，将在合同规定的日期开工，并在竣工时间内，按照上述文件完成项目。</w:t>
      </w:r>
    </w:p>
    <w:p>
      <w:pPr>
        <w:pStyle w:val="14"/>
        <w:ind w:firstLine="420"/>
        <w:rPr>
          <w:rFonts w:hAnsi="宋体"/>
          <w:color w:val="auto"/>
          <w:highlight w:val="none"/>
        </w:rPr>
      </w:pPr>
      <w:r>
        <w:rPr>
          <w:rFonts w:hint="eastAsia" w:hAnsi="宋体"/>
          <w:color w:val="auto"/>
          <w:highlight w:val="none"/>
        </w:rPr>
        <w:t>除非制定正式合同协议书并生效，本投标书以及你方中标通知书，应构成你我双方间具有约束力的合同。</w:t>
      </w:r>
    </w:p>
    <w:p>
      <w:pPr>
        <w:pStyle w:val="14"/>
        <w:ind w:firstLine="420"/>
        <w:rPr>
          <w:rFonts w:hAnsi="宋体"/>
          <w:color w:val="auto"/>
          <w:highlight w:val="none"/>
        </w:rPr>
      </w:pPr>
      <w:r>
        <w:rPr>
          <w:rFonts w:hint="eastAsia" w:hAnsi="宋体"/>
          <w:color w:val="auto"/>
          <w:highlight w:val="none"/>
        </w:rPr>
        <w:t>我方保证投标材料及其后提供的一切材料都是真实的；在广州</w:t>
      </w:r>
      <w:r>
        <w:rPr>
          <w:rFonts w:hint="eastAsia" w:hAnsi="宋体"/>
          <w:color w:val="auto"/>
          <w:highlight w:val="none"/>
          <w:u w:val="single"/>
        </w:rPr>
        <w:t>公共资源交易中心</w:t>
      </w:r>
      <w:r>
        <w:rPr>
          <w:rFonts w:hint="eastAsia" w:hAnsi="宋体"/>
          <w:color w:val="auto"/>
          <w:highlight w:val="none"/>
        </w:rPr>
        <w:t>企业库登记的一切信息都是真实的、在有效期内的。若与事实不符，经查实，我方愿意接受公开通报，承担由此带来的法律后果，并自愿停止参加广州市行政辖区内的招标投标活动三个月。</w:t>
      </w:r>
    </w:p>
    <w:p>
      <w:pPr>
        <w:pStyle w:val="14"/>
        <w:spacing w:line="360" w:lineRule="auto"/>
        <w:rPr>
          <w:rFonts w:hAnsi="宋体"/>
          <w:color w:val="auto"/>
          <w:highlight w:val="none"/>
        </w:rPr>
      </w:pPr>
      <w:r>
        <w:rPr>
          <w:rFonts w:hint="eastAsia" w:hAnsi="宋体"/>
          <w:color w:val="auto"/>
          <w:highlight w:val="none"/>
        </w:rPr>
        <w:t xml:space="preserve">    投标人：（盖章）</w:t>
      </w:r>
    </w:p>
    <w:p>
      <w:pPr>
        <w:pStyle w:val="14"/>
        <w:spacing w:line="360" w:lineRule="auto"/>
        <w:rPr>
          <w:rFonts w:hAnsi="宋体"/>
          <w:color w:val="auto"/>
          <w:highlight w:val="none"/>
        </w:rPr>
      </w:pPr>
      <w:r>
        <w:rPr>
          <w:rFonts w:hint="eastAsia" w:hAnsi="宋体"/>
          <w:color w:val="auto"/>
          <w:highlight w:val="none"/>
        </w:rPr>
        <w:t xml:space="preserve">    法定代表人：（签名或盖章）</w:t>
      </w:r>
    </w:p>
    <w:p>
      <w:pPr>
        <w:pStyle w:val="14"/>
        <w:spacing w:line="360" w:lineRule="auto"/>
        <w:rPr>
          <w:rFonts w:hAnsi="宋体"/>
          <w:color w:val="auto"/>
          <w:highlight w:val="none"/>
        </w:rPr>
      </w:pPr>
      <w:r>
        <w:rPr>
          <w:rFonts w:hint="eastAsia" w:hAnsi="宋体"/>
          <w:color w:val="auto"/>
          <w:highlight w:val="none"/>
        </w:rPr>
        <w:t xml:space="preserve">    委托代理人：（签名或盖章）</w:t>
      </w:r>
    </w:p>
    <w:p>
      <w:pPr>
        <w:pStyle w:val="14"/>
        <w:spacing w:line="360" w:lineRule="auto"/>
        <w:rPr>
          <w:rFonts w:hAnsi="宋体"/>
          <w:color w:val="auto"/>
          <w:highlight w:val="none"/>
        </w:rPr>
      </w:pPr>
      <w:r>
        <w:rPr>
          <w:rFonts w:hint="eastAsia" w:hAnsi="宋体"/>
          <w:color w:val="auto"/>
          <w:highlight w:val="none"/>
        </w:rPr>
        <w:t xml:space="preserve">    项目负责人：（签名或盖章）</w:t>
      </w:r>
    </w:p>
    <w:p>
      <w:pPr>
        <w:pStyle w:val="14"/>
        <w:spacing w:line="360" w:lineRule="auto"/>
        <w:rPr>
          <w:rFonts w:hAnsi="宋体"/>
          <w:color w:val="auto"/>
          <w:highlight w:val="none"/>
        </w:rPr>
      </w:pPr>
      <w:r>
        <w:rPr>
          <w:rFonts w:hint="eastAsia" w:hAnsi="宋体"/>
          <w:color w:val="auto"/>
          <w:highlight w:val="none"/>
        </w:rPr>
        <w:t xml:space="preserve">    地址：</w:t>
      </w:r>
    </w:p>
    <w:p>
      <w:pPr>
        <w:pStyle w:val="14"/>
        <w:spacing w:line="360" w:lineRule="auto"/>
        <w:rPr>
          <w:rFonts w:hAnsi="宋体"/>
          <w:color w:val="auto"/>
          <w:highlight w:val="none"/>
        </w:rPr>
      </w:pPr>
      <w:r>
        <w:rPr>
          <w:rFonts w:hint="eastAsia" w:hAnsi="宋体"/>
          <w:color w:val="auto"/>
          <w:highlight w:val="none"/>
        </w:rPr>
        <w:t xml:space="preserve">    邮政编码：</w:t>
      </w:r>
    </w:p>
    <w:p>
      <w:pPr>
        <w:pStyle w:val="14"/>
        <w:spacing w:line="360" w:lineRule="auto"/>
        <w:rPr>
          <w:rFonts w:hAnsi="宋体"/>
          <w:color w:val="auto"/>
          <w:highlight w:val="none"/>
        </w:rPr>
      </w:pPr>
      <w:r>
        <w:rPr>
          <w:rFonts w:hint="eastAsia" w:hAnsi="宋体"/>
          <w:color w:val="auto"/>
          <w:highlight w:val="none"/>
        </w:rPr>
        <w:t xml:space="preserve">    电话/传真：</w:t>
      </w:r>
      <w:r>
        <w:rPr>
          <w:rFonts w:hint="eastAsia" w:hAnsi="宋体"/>
          <w:color w:val="auto"/>
          <w:highlight w:val="none"/>
          <w:u w:val="single"/>
        </w:rPr>
        <w:t xml:space="preserve">                    /FAX              </w:t>
      </w:r>
    </w:p>
    <w:p>
      <w:pPr>
        <w:pStyle w:val="14"/>
        <w:spacing w:line="360" w:lineRule="auto"/>
        <w:rPr>
          <w:rFonts w:hAnsi="宋体"/>
          <w:color w:val="auto"/>
          <w:highlight w:val="none"/>
        </w:rPr>
      </w:pPr>
      <w:r>
        <w:rPr>
          <w:rFonts w:hint="eastAsia" w:hAnsi="宋体"/>
          <w:color w:val="auto"/>
          <w:highlight w:val="none"/>
        </w:rPr>
        <w:t xml:space="preserve">    电子邮箱：</w:t>
      </w:r>
    </w:p>
    <w:p>
      <w:pPr>
        <w:pStyle w:val="14"/>
        <w:spacing w:line="360" w:lineRule="auto"/>
        <w:rPr>
          <w:rFonts w:hAnsi="宋体"/>
          <w:color w:val="auto"/>
          <w:highlight w:val="none"/>
        </w:rPr>
      </w:pPr>
      <w:r>
        <w:rPr>
          <w:rFonts w:hint="eastAsia" w:hAnsi="宋体"/>
          <w:color w:val="auto"/>
          <w:highlight w:val="none"/>
        </w:rPr>
        <w:t xml:space="preserve">    开户银行名称、帐号：</w:t>
      </w:r>
    </w:p>
    <w:p>
      <w:pPr>
        <w:pStyle w:val="14"/>
        <w:spacing w:line="360" w:lineRule="auto"/>
        <w:rPr>
          <w:rFonts w:hAnsi="宋体"/>
          <w:color w:val="auto"/>
          <w:highlight w:val="none"/>
        </w:rPr>
      </w:pPr>
      <w:r>
        <w:rPr>
          <w:rFonts w:hint="eastAsia" w:hAnsi="宋体"/>
          <w:color w:val="auto"/>
          <w:highlight w:val="none"/>
        </w:rPr>
        <w:t xml:space="preserve">    开户行地址/电话：</w:t>
      </w:r>
    </w:p>
    <w:p>
      <w:pPr>
        <w:pStyle w:val="14"/>
        <w:rPr>
          <w:rFonts w:hAnsi="宋体"/>
          <w:color w:val="auto"/>
          <w:highlight w:val="none"/>
        </w:rPr>
      </w:pPr>
    </w:p>
    <w:p>
      <w:pPr>
        <w:pStyle w:val="14"/>
        <w:rPr>
          <w:rFonts w:hAnsi="宋体"/>
          <w:color w:val="auto"/>
          <w:highlight w:val="none"/>
        </w:rPr>
      </w:pPr>
      <w:r>
        <w:rPr>
          <w:rFonts w:hint="eastAsia" w:hAnsi="宋体"/>
          <w:color w:val="auto"/>
          <w:highlight w:val="none"/>
        </w:rPr>
        <w:t xml:space="preserve">                                     日期：       年    月    日</w:t>
      </w:r>
    </w:p>
    <w:p>
      <w:pPr>
        <w:rPr>
          <w:rFonts w:ascii="宋体" w:hAnsi="宋体"/>
          <w:b/>
          <w:bCs/>
          <w:color w:val="auto"/>
          <w:highlight w:val="none"/>
        </w:rPr>
      </w:pPr>
      <w:r>
        <w:rPr>
          <w:rFonts w:ascii="宋体" w:hAnsi="宋体"/>
          <w:color w:val="auto"/>
          <w:sz w:val="24"/>
          <w:highlight w:val="none"/>
        </w:rPr>
        <w:br w:type="page"/>
      </w:r>
      <w:r>
        <w:rPr>
          <w:rFonts w:hint="eastAsia" w:ascii="宋体" w:hAnsi="宋体"/>
          <w:b/>
          <w:bCs/>
          <w:color w:val="auto"/>
          <w:highlight w:val="none"/>
        </w:rPr>
        <w:t>附录8</w:t>
      </w:r>
      <w:r>
        <w:rPr>
          <w:rFonts w:hint="eastAsia" w:ascii="宋体" w:hAnsi="宋体"/>
          <w:color w:val="auto"/>
          <w:highlight w:val="none"/>
        </w:rPr>
        <w:t>（如果招标人接受联合体，则与投标书一起递交）</w:t>
      </w:r>
    </w:p>
    <w:p>
      <w:pPr>
        <w:jc w:val="center"/>
        <w:rPr>
          <w:rFonts w:ascii="宋体" w:hAnsi="宋体"/>
          <w:color w:val="auto"/>
          <w:sz w:val="24"/>
          <w:highlight w:val="none"/>
        </w:rPr>
      </w:pPr>
      <w:r>
        <w:rPr>
          <w:rFonts w:hint="eastAsia" w:ascii="宋体" w:hAnsi="宋体"/>
          <w:b/>
          <w:bCs/>
          <w:color w:val="auto"/>
          <w:sz w:val="32"/>
          <w:highlight w:val="none"/>
        </w:rPr>
        <w:t>联合体共同投标协议</w:t>
      </w:r>
    </w:p>
    <w:p>
      <w:pPr>
        <w:rPr>
          <w:rFonts w:ascii="宋体" w:hAnsi="宋体"/>
          <w:color w:val="auto"/>
          <w:sz w:val="24"/>
          <w:highlight w:val="none"/>
        </w:rPr>
      </w:pPr>
    </w:p>
    <w:p>
      <w:pPr>
        <w:jc w:val="left"/>
        <w:rPr>
          <w:rFonts w:ascii="宋体" w:hAnsi="宋体"/>
          <w:color w:val="auto"/>
          <w:highlight w:val="none"/>
        </w:rPr>
      </w:pPr>
      <w:r>
        <w:rPr>
          <w:rFonts w:hint="eastAsia" w:ascii="宋体" w:hAnsi="宋体"/>
          <w:color w:val="auto"/>
          <w:highlight w:val="none"/>
        </w:rPr>
        <w:t>投标项目名称：</w:t>
      </w:r>
      <w:r>
        <w:rPr>
          <w:rFonts w:hint="eastAsia" w:ascii="宋体" w:hAnsi="宋体"/>
          <w:color w:val="auto"/>
          <w:highlight w:val="none"/>
          <w:u w:val="single"/>
        </w:rPr>
        <w:t xml:space="preserve">                                           </w:t>
      </w:r>
      <w:r>
        <w:rPr>
          <w:rFonts w:hint="eastAsia" w:ascii="宋体" w:hAnsi="宋体"/>
          <w:color w:val="auto"/>
          <w:highlight w:val="none"/>
        </w:rPr>
        <w:t>。</w:t>
      </w:r>
    </w:p>
    <w:p>
      <w:pPr>
        <w:pStyle w:val="14"/>
        <w:rPr>
          <w:rFonts w:hAnsi="宋体"/>
          <w:color w:val="auto"/>
          <w:highlight w:val="none"/>
        </w:rPr>
      </w:pPr>
    </w:p>
    <w:p>
      <w:pPr>
        <w:pStyle w:val="14"/>
        <w:rPr>
          <w:rFonts w:hAnsi="宋体"/>
          <w:color w:val="auto"/>
          <w:highlight w:val="none"/>
        </w:rPr>
      </w:pPr>
      <w:r>
        <w:rPr>
          <w:rFonts w:hint="eastAsia" w:hAnsi="宋体"/>
          <w:color w:val="auto"/>
          <w:highlight w:val="none"/>
        </w:rPr>
        <w:t>致：</w:t>
      </w:r>
      <w:r>
        <w:rPr>
          <w:rFonts w:hint="eastAsia" w:hAnsi="宋体"/>
          <w:color w:val="auto"/>
          <w:highlight w:val="none"/>
          <w:u w:val="single"/>
        </w:rPr>
        <w:t xml:space="preserve">                                    </w:t>
      </w:r>
      <w:r>
        <w:rPr>
          <w:rFonts w:hint="eastAsia" w:hAnsi="宋体"/>
          <w:color w:val="auto"/>
          <w:highlight w:val="none"/>
        </w:rPr>
        <w:t>（招标人、招标代理机构名称）</w:t>
      </w:r>
    </w:p>
    <w:p>
      <w:pPr>
        <w:jc w:val="left"/>
        <w:rPr>
          <w:rFonts w:ascii="宋体" w:hAnsi="宋体"/>
          <w:color w:val="auto"/>
          <w:sz w:val="24"/>
          <w:highlight w:val="none"/>
        </w:rPr>
      </w:pPr>
    </w:p>
    <w:p>
      <w:pPr>
        <w:pStyle w:val="14"/>
        <w:rPr>
          <w:rFonts w:hAnsi="宋体"/>
          <w:color w:val="auto"/>
          <w:highlight w:val="none"/>
        </w:rPr>
      </w:pPr>
      <w:r>
        <w:rPr>
          <w:rFonts w:hint="eastAsia" w:hAnsi="宋体"/>
          <w:color w:val="auto"/>
          <w:highlight w:val="none"/>
        </w:rPr>
        <w:t xml:space="preserve">    我方决定组成联合体共同参加以上项目的投标，若中标，联合体各成员向招标人承担连带责任</w:t>
      </w:r>
      <w:r>
        <w:rPr>
          <w:rFonts w:hint="eastAsia" w:hAnsi="宋体"/>
          <w:color w:val="auto"/>
          <w:szCs w:val="21"/>
          <w:highlight w:val="none"/>
        </w:rPr>
        <w:t>。</w:t>
      </w:r>
      <w:r>
        <w:rPr>
          <w:rFonts w:hint="eastAsia" w:hAnsi="宋体"/>
          <w:color w:val="auto"/>
          <w:highlight w:val="none"/>
        </w:rPr>
        <w:t>我方</w:t>
      </w:r>
      <w:r>
        <w:rPr>
          <w:rFonts w:hint="eastAsia" w:hAnsi="宋体"/>
          <w:color w:val="auto"/>
          <w:szCs w:val="21"/>
          <w:highlight w:val="none"/>
        </w:rPr>
        <w:t>授权委托本协议牵头人，代表所有联合体成员参加投标、提交投标文件，以及与招标人签订合同，负责整个合同实施阶段的协调工作。</w:t>
      </w:r>
    </w:p>
    <w:p>
      <w:pPr>
        <w:rPr>
          <w:rFonts w:ascii="宋体" w:hAnsi="宋体"/>
          <w:color w:val="auto"/>
          <w:highlight w:val="none"/>
        </w:rPr>
      </w:pPr>
      <w:r>
        <w:rPr>
          <w:rFonts w:hint="eastAsia" w:ascii="宋体" w:hAnsi="宋体"/>
          <w:color w:val="auto"/>
          <w:highlight w:val="none"/>
        </w:rPr>
        <w:t xml:space="preserve">    </w:t>
      </w:r>
    </w:p>
    <w:p>
      <w:pPr>
        <w:pStyle w:val="14"/>
        <w:rPr>
          <w:rFonts w:hAnsi="宋体"/>
          <w:color w:val="auto"/>
          <w:highlight w:val="none"/>
        </w:rPr>
      </w:pPr>
    </w:p>
    <w:p>
      <w:pPr>
        <w:pStyle w:val="14"/>
        <w:spacing w:line="360" w:lineRule="auto"/>
        <w:rPr>
          <w:rFonts w:hAnsi="宋体"/>
          <w:color w:val="auto"/>
          <w:highlight w:val="none"/>
        </w:rPr>
      </w:pPr>
      <w:r>
        <w:rPr>
          <w:rFonts w:hint="eastAsia" w:hAnsi="宋体"/>
          <w:color w:val="auto"/>
          <w:highlight w:val="none"/>
        </w:rPr>
        <w:t xml:space="preserve">    投标</w:t>
      </w:r>
      <w:r>
        <w:rPr>
          <w:rFonts w:hint="eastAsia" w:hAnsi="宋体"/>
          <w:color w:val="auto"/>
          <w:szCs w:val="21"/>
          <w:highlight w:val="none"/>
        </w:rPr>
        <w:t>牵头人</w:t>
      </w:r>
      <w:r>
        <w:rPr>
          <w:rFonts w:hint="eastAsia" w:hAnsi="宋体"/>
          <w:color w:val="auto"/>
          <w:highlight w:val="none"/>
        </w:rPr>
        <w:t>：（盖章）</w:t>
      </w:r>
    </w:p>
    <w:p>
      <w:pPr>
        <w:pStyle w:val="14"/>
        <w:spacing w:line="360" w:lineRule="auto"/>
        <w:rPr>
          <w:rFonts w:hAnsi="宋体"/>
          <w:color w:val="auto"/>
          <w:highlight w:val="none"/>
        </w:rPr>
      </w:pPr>
      <w:r>
        <w:rPr>
          <w:rFonts w:hint="eastAsia" w:hAnsi="宋体"/>
          <w:color w:val="auto"/>
          <w:highlight w:val="none"/>
        </w:rPr>
        <w:t xml:space="preserve">    法定代表人：（签名或盖章）</w:t>
      </w:r>
    </w:p>
    <w:p>
      <w:pPr>
        <w:pStyle w:val="14"/>
        <w:spacing w:line="360" w:lineRule="auto"/>
        <w:rPr>
          <w:rFonts w:hAnsi="宋体"/>
          <w:color w:val="auto"/>
          <w:highlight w:val="none"/>
        </w:rPr>
      </w:pPr>
      <w:r>
        <w:rPr>
          <w:rFonts w:hint="eastAsia" w:hAnsi="宋体"/>
          <w:color w:val="auto"/>
          <w:highlight w:val="none"/>
        </w:rPr>
        <w:t xml:space="preserve">    委托代理人：（签名或盖章）</w:t>
      </w:r>
    </w:p>
    <w:p>
      <w:pPr>
        <w:pStyle w:val="14"/>
        <w:spacing w:line="360" w:lineRule="auto"/>
        <w:rPr>
          <w:rFonts w:hAnsi="宋体"/>
          <w:color w:val="auto"/>
          <w:highlight w:val="none"/>
        </w:rPr>
      </w:pPr>
      <w:r>
        <w:rPr>
          <w:rFonts w:hint="eastAsia" w:hAnsi="宋体"/>
          <w:color w:val="auto"/>
          <w:highlight w:val="none"/>
        </w:rPr>
        <w:t xml:space="preserve">    地址：</w:t>
      </w:r>
    </w:p>
    <w:p>
      <w:pPr>
        <w:pStyle w:val="14"/>
        <w:spacing w:line="360" w:lineRule="auto"/>
        <w:rPr>
          <w:rFonts w:hAnsi="宋体"/>
          <w:color w:val="auto"/>
          <w:highlight w:val="none"/>
        </w:rPr>
      </w:pPr>
      <w:r>
        <w:rPr>
          <w:rFonts w:hint="eastAsia" w:hAnsi="宋体"/>
          <w:color w:val="auto"/>
          <w:highlight w:val="none"/>
        </w:rPr>
        <w:t xml:space="preserve">    邮政编码：电话/传真：</w:t>
      </w:r>
    </w:p>
    <w:p>
      <w:pPr>
        <w:pStyle w:val="14"/>
        <w:spacing w:line="360" w:lineRule="auto"/>
        <w:rPr>
          <w:rFonts w:hAnsi="宋体"/>
          <w:color w:val="auto"/>
          <w:highlight w:val="none"/>
        </w:rPr>
      </w:pPr>
      <w:r>
        <w:rPr>
          <w:rFonts w:hint="eastAsia" w:hAnsi="宋体"/>
          <w:color w:val="auto"/>
          <w:highlight w:val="none"/>
        </w:rPr>
        <w:t xml:space="preserve">    分工内容：</w:t>
      </w:r>
    </w:p>
    <w:p>
      <w:pPr>
        <w:pStyle w:val="14"/>
        <w:spacing w:line="360" w:lineRule="auto"/>
        <w:rPr>
          <w:rFonts w:hAnsi="宋体"/>
          <w:color w:val="auto"/>
          <w:highlight w:val="none"/>
        </w:rPr>
      </w:pPr>
    </w:p>
    <w:p>
      <w:pPr>
        <w:pStyle w:val="14"/>
        <w:spacing w:line="360" w:lineRule="auto"/>
        <w:rPr>
          <w:rFonts w:hAnsi="宋体"/>
          <w:color w:val="auto"/>
          <w:highlight w:val="none"/>
        </w:rPr>
      </w:pPr>
      <w:r>
        <w:rPr>
          <w:rFonts w:hint="eastAsia" w:hAnsi="宋体"/>
          <w:color w:val="auto"/>
          <w:highlight w:val="none"/>
        </w:rPr>
        <w:t xml:space="preserve">    联合体成员：（盖章）</w:t>
      </w:r>
    </w:p>
    <w:p>
      <w:pPr>
        <w:pStyle w:val="14"/>
        <w:spacing w:line="360" w:lineRule="auto"/>
        <w:rPr>
          <w:rFonts w:hAnsi="宋体"/>
          <w:color w:val="auto"/>
          <w:highlight w:val="none"/>
        </w:rPr>
      </w:pPr>
      <w:r>
        <w:rPr>
          <w:rFonts w:hint="eastAsia" w:hAnsi="宋体"/>
          <w:color w:val="auto"/>
          <w:highlight w:val="none"/>
        </w:rPr>
        <w:t xml:space="preserve">    法定代表人：（签名或盖章）</w:t>
      </w:r>
    </w:p>
    <w:p>
      <w:pPr>
        <w:pStyle w:val="14"/>
        <w:spacing w:line="360" w:lineRule="auto"/>
        <w:rPr>
          <w:rFonts w:hAnsi="宋体"/>
          <w:color w:val="auto"/>
          <w:highlight w:val="none"/>
        </w:rPr>
      </w:pPr>
      <w:r>
        <w:rPr>
          <w:rFonts w:hint="eastAsia" w:hAnsi="宋体"/>
          <w:color w:val="auto"/>
          <w:highlight w:val="none"/>
        </w:rPr>
        <w:t xml:space="preserve">    委托代理人：（签名或盖章）</w:t>
      </w:r>
    </w:p>
    <w:p>
      <w:pPr>
        <w:pStyle w:val="14"/>
        <w:spacing w:line="360" w:lineRule="auto"/>
        <w:rPr>
          <w:rFonts w:hAnsi="宋体"/>
          <w:color w:val="auto"/>
          <w:highlight w:val="none"/>
        </w:rPr>
      </w:pPr>
      <w:r>
        <w:rPr>
          <w:rFonts w:hint="eastAsia" w:hAnsi="宋体"/>
          <w:color w:val="auto"/>
          <w:highlight w:val="none"/>
        </w:rPr>
        <w:t xml:space="preserve">    地址：</w:t>
      </w:r>
    </w:p>
    <w:p>
      <w:pPr>
        <w:pStyle w:val="14"/>
        <w:spacing w:line="360" w:lineRule="auto"/>
        <w:rPr>
          <w:rFonts w:hAnsi="宋体"/>
          <w:color w:val="auto"/>
          <w:highlight w:val="none"/>
        </w:rPr>
      </w:pPr>
      <w:r>
        <w:rPr>
          <w:rFonts w:hint="eastAsia" w:hAnsi="宋体"/>
          <w:color w:val="auto"/>
          <w:highlight w:val="none"/>
        </w:rPr>
        <w:t xml:space="preserve">    邮政编码：电话/传真：</w:t>
      </w:r>
    </w:p>
    <w:p>
      <w:pPr>
        <w:pStyle w:val="14"/>
        <w:spacing w:line="360" w:lineRule="auto"/>
        <w:rPr>
          <w:rFonts w:hAnsi="宋体"/>
          <w:color w:val="auto"/>
          <w:highlight w:val="none"/>
        </w:rPr>
      </w:pPr>
      <w:r>
        <w:rPr>
          <w:rFonts w:hint="eastAsia" w:hAnsi="宋体"/>
          <w:color w:val="auto"/>
          <w:highlight w:val="none"/>
        </w:rPr>
        <w:t xml:space="preserve">    分工内容：</w:t>
      </w:r>
    </w:p>
    <w:p>
      <w:pPr>
        <w:pStyle w:val="14"/>
        <w:spacing w:line="360" w:lineRule="auto"/>
        <w:rPr>
          <w:rFonts w:hAnsi="宋体"/>
          <w:color w:val="auto"/>
          <w:highlight w:val="none"/>
        </w:rPr>
      </w:pPr>
    </w:p>
    <w:p>
      <w:pPr>
        <w:pStyle w:val="14"/>
        <w:spacing w:line="360" w:lineRule="auto"/>
        <w:rPr>
          <w:rFonts w:hAnsi="宋体"/>
          <w:color w:val="auto"/>
          <w:highlight w:val="none"/>
        </w:rPr>
      </w:pPr>
    </w:p>
    <w:p>
      <w:pPr>
        <w:pStyle w:val="14"/>
        <w:spacing w:line="360" w:lineRule="auto"/>
        <w:rPr>
          <w:rFonts w:hAnsi="宋体"/>
          <w:color w:val="auto"/>
          <w:highlight w:val="none"/>
        </w:rPr>
      </w:pPr>
    </w:p>
    <w:p>
      <w:pPr>
        <w:pStyle w:val="14"/>
        <w:spacing w:line="360" w:lineRule="auto"/>
        <w:rPr>
          <w:rFonts w:hAnsi="宋体"/>
          <w:color w:val="auto"/>
          <w:highlight w:val="none"/>
        </w:rPr>
      </w:pPr>
    </w:p>
    <w:p>
      <w:pPr>
        <w:rPr>
          <w:rFonts w:ascii="宋体" w:hAnsi="宋体"/>
          <w:color w:val="auto"/>
          <w:highlight w:val="none"/>
        </w:rPr>
      </w:pPr>
      <w:r>
        <w:rPr>
          <w:rFonts w:hint="eastAsia" w:ascii="宋体" w:hAnsi="宋体"/>
          <w:color w:val="auto"/>
          <w:highlight w:val="none"/>
        </w:rPr>
        <w:t xml:space="preserve">                                 签订日期：       年    月    日</w:t>
      </w:r>
    </w:p>
    <w:p>
      <w:pPr>
        <w:rPr>
          <w:rFonts w:ascii="宋体" w:hAnsi="宋体"/>
          <w:color w:val="auto"/>
          <w:highlight w:val="none"/>
        </w:rPr>
      </w:pPr>
    </w:p>
    <w:p>
      <w:pPr>
        <w:pStyle w:val="19"/>
        <w:rPr>
          <w:rFonts w:ascii="宋体" w:hAnsi="宋体"/>
          <w:color w:val="auto"/>
          <w:highlight w:val="none"/>
        </w:rPr>
      </w:pPr>
    </w:p>
    <w:p>
      <w:pPr>
        <w:rPr>
          <w:rFonts w:ascii="宋体" w:hAnsi="宋体"/>
          <w:color w:val="auto"/>
          <w:highlight w:val="none"/>
        </w:rPr>
      </w:pPr>
    </w:p>
    <w:p>
      <w:pPr>
        <w:pStyle w:val="19"/>
        <w:rPr>
          <w:rFonts w:ascii="宋体" w:hAnsi="宋体"/>
          <w:color w:val="auto"/>
          <w:highlight w:val="none"/>
        </w:rPr>
      </w:pPr>
    </w:p>
    <w:p>
      <w:pPr>
        <w:rPr>
          <w:rFonts w:ascii="宋体" w:hAnsi="宋体"/>
          <w:color w:val="auto"/>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法人证明书或法人授权委托书格式</w:t>
      </w:r>
      <w:r>
        <w:rPr>
          <w:rFonts w:ascii="宋体" w:hAnsi="宋体"/>
          <w:color w:val="auto"/>
          <w:sz w:val="24"/>
          <w:highlight w:val="none"/>
        </w:rPr>
        <w:t>：</w:t>
      </w:r>
      <w:r>
        <w:rPr>
          <w:rFonts w:hint="eastAsia" w:ascii="宋体" w:hAnsi="宋体"/>
          <w:color w:val="auto"/>
          <w:sz w:val="24"/>
          <w:highlight w:val="none"/>
        </w:rPr>
        <w:t>（原件放在正本上，副本可用复印件）</w:t>
      </w:r>
    </w:p>
    <w:p>
      <w:pPr>
        <w:spacing w:line="360" w:lineRule="auto"/>
        <w:jc w:val="center"/>
        <w:rPr>
          <w:rFonts w:ascii="宋体" w:hAnsi="宋体"/>
          <w:b/>
          <w:color w:val="auto"/>
          <w:sz w:val="28"/>
          <w:highlight w:val="none"/>
        </w:rPr>
      </w:pPr>
      <w:r>
        <w:rPr>
          <w:rFonts w:ascii="宋体" w:hAnsi="宋体"/>
          <w:b/>
          <w:color w:val="auto"/>
          <w:sz w:val="28"/>
          <w:highlight w:val="none"/>
        </w:rPr>
        <w:t>法定代表人</w:t>
      </w:r>
      <w:r>
        <w:rPr>
          <w:rFonts w:hint="eastAsia" w:ascii="宋体" w:hAnsi="宋体"/>
          <w:b/>
          <w:color w:val="auto"/>
          <w:sz w:val="28"/>
          <w:highlight w:val="none"/>
        </w:rPr>
        <w:t>（负责人）</w:t>
      </w:r>
      <w:r>
        <w:rPr>
          <w:rFonts w:ascii="宋体" w:hAnsi="宋体"/>
          <w:b/>
          <w:color w:val="auto"/>
          <w:sz w:val="28"/>
          <w:highlight w:val="none"/>
        </w:rPr>
        <w:t>证明书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现任我单位</w:t>
            </w:r>
            <w:r>
              <w:rPr>
                <w:rFonts w:hint="eastAsia" w:ascii="宋体" w:hAnsi="宋体"/>
                <w:color w:val="auto"/>
                <w:sz w:val="24"/>
                <w:highlight w:val="none"/>
                <w:u w:val="single"/>
              </w:rPr>
              <w:t>　　　　　</w:t>
            </w:r>
            <w:r>
              <w:rPr>
                <w:rFonts w:hint="eastAsia" w:ascii="宋体" w:hAnsi="宋体"/>
                <w:color w:val="auto"/>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有效期限：</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附：法定代表人（负责人）性别：</w:t>
            </w:r>
            <w:r>
              <w:rPr>
                <w:rFonts w:hint="eastAsia" w:ascii="宋体" w:hAnsi="宋体"/>
                <w:color w:val="auto"/>
                <w:sz w:val="24"/>
                <w:highlight w:val="none"/>
                <w:u w:val="single"/>
              </w:rPr>
              <w:t>　　</w:t>
            </w:r>
            <w:r>
              <w:rPr>
                <w:rFonts w:hint="eastAsia" w:ascii="宋体" w:hAnsi="宋体"/>
                <w:color w:val="auto"/>
                <w:sz w:val="24"/>
                <w:highlight w:val="none"/>
              </w:rPr>
              <w:t>年龄：</w:t>
            </w:r>
            <w:r>
              <w:rPr>
                <w:rFonts w:hint="eastAsia" w:ascii="宋体" w:hAnsi="宋体"/>
                <w:color w:val="auto"/>
                <w:sz w:val="24"/>
                <w:highlight w:val="none"/>
                <w:u w:val="single"/>
              </w:rPr>
              <w:t>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hint="eastAsia" w:ascii="宋体" w:hAnsi="宋体"/>
                <w:color w:val="auto"/>
                <w:sz w:val="24"/>
                <w:highlight w:val="none"/>
                <w:u w:val="single"/>
              </w:rPr>
              <w:t>　　　　　　　　　　</w:t>
            </w:r>
            <w:r>
              <w:rPr>
                <w:rFonts w:hint="eastAsia" w:ascii="宋体" w:hAnsi="宋体"/>
                <w:color w:val="auto"/>
                <w:sz w:val="24"/>
                <w:highlight w:val="none"/>
              </w:rPr>
              <w:t>企业类型：</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经营范围：</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　　　　　    年　月　　日</w:t>
            </w:r>
          </w:p>
        </w:tc>
      </w:tr>
    </w:tbl>
    <w:p>
      <w:pPr>
        <w:spacing w:line="360" w:lineRule="auto"/>
        <w:rPr>
          <w:rFonts w:ascii="宋体" w:hAnsi="宋体"/>
          <w:color w:val="auto"/>
          <w:sz w:val="24"/>
          <w:highlight w:val="none"/>
        </w:rPr>
      </w:pPr>
      <w:r>
        <w:rPr>
          <w:rFonts w:hint="eastAsia" w:ascii="宋体" w:hAnsi="宋体"/>
          <w:color w:val="auto"/>
          <w:sz w:val="24"/>
          <w:highlight w:val="none"/>
        </w:rPr>
        <w:t>注：法定代表人证明书也可以采用工商行政管理局统一印制的格式。</w:t>
      </w: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法定代表人授权委托</w:t>
      </w:r>
      <w:r>
        <w:rPr>
          <w:rFonts w:ascii="宋体" w:hAnsi="宋体"/>
          <w:b/>
          <w:color w:val="auto"/>
          <w:sz w:val="24"/>
          <w:highlight w:val="none"/>
        </w:rPr>
        <w:t>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兹授权</w:t>
            </w:r>
            <w:r>
              <w:rPr>
                <w:rFonts w:ascii="宋体" w:hAnsi="宋体"/>
                <w:color w:val="auto"/>
                <w:sz w:val="24"/>
                <w:highlight w:val="none"/>
                <w:u w:val="single"/>
              </w:rPr>
              <w:t xml:space="preserve">                </w:t>
            </w:r>
            <w:r>
              <w:rPr>
                <w:rFonts w:hint="eastAsia" w:ascii="宋体" w:hAnsi="宋体"/>
                <w:color w:val="auto"/>
                <w:sz w:val="24"/>
                <w:highlight w:val="none"/>
              </w:rPr>
              <w:t>为我方委托代理人，其权限是：</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有效期限：</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附：代理人性别：</w:t>
            </w:r>
            <w:r>
              <w:rPr>
                <w:rFonts w:ascii="宋体" w:hAnsi="宋体"/>
                <w:color w:val="auto"/>
                <w:sz w:val="24"/>
                <w:highlight w:val="none"/>
                <w:u w:val="single"/>
              </w:rPr>
              <w:t xml:space="preserve">     </w:t>
            </w:r>
            <w:r>
              <w:rPr>
                <w:rFonts w:hint="eastAsia" w:ascii="宋体" w:hAnsi="宋体"/>
                <w:color w:val="auto"/>
                <w:sz w:val="24"/>
                <w:highlight w:val="none"/>
              </w:rPr>
              <w:t>年龄：</w:t>
            </w:r>
            <w:r>
              <w:rPr>
                <w:rFonts w:ascii="宋体" w:hAnsi="宋体"/>
                <w:color w:val="auto"/>
                <w:sz w:val="24"/>
                <w:highlight w:val="none"/>
                <w:u w:val="single"/>
              </w:rPr>
              <w:t xml:space="preserve">     </w:t>
            </w:r>
            <w:r>
              <w:rPr>
                <w:rFonts w:hint="eastAsia" w:ascii="宋体" w:hAnsi="宋体"/>
                <w:color w:val="auto"/>
                <w:sz w:val="24"/>
                <w:highlight w:val="none"/>
              </w:rPr>
              <w:t>身份证号码：</w:t>
            </w:r>
            <w:r>
              <w:rPr>
                <w:rFonts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ascii="宋体" w:hAnsi="宋体"/>
                <w:color w:val="auto"/>
                <w:sz w:val="24"/>
                <w:highlight w:val="none"/>
                <w:u w:val="single"/>
              </w:rPr>
              <w:t xml:space="preserve">                  </w:t>
            </w:r>
            <w:r>
              <w:rPr>
                <w:rFonts w:hint="eastAsia" w:ascii="宋体" w:hAnsi="宋体"/>
                <w:color w:val="auto"/>
                <w:sz w:val="24"/>
                <w:highlight w:val="none"/>
              </w:rPr>
              <w:t>企业类型：</w:t>
            </w:r>
            <w:r>
              <w:rPr>
                <w:rFonts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经营范围：</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法定代表人（负责人）：</w:t>
            </w:r>
            <w:r>
              <w:rPr>
                <w:rFonts w:ascii="宋体" w:hAnsi="宋体"/>
                <w:color w:val="auto"/>
                <w:sz w:val="24"/>
                <w:highlight w:val="none"/>
                <w:u w:val="single"/>
              </w:rPr>
              <w:t xml:space="preserve">                 </w:t>
            </w:r>
            <w:r>
              <w:rPr>
                <w:rFonts w:hint="eastAsia" w:ascii="宋体" w:hAnsi="宋体"/>
                <w:color w:val="auto"/>
                <w:sz w:val="24"/>
                <w:highlight w:val="none"/>
              </w:rPr>
              <w:t>（签名或盖章）</w:t>
            </w:r>
          </w:p>
          <w:p>
            <w:pPr>
              <w:spacing w:line="360" w:lineRule="auto"/>
              <w:rPr>
                <w:rFonts w:ascii="宋体" w:hAnsi="宋体"/>
                <w:color w:val="auto"/>
                <w:sz w:val="24"/>
                <w:highlight w:val="none"/>
              </w:rPr>
            </w:pPr>
            <w:r>
              <w:rPr>
                <w:rFonts w:hint="eastAsia" w:ascii="宋体" w:hAnsi="宋体"/>
                <w:color w:val="auto"/>
                <w:sz w:val="24"/>
                <w:highlight w:val="none"/>
              </w:rPr>
              <w:t>授权单位：（盖章）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ind w:firstLine="5880" w:firstLineChars="2450"/>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pPr>
        <w:rPr>
          <w:rFonts w:ascii="宋体" w:hAnsi="宋体"/>
          <w:color w:val="auto"/>
          <w:highlight w:val="none"/>
        </w:rPr>
      </w:pPr>
      <w:r>
        <w:rPr>
          <w:rFonts w:hint="eastAsia" w:ascii="宋体" w:hAnsi="宋体"/>
          <w:color w:val="auto"/>
          <w:sz w:val="24"/>
          <w:highlight w:val="none"/>
        </w:rPr>
        <w:t>注：法定代表人授权委托书也可以采用工商行政管理局统一印制的格式。</w:t>
      </w:r>
    </w:p>
    <w:p>
      <w:pPr>
        <w:rPr>
          <w:rFonts w:ascii="宋体" w:hAnsi="宋体"/>
          <w:color w:val="auto"/>
          <w:highlight w:val="none"/>
        </w:rPr>
      </w:pPr>
    </w:p>
    <w:p>
      <w:pPr>
        <w:spacing w:line="360" w:lineRule="auto"/>
        <w:rPr>
          <w:b/>
          <w:strike/>
          <w:color w:val="auto"/>
          <w:sz w:val="24"/>
          <w:highlight w:val="none"/>
        </w:rPr>
      </w:pPr>
      <w:r>
        <w:rPr>
          <w:color w:val="auto"/>
          <w:sz w:val="32"/>
          <w:highlight w:val="none"/>
        </w:rPr>
        <w:br w:type="page"/>
      </w:r>
      <w:r>
        <w:rPr>
          <w:rFonts w:hint="eastAsia"/>
          <w:b/>
          <w:strike/>
          <w:color w:val="auto"/>
          <w:sz w:val="24"/>
          <w:highlight w:val="none"/>
        </w:rPr>
        <w:t>附录</w:t>
      </w:r>
      <w:r>
        <w:rPr>
          <w:b/>
          <w:strike/>
          <w:color w:val="auto"/>
          <w:sz w:val="24"/>
          <w:highlight w:val="none"/>
        </w:rPr>
        <w:t>9</w:t>
      </w:r>
    </w:p>
    <w:p>
      <w:pPr>
        <w:pStyle w:val="46"/>
        <w:rPr>
          <w:strike/>
          <w:color w:val="auto"/>
          <w:highlight w:val="none"/>
        </w:rPr>
      </w:pPr>
      <w:r>
        <w:rPr>
          <w:rFonts w:hint="eastAsia"/>
          <w:strike/>
          <w:color w:val="auto"/>
          <w:highlight w:val="none"/>
        </w:rPr>
        <w:t>投标人已完成项目情况</w:t>
      </w:r>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jc w:val="center"/>
              <w:rPr>
                <w:rFonts w:ascii="宋体" w:hAnsi="宋体"/>
                <w:strike/>
                <w:color w:val="auto"/>
                <w:highlight w:val="none"/>
              </w:rPr>
            </w:pPr>
            <w:r>
              <w:rPr>
                <w:rFonts w:hint="eastAsia" w:ascii="宋体" w:hAnsi="宋体"/>
                <w:strike/>
                <w:color w:val="auto"/>
                <w:highlight w:val="none"/>
              </w:rPr>
              <w:t>合同签订时间</w:t>
            </w:r>
          </w:p>
        </w:tc>
        <w:tc>
          <w:tcPr>
            <w:tcW w:w="1790" w:type="dxa"/>
            <w:vAlign w:val="center"/>
          </w:tcPr>
          <w:p>
            <w:pPr>
              <w:jc w:val="center"/>
              <w:rPr>
                <w:rFonts w:ascii="宋体" w:hAnsi="宋体"/>
                <w:strike/>
                <w:color w:val="auto"/>
                <w:highlight w:val="none"/>
              </w:rPr>
            </w:pPr>
            <w:r>
              <w:rPr>
                <w:rFonts w:hint="eastAsia" w:ascii="宋体" w:hAnsi="宋体"/>
                <w:strike/>
                <w:color w:val="auto"/>
                <w:highlight w:val="none"/>
              </w:rPr>
              <w:t>项目概况</w:t>
            </w:r>
          </w:p>
        </w:tc>
        <w:tc>
          <w:tcPr>
            <w:tcW w:w="1789" w:type="dxa"/>
            <w:vAlign w:val="center"/>
          </w:tcPr>
          <w:p>
            <w:pPr>
              <w:jc w:val="center"/>
              <w:rPr>
                <w:rFonts w:ascii="宋体" w:hAnsi="宋体"/>
                <w:strike/>
                <w:color w:val="auto"/>
                <w:highlight w:val="none"/>
              </w:rPr>
            </w:pPr>
            <w:r>
              <w:rPr>
                <w:rFonts w:hint="eastAsia" w:ascii="宋体" w:hAnsi="宋体"/>
                <w:strike/>
                <w:color w:val="auto"/>
                <w:highlight w:val="none"/>
              </w:rPr>
              <w:t>业主单位</w:t>
            </w:r>
          </w:p>
        </w:tc>
        <w:tc>
          <w:tcPr>
            <w:tcW w:w="1789" w:type="dxa"/>
            <w:vAlign w:val="center"/>
          </w:tcPr>
          <w:p>
            <w:pPr>
              <w:jc w:val="center"/>
              <w:rPr>
                <w:rFonts w:ascii="宋体" w:hAnsi="宋体"/>
                <w:strike/>
                <w:color w:val="auto"/>
                <w:highlight w:val="none"/>
              </w:rPr>
            </w:pPr>
            <w:r>
              <w:rPr>
                <w:rFonts w:hint="eastAsia" w:ascii="宋体" w:hAnsi="宋体"/>
                <w:strike/>
                <w:color w:val="auto"/>
                <w:highlight w:val="none"/>
              </w:rPr>
              <w:t>完成情况</w:t>
            </w:r>
          </w:p>
        </w:tc>
        <w:tc>
          <w:tcPr>
            <w:tcW w:w="1789" w:type="dxa"/>
            <w:vAlign w:val="center"/>
          </w:tcPr>
          <w:p>
            <w:pPr>
              <w:jc w:val="center"/>
              <w:rPr>
                <w:rFonts w:ascii="宋体" w:hAnsi="宋体"/>
                <w:strike/>
                <w:color w:val="auto"/>
                <w:highlight w:val="none"/>
              </w:rPr>
            </w:pPr>
            <w:r>
              <w:rPr>
                <w:rFonts w:hint="eastAsia" w:ascii="宋体" w:hAnsi="宋体"/>
                <w:strike/>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jc w:val="center"/>
              <w:rPr>
                <w:rFonts w:ascii="宋体" w:hAnsi="宋体"/>
                <w:strike/>
                <w:color w:val="auto"/>
                <w:highlight w:val="none"/>
              </w:rPr>
            </w:pPr>
          </w:p>
        </w:tc>
        <w:tc>
          <w:tcPr>
            <w:tcW w:w="1790"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c>
          <w:tcPr>
            <w:tcW w:w="1789" w:type="dxa"/>
            <w:vAlign w:val="center"/>
          </w:tcPr>
          <w:p>
            <w:pPr>
              <w:jc w:val="center"/>
              <w:rPr>
                <w:rFonts w:ascii="宋体" w:hAnsi="宋体"/>
                <w:strike/>
                <w:color w:val="auto"/>
                <w:highlight w:val="none"/>
              </w:rPr>
            </w:pPr>
          </w:p>
        </w:tc>
      </w:tr>
    </w:tbl>
    <w:p>
      <w:pPr>
        <w:spacing w:line="360" w:lineRule="auto"/>
        <w:jc w:val="left"/>
        <w:rPr>
          <w:rFonts w:ascii="宋体" w:hAnsi="宋体"/>
          <w:strike/>
          <w:color w:val="auto"/>
          <w:highlight w:val="none"/>
        </w:rPr>
      </w:pPr>
      <w:r>
        <w:rPr>
          <w:rFonts w:hint="eastAsia" w:ascii="宋体" w:hAnsi="宋体"/>
          <w:strike/>
          <w:color w:val="auto"/>
          <w:highlight w:val="none"/>
        </w:rPr>
        <w:t>注：①投标人应将近5</w:t>
      </w:r>
      <w:r>
        <w:rPr>
          <w:rFonts w:hint="eastAsia" w:ascii="宋体" w:hAnsi="宋体"/>
          <w:strike/>
          <w:color w:val="auto"/>
          <w:szCs w:val="21"/>
          <w:highlight w:val="none"/>
        </w:rPr>
        <w:t>年</w:t>
      </w:r>
      <w:r>
        <w:rPr>
          <w:rFonts w:hint="eastAsia" w:ascii="宋体" w:hAnsi="宋体"/>
          <w:strike/>
          <w:color w:val="auto"/>
          <w:highlight w:val="none"/>
        </w:rPr>
        <w:t>内</w:t>
      </w:r>
      <w:r>
        <w:rPr>
          <w:rFonts w:hint="eastAsia" w:ascii="宋体" w:hAnsi="宋体"/>
          <w:strike/>
          <w:color w:val="auto"/>
          <w:highlight w:val="none"/>
          <w:u w:val="single"/>
        </w:rPr>
        <w:t>（2018年1月1日至今）</w:t>
      </w:r>
      <w:r>
        <w:rPr>
          <w:rFonts w:hint="eastAsia" w:ascii="宋体" w:hAnsi="宋体"/>
          <w:strike/>
          <w:color w:val="auto"/>
          <w:highlight w:val="none"/>
        </w:rPr>
        <w:t>已完成的类似勘察设计项目情况填入本表中，以合同签订时间为准。</w:t>
      </w:r>
      <w:r>
        <w:rPr>
          <w:rFonts w:hint="eastAsia"/>
          <w:strike/>
          <w:color w:val="auto"/>
          <w:szCs w:val="21"/>
          <w:highlight w:val="none"/>
          <w:lang w:val="zh-CN"/>
        </w:rPr>
        <w:t>类似业绩是指达到第1.2.3条所述资质方能承接的项目。</w:t>
      </w:r>
    </w:p>
    <w:p>
      <w:pPr>
        <w:spacing w:line="360" w:lineRule="auto"/>
        <w:ind w:firstLine="420" w:firstLineChars="200"/>
        <w:jc w:val="left"/>
        <w:rPr>
          <w:rFonts w:ascii="宋体" w:hAnsi="宋体"/>
          <w:strike/>
          <w:color w:val="auto"/>
          <w:highlight w:val="none"/>
        </w:rPr>
      </w:pPr>
      <w:r>
        <w:rPr>
          <w:rFonts w:hint="eastAsia" w:ascii="宋体" w:hAnsi="宋体"/>
          <w:strike/>
          <w:color w:val="auto"/>
          <w:highlight w:val="none"/>
        </w:rPr>
        <w:t>②项目概况包括：项目名称、项目等级、规模、建安费或总投资。</w:t>
      </w:r>
    </w:p>
    <w:p>
      <w:pPr>
        <w:spacing w:line="360" w:lineRule="auto"/>
        <w:ind w:firstLine="420" w:firstLineChars="200"/>
        <w:jc w:val="left"/>
        <w:rPr>
          <w:rFonts w:ascii="宋体" w:hAnsi="宋体"/>
          <w:strike/>
          <w:color w:val="auto"/>
          <w:highlight w:val="none"/>
        </w:rPr>
      </w:pPr>
      <w:r>
        <w:rPr>
          <w:rFonts w:hint="eastAsia" w:ascii="宋体" w:hAnsi="宋体"/>
          <w:strike/>
          <w:color w:val="auto"/>
          <w:highlight w:val="none"/>
        </w:rPr>
        <w:t>③完成情况：已完成施工图设计或已竣工。</w:t>
      </w:r>
    </w:p>
    <w:p>
      <w:pPr>
        <w:spacing w:line="360" w:lineRule="auto"/>
        <w:ind w:firstLine="420" w:firstLineChars="200"/>
        <w:jc w:val="left"/>
        <w:rPr>
          <w:rFonts w:ascii="宋体" w:hAnsi="宋体"/>
          <w:strike/>
          <w:color w:val="auto"/>
          <w:highlight w:val="none"/>
        </w:rPr>
      </w:pPr>
      <w:r>
        <w:rPr>
          <w:rFonts w:hint="eastAsia" w:ascii="宋体" w:hAnsi="宋体"/>
          <w:strike/>
          <w:color w:val="auto"/>
          <w:highlight w:val="none"/>
        </w:rPr>
        <w:t>④投标人应随本表出具所填项目的</w:t>
      </w:r>
      <w:r>
        <w:rPr>
          <w:rFonts w:hint="eastAsia" w:ascii="宋体" w:hAnsi="宋体"/>
          <w:strike/>
          <w:color w:val="auto"/>
          <w:szCs w:val="21"/>
          <w:highlight w:val="none"/>
          <w:u w:val="single"/>
        </w:rPr>
        <w:t>合同文本、中标通知书（或免招标证明文件）复印件，</w:t>
      </w:r>
      <w:r>
        <w:rPr>
          <w:rFonts w:hint="eastAsia" w:ascii="宋体" w:hAnsi="宋体"/>
          <w:strike/>
          <w:color w:val="auto"/>
          <w:highlight w:val="none"/>
        </w:rPr>
        <w:t>否则，招标人将不考虑投标人所填项目的业绩。合同文本应含：项目名称，甲、乙方单位名称，勘察设计工作内容、工作时间，甲、乙方单位签约人签名及单位公章等内容。</w:t>
      </w:r>
    </w:p>
    <w:p>
      <w:pPr>
        <w:spacing w:line="360" w:lineRule="auto"/>
        <w:ind w:firstLine="420" w:firstLineChars="200"/>
        <w:jc w:val="left"/>
        <w:rPr>
          <w:b/>
          <w:color w:val="auto"/>
          <w:sz w:val="24"/>
          <w:highlight w:val="none"/>
        </w:rPr>
      </w:pPr>
      <w:r>
        <w:rPr>
          <w:rFonts w:hint="eastAsia" w:ascii="宋体" w:hAnsi="宋体"/>
          <w:strike/>
          <w:color w:val="auto"/>
          <w:highlight w:val="none"/>
        </w:rPr>
        <w:t>⑤投标人所提供的证明材料，应如实反映出各勘察设计项目的建设规模，如里程、等级、桥梁跨径、长度等相关数据。</w:t>
      </w:r>
      <w:r>
        <w:rPr>
          <w:strike/>
          <w:color w:val="auto"/>
          <w:highlight w:val="none"/>
        </w:rPr>
        <w:br w:type="page"/>
      </w:r>
      <w:r>
        <w:rPr>
          <w:rFonts w:hint="eastAsia"/>
          <w:b/>
          <w:color w:val="auto"/>
          <w:sz w:val="24"/>
          <w:highlight w:val="none"/>
        </w:rPr>
        <w:t>附录</w:t>
      </w:r>
      <w:r>
        <w:rPr>
          <w:b/>
          <w:color w:val="auto"/>
          <w:sz w:val="24"/>
          <w:highlight w:val="none"/>
        </w:rPr>
        <w:t>10</w:t>
      </w:r>
    </w:p>
    <w:p>
      <w:pPr>
        <w:jc w:val="center"/>
        <w:rPr>
          <w:b/>
          <w:color w:val="auto"/>
          <w:sz w:val="32"/>
          <w:szCs w:val="32"/>
          <w:highlight w:val="none"/>
        </w:rPr>
      </w:pPr>
      <w:r>
        <w:rPr>
          <w:rFonts w:hint="eastAsia"/>
          <w:b/>
          <w:color w:val="auto"/>
          <w:sz w:val="32"/>
          <w:szCs w:val="32"/>
          <w:highlight w:val="none"/>
        </w:rPr>
        <w:t>本项目拟投入的人员基本情况表</w:t>
      </w:r>
    </w:p>
    <w:tbl>
      <w:tblPr>
        <w:tblStyle w:val="24"/>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1204"/>
        <w:gridCol w:w="1166"/>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vAlign w:val="center"/>
          </w:tcPr>
          <w:p>
            <w:pPr>
              <w:jc w:val="center"/>
              <w:rPr>
                <w:rFonts w:ascii="宋体" w:hAnsi="宋体"/>
                <w:color w:val="auto"/>
                <w:highlight w:val="none"/>
              </w:rPr>
            </w:pPr>
            <w:r>
              <w:rPr>
                <w:rFonts w:hint="eastAsia" w:ascii="宋体" w:hAnsi="宋体"/>
                <w:color w:val="auto"/>
                <w:highlight w:val="none"/>
              </w:rPr>
              <w:t>人员安排</w:t>
            </w:r>
          </w:p>
        </w:tc>
        <w:tc>
          <w:tcPr>
            <w:tcW w:w="1204" w:type="dxa"/>
            <w:vAlign w:val="center"/>
          </w:tcPr>
          <w:p>
            <w:pPr>
              <w:jc w:val="center"/>
              <w:rPr>
                <w:rFonts w:ascii="宋体" w:hAnsi="宋体"/>
                <w:color w:val="auto"/>
                <w:highlight w:val="none"/>
              </w:rPr>
            </w:pPr>
            <w:r>
              <w:rPr>
                <w:rFonts w:hint="eastAsia" w:ascii="宋体" w:hAnsi="宋体"/>
                <w:color w:val="auto"/>
                <w:highlight w:val="none"/>
              </w:rPr>
              <w:t>姓 名</w:t>
            </w:r>
          </w:p>
        </w:tc>
        <w:tc>
          <w:tcPr>
            <w:tcW w:w="1166" w:type="dxa"/>
            <w:vAlign w:val="center"/>
          </w:tcPr>
          <w:p>
            <w:pPr>
              <w:jc w:val="center"/>
              <w:rPr>
                <w:rFonts w:ascii="宋体" w:hAnsi="宋体"/>
                <w:color w:val="auto"/>
                <w:highlight w:val="none"/>
              </w:rPr>
            </w:pPr>
            <w:r>
              <w:rPr>
                <w:rFonts w:hint="eastAsia" w:ascii="宋体" w:hAnsi="宋体"/>
                <w:color w:val="auto"/>
                <w:highlight w:val="none"/>
              </w:rPr>
              <w:t>年龄</w:t>
            </w:r>
          </w:p>
        </w:tc>
        <w:tc>
          <w:tcPr>
            <w:tcW w:w="1203" w:type="dxa"/>
            <w:vAlign w:val="center"/>
          </w:tcPr>
          <w:p>
            <w:pPr>
              <w:jc w:val="center"/>
              <w:rPr>
                <w:rFonts w:ascii="宋体" w:hAnsi="宋体"/>
                <w:color w:val="auto"/>
                <w:highlight w:val="none"/>
              </w:rPr>
            </w:pPr>
            <w:r>
              <w:rPr>
                <w:rFonts w:hint="eastAsia" w:ascii="宋体" w:hAnsi="宋体"/>
                <w:color w:val="auto"/>
                <w:highlight w:val="none"/>
              </w:rPr>
              <w:t>所学专业</w:t>
            </w:r>
          </w:p>
        </w:tc>
        <w:tc>
          <w:tcPr>
            <w:tcW w:w="2001" w:type="dxa"/>
            <w:vAlign w:val="center"/>
          </w:tcPr>
          <w:p>
            <w:pPr>
              <w:jc w:val="center"/>
              <w:rPr>
                <w:rFonts w:ascii="宋体" w:hAnsi="宋体"/>
                <w:color w:val="auto"/>
                <w:highlight w:val="none"/>
              </w:rPr>
            </w:pPr>
            <w:r>
              <w:rPr>
                <w:rFonts w:hint="eastAsia" w:ascii="宋体" w:hAnsi="宋体"/>
                <w:color w:val="auto"/>
                <w:highlight w:val="none"/>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auto"/>
                <w:highlight w:val="none"/>
              </w:rPr>
            </w:pPr>
            <w:r>
              <w:rPr>
                <w:rFonts w:hint="eastAsia" w:ascii="宋体" w:hAnsi="宋体"/>
                <w:b/>
                <w:color w:val="auto"/>
                <w:highlight w:val="none"/>
              </w:rPr>
              <w:t>项目负责人</w:t>
            </w:r>
          </w:p>
        </w:tc>
        <w:tc>
          <w:tcPr>
            <w:tcW w:w="1204"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auto"/>
                <w:highlight w:val="none"/>
              </w:rPr>
            </w:pPr>
            <w:r>
              <w:rPr>
                <w:rFonts w:hint="eastAsia" w:ascii="宋体" w:hAnsi="宋体"/>
                <w:b/>
                <w:color w:val="auto"/>
                <w:highlight w:val="none"/>
              </w:rPr>
              <w:t>道路专业负责人</w:t>
            </w:r>
          </w:p>
        </w:tc>
        <w:tc>
          <w:tcPr>
            <w:tcW w:w="1204"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auto"/>
                <w:highlight w:val="none"/>
              </w:rPr>
            </w:pPr>
            <w:r>
              <w:rPr>
                <w:rFonts w:hint="eastAsia" w:ascii="宋体" w:hAnsi="宋体"/>
                <w:b/>
                <w:color w:val="auto"/>
                <w:highlight w:val="none"/>
              </w:rPr>
              <w:t>……专业负责人</w:t>
            </w:r>
          </w:p>
        </w:tc>
        <w:tc>
          <w:tcPr>
            <w:tcW w:w="1204"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auto"/>
                <w:highlight w:val="none"/>
              </w:rPr>
            </w:pPr>
            <w:r>
              <w:rPr>
                <w:rFonts w:hint="eastAsia" w:ascii="宋体" w:hAnsi="宋体"/>
                <w:b/>
                <w:color w:val="auto"/>
                <w:highlight w:val="none"/>
              </w:rPr>
              <w:t>……专业负责人</w:t>
            </w:r>
          </w:p>
        </w:tc>
        <w:tc>
          <w:tcPr>
            <w:tcW w:w="1204"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b/>
                <w:color w:val="auto"/>
                <w:highlight w:val="none"/>
              </w:rPr>
            </w:pPr>
            <w:r>
              <w:rPr>
                <w:rFonts w:hint="eastAsia" w:ascii="宋体" w:hAnsi="宋体"/>
                <w:b/>
                <w:color w:val="auto"/>
                <w:highlight w:val="none"/>
              </w:rPr>
              <w:t>……专业负责人</w:t>
            </w:r>
          </w:p>
        </w:tc>
        <w:tc>
          <w:tcPr>
            <w:tcW w:w="1204"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870" w:type="dxa"/>
            <w:vAlign w:val="center"/>
          </w:tcPr>
          <w:p>
            <w:pPr>
              <w:rPr>
                <w:rFonts w:ascii="宋体" w:hAnsi="宋体"/>
                <w:color w:val="auto"/>
                <w:highlight w:val="none"/>
              </w:rPr>
            </w:pPr>
            <w:r>
              <w:rPr>
                <w:rFonts w:hint="eastAsia" w:ascii="宋体" w:hAnsi="宋体"/>
                <w:color w:val="auto"/>
                <w:highlight w:val="none"/>
              </w:rPr>
              <w:t>…</w:t>
            </w:r>
          </w:p>
        </w:tc>
        <w:tc>
          <w:tcPr>
            <w:tcW w:w="1204" w:type="dxa"/>
            <w:vAlign w:val="center"/>
          </w:tcPr>
          <w:p>
            <w:pPr>
              <w:rPr>
                <w:rFonts w:ascii="宋体" w:hAnsi="宋体"/>
                <w:color w:val="auto"/>
                <w:highlight w:val="none"/>
              </w:rPr>
            </w:pPr>
          </w:p>
        </w:tc>
        <w:tc>
          <w:tcPr>
            <w:tcW w:w="1166" w:type="dxa"/>
          </w:tcPr>
          <w:p>
            <w:pPr>
              <w:rPr>
                <w:rFonts w:ascii="宋体" w:hAnsi="宋体"/>
                <w:color w:val="auto"/>
                <w:highlight w:val="none"/>
              </w:rPr>
            </w:pPr>
          </w:p>
        </w:tc>
        <w:tc>
          <w:tcPr>
            <w:tcW w:w="1203" w:type="dxa"/>
            <w:vAlign w:val="center"/>
          </w:tcPr>
          <w:p>
            <w:pPr>
              <w:rPr>
                <w:rFonts w:ascii="宋体" w:hAnsi="宋体"/>
                <w:color w:val="auto"/>
                <w:highlight w:val="none"/>
              </w:rPr>
            </w:pPr>
          </w:p>
        </w:tc>
        <w:tc>
          <w:tcPr>
            <w:tcW w:w="2001" w:type="dxa"/>
            <w:vAlign w:val="center"/>
          </w:tcPr>
          <w:p>
            <w:pPr>
              <w:rPr>
                <w:rFonts w:ascii="宋体" w:hAnsi="宋体"/>
                <w:color w:val="auto"/>
                <w:highlight w:val="none"/>
              </w:rPr>
            </w:pPr>
          </w:p>
        </w:tc>
      </w:tr>
    </w:tbl>
    <w:p>
      <w:pPr>
        <w:rPr>
          <w:rFonts w:ascii="宋体" w:hAnsi="宋体"/>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注：①投标人应根据招标文件要求和招标项目的实际需要，列出项目负责人及各专业负责人，如道路专业负责人</w:t>
      </w:r>
      <w:r>
        <w:rPr>
          <w:rFonts w:hint="eastAsia" w:ascii="宋体" w:hAnsi="宋体" w:cs="宋体"/>
          <w:color w:val="auto"/>
          <w:sz w:val="24"/>
          <w:highlight w:val="none"/>
        </w:rPr>
        <w:t>、给</w:t>
      </w:r>
      <w:r>
        <w:rPr>
          <w:rFonts w:hint="eastAsia" w:ascii="宋体" w:hAnsi="宋体"/>
          <w:color w:val="auto"/>
          <w:sz w:val="24"/>
          <w:highlight w:val="none"/>
        </w:rPr>
        <w:t>排水专业负责人、勘察专业负责人、工程造价专业负责人等设计专业负责人。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②投标人应按本表所列的项目负责人和专业负责人填写资历表。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③所提供的本项目投入人员必须为投标单位人员，并提供近一个月（2023年</w:t>
      </w:r>
      <w:r>
        <w:rPr>
          <w:rFonts w:hint="eastAsia" w:ascii="宋体" w:hAnsi="宋体"/>
          <w:color w:val="auto"/>
          <w:sz w:val="24"/>
          <w:highlight w:val="none"/>
          <w:lang w:val="en-US" w:eastAsia="zh-CN"/>
        </w:rPr>
        <w:t>6</w:t>
      </w:r>
      <w:r>
        <w:rPr>
          <w:rFonts w:hint="eastAsia" w:ascii="宋体" w:hAnsi="宋体"/>
          <w:color w:val="auto"/>
          <w:sz w:val="24"/>
          <w:highlight w:val="none"/>
        </w:rPr>
        <w:t>月）有效的的社保证明</w:t>
      </w:r>
      <w:bookmarkStart w:id="1" w:name="_Hlk86769989"/>
      <w:r>
        <w:rPr>
          <w:rFonts w:hint="eastAsia" w:ascii="宋体" w:hAnsi="宋体"/>
          <w:color w:val="auto"/>
          <w:sz w:val="24"/>
          <w:highlight w:val="none"/>
        </w:rPr>
        <w:t>（含分公司或分支机构社保缴纳记录）</w:t>
      </w:r>
      <w:bookmarkEnd w:id="1"/>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rPr>
        <w:t>附录11</w:t>
      </w:r>
      <w:r>
        <w:rPr>
          <w:rFonts w:hint="eastAsia" w:ascii="宋体" w:hAnsi="宋体"/>
          <w:color w:val="auto"/>
          <w:sz w:val="24"/>
          <w:highlight w:val="none"/>
        </w:rPr>
        <w:t>（本页接收投标文件时使用，结束时收回存档备查）</w:t>
      </w:r>
    </w:p>
    <w:p>
      <w:pPr>
        <w:jc w:val="center"/>
        <w:rPr>
          <w:rFonts w:ascii="宋体" w:hAnsi="宋体"/>
          <w:b/>
          <w:bCs/>
          <w:color w:val="auto"/>
          <w:sz w:val="32"/>
          <w:highlight w:val="none"/>
        </w:rPr>
      </w:pPr>
      <w:r>
        <w:rPr>
          <w:rFonts w:hint="eastAsia" w:ascii="宋体" w:hAnsi="宋体"/>
          <w:b/>
          <w:bCs/>
          <w:color w:val="auto"/>
          <w:sz w:val="32"/>
          <w:highlight w:val="none"/>
        </w:rPr>
        <w:t>投标文件接收记录表格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942"/>
        <w:gridCol w:w="1558"/>
        <w:gridCol w:w="162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20" w:type="dxa"/>
            <w:vAlign w:val="center"/>
          </w:tcPr>
          <w:p>
            <w:pPr>
              <w:jc w:val="center"/>
              <w:rPr>
                <w:rFonts w:ascii="宋体" w:hAnsi="宋体"/>
                <w:bCs/>
                <w:color w:val="auto"/>
                <w:sz w:val="24"/>
                <w:highlight w:val="none"/>
              </w:rPr>
            </w:pPr>
            <w:r>
              <w:rPr>
                <w:rFonts w:hint="eastAsia" w:ascii="宋体" w:hAnsi="宋体"/>
                <w:bCs/>
                <w:color w:val="auto"/>
                <w:sz w:val="24"/>
                <w:highlight w:val="none"/>
              </w:rPr>
              <w:t>序号</w:t>
            </w:r>
          </w:p>
        </w:tc>
        <w:tc>
          <w:tcPr>
            <w:tcW w:w="2942"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投标人名称</w:t>
            </w:r>
          </w:p>
        </w:tc>
        <w:tc>
          <w:tcPr>
            <w:tcW w:w="1558"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投标文件</w:t>
            </w:r>
          </w:p>
          <w:p>
            <w:pPr>
              <w:jc w:val="center"/>
              <w:rPr>
                <w:rFonts w:ascii="宋体" w:hAnsi="宋体"/>
                <w:bCs/>
                <w:color w:val="auto"/>
                <w:sz w:val="24"/>
                <w:highlight w:val="none"/>
              </w:rPr>
            </w:pPr>
            <w:r>
              <w:rPr>
                <w:rFonts w:hint="eastAsia" w:ascii="宋体" w:hAnsi="宋体"/>
                <w:bCs/>
                <w:color w:val="auto"/>
                <w:sz w:val="24"/>
                <w:highlight w:val="none"/>
              </w:rPr>
              <w:t>接收情况</w:t>
            </w:r>
          </w:p>
        </w:tc>
        <w:tc>
          <w:tcPr>
            <w:tcW w:w="1620"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投标人代表</w:t>
            </w:r>
          </w:p>
          <w:p>
            <w:pPr>
              <w:jc w:val="center"/>
              <w:rPr>
                <w:rFonts w:ascii="宋体" w:hAnsi="宋体"/>
                <w:bCs/>
                <w:color w:val="auto"/>
                <w:sz w:val="24"/>
                <w:highlight w:val="none"/>
              </w:rPr>
            </w:pPr>
            <w:r>
              <w:rPr>
                <w:rFonts w:hint="eastAsia" w:ascii="宋体" w:hAnsi="宋体"/>
                <w:bCs/>
                <w:color w:val="auto"/>
                <w:sz w:val="24"/>
                <w:highlight w:val="none"/>
              </w:rPr>
              <w:t>签名</w:t>
            </w:r>
          </w:p>
        </w:tc>
        <w:tc>
          <w:tcPr>
            <w:tcW w:w="1940" w:type="dxa"/>
            <w:vAlign w:val="center"/>
          </w:tcPr>
          <w:p>
            <w:pPr>
              <w:jc w:val="center"/>
              <w:rPr>
                <w:rFonts w:ascii="宋体" w:hAnsi="宋体"/>
                <w:bCs/>
                <w:color w:val="auto"/>
                <w:sz w:val="24"/>
                <w:highlight w:val="none"/>
              </w:rPr>
            </w:pPr>
            <w:r>
              <w:rPr>
                <w:rFonts w:hint="eastAsia" w:ascii="宋体" w:hAnsi="宋体"/>
                <w:bCs/>
                <w:color w:val="auto"/>
                <w:sz w:val="24"/>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auto"/>
                <w:sz w:val="24"/>
                <w:highlight w:val="none"/>
              </w:rPr>
            </w:pPr>
          </w:p>
        </w:tc>
        <w:tc>
          <w:tcPr>
            <w:tcW w:w="294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bl>
    <w:p>
      <w:pPr>
        <w:spacing w:line="360" w:lineRule="auto"/>
        <w:rPr>
          <w:rFonts w:ascii="宋体" w:hAnsi="宋体"/>
          <w:color w:val="auto"/>
          <w:sz w:val="24"/>
          <w:highlight w:val="none"/>
        </w:rPr>
      </w:pPr>
      <w:r>
        <w:rPr>
          <w:rFonts w:hint="eastAsia" w:ascii="宋体" w:hAnsi="宋体"/>
          <w:color w:val="auto"/>
          <w:sz w:val="24"/>
          <w:highlight w:val="none"/>
        </w:rPr>
        <w:t>为方便联络，请</w:t>
      </w:r>
      <w:r>
        <w:rPr>
          <w:rFonts w:hint="eastAsia" w:ascii="宋体" w:hAnsi="宋体"/>
          <w:bCs/>
          <w:color w:val="auto"/>
          <w:sz w:val="24"/>
          <w:highlight w:val="none"/>
        </w:rPr>
        <w:t>投标人代表的手机保持开启状态。</w:t>
      </w:r>
    </w:p>
    <w:p>
      <w:pPr>
        <w:spacing w:line="360" w:lineRule="auto"/>
        <w:rPr>
          <w:rFonts w:ascii="宋体" w:hAnsi="宋体"/>
          <w:color w:val="auto"/>
          <w:sz w:val="24"/>
          <w:highlight w:val="none"/>
        </w:rPr>
      </w:pPr>
      <w:r>
        <w:rPr>
          <w:rFonts w:hint="eastAsia" w:ascii="宋体" w:hAnsi="宋体"/>
          <w:color w:val="auto"/>
          <w:sz w:val="24"/>
          <w:highlight w:val="none"/>
        </w:rPr>
        <w:t>代理机构代表：            见证人：           日期：      年    月    日</w:t>
      </w:r>
    </w:p>
    <w:p>
      <w:pPr>
        <w:pStyle w:val="14"/>
        <w:jc w:val="center"/>
        <w:rPr>
          <w:rFonts w:hAnsi="宋体"/>
          <w:b/>
          <w:color w:val="auto"/>
          <w:sz w:val="32"/>
          <w:highlight w:val="none"/>
        </w:rPr>
      </w:pPr>
    </w:p>
    <w:p>
      <w:pPr>
        <w:pStyle w:val="14"/>
        <w:jc w:val="center"/>
        <w:rPr>
          <w:rFonts w:hAnsi="宋体"/>
          <w:b/>
          <w:color w:val="auto"/>
          <w:sz w:val="32"/>
          <w:highlight w:val="none"/>
        </w:rPr>
      </w:pPr>
    </w:p>
    <w:p>
      <w:pPr>
        <w:spacing w:line="360" w:lineRule="auto"/>
        <w:rPr>
          <w:rFonts w:ascii="宋体" w:hAnsi="宋体"/>
          <w:b/>
          <w:bCs/>
          <w:color w:val="auto"/>
          <w:sz w:val="24"/>
          <w:highlight w:val="none"/>
        </w:rPr>
      </w:pPr>
      <w:r>
        <w:rPr>
          <w:rFonts w:hint="eastAsia" w:ascii="宋体" w:hAnsi="宋体"/>
          <w:b/>
          <w:bCs/>
          <w:color w:val="auto"/>
          <w:sz w:val="24"/>
          <w:highlight w:val="none"/>
        </w:rPr>
        <w:t>附录1</w:t>
      </w:r>
      <w:r>
        <w:rPr>
          <w:rFonts w:ascii="宋体" w:hAnsi="宋体"/>
          <w:b/>
          <w:bCs/>
          <w:color w:val="auto"/>
          <w:sz w:val="24"/>
          <w:highlight w:val="none"/>
        </w:rPr>
        <w:t>2</w:t>
      </w:r>
    </w:p>
    <w:p>
      <w:pPr>
        <w:pStyle w:val="14"/>
        <w:jc w:val="center"/>
        <w:rPr>
          <w:rFonts w:hAnsi="宋体"/>
          <w:b/>
          <w:color w:val="auto"/>
          <w:sz w:val="32"/>
          <w:highlight w:val="none"/>
        </w:rPr>
      </w:pPr>
      <w:r>
        <w:rPr>
          <w:rFonts w:hint="eastAsia" w:hAnsi="宋体"/>
          <w:b/>
          <w:color w:val="auto"/>
          <w:sz w:val="32"/>
          <w:highlight w:val="none"/>
        </w:rPr>
        <w:t>资格审查表</w:t>
      </w:r>
    </w:p>
    <w:p>
      <w:pPr>
        <w:pStyle w:val="14"/>
        <w:rPr>
          <w:rFonts w:hAnsi="宋体"/>
          <w:b/>
          <w:color w:val="auto"/>
          <w:sz w:val="32"/>
          <w:highlight w:val="none"/>
        </w:rPr>
      </w:pPr>
      <w:r>
        <w:rPr>
          <w:rFonts w:hint="eastAsia" w:hAnsi="宋体"/>
          <w:color w:val="auto"/>
          <w:highlight w:val="none"/>
        </w:rPr>
        <w:t>项目名称：</w:t>
      </w:r>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610"/>
        <w:gridCol w:w="875"/>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序号</w:t>
            </w:r>
          </w:p>
        </w:tc>
        <w:tc>
          <w:tcPr>
            <w:tcW w:w="5610" w:type="dxa"/>
            <w:tcBorders>
              <w:tl2br w:val="single" w:color="auto" w:sz="4" w:space="0"/>
            </w:tcBorders>
          </w:tcPr>
          <w:p>
            <w:pPr>
              <w:pStyle w:val="14"/>
              <w:jc w:val="center"/>
              <w:rPr>
                <w:color w:val="auto"/>
                <w:kern w:val="2"/>
                <w:sz w:val="21"/>
                <w:szCs w:val="21"/>
                <w:highlight w:val="none"/>
              </w:rPr>
            </w:pPr>
            <w:r>
              <w:rPr>
                <w:rFonts w:hint="eastAsia"/>
                <w:color w:val="auto"/>
                <w:kern w:val="2"/>
                <w:sz w:val="21"/>
                <w:szCs w:val="21"/>
                <w:highlight w:val="none"/>
              </w:rPr>
              <w:t xml:space="preserve">                      投标人名称</w:t>
            </w:r>
          </w:p>
          <w:p>
            <w:pPr>
              <w:pStyle w:val="14"/>
              <w:rPr>
                <w:rFonts w:hAnsi="宋体"/>
                <w:b/>
                <w:color w:val="auto"/>
                <w:kern w:val="2"/>
                <w:sz w:val="21"/>
                <w:szCs w:val="21"/>
                <w:highlight w:val="none"/>
              </w:rPr>
            </w:pPr>
            <w:r>
              <w:rPr>
                <w:rFonts w:hint="eastAsia"/>
                <w:color w:val="auto"/>
                <w:kern w:val="2"/>
                <w:sz w:val="21"/>
                <w:szCs w:val="21"/>
                <w:highlight w:val="none"/>
              </w:rPr>
              <w:t>审查项目</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1</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rPr>
              <w:t>申请人参加投标的意思表达清楚，投标人代表被授权有效</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2</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rPr>
              <w:t>申请人具有独立法人资格，持有工商行政管理部门（或市场监督管理部门）核发的法人营业执照或事业单位登记机构核发的事业单位法人证书且在有效期内，按国家法律经营。</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3</w:t>
            </w:r>
          </w:p>
        </w:tc>
        <w:tc>
          <w:tcPr>
            <w:tcW w:w="5610" w:type="dxa"/>
            <w:vAlign w:val="center"/>
          </w:tcPr>
          <w:p>
            <w:pPr>
              <w:pStyle w:val="14"/>
              <w:rPr>
                <w:rFonts w:hAnsi="宋体"/>
                <w:b/>
                <w:color w:val="auto"/>
                <w:kern w:val="2"/>
                <w:sz w:val="21"/>
                <w:szCs w:val="21"/>
                <w:highlight w:val="none"/>
              </w:rPr>
            </w:pPr>
            <w:r>
              <w:rPr>
                <w:rFonts w:hint="eastAsia" w:hAnsi="宋体"/>
                <w:color w:val="auto"/>
                <w:kern w:val="2"/>
                <w:sz w:val="21"/>
                <w:szCs w:val="21"/>
                <w:highlight w:val="none"/>
              </w:rPr>
              <w:t>申请人的资质满足招标公告规定</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4</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rPr>
              <w:t>投标人拟派的专业负责人资格满足招标公告规定</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5</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rPr>
              <w:t>申请人拟派项目负责人资格满足招标公告规定</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6</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rPr>
              <w:t>申请人已在广州公共资源交易中心企业库办理企业信息登记，拟委派的项目负责人须是本企业信息登记中的在册人员。</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7</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rPr>
              <w:t>投标人没有处于被广州建设行政主管部门取消投标资格的处罚期内；</w:t>
            </w:r>
            <w:r>
              <w:rPr>
                <w:rFonts w:hAnsi="宋体"/>
                <w:color w:val="auto"/>
                <w:kern w:val="2"/>
                <w:sz w:val="21"/>
                <w:szCs w:val="21"/>
                <w:highlight w:val="none"/>
              </w:rPr>
              <w:t>未被纳入国家、市、区的失信联合惩戒名单且被限制参加财政投资工程或政府投资工程或建设工程投标的（具体名单以递交</w:t>
            </w:r>
            <w:r>
              <w:rPr>
                <w:rFonts w:hint="eastAsia" w:hAnsi="宋体"/>
                <w:color w:val="auto"/>
                <w:kern w:val="2"/>
                <w:sz w:val="21"/>
                <w:szCs w:val="21"/>
                <w:highlight w:val="none"/>
              </w:rPr>
              <w:t>投标</w:t>
            </w:r>
            <w:r>
              <w:rPr>
                <w:rFonts w:hAnsi="宋体"/>
                <w:color w:val="auto"/>
                <w:kern w:val="2"/>
                <w:sz w:val="21"/>
                <w:szCs w:val="21"/>
                <w:highlight w:val="none"/>
              </w:rPr>
              <w:t>文件截止时间“信用广州”https://credit1.gz.gov.cn/sgs/sgsXkNew公布的“失信黑名单”为准）；</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8</w:t>
            </w:r>
          </w:p>
        </w:tc>
        <w:tc>
          <w:tcPr>
            <w:tcW w:w="5610" w:type="dxa"/>
            <w:vAlign w:val="center"/>
          </w:tcPr>
          <w:p>
            <w:pPr>
              <w:pStyle w:val="14"/>
              <w:rPr>
                <w:rFonts w:hAnsi="宋体"/>
                <w:color w:val="auto"/>
                <w:kern w:val="2"/>
                <w:sz w:val="21"/>
                <w:szCs w:val="21"/>
                <w:highlight w:val="none"/>
              </w:rPr>
            </w:pPr>
            <w:r>
              <w:rPr>
                <w:rFonts w:hint="eastAsia" w:hAnsi="宋体"/>
                <w:color w:val="auto"/>
                <w:kern w:val="2"/>
                <w:sz w:val="21"/>
                <w:szCs w:val="21"/>
                <w:highlight w:val="none"/>
                <w:u w:val="single"/>
              </w:rPr>
              <w:t>以联合体形式投标的，联合体组成符合要求，并已按要求向招标人提交共同投标协议</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9</w:t>
            </w:r>
          </w:p>
        </w:tc>
        <w:tc>
          <w:tcPr>
            <w:tcW w:w="5610" w:type="dxa"/>
            <w:vAlign w:val="center"/>
          </w:tcPr>
          <w:p>
            <w:pPr>
              <w:pStyle w:val="14"/>
              <w:rPr>
                <w:rFonts w:hAnsi="宋体"/>
                <w:color w:val="auto"/>
                <w:kern w:val="2"/>
                <w:sz w:val="21"/>
                <w:szCs w:val="21"/>
                <w:highlight w:val="none"/>
                <w:u w:val="single"/>
              </w:rPr>
            </w:pPr>
            <w:r>
              <w:rPr>
                <w:rFonts w:hAnsi="宋体"/>
                <w:color w:val="auto"/>
                <w:kern w:val="2"/>
                <w:sz w:val="21"/>
                <w:szCs w:val="21"/>
                <w:highlight w:val="none"/>
              </w:rPr>
              <w:t>投标人与招标人过去3年内无合同履约纠纷，没有不得参加投标的情形。</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pStyle w:val="14"/>
              <w:jc w:val="center"/>
              <w:rPr>
                <w:rFonts w:hAnsi="宋体"/>
                <w:color w:val="auto"/>
                <w:kern w:val="2"/>
                <w:sz w:val="21"/>
                <w:szCs w:val="21"/>
                <w:highlight w:val="none"/>
              </w:rPr>
            </w:pPr>
            <w:r>
              <w:rPr>
                <w:rFonts w:hint="eastAsia" w:hAnsi="宋体"/>
                <w:color w:val="auto"/>
                <w:kern w:val="2"/>
                <w:sz w:val="21"/>
                <w:szCs w:val="21"/>
                <w:highlight w:val="none"/>
              </w:rPr>
              <w:t>结论</w:t>
            </w:r>
          </w:p>
        </w:tc>
        <w:tc>
          <w:tcPr>
            <w:tcW w:w="5610" w:type="dxa"/>
            <w:vAlign w:val="center"/>
          </w:tcPr>
          <w:p>
            <w:pPr>
              <w:pStyle w:val="14"/>
              <w:rPr>
                <w:rFonts w:hAnsi="宋体"/>
                <w:b/>
                <w:color w:val="auto"/>
                <w:kern w:val="2"/>
                <w:sz w:val="21"/>
                <w:szCs w:val="21"/>
                <w:highlight w:val="none"/>
              </w:rPr>
            </w:pPr>
            <w:r>
              <w:rPr>
                <w:rFonts w:hint="eastAsia"/>
                <w:color w:val="auto"/>
                <w:kern w:val="2"/>
                <w:sz w:val="21"/>
                <w:szCs w:val="21"/>
                <w:highlight w:val="none"/>
              </w:rPr>
              <w:t>是否通过并进入下一阶段评审</w:t>
            </w:r>
          </w:p>
        </w:tc>
        <w:tc>
          <w:tcPr>
            <w:tcW w:w="875" w:type="dxa"/>
          </w:tcPr>
          <w:p>
            <w:pPr>
              <w:pStyle w:val="14"/>
              <w:jc w:val="center"/>
              <w:rPr>
                <w:rFonts w:hAnsi="宋体"/>
                <w:b/>
                <w:color w:val="auto"/>
                <w:kern w:val="2"/>
                <w:sz w:val="32"/>
                <w:highlight w:val="none"/>
              </w:rPr>
            </w:pPr>
          </w:p>
        </w:tc>
        <w:tc>
          <w:tcPr>
            <w:tcW w:w="900" w:type="dxa"/>
          </w:tcPr>
          <w:p>
            <w:pPr>
              <w:pStyle w:val="14"/>
              <w:jc w:val="center"/>
              <w:rPr>
                <w:rFonts w:hAnsi="宋体"/>
                <w:b/>
                <w:color w:val="auto"/>
                <w:kern w:val="2"/>
                <w:sz w:val="32"/>
                <w:highlight w:val="none"/>
              </w:rPr>
            </w:pPr>
          </w:p>
        </w:tc>
        <w:tc>
          <w:tcPr>
            <w:tcW w:w="918" w:type="dxa"/>
          </w:tcPr>
          <w:p>
            <w:pPr>
              <w:pStyle w:val="14"/>
              <w:jc w:val="center"/>
              <w:rPr>
                <w:rFonts w:hAnsi="宋体"/>
                <w:b/>
                <w:color w:val="auto"/>
                <w:kern w:val="2"/>
                <w:sz w:val="32"/>
                <w:highlight w:val="none"/>
              </w:rPr>
            </w:pPr>
          </w:p>
        </w:tc>
      </w:tr>
    </w:tbl>
    <w:p>
      <w:pPr>
        <w:tabs>
          <w:tab w:val="left" w:pos="720"/>
        </w:tabs>
        <w:snapToGrid w:val="0"/>
        <w:spacing w:before="156"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56" w:beforeLines="50"/>
        <w:ind w:left="840" w:leftChars="300" w:hanging="210" w:hangingChars="1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highlight w:val="none"/>
        </w:rPr>
      </w:pPr>
    </w:p>
    <w:p>
      <w:pPr>
        <w:pStyle w:val="14"/>
        <w:rPr>
          <w:rFonts w:hAnsi="宋体"/>
          <w:b/>
          <w:color w:val="auto"/>
          <w:sz w:val="32"/>
          <w:highlight w:val="none"/>
        </w:rPr>
      </w:pPr>
      <w:r>
        <w:rPr>
          <w:rFonts w:hint="eastAsia"/>
          <w:color w:val="auto"/>
          <w:szCs w:val="21"/>
          <w:highlight w:val="none"/>
        </w:rPr>
        <w:t>评委签名：                     日期：</w:t>
      </w:r>
    </w:p>
    <w:p>
      <w:pPr>
        <w:rPr>
          <w:rFonts w:ascii="宋体" w:hAnsi="宋体"/>
          <w:color w:val="auto"/>
          <w:highlight w:val="none"/>
        </w:rPr>
        <w:sectPr>
          <w:footerReference r:id="rId6" w:type="default"/>
          <w:footerReference r:id="rId7" w:type="even"/>
          <w:type w:val="nextColumn"/>
          <w:pgSz w:w="11906" w:h="16838"/>
          <w:pgMar w:top="1418" w:right="1588" w:bottom="1418" w:left="1588" w:header="851" w:footer="992" w:gutter="0"/>
          <w:cols w:space="425" w:num="1"/>
          <w:docGrid w:type="lines" w:linePitch="312" w:charSpace="0"/>
        </w:sectPr>
      </w:pPr>
    </w:p>
    <w:p>
      <w:pPr>
        <w:pStyle w:val="14"/>
        <w:rPr>
          <w:rFonts w:hAnsi="宋体"/>
          <w:b/>
          <w:color w:val="auto"/>
          <w:sz w:val="32"/>
          <w:highlight w:val="none"/>
        </w:rPr>
      </w:pPr>
      <w:r>
        <w:rPr>
          <w:rFonts w:hint="eastAsia" w:hAnsi="宋体"/>
          <w:b/>
          <w:bCs/>
          <w:color w:val="auto"/>
          <w:sz w:val="24"/>
          <w:highlight w:val="none"/>
        </w:rPr>
        <w:t>附录1</w:t>
      </w:r>
      <w:r>
        <w:rPr>
          <w:rFonts w:hAnsi="宋体"/>
          <w:b/>
          <w:bCs/>
          <w:color w:val="auto"/>
          <w:sz w:val="24"/>
          <w:highlight w:val="none"/>
        </w:rPr>
        <w:t>3</w:t>
      </w:r>
    </w:p>
    <w:p>
      <w:pPr>
        <w:pStyle w:val="14"/>
        <w:jc w:val="center"/>
        <w:rPr>
          <w:rFonts w:hAnsi="宋体"/>
          <w:b/>
          <w:color w:val="auto"/>
          <w:sz w:val="32"/>
          <w:highlight w:val="none"/>
        </w:rPr>
      </w:pPr>
      <w:r>
        <w:rPr>
          <w:rFonts w:hint="eastAsia" w:hAnsi="宋体"/>
          <w:b/>
          <w:color w:val="auto"/>
          <w:sz w:val="32"/>
          <w:highlight w:val="none"/>
        </w:rPr>
        <w:t>商务文件有效性审查表</w:t>
      </w:r>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4"/>
        <w:tblW w:w="13965" w:type="dxa"/>
        <w:tblInd w:w="3" w:type="dxa"/>
        <w:tblLayout w:type="fixed"/>
        <w:tblCellMar>
          <w:top w:w="0" w:type="dxa"/>
          <w:left w:w="108" w:type="dxa"/>
          <w:bottom w:w="0" w:type="dxa"/>
          <w:right w:w="108" w:type="dxa"/>
        </w:tblCellMar>
      </w:tblPr>
      <w:tblGrid>
        <w:gridCol w:w="525"/>
        <w:gridCol w:w="6281"/>
        <w:gridCol w:w="1111"/>
        <w:gridCol w:w="1512"/>
        <w:gridCol w:w="1512"/>
        <w:gridCol w:w="1512"/>
        <w:gridCol w:w="1512"/>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628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投标单位</w:t>
            </w:r>
          </w:p>
          <w:p>
            <w:pPr>
              <w:rPr>
                <w:rFonts w:ascii="宋体" w:hAnsi="宋体"/>
                <w:color w:val="auto"/>
                <w:szCs w:val="21"/>
                <w:highlight w:val="none"/>
              </w:rPr>
            </w:pPr>
            <w:r>
              <w:rPr>
                <w:rFonts w:hint="eastAsia" w:ascii="宋体" w:hAnsi="宋体"/>
                <w:color w:val="auto"/>
                <w:szCs w:val="21"/>
                <w:highlight w:val="none"/>
              </w:rPr>
              <w:t>审查项目</w:t>
            </w:r>
          </w:p>
        </w:tc>
        <w:tc>
          <w:tcPr>
            <w:tcW w:w="111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ascii="宋体" w:hAnsi="宋体"/>
                <w:color w:val="auto"/>
                <w:szCs w:val="21"/>
                <w:highlight w:val="none"/>
              </w:rPr>
              <w:t>未发现投标人与招标人、评标委员会成员或者其他投标人串通投标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2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u w:val="single"/>
              </w:rPr>
            </w:pPr>
            <w:r>
              <w:rPr>
                <w:rFonts w:hint="eastAsia" w:ascii="宋体" w:hAnsi="宋体"/>
                <w:color w:val="auto"/>
                <w:szCs w:val="21"/>
                <w:highlight w:val="none"/>
                <w:u w:val="single"/>
              </w:rPr>
              <w:t>不存在与其他投标人加密打包投标文件的电脑机器特征码一致的情况。</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p>
            <w:pPr>
              <w:jc w:val="cente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《投标书》已盖投标人公章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《投标书》已有法定代表人或者其授权代表签名</w:t>
            </w:r>
            <w:r>
              <w:rPr>
                <w:rFonts w:hint="eastAsia" w:ascii="宋体" w:hAnsi="宋体" w:cs="宋体"/>
                <w:color w:val="auto"/>
                <w:szCs w:val="21"/>
                <w:highlight w:val="none"/>
              </w:rPr>
              <w:t>或盖章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《投标书》没有招标人不能接受的偏差（或出现偏差时已同意书面撤回偏差）</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《投标书》按招标文件规定的格式填写，没有出现内容不全或者关键字迹模糊无法辨认</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未发现证明材料弄虚作假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按第三章投标文件编制要求编制投标文件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按照要求（必要时）对投标文件进行澄清、说明或者补正</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按照招标文件要求进行投标报价</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color w:val="auto"/>
                <w:szCs w:val="21"/>
                <w:highlight w:val="none"/>
              </w:rPr>
              <w:t>是否通过并进入下一阶段评审</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tabs>
          <w:tab w:val="left" w:pos="720"/>
        </w:tabs>
        <w:snapToGrid w:val="0"/>
        <w:spacing w:before="156"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spacing w:line="360" w:lineRule="auto"/>
        <w:rPr>
          <w:rFonts w:ascii="宋体" w:hAnsi="宋体"/>
          <w:b/>
          <w:bCs/>
          <w:color w:val="auto"/>
          <w:highlight w:val="none"/>
        </w:rPr>
      </w:pPr>
      <w:r>
        <w:rPr>
          <w:rFonts w:hint="eastAsia"/>
          <w:color w:val="auto"/>
          <w:szCs w:val="21"/>
          <w:highlight w:val="none"/>
        </w:rPr>
        <w:t>评委签名：                     日期：</w:t>
      </w:r>
    </w:p>
    <w:p>
      <w:pPr>
        <w:widowControl/>
        <w:jc w:val="left"/>
        <w:rPr>
          <w:rFonts w:ascii="宋体" w:hAnsi="宋体"/>
          <w:b/>
          <w:bCs/>
          <w:dstrike/>
          <w:color w:val="auto"/>
          <w:highlight w:val="none"/>
        </w:rPr>
      </w:pPr>
    </w:p>
    <w:p>
      <w:pPr>
        <w:widowControl/>
        <w:jc w:val="left"/>
        <w:rPr>
          <w:rFonts w:ascii="宋体" w:hAnsi="宋体"/>
          <w:b/>
          <w:bCs/>
          <w:strike/>
          <w:dstrike w:val="0"/>
          <w:color w:val="auto"/>
          <w:highlight w:val="none"/>
        </w:rPr>
      </w:pPr>
      <w:r>
        <w:rPr>
          <w:rFonts w:hint="eastAsia" w:ascii="宋体" w:hAnsi="宋体"/>
          <w:b/>
          <w:bCs/>
          <w:strike/>
          <w:dstrike w:val="0"/>
          <w:color w:val="auto"/>
          <w:highlight w:val="none"/>
        </w:rPr>
        <w:t>附录1</w:t>
      </w:r>
      <w:r>
        <w:rPr>
          <w:rFonts w:ascii="宋体" w:hAnsi="宋体"/>
          <w:b/>
          <w:bCs/>
          <w:strike/>
          <w:dstrike w:val="0"/>
          <w:color w:val="auto"/>
          <w:highlight w:val="none"/>
        </w:rPr>
        <w:t>4</w:t>
      </w:r>
      <w:r>
        <w:rPr>
          <w:rFonts w:hint="eastAsia" w:ascii="宋体" w:hAnsi="宋体"/>
          <w:b/>
          <w:bCs/>
          <w:strike/>
          <w:dstrike w:val="0"/>
          <w:color w:val="auto"/>
          <w:highlight w:val="none"/>
        </w:rPr>
        <w:t>（</w:t>
      </w:r>
      <w:r>
        <w:rPr>
          <w:rFonts w:hint="eastAsia" w:ascii="宋体" w:hAnsi="宋体"/>
          <w:strike/>
          <w:dstrike w:val="0"/>
          <w:color w:val="auto"/>
          <w:sz w:val="24"/>
          <w:highlight w:val="none"/>
        </w:rPr>
        <w:t>适用于综合评分法</w:t>
      </w:r>
      <w:r>
        <w:rPr>
          <w:rFonts w:hint="eastAsia" w:ascii="宋体" w:hAnsi="宋体"/>
          <w:b/>
          <w:bCs/>
          <w:strike/>
          <w:dstrike w:val="0"/>
          <w:color w:val="auto"/>
          <w:highlight w:val="none"/>
        </w:rPr>
        <w:t>）</w:t>
      </w:r>
    </w:p>
    <w:p>
      <w:pPr>
        <w:spacing w:line="360" w:lineRule="auto"/>
        <w:jc w:val="center"/>
        <w:rPr>
          <w:rFonts w:ascii="宋体" w:hAnsi="宋体"/>
          <w:b/>
          <w:bCs/>
          <w:strike/>
          <w:dstrike w:val="0"/>
          <w:color w:val="auto"/>
          <w:sz w:val="32"/>
          <w:szCs w:val="32"/>
          <w:highlight w:val="none"/>
        </w:rPr>
      </w:pPr>
      <w:r>
        <w:rPr>
          <w:rFonts w:hint="eastAsia" w:ascii="宋体" w:hAnsi="宋体"/>
          <w:b/>
          <w:bCs/>
          <w:strike/>
          <w:dstrike w:val="0"/>
          <w:color w:val="auto"/>
          <w:sz w:val="32"/>
          <w:szCs w:val="32"/>
          <w:highlight w:val="none"/>
        </w:rPr>
        <w:t>商务文件综合评分表</w:t>
      </w:r>
    </w:p>
    <w:p>
      <w:pPr>
        <w:pStyle w:val="50"/>
        <w:wordWrap w:val="0"/>
        <w:topLinePunct/>
        <w:spacing w:line="360" w:lineRule="auto"/>
        <w:jc w:val="left"/>
        <w:rPr>
          <w:strike/>
          <w:dstrike w:val="0"/>
          <w:color w:val="auto"/>
          <w:highlight w:val="none"/>
          <w:u w:val="single"/>
        </w:rPr>
      </w:pPr>
      <w:r>
        <w:rPr>
          <w:rFonts w:hint="eastAsia" w:ascii="宋体" w:hAnsi="宋体"/>
          <w:strike/>
          <w:dstrike w:val="0"/>
          <w:color w:val="auto"/>
          <w:highlight w:val="none"/>
        </w:rPr>
        <w:t>项目名称：</w:t>
      </w:r>
      <w:bookmarkStart w:id="2" w:name="OLE_LINK1"/>
      <w:r>
        <w:rPr>
          <w:rFonts w:hint="eastAsia" w:ascii="宋体" w:hAnsi="宋体"/>
          <w:strike/>
          <w:dstrike w:val="0"/>
          <w:color w:val="auto"/>
          <w:highlight w:val="none"/>
          <w:u w:val="single"/>
        </w:rPr>
        <w:t xml:space="preserve">                                   </w:t>
      </w:r>
      <w:bookmarkEnd w:id="2"/>
      <w:r>
        <w:rPr>
          <w:rFonts w:hint="eastAsia" w:ascii="宋体" w:hAnsi="宋体"/>
          <w:strike/>
          <w:dstrike w:val="0"/>
          <w:color w:val="auto"/>
          <w:highlight w:val="none"/>
        </w:rPr>
        <w:t xml:space="preserve">     </w:t>
      </w:r>
      <w:r>
        <w:rPr>
          <w:rFonts w:hint="eastAsia" w:ascii="宋体" w:cs="宋体"/>
          <w:strike/>
          <w:dstrike w:val="0"/>
          <w:color w:val="auto"/>
          <w:szCs w:val="21"/>
          <w:highlight w:val="none"/>
          <w:lang w:val="zh-CN"/>
        </w:rPr>
        <w:t>投标单位名称：</w:t>
      </w:r>
      <w:r>
        <w:rPr>
          <w:rFonts w:hint="eastAsia" w:ascii="宋体" w:hAnsi="宋体"/>
          <w:strike/>
          <w:dstrike w:val="0"/>
          <w:color w:val="auto"/>
          <w:highlight w:val="none"/>
          <w:u w:val="single"/>
        </w:rPr>
        <w:t xml:space="preserve">                                   </w:t>
      </w:r>
    </w:p>
    <w:tbl>
      <w:tblPr>
        <w:tblStyle w:val="24"/>
        <w:tblW w:w="13498" w:type="dxa"/>
        <w:tblInd w:w="108" w:type="dxa"/>
        <w:tblLayout w:type="fixed"/>
        <w:tblCellMar>
          <w:top w:w="0" w:type="dxa"/>
          <w:left w:w="108" w:type="dxa"/>
          <w:bottom w:w="0" w:type="dxa"/>
          <w:right w:w="108" w:type="dxa"/>
        </w:tblCellMar>
      </w:tblPr>
      <w:tblGrid>
        <w:gridCol w:w="487"/>
        <w:gridCol w:w="804"/>
        <w:gridCol w:w="958"/>
        <w:gridCol w:w="8508"/>
        <w:gridCol w:w="1603"/>
        <w:gridCol w:w="569"/>
        <w:gridCol w:w="569"/>
      </w:tblGrid>
      <w:tr>
        <w:tblPrEx>
          <w:tblCellMar>
            <w:top w:w="0" w:type="dxa"/>
            <w:left w:w="108" w:type="dxa"/>
            <w:bottom w:w="0" w:type="dxa"/>
            <w:right w:w="108" w:type="dxa"/>
          </w:tblCellMar>
        </w:tblPrEx>
        <w:trPr>
          <w:trHeight w:val="1066" w:hRule="atLeast"/>
        </w:trPr>
        <w:tc>
          <w:tcPr>
            <w:tcW w:w="4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r>
              <w:rPr>
                <w:rFonts w:hint="eastAsia" w:ascii="宋体" w:cs="宋体"/>
                <w:strike/>
                <w:dstrike w:val="0"/>
                <w:color w:val="auto"/>
                <w:szCs w:val="21"/>
                <w:highlight w:val="none"/>
                <w:lang w:val="zh-CN"/>
              </w:rPr>
              <w:t>序号</w:t>
            </w:r>
          </w:p>
        </w:tc>
        <w:tc>
          <w:tcPr>
            <w:tcW w:w="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r>
              <w:rPr>
                <w:rFonts w:hint="eastAsia" w:ascii="宋体" w:cs="宋体"/>
                <w:strike/>
                <w:dstrike w:val="0"/>
                <w:color w:val="auto"/>
                <w:szCs w:val="21"/>
                <w:highlight w:val="none"/>
                <w:lang w:val="zh-CN"/>
              </w:rPr>
              <w:t>项目</w:t>
            </w:r>
          </w:p>
        </w:tc>
        <w:tc>
          <w:tcPr>
            <w:tcW w:w="9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strike/>
                <w:dstrike w:val="0"/>
                <w:color w:val="auto"/>
                <w:szCs w:val="21"/>
                <w:highlight w:val="none"/>
              </w:rPr>
            </w:pPr>
            <w:r>
              <w:rPr>
                <w:rFonts w:hint="eastAsia" w:ascii="宋体" w:cs="宋体"/>
                <w:strike/>
                <w:dstrike w:val="0"/>
                <w:color w:val="auto"/>
                <w:szCs w:val="21"/>
                <w:highlight w:val="none"/>
                <w:lang w:val="zh-CN"/>
              </w:rPr>
              <w:t>分值分配</w:t>
            </w:r>
          </w:p>
        </w:tc>
        <w:tc>
          <w:tcPr>
            <w:tcW w:w="85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r>
              <w:rPr>
                <w:rFonts w:hint="eastAsia" w:ascii="宋体" w:cs="宋体"/>
                <w:strike/>
                <w:dstrike w:val="0"/>
                <w:color w:val="auto"/>
                <w:szCs w:val="21"/>
                <w:highlight w:val="none"/>
                <w:lang w:val="zh-CN"/>
              </w:rPr>
              <w:t>内</w:t>
            </w:r>
            <w:r>
              <w:rPr>
                <w:strike/>
                <w:dstrike w:val="0"/>
                <w:color w:val="auto"/>
                <w:szCs w:val="21"/>
                <w:highlight w:val="none"/>
              </w:rPr>
              <w:t xml:space="preserve">     </w:t>
            </w:r>
            <w:r>
              <w:rPr>
                <w:rFonts w:hint="eastAsia" w:ascii="宋体" w:cs="宋体"/>
                <w:strike/>
                <w:dstrike w:val="0"/>
                <w:color w:val="auto"/>
                <w:szCs w:val="21"/>
                <w:highlight w:val="none"/>
                <w:lang w:val="zh-CN"/>
              </w:rPr>
              <w:t>容</w:t>
            </w: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r>
              <w:rPr>
                <w:rFonts w:hint="eastAsia"/>
                <w:strike/>
                <w:dstrike w:val="0"/>
                <w:color w:val="auto"/>
                <w:szCs w:val="21"/>
                <w:highlight w:val="none"/>
                <w:lang w:val="zh-CN"/>
              </w:rPr>
              <w:t>评分细项</w:t>
            </w:r>
          </w:p>
        </w:tc>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lang w:val="zh-CN"/>
              </w:rPr>
            </w:pPr>
            <w:r>
              <w:rPr>
                <w:rFonts w:hint="eastAsia"/>
                <w:strike/>
                <w:dstrike w:val="0"/>
                <w:color w:val="auto"/>
                <w:szCs w:val="21"/>
                <w:highlight w:val="none"/>
                <w:lang w:val="zh-CN"/>
              </w:rPr>
              <w:t>投标人1</w:t>
            </w: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strike/>
                <w:dstrike w:val="0"/>
                <w:color w:val="auto"/>
                <w:szCs w:val="21"/>
                <w:highlight w:val="none"/>
                <w:lang w:val="zh-CN"/>
              </w:rPr>
            </w:pPr>
            <w:r>
              <w:rPr>
                <w:rFonts w:hint="eastAsia"/>
                <w:strike/>
                <w:dstrike w:val="0"/>
                <w:color w:val="auto"/>
                <w:szCs w:val="21"/>
                <w:highlight w:val="none"/>
                <w:lang w:val="zh-CN"/>
              </w:rPr>
              <w:t>投标人2</w:t>
            </w:r>
          </w:p>
        </w:tc>
      </w:tr>
      <w:tr>
        <w:tblPrEx>
          <w:tblCellMar>
            <w:top w:w="0" w:type="dxa"/>
            <w:left w:w="108" w:type="dxa"/>
            <w:bottom w:w="0" w:type="dxa"/>
            <w:right w:w="108" w:type="dxa"/>
          </w:tblCellMar>
        </w:tblPrEx>
        <w:trPr>
          <w:trHeight w:val="404" w:hRule="atLeast"/>
        </w:trPr>
        <w:tc>
          <w:tcPr>
            <w:tcW w:w="487"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tcBorders>
              <w:top w:val="single" w:color="auto" w:sz="6" w:space="0"/>
              <w:left w:val="single" w:color="auto" w:sz="6" w:space="0"/>
              <w:right w:val="single" w:color="auto" w:sz="6" w:space="0"/>
            </w:tcBorders>
            <w:vAlign w:val="center"/>
          </w:tcPr>
          <w:p>
            <w:pPr>
              <w:autoSpaceDE w:val="0"/>
              <w:autoSpaceDN w:val="0"/>
              <w:adjustRightInd w:val="0"/>
              <w:spacing w:line="240" w:lineRule="exact"/>
              <w:jc w:val="center"/>
              <w:rPr>
                <w:rFonts w:ascii="宋体" w:cs="宋体"/>
                <w:strike/>
                <w:dstrike w:val="0"/>
                <w:color w:val="auto"/>
                <w:szCs w:val="21"/>
                <w:highlight w:val="none"/>
                <w:lang w:val="zh-CN"/>
              </w:rPr>
            </w:pPr>
          </w:p>
        </w:tc>
        <w:tc>
          <w:tcPr>
            <w:tcW w:w="958"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rFonts w:ascii="宋体" w:hAnsi="宋体"/>
                <w:strike/>
                <w:dstrike w:val="0"/>
                <w:color w:val="auto"/>
                <w:szCs w:val="21"/>
                <w:highlight w:val="none"/>
              </w:rPr>
            </w:pPr>
          </w:p>
        </w:tc>
        <w:tc>
          <w:tcPr>
            <w:tcW w:w="8508" w:type="dxa"/>
            <w:tcBorders>
              <w:top w:val="single" w:color="auto" w:sz="6" w:space="0"/>
              <w:left w:val="single" w:color="auto" w:sz="6" w:space="0"/>
              <w:bottom w:val="single" w:color="auto" w:sz="6" w:space="0"/>
              <w:right w:val="single" w:color="auto" w:sz="6" w:space="0"/>
            </w:tcBorders>
            <w:vAlign w:val="center"/>
          </w:tcPr>
          <w:p>
            <w:pPr>
              <w:spacing w:line="300" w:lineRule="auto"/>
              <w:jc w:val="left"/>
              <w:rPr>
                <w:rFonts w:ascii="宋体" w:cs="宋体"/>
                <w:strike/>
                <w:dstrike w:val="0"/>
                <w:color w:val="auto"/>
                <w:szCs w:val="21"/>
                <w:highlight w:val="none"/>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400" w:lineRule="exact"/>
              <w:jc w:val="center"/>
              <w:rPr>
                <w:strike/>
                <w:dstrike w:val="0"/>
                <w:color w:val="auto"/>
                <w:szCs w:val="21"/>
                <w:highlight w:val="none"/>
                <w:lang w:val="zh-CN"/>
              </w:rPr>
            </w:pPr>
          </w:p>
        </w:tc>
      </w:tr>
      <w:tr>
        <w:tblPrEx>
          <w:tblCellMar>
            <w:top w:w="0" w:type="dxa"/>
            <w:left w:w="108" w:type="dxa"/>
            <w:bottom w:w="0" w:type="dxa"/>
            <w:right w:w="108" w:type="dxa"/>
          </w:tblCellMar>
        </w:tblPrEx>
        <w:trPr>
          <w:trHeight w:val="699" w:hRule="atLeast"/>
        </w:trPr>
        <w:tc>
          <w:tcPr>
            <w:tcW w:w="487" w:type="dxa"/>
            <w:vMerge w:val="restart"/>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vMerge w:val="restart"/>
            <w:tcBorders>
              <w:left w:val="single" w:color="auto" w:sz="6" w:space="0"/>
              <w:right w:val="single" w:color="auto" w:sz="6" w:space="0"/>
            </w:tcBorders>
            <w:vAlign w:val="center"/>
          </w:tcPr>
          <w:p>
            <w:pPr>
              <w:autoSpaceDE w:val="0"/>
              <w:autoSpaceDN w:val="0"/>
              <w:adjustRightInd w:val="0"/>
              <w:spacing w:line="240" w:lineRule="exact"/>
              <w:jc w:val="center"/>
              <w:rPr>
                <w:rFonts w:ascii="宋体" w:cs="宋体"/>
                <w:strike/>
                <w:dstrike w:val="0"/>
                <w:color w:val="auto"/>
                <w:szCs w:val="21"/>
                <w:highlight w:val="none"/>
                <w:lang w:val="zh-CN"/>
              </w:rPr>
            </w:pPr>
          </w:p>
        </w:tc>
        <w:tc>
          <w:tcPr>
            <w:tcW w:w="958" w:type="dxa"/>
            <w:vMerge w:val="restart"/>
            <w:tcBorders>
              <w:left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8508" w:type="dxa"/>
            <w:vMerge w:val="restart"/>
            <w:tcBorders>
              <w:left w:val="single" w:color="auto" w:sz="6" w:space="0"/>
              <w:right w:val="single" w:color="auto" w:sz="6" w:space="0"/>
            </w:tcBorders>
            <w:vAlign w:val="center"/>
          </w:tcPr>
          <w:p>
            <w:pPr>
              <w:autoSpaceDE w:val="0"/>
              <w:autoSpaceDN w:val="0"/>
              <w:adjustRightInd w:val="0"/>
              <w:spacing w:line="280" w:lineRule="exact"/>
              <w:rPr>
                <w:strike/>
                <w:dstrike w:val="0"/>
                <w:color w:val="auto"/>
                <w:szCs w:val="21"/>
                <w:highlight w:val="none"/>
              </w:rPr>
            </w:pPr>
          </w:p>
        </w:tc>
        <w:tc>
          <w:tcPr>
            <w:tcW w:w="16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trike/>
                <w:dstrike w:val="0"/>
                <w:color w:val="auto"/>
                <w:szCs w:val="21"/>
                <w:highlight w:val="none"/>
                <w:lang w:val="zh-CN"/>
              </w:rPr>
            </w:pPr>
          </w:p>
        </w:tc>
      </w:tr>
      <w:tr>
        <w:tblPrEx>
          <w:tblCellMar>
            <w:top w:w="0" w:type="dxa"/>
            <w:left w:w="108" w:type="dxa"/>
            <w:bottom w:w="0" w:type="dxa"/>
            <w:right w:w="108" w:type="dxa"/>
          </w:tblCellMar>
        </w:tblPrEx>
        <w:trPr>
          <w:trHeight w:val="404" w:hRule="atLeast"/>
        </w:trPr>
        <w:tc>
          <w:tcPr>
            <w:tcW w:w="48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strike/>
                <w:dstrike w:val="0"/>
                <w:color w:val="auto"/>
                <w:szCs w:val="21"/>
                <w:highlight w:val="none"/>
                <w:lang w:val="zh-CN"/>
              </w:rPr>
            </w:pPr>
          </w:p>
        </w:tc>
        <w:tc>
          <w:tcPr>
            <w:tcW w:w="95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850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80" w:lineRule="exact"/>
              <w:rPr>
                <w:strike/>
                <w:dstrike w:val="0"/>
                <w:color w:val="auto"/>
                <w:szCs w:val="21"/>
                <w:highlight w:val="none"/>
              </w:rPr>
            </w:pPr>
          </w:p>
        </w:tc>
        <w:tc>
          <w:tcPr>
            <w:tcW w:w="16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trike/>
                <w:dstrike w:val="0"/>
                <w:color w:val="auto"/>
                <w:szCs w:val="21"/>
                <w:highlight w:val="none"/>
                <w:lang w:val="zh-CN"/>
              </w:rPr>
            </w:pPr>
          </w:p>
        </w:tc>
      </w:tr>
      <w:tr>
        <w:tblPrEx>
          <w:tblCellMar>
            <w:top w:w="0" w:type="dxa"/>
            <w:left w:w="108" w:type="dxa"/>
            <w:bottom w:w="0" w:type="dxa"/>
            <w:right w:w="108" w:type="dxa"/>
          </w:tblCellMar>
        </w:tblPrEx>
        <w:trPr>
          <w:trHeight w:val="458" w:hRule="atLeast"/>
        </w:trPr>
        <w:tc>
          <w:tcPr>
            <w:tcW w:w="4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宋体"/>
                <w:strike/>
                <w:dstrike w:val="0"/>
                <w:color w:val="auto"/>
                <w:szCs w:val="21"/>
                <w:highlight w:val="none"/>
                <w:lang w:val="zh-CN"/>
              </w:rPr>
            </w:pPr>
          </w:p>
        </w:tc>
        <w:tc>
          <w:tcPr>
            <w:tcW w:w="9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strike/>
                <w:dstrike w:val="0"/>
                <w:color w:val="auto"/>
                <w:szCs w:val="21"/>
                <w:highlight w:val="none"/>
              </w:rPr>
            </w:pPr>
          </w:p>
        </w:tc>
        <w:tc>
          <w:tcPr>
            <w:tcW w:w="85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rPr>
                <w:strike/>
                <w:dstrike w:val="0"/>
                <w:color w:val="auto"/>
                <w:szCs w:val="21"/>
                <w:highlight w:val="none"/>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lang w:val="zh-CN"/>
              </w:rPr>
            </w:pPr>
          </w:p>
        </w:tc>
        <w:tc>
          <w:tcPr>
            <w:tcW w:w="569"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lang w:val="zh-CN"/>
              </w:rPr>
            </w:pPr>
          </w:p>
        </w:tc>
      </w:tr>
      <w:tr>
        <w:tblPrEx>
          <w:tblCellMar>
            <w:top w:w="0" w:type="dxa"/>
            <w:left w:w="108" w:type="dxa"/>
            <w:bottom w:w="0" w:type="dxa"/>
            <w:right w:w="108" w:type="dxa"/>
          </w:tblCellMar>
        </w:tblPrEx>
        <w:trPr>
          <w:trHeight w:val="523" w:hRule="atLeast"/>
        </w:trPr>
        <w:tc>
          <w:tcPr>
            <w:tcW w:w="487"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958"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260" w:lineRule="exact"/>
              <w:jc w:val="center"/>
              <w:rPr>
                <w:strike/>
                <w:dstrike w:val="0"/>
                <w:color w:val="auto"/>
                <w:szCs w:val="21"/>
                <w:highlight w:val="none"/>
              </w:rPr>
            </w:pPr>
          </w:p>
        </w:tc>
        <w:tc>
          <w:tcPr>
            <w:tcW w:w="8508"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260" w:lineRule="exact"/>
              <w:rPr>
                <w:rFonts w:ascii="宋体" w:cs="宋体"/>
                <w:strike/>
                <w:dstrike w:val="0"/>
                <w:color w:val="auto"/>
                <w:szCs w:val="21"/>
                <w:highlight w:val="none"/>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rPr>
            </w:pPr>
          </w:p>
        </w:tc>
      </w:tr>
      <w:tr>
        <w:tblPrEx>
          <w:tblCellMar>
            <w:top w:w="0" w:type="dxa"/>
            <w:left w:w="108" w:type="dxa"/>
            <w:bottom w:w="0" w:type="dxa"/>
            <w:right w:w="108" w:type="dxa"/>
          </w:tblCellMar>
        </w:tblPrEx>
        <w:trPr>
          <w:trHeight w:val="523" w:hRule="atLeast"/>
        </w:trPr>
        <w:tc>
          <w:tcPr>
            <w:tcW w:w="487"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804"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strike/>
                <w:dstrike w:val="0"/>
                <w:color w:val="auto"/>
                <w:szCs w:val="21"/>
                <w:highlight w:val="none"/>
                <w:lang w:val="zh-CN"/>
              </w:rPr>
            </w:pPr>
          </w:p>
        </w:tc>
        <w:tc>
          <w:tcPr>
            <w:tcW w:w="958" w:type="dxa"/>
            <w:vMerge w:val="continue"/>
            <w:tcBorders>
              <w:left w:val="single" w:color="auto" w:sz="6" w:space="0"/>
              <w:right w:val="single" w:color="auto" w:sz="4" w:space="0"/>
            </w:tcBorders>
            <w:vAlign w:val="center"/>
          </w:tcPr>
          <w:p>
            <w:pPr>
              <w:autoSpaceDE w:val="0"/>
              <w:autoSpaceDN w:val="0"/>
              <w:adjustRightInd w:val="0"/>
              <w:spacing w:line="260" w:lineRule="exact"/>
              <w:jc w:val="center"/>
              <w:rPr>
                <w:rFonts w:ascii="宋体" w:hAnsi="宋体" w:cs="宋体"/>
                <w:strike/>
                <w:dstrike w:val="0"/>
                <w:color w:val="auto"/>
                <w:szCs w:val="21"/>
                <w:highlight w:val="none"/>
              </w:rPr>
            </w:pPr>
          </w:p>
        </w:tc>
        <w:tc>
          <w:tcPr>
            <w:tcW w:w="8508" w:type="dxa"/>
            <w:tcBorders>
              <w:top w:val="single" w:color="auto" w:sz="4" w:space="0"/>
              <w:left w:val="single" w:color="auto" w:sz="4" w:space="0"/>
              <w:right w:val="single" w:color="auto" w:sz="6" w:space="0"/>
            </w:tcBorders>
            <w:vAlign w:val="center"/>
          </w:tcPr>
          <w:p>
            <w:pPr>
              <w:autoSpaceDE w:val="0"/>
              <w:autoSpaceDN w:val="0"/>
              <w:adjustRightInd w:val="0"/>
              <w:spacing w:line="260" w:lineRule="exact"/>
              <w:rPr>
                <w:rFonts w:ascii="宋体" w:cs="宋体"/>
                <w:strike/>
                <w:dstrike w:val="0"/>
                <w:color w:val="auto"/>
                <w:szCs w:val="21"/>
                <w:highlight w:val="none"/>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strike/>
                <w:dstrike w:val="0"/>
                <w:color w:val="auto"/>
                <w:szCs w:val="21"/>
                <w:highlight w:val="none"/>
              </w:rPr>
            </w:pPr>
          </w:p>
        </w:tc>
      </w:tr>
      <w:tr>
        <w:tblPrEx>
          <w:tblCellMar>
            <w:top w:w="0" w:type="dxa"/>
            <w:left w:w="108" w:type="dxa"/>
            <w:bottom w:w="0" w:type="dxa"/>
            <w:right w:w="108" w:type="dxa"/>
          </w:tblCellMar>
        </w:tblPrEx>
        <w:trPr>
          <w:trHeight w:val="373" w:hRule="atLeast"/>
        </w:trPr>
        <w:tc>
          <w:tcPr>
            <w:tcW w:w="129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strike/>
                <w:dstrike w:val="0"/>
                <w:color w:val="auto"/>
                <w:szCs w:val="21"/>
                <w:highlight w:val="none"/>
              </w:rPr>
            </w:pPr>
            <w:r>
              <w:rPr>
                <w:rFonts w:hint="eastAsia" w:ascii="宋体" w:cs="宋体"/>
                <w:strike/>
                <w:dstrike w:val="0"/>
                <w:color w:val="auto"/>
                <w:szCs w:val="21"/>
                <w:highlight w:val="none"/>
                <w:lang w:val="zh-CN"/>
              </w:rPr>
              <w:t>总计</w:t>
            </w:r>
          </w:p>
        </w:tc>
        <w:tc>
          <w:tcPr>
            <w:tcW w:w="95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strike/>
                <w:dstrike w:val="0"/>
                <w:color w:val="auto"/>
                <w:szCs w:val="21"/>
                <w:highlight w:val="none"/>
              </w:rPr>
            </w:pPr>
          </w:p>
        </w:tc>
        <w:tc>
          <w:tcPr>
            <w:tcW w:w="10111"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strike/>
                <w:dstrike w:val="0"/>
                <w:color w:val="auto"/>
                <w:szCs w:val="21"/>
                <w:highlight w:val="none"/>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strike/>
                <w:dstrike w:val="0"/>
                <w:color w:val="auto"/>
                <w:szCs w:val="21"/>
                <w:highlight w:val="none"/>
              </w:rPr>
            </w:pPr>
          </w:p>
        </w:tc>
      </w:tr>
      <w:tr>
        <w:tblPrEx>
          <w:tblCellMar>
            <w:top w:w="0" w:type="dxa"/>
            <w:left w:w="108" w:type="dxa"/>
            <w:bottom w:w="0" w:type="dxa"/>
            <w:right w:w="108" w:type="dxa"/>
          </w:tblCellMar>
        </w:tblPrEx>
        <w:trPr>
          <w:trHeight w:val="495" w:hRule="atLeast"/>
        </w:trPr>
        <w:tc>
          <w:tcPr>
            <w:tcW w:w="129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cs="宋体"/>
                <w:strike/>
                <w:dstrike w:val="0"/>
                <w:color w:val="auto"/>
                <w:szCs w:val="21"/>
                <w:highlight w:val="none"/>
                <w:lang w:val="zh-CN"/>
              </w:rPr>
            </w:pPr>
            <w:r>
              <w:rPr>
                <w:rFonts w:hint="eastAsia" w:ascii="宋体" w:cs="宋体"/>
                <w:strike/>
                <w:dstrike w:val="0"/>
                <w:color w:val="auto"/>
                <w:szCs w:val="21"/>
                <w:highlight w:val="none"/>
                <w:lang w:val="zh-CN"/>
              </w:rPr>
              <w:t>评审人员</w:t>
            </w:r>
          </w:p>
        </w:tc>
        <w:tc>
          <w:tcPr>
            <w:tcW w:w="1220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strike/>
                <w:dstrike w:val="0"/>
                <w:color w:val="auto"/>
                <w:szCs w:val="21"/>
                <w:highlight w:val="none"/>
              </w:rPr>
            </w:pPr>
          </w:p>
        </w:tc>
      </w:tr>
    </w:tbl>
    <w:p>
      <w:pPr>
        <w:widowControl/>
        <w:jc w:val="left"/>
        <w:rPr>
          <w:rFonts w:ascii="宋体" w:hAnsi="宋体"/>
          <w:b/>
          <w:bCs/>
          <w:strike/>
          <w:dstrike w:val="0"/>
          <w:color w:val="auto"/>
          <w:kern w:val="0"/>
          <w:sz w:val="24"/>
          <w:szCs w:val="20"/>
          <w:highlight w:val="none"/>
        </w:rPr>
      </w:pPr>
      <w:r>
        <w:rPr>
          <w:rFonts w:hint="eastAsia" w:ascii="宋体" w:hAnsi="宋体"/>
          <w:strike/>
          <w:dstrike w:val="0"/>
          <w:color w:val="auto"/>
          <w:highlight w:val="none"/>
        </w:rPr>
        <w:t>注：</w:t>
      </w:r>
    </w:p>
    <w:p>
      <w:pPr>
        <w:pStyle w:val="14"/>
        <w:rPr>
          <w:rFonts w:hAnsi="宋体"/>
          <w:b/>
          <w:bCs/>
          <w:strike/>
          <w:dstrike w:val="0"/>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bCs/>
          <w:color w:val="auto"/>
          <w:sz w:val="24"/>
          <w:highlight w:val="none"/>
        </w:rPr>
      </w:pPr>
    </w:p>
    <w:p>
      <w:pPr>
        <w:pStyle w:val="14"/>
        <w:rPr>
          <w:rFonts w:hAnsi="宋体"/>
          <w:b/>
          <w:color w:val="auto"/>
          <w:sz w:val="32"/>
          <w:highlight w:val="none"/>
        </w:rPr>
      </w:pPr>
      <w:r>
        <w:rPr>
          <w:rFonts w:hint="eastAsia" w:hAnsi="宋体"/>
          <w:b/>
          <w:bCs/>
          <w:color w:val="auto"/>
          <w:sz w:val="24"/>
          <w:highlight w:val="none"/>
        </w:rPr>
        <w:t>附录1</w:t>
      </w:r>
      <w:r>
        <w:rPr>
          <w:rFonts w:hAnsi="宋体"/>
          <w:b/>
          <w:bCs/>
          <w:color w:val="auto"/>
          <w:sz w:val="24"/>
          <w:highlight w:val="none"/>
        </w:rPr>
        <w:t>5</w:t>
      </w:r>
    </w:p>
    <w:p>
      <w:pPr>
        <w:pStyle w:val="14"/>
        <w:jc w:val="center"/>
        <w:rPr>
          <w:rFonts w:hAnsi="宋体"/>
          <w:b/>
          <w:color w:val="auto"/>
          <w:sz w:val="32"/>
          <w:highlight w:val="none"/>
        </w:rPr>
      </w:pPr>
      <w:r>
        <w:rPr>
          <w:rFonts w:hint="eastAsia" w:hAnsi="宋体"/>
          <w:b/>
          <w:color w:val="auto"/>
          <w:sz w:val="32"/>
          <w:highlight w:val="none"/>
        </w:rPr>
        <w:t>技术文件有效性审查表</w:t>
      </w:r>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4"/>
        <w:tblW w:w="13785" w:type="dxa"/>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设计方案编号</w:t>
            </w:r>
          </w:p>
          <w:p>
            <w:pPr>
              <w:rPr>
                <w:rFonts w:ascii="宋体" w:hAnsi="宋体"/>
                <w:color w:val="auto"/>
                <w:szCs w:val="21"/>
                <w:highlight w:val="none"/>
              </w:rPr>
            </w:pPr>
            <w:r>
              <w:rPr>
                <w:rFonts w:hint="eastAsia" w:ascii="宋体" w:hAnsi="宋体"/>
                <w:color w:val="auto"/>
                <w:szCs w:val="21"/>
                <w:highlight w:val="none"/>
              </w:rPr>
              <w:t>审查项目</w:t>
            </w: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i/>
                <w:color w:val="auto"/>
                <w:szCs w:val="21"/>
                <w:highlight w:val="none"/>
              </w:rPr>
            </w:pPr>
            <w:r>
              <w:rPr>
                <w:rFonts w:hint="eastAsia" w:ascii="宋体" w:hAnsi="宋体"/>
                <w:color w:val="auto"/>
                <w:szCs w:val="21"/>
                <w:highlight w:val="none"/>
              </w:rPr>
              <w:t>未发现投标人在设计方案内标注名称、印章、商标</w:t>
            </w:r>
            <w:r>
              <w:rPr>
                <w:rFonts w:hint="eastAsia" w:ascii="宋体" w:hAnsi="宋体" w:cs="宋体"/>
                <w:color w:val="auto"/>
                <w:szCs w:val="21"/>
                <w:highlight w:val="none"/>
                <w:u w:val="single"/>
              </w:rPr>
              <w:t>、图形</w:t>
            </w:r>
            <w:r>
              <w:rPr>
                <w:rFonts w:hint="eastAsia" w:ascii="宋体" w:hAnsi="宋体"/>
                <w:color w:val="auto"/>
                <w:szCs w:val="21"/>
                <w:highlight w:val="none"/>
              </w:rPr>
              <w:t>等记认符号（或使人辨认出投标人或其专业技术人员的身份）</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按第三章投标文件编制要求编制投标文件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color w:val="auto"/>
                <w:szCs w:val="21"/>
                <w:highlight w:val="none"/>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r>
    </w:tbl>
    <w:p>
      <w:pPr>
        <w:tabs>
          <w:tab w:val="left" w:pos="720"/>
        </w:tabs>
        <w:snapToGrid w:val="0"/>
        <w:spacing w:before="156"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56"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pStyle w:val="14"/>
        <w:rPr>
          <w:rFonts w:hAnsi="宋体"/>
          <w:b/>
          <w:color w:val="auto"/>
          <w:sz w:val="32"/>
          <w:highlight w:val="none"/>
        </w:rPr>
      </w:pPr>
      <w:r>
        <w:rPr>
          <w:rFonts w:hint="eastAsia"/>
          <w:color w:val="auto"/>
          <w:szCs w:val="21"/>
          <w:highlight w:val="none"/>
        </w:rPr>
        <w:t>评委签名：                     日期：</w:t>
      </w:r>
    </w:p>
    <w:p>
      <w:pPr>
        <w:spacing w:line="360" w:lineRule="auto"/>
        <w:rPr>
          <w:rFonts w:ascii="宋体" w:hAnsi="宋体"/>
          <w:b/>
          <w:bCs/>
          <w:color w:val="auto"/>
          <w:szCs w:val="21"/>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rPr>
          <w:rFonts w:hAnsi="宋体" w:cs="宋体"/>
          <w:b/>
          <w:bCs/>
          <w:color w:val="auto"/>
          <w:sz w:val="24"/>
          <w:highlight w:val="none"/>
        </w:rPr>
      </w:pPr>
    </w:p>
    <w:p>
      <w:pPr>
        <w:rPr>
          <w:rFonts w:hAnsi="宋体" w:cs="宋体"/>
          <w:b/>
          <w:bCs/>
          <w:color w:val="auto"/>
          <w:sz w:val="24"/>
          <w:highlight w:val="none"/>
        </w:rPr>
      </w:pPr>
    </w:p>
    <w:p>
      <w:pPr>
        <w:rPr>
          <w:rFonts w:hAnsi="宋体" w:cs="宋体"/>
          <w:b/>
          <w:bCs/>
          <w:color w:val="auto"/>
          <w:sz w:val="24"/>
          <w:highlight w:val="none"/>
        </w:rPr>
      </w:pPr>
    </w:p>
    <w:p>
      <w:pPr>
        <w:rPr>
          <w:rFonts w:hAnsi="宋体" w:cs="宋体"/>
          <w:b/>
          <w:bCs/>
          <w:color w:val="auto"/>
          <w:sz w:val="24"/>
          <w:highlight w:val="none"/>
        </w:rPr>
      </w:pPr>
    </w:p>
    <w:p>
      <w:pPr>
        <w:rPr>
          <w:rFonts w:hAnsi="宋体" w:cs="宋体"/>
          <w:b/>
          <w:bCs/>
          <w:color w:val="auto"/>
          <w:sz w:val="24"/>
          <w:highlight w:val="none"/>
        </w:rPr>
      </w:pPr>
    </w:p>
    <w:p>
      <w:pPr>
        <w:rPr>
          <w:rFonts w:hAnsi="宋体" w:cs="宋体"/>
          <w:b/>
          <w:bCs/>
          <w:strike/>
          <w:dstrike w:val="0"/>
          <w:color w:val="auto"/>
          <w:sz w:val="24"/>
          <w:highlight w:val="none"/>
        </w:rPr>
      </w:pPr>
      <w:r>
        <w:rPr>
          <w:rFonts w:hint="eastAsia" w:hAnsi="宋体" w:cs="宋体"/>
          <w:b/>
          <w:bCs/>
          <w:strike/>
          <w:dstrike w:val="0"/>
          <w:color w:val="auto"/>
          <w:sz w:val="24"/>
          <w:highlight w:val="none"/>
        </w:rPr>
        <w:t>附录1</w:t>
      </w:r>
      <w:r>
        <w:rPr>
          <w:rFonts w:hAnsi="宋体" w:cs="宋体"/>
          <w:b/>
          <w:bCs/>
          <w:strike/>
          <w:dstrike w:val="0"/>
          <w:color w:val="auto"/>
          <w:sz w:val="24"/>
          <w:highlight w:val="none"/>
        </w:rPr>
        <w:t>6</w:t>
      </w:r>
      <w:r>
        <w:rPr>
          <w:rFonts w:hint="eastAsia" w:hAnsi="宋体" w:cs="宋体"/>
          <w:b/>
          <w:bCs/>
          <w:strike/>
          <w:dstrike w:val="0"/>
          <w:color w:val="auto"/>
          <w:sz w:val="24"/>
          <w:highlight w:val="none"/>
        </w:rPr>
        <w:t>（适用于综合评分法）</w:t>
      </w:r>
    </w:p>
    <w:p>
      <w:pPr>
        <w:topLinePunct/>
        <w:spacing w:line="360" w:lineRule="auto"/>
        <w:jc w:val="center"/>
        <w:rPr>
          <w:rFonts w:ascii="宋体" w:hAnsi="宋体" w:cs="宋体"/>
          <w:strike/>
          <w:dstrike w:val="0"/>
          <w:color w:val="auto"/>
          <w:highlight w:val="none"/>
        </w:rPr>
      </w:pPr>
      <w:r>
        <w:rPr>
          <w:rFonts w:hint="eastAsia" w:ascii="宋体" w:hAnsi="宋体"/>
          <w:b/>
          <w:bCs/>
          <w:strike/>
          <w:dstrike w:val="0"/>
          <w:color w:val="auto"/>
          <w:sz w:val="32"/>
          <w:szCs w:val="32"/>
          <w:highlight w:val="none"/>
        </w:rPr>
        <w:t>技术文件综合评分表</w:t>
      </w:r>
    </w:p>
    <w:p>
      <w:pPr>
        <w:spacing w:line="360" w:lineRule="auto"/>
        <w:rPr>
          <w:rFonts w:ascii="宋体" w:hAnsi="宋体"/>
          <w:strike/>
          <w:dstrike w:val="0"/>
          <w:color w:val="auto"/>
          <w:highlight w:val="none"/>
        </w:rPr>
      </w:pPr>
      <w:r>
        <w:rPr>
          <w:rFonts w:hint="eastAsia" w:ascii="宋体" w:hAnsi="宋体"/>
          <w:strike/>
          <w:dstrike w:val="0"/>
          <w:color w:val="auto"/>
          <w:highlight w:val="none"/>
        </w:rPr>
        <w:t>项目名称：</w:t>
      </w:r>
      <w:r>
        <w:rPr>
          <w:rFonts w:hint="eastAsia" w:ascii="宋体" w:hAnsi="宋体"/>
          <w:strike/>
          <w:dstrike w:val="0"/>
          <w:color w:val="auto"/>
          <w:highlight w:val="none"/>
          <w:u w:val="single"/>
        </w:rPr>
        <w:t xml:space="preserve">                                      </w:t>
      </w:r>
      <w:r>
        <w:rPr>
          <w:rFonts w:hint="eastAsia" w:ascii="宋体" w:hAnsi="宋体"/>
          <w:strike/>
          <w:dstrike w:val="0"/>
          <w:color w:val="auto"/>
          <w:highlight w:val="none"/>
        </w:rPr>
        <w:t xml:space="preserve">       </w:t>
      </w:r>
      <w:r>
        <w:rPr>
          <w:rFonts w:hint="eastAsia" w:ascii="宋体" w:cs="宋体"/>
          <w:strike/>
          <w:dstrike w:val="0"/>
          <w:color w:val="auto"/>
          <w:szCs w:val="21"/>
          <w:highlight w:val="none"/>
          <w:lang w:val="zh-CN"/>
        </w:rPr>
        <w:t>投标单位名称：</w:t>
      </w:r>
      <w:r>
        <w:rPr>
          <w:rFonts w:hint="eastAsia" w:ascii="宋体" w:hAnsi="宋体"/>
          <w:strike/>
          <w:dstrike w:val="0"/>
          <w:color w:val="auto"/>
          <w:highlight w:val="none"/>
          <w:u w:val="single"/>
        </w:rPr>
        <w:t xml:space="preserve">                                   </w:t>
      </w:r>
    </w:p>
    <w:tbl>
      <w:tblPr>
        <w:tblStyle w:val="24"/>
        <w:tblW w:w="1379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91"/>
        <w:gridCol w:w="1237"/>
        <w:gridCol w:w="1824"/>
        <w:gridCol w:w="774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148" w:type="dxa"/>
            <w:gridSpan w:val="3"/>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投标方案编号</w:t>
            </w:r>
          </w:p>
        </w:tc>
        <w:tc>
          <w:tcPr>
            <w:tcW w:w="1824" w:type="dxa"/>
            <w:vAlign w:val="center"/>
          </w:tcPr>
          <w:p>
            <w:pPr>
              <w:autoSpaceDE w:val="0"/>
              <w:autoSpaceDN w:val="0"/>
              <w:adjustRightInd w:val="0"/>
              <w:spacing w:line="400" w:lineRule="exact"/>
              <w:jc w:val="center"/>
              <w:rPr>
                <w:strike/>
                <w:dstrike w:val="0"/>
                <w:color w:val="auto"/>
                <w:szCs w:val="21"/>
                <w:highlight w:val="none"/>
              </w:rPr>
            </w:pPr>
          </w:p>
        </w:tc>
        <w:tc>
          <w:tcPr>
            <w:tcW w:w="8820" w:type="dxa"/>
            <w:gridSpan w:val="2"/>
            <w:vAlign w:val="center"/>
          </w:tcPr>
          <w:p>
            <w:pPr>
              <w:autoSpaceDE w:val="0"/>
              <w:autoSpaceDN w:val="0"/>
              <w:adjustRightInd w:val="0"/>
              <w:spacing w:line="400" w:lineRule="exact"/>
              <w:jc w:val="left"/>
              <w:rPr>
                <w:strike/>
                <w:dstrike w:val="0"/>
                <w:color w:val="auto"/>
                <w:szCs w:val="21"/>
                <w:highlight w:val="none"/>
              </w:rPr>
            </w:pPr>
            <w:r>
              <w:rPr>
                <w:strike/>
                <w:dstrike w:val="0"/>
                <w:color w:val="auto"/>
                <w:szCs w:val="21"/>
                <w:highlight w:val="none"/>
                <w:lang w:val="zh-CN"/>
              </w:rPr>
              <w:t>评标专家（签</w:t>
            </w:r>
            <w:r>
              <w:rPr>
                <w:rFonts w:hint="eastAsia"/>
                <w:strike/>
                <w:dstrike w:val="0"/>
                <w:color w:val="auto"/>
                <w:szCs w:val="21"/>
                <w:highlight w:val="none"/>
                <w:lang w:val="zh-CN"/>
              </w:rPr>
              <w:t>名</w:t>
            </w:r>
            <w:r>
              <w:rPr>
                <w:strike/>
                <w:dstrike w:val="0"/>
                <w:color w:val="auto"/>
                <w:szCs w:val="21"/>
                <w:highlight w:val="none"/>
                <w:lang w:val="zh-CN"/>
              </w:rPr>
              <w:t>）</w:t>
            </w:r>
            <w:r>
              <w:rPr>
                <w:rFonts w:hint="eastAsia"/>
                <w:strike/>
                <w:dstrike w:val="0"/>
                <w:color w:val="auto"/>
                <w:szCs w:val="21"/>
                <w:highlight w:val="none"/>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720" w:type="dxa"/>
            <w:vAlign w:val="center"/>
          </w:tcPr>
          <w:p>
            <w:pPr>
              <w:autoSpaceDE w:val="0"/>
              <w:autoSpaceDN w:val="0"/>
              <w:adjustRightInd w:val="0"/>
              <w:spacing w:line="400" w:lineRule="exact"/>
              <w:jc w:val="center"/>
              <w:rPr>
                <w:strike/>
                <w:dstrike w:val="0"/>
                <w:color w:val="auto"/>
                <w:szCs w:val="21"/>
                <w:highlight w:val="none"/>
              </w:rPr>
            </w:pPr>
            <w:r>
              <w:rPr>
                <w:rFonts w:hint="eastAsia"/>
                <w:strike/>
                <w:dstrike w:val="0"/>
                <w:color w:val="auto"/>
                <w:szCs w:val="21"/>
                <w:highlight w:val="none"/>
              </w:rPr>
              <w:t>序号</w:t>
            </w:r>
          </w:p>
        </w:tc>
        <w:tc>
          <w:tcPr>
            <w:tcW w:w="1191" w:type="dxa"/>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项</w:t>
            </w:r>
            <w:r>
              <w:rPr>
                <w:strike/>
                <w:dstrike w:val="0"/>
                <w:color w:val="auto"/>
                <w:szCs w:val="21"/>
                <w:highlight w:val="none"/>
              </w:rPr>
              <w:t xml:space="preserve">   </w:t>
            </w:r>
            <w:r>
              <w:rPr>
                <w:strike/>
                <w:dstrike w:val="0"/>
                <w:color w:val="auto"/>
                <w:szCs w:val="21"/>
                <w:highlight w:val="none"/>
                <w:lang w:val="zh-CN"/>
              </w:rPr>
              <w:t>目</w:t>
            </w:r>
          </w:p>
        </w:tc>
        <w:tc>
          <w:tcPr>
            <w:tcW w:w="1237" w:type="dxa"/>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分值分配</w:t>
            </w:r>
          </w:p>
        </w:tc>
        <w:tc>
          <w:tcPr>
            <w:tcW w:w="9564" w:type="dxa"/>
            <w:gridSpan w:val="2"/>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内</w:t>
            </w:r>
            <w:r>
              <w:rPr>
                <w:strike/>
                <w:dstrike w:val="0"/>
                <w:color w:val="auto"/>
                <w:szCs w:val="21"/>
                <w:highlight w:val="none"/>
              </w:rPr>
              <w:t xml:space="preserve">    </w:t>
            </w:r>
            <w:r>
              <w:rPr>
                <w:strike/>
                <w:dstrike w:val="0"/>
                <w:color w:val="auto"/>
                <w:szCs w:val="21"/>
                <w:highlight w:val="none"/>
                <w:lang w:val="zh-CN"/>
              </w:rPr>
              <w:t>容</w:t>
            </w:r>
          </w:p>
        </w:tc>
        <w:tc>
          <w:tcPr>
            <w:tcW w:w="1080" w:type="dxa"/>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720" w:type="dxa"/>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一</w:t>
            </w:r>
          </w:p>
        </w:tc>
        <w:tc>
          <w:tcPr>
            <w:tcW w:w="1191" w:type="dxa"/>
            <w:vAlign w:val="center"/>
          </w:tcPr>
          <w:p>
            <w:pPr>
              <w:autoSpaceDE w:val="0"/>
              <w:autoSpaceDN w:val="0"/>
              <w:adjustRightInd w:val="0"/>
              <w:spacing w:line="260" w:lineRule="exact"/>
              <w:jc w:val="center"/>
              <w:rPr>
                <w:rFonts w:ascii="宋体" w:hAnsi="宋体"/>
                <w:strike/>
                <w:dstrike w:val="0"/>
                <w:color w:val="auto"/>
                <w:szCs w:val="21"/>
                <w:highlight w:val="none"/>
              </w:rPr>
            </w:pPr>
          </w:p>
        </w:tc>
        <w:tc>
          <w:tcPr>
            <w:tcW w:w="1237" w:type="dxa"/>
            <w:vAlign w:val="center"/>
          </w:tcPr>
          <w:p>
            <w:pPr>
              <w:autoSpaceDE w:val="0"/>
              <w:autoSpaceDN w:val="0"/>
              <w:adjustRightInd w:val="0"/>
              <w:spacing w:line="260" w:lineRule="exact"/>
              <w:jc w:val="center"/>
              <w:rPr>
                <w:rFonts w:ascii="宋体" w:hAnsi="宋体"/>
                <w:strike/>
                <w:dstrike w:val="0"/>
                <w:color w:val="auto"/>
                <w:szCs w:val="21"/>
                <w:highlight w:val="none"/>
              </w:rPr>
            </w:pPr>
          </w:p>
        </w:tc>
        <w:tc>
          <w:tcPr>
            <w:tcW w:w="9564" w:type="dxa"/>
            <w:gridSpan w:val="2"/>
            <w:vAlign w:val="center"/>
          </w:tcPr>
          <w:p>
            <w:pPr>
              <w:wordWrap w:val="0"/>
              <w:topLinePunct/>
              <w:spacing w:line="240" w:lineRule="exact"/>
              <w:rPr>
                <w:strike/>
                <w:dstrike w:val="0"/>
                <w:color w:val="auto"/>
                <w:szCs w:val="21"/>
                <w:highlight w:val="none"/>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autoSpaceDE w:val="0"/>
              <w:autoSpaceDN w:val="0"/>
              <w:adjustRightInd w:val="0"/>
              <w:spacing w:line="400" w:lineRule="exact"/>
              <w:jc w:val="center"/>
              <w:rPr>
                <w:strike/>
                <w:dstrike w:val="0"/>
                <w:color w:val="auto"/>
                <w:szCs w:val="21"/>
                <w:highlight w:val="none"/>
                <w:lang w:val="zh-CN"/>
              </w:rPr>
            </w:pPr>
            <w:r>
              <w:rPr>
                <w:strike/>
                <w:dstrike w:val="0"/>
                <w:color w:val="auto"/>
                <w:szCs w:val="21"/>
                <w:highlight w:val="none"/>
                <w:lang w:val="zh-CN"/>
              </w:rPr>
              <w:t>二</w:t>
            </w:r>
          </w:p>
        </w:tc>
        <w:tc>
          <w:tcPr>
            <w:tcW w:w="1191" w:type="dxa"/>
            <w:vMerge w:val="restart"/>
            <w:vAlign w:val="center"/>
          </w:tcPr>
          <w:p>
            <w:pPr>
              <w:autoSpaceDE w:val="0"/>
              <w:autoSpaceDN w:val="0"/>
              <w:adjustRightInd w:val="0"/>
              <w:spacing w:line="260" w:lineRule="exact"/>
              <w:jc w:val="center"/>
              <w:rPr>
                <w:strike/>
                <w:dstrike w:val="0"/>
                <w:color w:val="auto"/>
                <w:kern w:val="0"/>
                <w:szCs w:val="21"/>
                <w:highlight w:val="none"/>
                <w:lang w:val="zh-CN"/>
              </w:rPr>
            </w:pPr>
          </w:p>
        </w:tc>
        <w:tc>
          <w:tcPr>
            <w:tcW w:w="1237" w:type="dxa"/>
            <w:vMerge w:val="restart"/>
            <w:vAlign w:val="center"/>
          </w:tcPr>
          <w:p>
            <w:pPr>
              <w:autoSpaceDE w:val="0"/>
              <w:autoSpaceDN w:val="0"/>
              <w:adjustRightInd w:val="0"/>
              <w:spacing w:line="260" w:lineRule="exact"/>
              <w:jc w:val="center"/>
              <w:rPr>
                <w:strike/>
                <w:dstrike w:val="0"/>
                <w:color w:val="auto"/>
                <w:szCs w:val="21"/>
                <w:highlight w:val="none"/>
              </w:rPr>
            </w:pPr>
          </w:p>
        </w:tc>
        <w:tc>
          <w:tcPr>
            <w:tcW w:w="9564" w:type="dxa"/>
            <w:gridSpan w:val="2"/>
            <w:vAlign w:val="center"/>
          </w:tcPr>
          <w:p>
            <w:pPr>
              <w:numPr>
                <w:ilvl w:val="0"/>
                <w:numId w:val="3"/>
              </w:numPr>
              <w:wordWrap w:val="0"/>
              <w:topLinePunct/>
              <w:spacing w:line="240" w:lineRule="exact"/>
              <w:rPr>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lang w:val="zh-CN"/>
              </w:rPr>
            </w:pPr>
          </w:p>
        </w:tc>
        <w:tc>
          <w:tcPr>
            <w:tcW w:w="1191" w:type="dxa"/>
            <w:vMerge w:val="continue"/>
            <w:textDirection w:val="tbRlV"/>
            <w:vAlign w:val="center"/>
          </w:tcPr>
          <w:p>
            <w:pPr>
              <w:autoSpaceDE w:val="0"/>
              <w:autoSpaceDN w:val="0"/>
              <w:adjustRightInd w:val="0"/>
              <w:spacing w:line="400" w:lineRule="exact"/>
              <w:ind w:left="113" w:right="113"/>
              <w:jc w:val="center"/>
              <w:rPr>
                <w:strike/>
                <w:dstrike w:val="0"/>
                <w:color w:val="auto"/>
                <w:kern w:val="0"/>
                <w:szCs w:val="21"/>
                <w:highlight w:val="none"/>
                <w:lang w:val="zh-CN"/>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numPr>
                <w:ilvl w:val="0"/>
                <w:numId w:val="3"/>
              </w:num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lang w:val="zh-CN"/>
              </w:rPr>
            </w:pPr>
          </w:p>
        </w:tc>
        <w:tc>
          <w:tcPr>
            <w:tcW w:w="1191" w:type="dxa"/>
            <w:vMerge w:val="continue"/>
            <w:textDirection w:val="tbRlV"/>
            <w:vAlign w:val="center"/>
          </w:tcPr>
          <w:p>
            <w:pPr>
              <w:autoSpaceDE w:val="0"/>
              <w:autoSpaceDN w:val="0"/>
              <w:adjustRightInd w:val="0"/>
              <w:spacing w:line="400" w:lineRule="exact"/>
              <w:ind w:left="113" w:right="113"/>
              <w:jc w:val="center"/>
              <w:rPr>
                <w:strike/>
                <w:dstrike w:val="0"/>
                <w:color w:val="auto"/>
                <w:kern w:val="0"/>
                <w:szCs w:val="21"/>
                <w:highlight w:val="none"/>
                <w:lang w:val="zh-CN"/>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191" w:type="dxa"/>
            <w:vMerge w:val="continue"/>
            <w:textDirection w:val="tbRlV"/>
            <w:vAlign w:val="center"/>
          </w:tcPr>
          <w:p>
            <w:pPr>
              <w:autoSpaceDE w:val="0"/>
              <w:autoSpaceDN w:val="0"/>
              <w:adjustRightInd w:val="0"/>
              <w:spacing w:line="400" w:lineRule="exact"/>
              <w:ind w:left="113" w:right="113"/>
              <w:jc w:val="center"/>
              <w:rPr>
                <w:strike/>
                <w:dstrike w:val="0"/>
                <w:color w:val="auto"/>
                <w:szCs w:val="21"/>
                <w:highlight w:val="none"/>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191"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191"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720" w:type="dxa"/>
            <w:vMerge w:val="restart"/>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三</w:t>
            </w:r>
          </w:p>
        </w:tc>
        <w:tc>
          <w:tcPr>
            <w:tcW w:w="1191" w:type="dxa"/>
            <w:vMerge w:val="restart"/>
            <w:vAlign w:val="center"/>
          </w:tcPr>
          <w:p>
            <w:pPr>
              <w:autoSpaceDE w:val="0"/>
              <w:autoSpaceDN w:val="0"/>
              <w:adjustRightInd w:val="0"/>
              <w:spacing w:line="400" w:lineRule="exact"/>
              <w:jc w:val="center"/>
              <w:rPr>
                <w:strike/>
                <w:dstrike w:val="0"/>
                <w:color w:val="auto"/>
                <w:szCs w:val="21"/>
                <w:highlight w:val="none"/>
              </w:rPr>
            </w:pPr>
          </w:p>
        </w:tc>
        <w:tc>
          <w:tcPr>
            <w:tcW w:w="1237" w:type="dxa"/>
            <w:vMerge w:val="restart"/>
            <w:vAlign w:val="center"/>
          </w:tcPr>
          <w:p>
            <w:pPr>
              <w:autoSpaceDE w:val="0"/>
              <w:autoSpaceDN w:val="0"/>
              <w:adjustRightInd w:val="0"/>
              <w:spacing w:line="260" w:lineRule="exact"/>
              <w:jc w:val="center"/>
              <w:rPr>
                <w:strike/>
                <w:dstrike w:val="0"/>
                <w:color w:val="auto"/>
                <w:szCs w:val="21"/>
                <w:highlight w:val="none"/>
              </w:rPr>
            </w:pPr>
          </w:p>
        </w:tc>
        <w:tc>
          <w:tcPr>
            <w:tcW w:w="9564" w:type="dxa"/>
            <w:gridSpan w:val="2"/>
            <w:vAlign w:val="center"/>
          </w:tcPr>
          <w:p>
            <w:pPr>
              <w:numPr>
                <w:ilvl w:val="0"/>
                <w:numId w:val="4"/>
              </w:numPr>
              <w:tabs>
                <w:tab w:val="left" w:pos="315"/>
              </w:tabs>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720"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191"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1237" w:type="dxa"/>
            <w:vMerge w:val="continue"/>
            <w:vAlign w:val="center"/>
          </w:tcPr>
          <w:p>
            <w:pPr>
              <w:autoSpaceDE w:val="0"/>
              <w:autoSpaceDN w:val="0"/>
              <w:adjustRightInd w:val="0"/>
              <w:spacing w:line="400" w:lineRule="exact"/>
              <w:jc w:val="center"/>
              <w:rPr>
                <w:strike/>
                <w:dstrike w:val="0"/>
                <w:color w:val="auto"/>
                <w:szCs w:val="21"/>
                <w:highlight w:val="none"/>
              </w:rPr>
            </w:pPr>
          </w:p>
        </w:tc>
        <w:tc>
          <w:tcPr>
            <w:tcW w:w="9564" w:type="dxa"/>
            <w:gridSpan w:val="2"/>
            <w:vAlign w:val="center"/>
          </w:tcPr>
          <w:p>
            <w:pPr>
              <w:wordWrap w:val="0"/>
              <w:topLinePunct/>
              <w:spacing w:line="240" w:lineRule="exact"/>
              <w:rPr>
                <w:rFonts w:hAnsi="宋体"/>
                <w:strike/>
                <w:dstrike w:val="0"/>
                <w:color w:val="auto"/>
                <w:szCs w:val="21"/>
                <w:highlight w:val="none"/>
                <w:lang w:val="zh-CN"/>
              </w:rPr>
            </w:pPr>
          </w:p>
        </w:tc>
        <w:tc>
          <w:tcPr>
            <w:tcW w:w="1080" w:type="dxa"/>
            <w:vAlign w:val="center"/>
          </w:tcPr>
          <w:p>
            <w:pPr>
              <w:autoSpaceDE w:val="0"/>
              <w:autoSpaceDN w:val="0"/>
              <w:adjustRightInd w:val="0"/>
              <w:spacing w:line="360" w:lineRule="auto"/>
              <w:jc w:val="center"/>
              <w:rPr>
                <w:strike/>
                <w:dstrike w:val="0"/>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11" w:type="dxa"/>
            <w:gridSpan w:val="2"/>
            <w:vAlign w:val="center"/>
          </w:tcPr>
          <w:p>
            <w:pPr>
              <w:autoSpaceDE w:val="0"/>
              <w:autoSpaceDN w:val="0"/>
              <w:adjustRightInd w:val="0"/>
              <w:spacing w:line="400" w:lineRule="exact"/>
              <w:jc w:val="center"/>
              <w:rPr>
                <w:strike/>
                <w:dstrike w:val="0"/>
                <w:color w:val="auto"/>
                <w:szCs w:val="21"/>
                <w:highlight w:val="none"/>
              </w:rPr>
            </w:pPr>
            <w:r>
              <w:rPr>
                <w:strike/>
                <w:dstrike w:val="0"/>
                <w:color w:val="auto"/>
                <w:szCs w:val="21"/>
                <w:highlight w:val="none"/>
                <w:lang w:val="zh-CN"/>
              </w:rPr>
              <w:t>总计</w:t>
            </w:r>
          </w:p>
        </w:tc>
        <w:tc>
          <w:tcPr>
            <w:tcW w:w="10801" w:type="dxa"/>
            <w:gridSpan w:val="3"/>
            <w:vAlign w:val="center"/>
          </w:tcPr>
          <w:p>
            <w:pPr>
              <w:autoSpaceDE w:val="0"/>
              <w:autoSpaceDN w:val="0"/>
              <w:adjustRightInd w:val="0"/>
              <w:spacing w:line="400" w:lineRule="exact"/>
              <w:jc w:val="center"/>
              <w:rPr>
                <w:strike/>
                <w:dstrike w:val="0"/>
                <w:color w:val="auto"/>
                <w:szCs w:val="21"/>
                <w:highlight w:val="none"/>
              </w:rPr>
            </w:pPr>
          </w:p>
        </w:tc>
        <w:tc>
          <w:tcPr>
            <w:tcW w:w="1080" w:type="dxa"/>
            <w:vAlign w:val="center"/>
          </w:tcPr>
          <w:p>
            <w:pPr>
              <w:autoSpaceDE w:val="0"/>
              <w:autoSpaceDN w:val="0"/>
              <w:adjustRightInd w:val="0"/>
              <w:spacing w:line="400" w:lineRule="exact"/>
              <w:jc w:val="center"/>
              <w:rPr>
                <w:strike/>
                <w:dstrike w:val="0"/>
                <w:color w:val="auto"/>
                <w:szCs w:val="21"/>
                <w:highlight w:val="none"/>
              </w:rPr>
            </w:pPr>
          </w:p>
        </w:tc>
      </w:tr>
    </w:tbl>
    <w:p>
      <w:pPr>
        <w:spacing w:line="360" w:lineRule="auto"/>
        <w:rPr>
          <w:rFonts w:hAnsi="宋体"/>
          <w:color w:val="auto"/>
          <w:highlight w:val="none"/>
        </w:rPr>
      </w:pPr>
    </w:p>
    <w:p>
      <w:pPr>
        <w:rPr>
          <w:rFonts w:ascii="宋体" w:hAnsi="宋体"/>
          <w:b/>
          <w:bCs/>
          <w:strike/>
          <w:color w:val="auto"/>
          <w:sz w:val="24"/>
          <w:highlight w:val="none"/>
        </w:rPr>
      </w:pPr>
    </w:p>
    <w:p>
      <w:pPr>
        <w:rPr>
          <w:rFonts w:ascii="宋体" w:hAnsi="宋体"/>
          <w:b/>
          <w:bCs/>
          <w:strike/>
          <w:color w:val="auto"/>
          <w:sz w:val="24"/>
          <w:highlight w:val="none"/>
        </w:rPr>
      </w:pPr>
    </w:p>
    <w:p>
      <w:pPr>
        <w:rPr>
          <w:rFonts w:ascii="宋体" w:hAnsi="宋体"/>
          <w:b/>
          <w:bCs/>
          <w:strike/>
          <w:color w:val="auto"/>
          <w:sz w:val="24"/>
          <w:highlight w:val="none"/>
        </w:rPr>
      </w:pPr>
    </w:p>
    <w:p>
      <w:pPr>
        <w:rPr>
          <w:rFonts w:ascii="宋体" w:hAnsi="宋体"/>
          <w:b/>
          <w:bCs/>
          <w:strike/>
          <w:color w:val="auto"/>
          <w:sz w:val="24"/>
          <w:highlight w:val="none"/>
        </w:rPr>
      </w:pPr>
    </w:p>
    <w:p>
      <w:pPr>
        <w:rPr>
          <w:rFonts w:ascii="宋体" w:hAnsi="宋体"/>
          <w:b/>
          <w:bCs/>
          <w:color w:val="auto"/>
          <w:sz w:val="24"/>
          <w:highlight w:val="none"/>
        </w:rPr>
      </w:pPr>
      <w:r>
        <w:rPr>
          <w:rFonts w:hint="eastAsia" w:ascii="宋体" w:hAnsi="宋体"/>
          <w:b/>
          <w:bCs/>
          <w:color w:val="auto"/>
          <w:sz w:val="24"/>
          <w:highlight w:val="none"/>
        </w:rPr>
        <w:t>附录17</w:t>
      </w:r>
      <w:r>
        <w:rPr>
          <w:rFonts w:hint="eastAsia" w:ascii="宋体" w:hAnsi="宋体"/>
          <w:color w:val="auto"/>
          <w:sz w:val="24"/>
          <w:highlight w:val="none"/>
        </w:rPr>
        <w:t>（适用于投票法）</w:t>
      </w:r>
    </w:p>
    <w:p>
      <w:pPr>
        <w:jc w:val="center"/>
        <w:rPr>
          <w:rFonts w:ascii="宋体" w:hAnsi="宋体"/>
          <w:b/>
          <w:color w:val="auto"/>
          <w:sz w:val="32"/>
          <w:highlight w:val="none"/>
        </w:rPr>
      </w:pPr>
      <w:r>
        <w:rPr>
          <w:rFonts w:hint="eastAsia" w:ascii="宋体" w:hAnsi="宋体"/>
          <w:b/>
          <w:color w:val="auto"/>
          <w:sz w:val="32"/>
          <w:highlight w:val="none"/>
        </w:rPr>
        <w:t>投票汇总表格</w:t>
      </w:r>
    </w:p>
    <w:p>
      <w:pPr>
        <w:rPr>
          <w:rFonts w:ascii="宋体" w:hAnsi="宋体"/>
          <w:color w:val="auto"/>
          <w:highlight w:val="none"/>
        </w:rPr>
      </w:pPr>
      <w:r>
        <w:rPr>
          <w:rFonts w:hint="eastAsia" w:ascii="宋体" w:hAnsi="宋体"/>
          <w:color w:val="auto"/>
          <w:highlight w:val="none"/>
        </w:rPr>
        <w:t>项目名称：                                                                                       日期：       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方案编号</w:t>
            </w:r>
          </w:p>
        </w:tc>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第一轮得票</w:t>
            </w:r>
          </w:p>
        </w:tc>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第二轮得票</w:t>
            </w:r>
          </w:p>
        </w:tc>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第三轮得票</w:t>
            </w:r>
          </w:p>
        </w:tc>
        <w:tc>
          <w:tcPr>
            <w:tcW w:w="1420"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第四轮得票</w:t>
            </w:r>
          </w:p>
        </w:tc>
        <w:tc>
          <w:tcPr>
            <w:tcW w:w="2708" w:type="dxa"/>
            <w:gridSpan w:val="4"/>
            <w:vAlign w:val="center"/>
          </w:tcPr>
          <w:p>
            <w:pPr>
              <w:spacing w:line="360" w:lineRule="auto"/>
              <w:jc w:val="center"/>
              <w:rPr>
                <w:rFonts w:ascii="宋体" w:hAnsi="宋体"/>
                <w:color w:val="auto"/>
                <w:highlight w:val="none"/>
              </w:rPr>
            </w:pPr>
            <w:r>
              <w:rPr>
                <w:rFonts w:hint="eastAsia" w:ascii="宋体" w:hAnsi="宋体"/>
                <w:color w:val="auto"/>
                <w:highlight w:val="none"/>
              </w:rPr>
              <w:t>每轮得票相同的排序</w:t>
            </w:r>
          </w:p>
        </w:tc>
        <w:tc>
          <w:tcPr>
            <w:tcW w:w="1275"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排列名次</w:t>
            </w:r>
          </w:p>
        </w:tc>
        <w:tc>
          <w:tcPr>
            <w:tcW w:w="3045" w:type="dxa"/>
            <w:vMerge w:val="restart"/>
            <w:vAlign w:val="center"/>
          </w:tcPr>
          <w:p>
            <w:pPr>
              <w:spacing w:line="360" w:lineRule="auto"/>
              <w:jc w:val="center"/>
              <w:rPr>
                <w:rFonts w:ascii="宋体" w:hAnsi="宋体"/>
                <w:color w:val="auto"/>
                <w:highlight w:val="none"/>
              </w:rPr>
            </w:pPr>
            <w:r>
              <w:rPr>
                <w:rFonts w:hint="eastAsia" w:ascii="宋体" w:hAnsi="宋体"/>
                <w:color w:val="auto"/>
                <w:highlight w:val="none"/>
              </w:rPr>
              <w:t>投标人名称</w:t>
            </w:r>
          </w:p>
          <w:p>
            <w:pPr>
              <w:spacing w:line="360" w:lineRule="auto"/>
              <w:jc w:val="center"/>
              <w:rPr>
                <w:rFonts w:ascii="宋体" w:hAnsi="宋体"/>
                <w:color w:val="auto"/>
                <w:highlight w:val="none"/>
              </w:rPr>
            </w:pPr>
            <w:r>
              <w:rPr>
                <w:rFonts w:hint="eastAsia" w:ascii="宋体" w:hAnsi="宋体"/>
                <w:color w:val="auto"/>
                <w:highlight w:val="none"/>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Pr>
          <w:p>
            <w:pPr>
              <w:spacing w:line="360" w:lineRule="auto"/>
              <w:jc w:val="center"/>
              <w:rPr>
                <w:rFonts w:ascii="宋体" w:hAnsi="宋体"/>
                <w:color w:val="auto"/>
                <w:highlight w:val="none"/>
              </w:rPr>
            </w:pPr>
          </w:p>
        </w:tc>
        <w:tc>
          <w:tcPr>
            <w:tcW w:w="1420" w:type="dxa"/>
            <w:vMerge w:val="continue"/>
          </w:tcPr>
          <w:p>
            <w:pPr>
              <w:spacing w:line="360" w:lineRule="auto"/>
              <w:jc w:val="center"/>
              <w:rPr>
                <w:rFonts w:ascii="宋体" w:hAnsi="宋体"/>
                <w:color w:val="auto"/>
                <w:highlight w:val="none"/>
              </w:rPr>
            </w:pPr>
          </w:p>
        </w:tc>
        <w:tc>
          <w:tcPr>
            <w:tcW w:w="1420" w:type="dxa"/>
            <w:vMerge w:val="continue"/>
          </w:tcPr>
          <w:p>
            <w:pPr>
              <w:spacing w:line="360" w:lineRule="auto"/>
              <w:jc w:val="center"/>
              <w:rPr>
                <w:rFonts w:ascii="宋体" w:hAnsi="宋体"/>
                <w:color w:val="auto"/>
                <w:highlight w:val="none"/>
              </w:rPr>
            </w:pPr>
          </w:p>
        </w:tc>
        <w:tc>
          <w:tcPr>
            <w:tcW w:w="1420" w:type="dxa"/>
            <w:vMerge w:val="continue"/>
          </w:tcPr>
          <w:p>
            <w:pPr>
              <w:spacing w:line="360" w:lineRule="auto"/>
              <w:jc w:val="center"/>
              <w:rPr>
                <w:rFonts w:ascii="宋体" w:hAnsi="宋体"/>
                <w:color w:val="auto"/>
                <w:highlight w:val="none"/>
              </w:rPr>
            </w:pPr>
          </w:p>
        </w:tc>
        <w:tc>
          <w:tcPr>
            <w:tcW w:w="1420" w:type="dxa"/>
            <w:vMerge w:val="continue"/>
          </w:tcPr>
          <w:p>
            <w:pPr>
              <w:spacing w:line="360" w:lineRule="auto"/>
              <w:jc w:val="center"/>
              <w:rPr>
                <w:rFonts w:ascii="宋体" w:hAnsi="宋体"/>
                <w:color w:val="auto"/>
                <w:highlight w:val="none"/>
              </w:rPr>
            </w:pPr>
          </w:p>
        </w:tc>
        <w:tc>
          <w:tcPr>
            <w:tcW w:w="677" w:type="dxa"/>
          </w:tcPr>
          <w:p>
            <w:pPr>
              <w:spacing w:line="360" w:lineRule="auto"/>
              <w:jc w:val="center"/>
              <w:rPr>
                <w:rFonts w:ascii="宋体" w:hAnsi="宋体"/>
                <w:color w:val="auto"/>
                <w:highlight w:val="none"/>
              </w:rPr>
            </w:pPr>
            <w:r>
              <w:rPr>
                <w:rFonts w:hint="eastAsia" w:ascii="宋体" w:hAnsi="宋体"/>
                <w:color w:val="auto"/>
                <w:highlight w:val="none"/>
              </w:rPr>
              <w:t>1</w:t>
            </w:r>
          </w:p>
        </w:tc>
        <w:tc>
          <w:tcPr>
            <w:tcW w:w="677" w:type="dxa"/>
          </w:tcPr>
          <w:p>
            <w:pPr>
              <w:spacing w:line="360" w:lineRule="auto"/>
              <w:jc w:val="center"/>
              <w:rPr>
                <w:rFonts w:ascii="宋体" w:hAnsi="宋体"/>
                <w:color w:val="auto"/>
                <w:highlight w:val="none"/>
              </w:rPr>
            </w:pPr>
            <w:r>
              <w:rPr>
                <w:rFonts w:hint="eastAsia" w:ascii="宋体" w:hAnsi="宋体"/>
                <w:color w:val="auto"/>
                <w:highlight w:val="none"/>
              </w:rPr>
              <w:t>2</w:t>
            </w:r>
          </w:p>
        </w:tc>
        <w:tc>
          <w:tcPr>
            <w:tcW w:w="677" w:type="dxa"/>
          </w:tcPr>
          <w:p>
            <w:pPr>
              <w:spacing w:line="360" w:lineRule="auto"/>
              <w:jc w:val="center"/>
              <w:rPr>
                <w:rFonts w:ascii="宋体" w:hAnsi="宋体"/>
                <w:color w:val="auto"/>
                <w:highlight w:val="none"/>
              </w:rPr>
            </w:pPr>
            <w:r>
              <w:rPr>
                <w:rFonts w:hint="eastAsia" w:ascii="宋体" w:hAnsi="宋体"/>
                <w:color w:val="auto"/>
                <w:highlight w:val="none"/>
              </w:rPr>
              <w:t>3</w:t>
            </w:r>
          </w:p>
        </w:tc>
        <w:tc>
          <w:tcPr>
            <w:tcW w:w="677" w:type="dxa"/>
          </w:tcPr>
          <w:p>
            <w:pPr>
              <w:spacing w:line="360" w:lineRule="auto"/>
              <w:jc w:val="center"/>
              <w:rPr>
                <w:rFonts w:ascii="宋体" w:hAnsi="宋体"/>
                <w:color w:val="auto"/>
                <w:highlight w:val="none"/>
              </w:rPr>
            </w:pPr>
            <w:r>
              <w:rPr>
                <w:rFonts w:hint="eastAsia" w:ascii="宋体" w:hAnsi="宋体"/>
                <w:color w:val="auto"/>
                <w:highlight w:val="none"/>
              </w:rPr>
              <w:t>4</w:t>
            </w:r>
          </w:p>
        </w:tc>
        <w:tc>
          <w:tcPr>
            <w:tcW w:w="1275" w:type="dxa"/>
            <w:vMerge w:val="continue"/>
          </w:tcPr>
          <w:p>
            <w:pPr>
              <w:spacing w:line="360" w:lineRule="auto"/>
              <w:jc w:val="center"/>
              <w:rPr>
                <w:rFonts w:ascii="宋体" w:hAnsi="宋体"/>
                <w:color w:val="auto"/>
                <w:highlight w:val="none"/>
              </w:rPr>
            </w:pPr>
          </w:p>
        </w:tc>
        <w:tc>
          <w:tcPr>
            <w:tcW w:w="3045" w:type="dxa"/>
            <w:vMerge w:val="continue"/>
          </w:tcPr>
          <w:p>
            <w:pPr>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1</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2</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3</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4</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5</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6</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7</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8</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1275" w:type="dxa"/>
          </w:tcPr>
          <w:p>
            <w:pPr>
              <w:spacing w:line="480" w:lineRule="auto"/>
              <w:rPr>
                <w:rFonts w:ascii="宋体" w:hAnsi="宋体"/>
                <w:color w:val="auto"/>
                <w:highlight w:val="none"/>
              </w:rPr>
            </w:pPr>
          </w:p>
        </w:tc>
        <w:tc>
          <w:tcPr>
            <w:tcW w:w="3045" w:type="dxa"/>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color w:val="auto"/>
                <w:highlight w:val="none"/>
              </w:rPr>
            </w:pPr>
            <w:r>
              <w:rPr>
                <w:rFonts w:hint="eastAsia" w:ascii="宋体" w:hAnsi="宋体"/>
                <w:color w:val="auto"/>
                <w:highlight w:val="none"/>
              </w:rPr>
              <w:t>…</w:t>
            </w:r>
          </w:p>
        </w:tc>
        <w:tc>
          <w:tcPr>
            <w:tcW w:w="1420" w:type="dxa"/>
          </w:tcPr>
          <w:p>
            <w:pPr>
              <w:spacing w:line="480" w:lineRule="auto"/>
              <w:rPr>
                <w:rFonts w:ascii="宋体" w:hAnsi="宋体"/>
                <w:color w:val="auto"/>
                <w:highlight w:val="none"/>
              </w:rPr>
            </w:pPr>
          </w:p>
        </w:tc>
        <w:tc>
          <w:tcPr>
            <w:tcW w:w="1420" w:type="dxa"/>
          </w:tcPr>
          <w:p>
            <w:pPr>
              <w:spacing w:line="480" w:lineRule="auto"/>
              <w:rPr>
                <w:rFonts w:ascii="宋体" w:hAnsi="宋体"/>
                <w:color w:val="auto"/>
                <w:highlight w:val="none"/>
              </w:rPr>
            </w:pPr>
          </w:p>
        </w:tc>
        <w:tc>
          <w:tcPr>
            <w:tcW w:w="1420" w:type="dxa"/>
            <w:vAlign w:val="bottom"/>
          </w:tcPr>
          <w:p>
            <w:pPr>
              <w:spacing w:line="480" w:lineRule="auto"/>
              <w:jc w:val="center"/>
              <w:rPr>
                <w:rFonts w:ascii="宋体" w:hAnsi="宋体"/>
                <w:color w:val="auto"/>
                <w:highlight w:val="none"/>
              </w:rPr>
            </w:pPr>
          </w:p>
        </w:tc>
        <w:tc>
          <w:tcPr>
            <w:tcW w:w="1420"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tcPr>
          <w:p>
            <w:pPr>
              <w:spacing w:line="480" w:lineRule="auto"/>
              <w:rPr>
                <w:rFonts w:ascii="宋体" w:hAnsi="宋体"/>
                <w:color w:val="auto"/>
                <w:highlight w:val="none"/>
              </w:rPr>
            </w:pPr>
          </w:p>
        </w:tc>
        <w:tc>
          <w:tcPr>
            <w:tcW w:w="677" w:type="dxa"/>
            <w:vAlign w:val="bottom"/>
          </w:tcPr>
          <w:p>
            <w:pPr>
              <w:spacing w:line="480" w:lineRule="auto"/>
              <w:rPr>
                <w:rFonts w:ascii="宋体" w:hAnsi="宋体"/>
                <w:color w:val="auto"/>
                <w:highlight w:val="none"/>
              </w:rPr>
            </w:pPr>
          </w:p>
        </w:tc>
        <w:tc>
          <w:tcPr>
            <w:tcW w:w="677" w:type="dxa"/>
            <w:vAlign w:val="bottom"/>
          </w:tcPr>
          <w:p>
            <w:pPr>
              <w:spacing w:line="480" w:lineRule="auto"/>
              <w:rPr>
                <w:rFonts w:ascii="宋体" w:hAnsi="宋体"/>
                <w:color w:val="auto"/>
                <w:highlight w:val="none"/>
              </w:rPr>
            </w:pPr>
          </w:p>
        </w:tc>
        <w:tc>
          <w:tcPr>
            <w:tcW w:w="1275" w:type="dxa"/>
            <w:vAlign w:val="bottom"/>
          </w:tcPr>
          <w:p>
            <w:pPr>
              <w:spacing w:line="480" w:lineRule="auto"/>
              <w:jc w:val="center"/>
              <w:rPr>
                <w:rFonts w:ascii="宋体" w:hAnsi="宋体"/>
                <w:color w:val="auto"/>
                <w:highlight w:val="none"/>
              </w:rPr>
            </w:pPr>
          </w:p>
        </w:tc>
        <w:tc>
          <w:tcPr>
            <w:tcW w:w="3045" w:type="dxa"/>
            <w:vAlign w:val="bottom"/>
          </w:tcPr>
          <w:p>
            <w:pPr>
              <w:spacing w:line="480" w:lineRule="auto"/>
              <w:jc w:val="center"/>
              <w:rPr>
                <w:rFonts w:ascii="宋体" w:hAnsi="宋体"/>
                <w:color w:val="auto"/>
                <w:highlight w:val="none"/>
              </w:rPr>
            </w:pPr>
          </w:p>
        </w:tc>
      </w:tr>
    </w:tbl>
    <w:p>
      <w:pPr>
        <w:rPr>
          <w:rFonts w:ascii="宋体" w:hAnsi="宋体"/>
          <w:color w:val="auto"/>
          <w:highlight w:val="none"/>
        </w:rPr>
      </w:pPr>
      <w:r>
        <w:rPr>
          <w:rFonts w:hint="eastAsia" w:ascii="宋体" w:hAnsi="宋体"/>
          <w:color w:val="auto"/>
          <w:highlight w:val="none"/>
        </w:rPr>
        <w:t>计票人：           见证人：           代理机构代表：             评标委员会全体成员签字：</w:t>
      </w:r>
    </w:p>
    <w:p>
      <w:pPr>
        <w:rPr>
          <w:rFonts w:ascii="宋体" w:hAnsi="宋体"/>
          <w:color w:val="auto"/>
          <w:sz w:val="24"/>
          <w:highlight w:val="none"/>
        </w:rPr>
      </w:pPr>
      <w:r>
        <w:rPr>
          <w:rFonts w:ascii="宋体" w:hAnsi="宋体"/>
          <w:color w:val="auto"/>
          <w:highlight w:val="none"/>
        </w:rPr>
        <w:br w:type="page"/>
      </w:r>
      <w:r>
        <w:rPr>
          <w:rFonts w:hint="eastAsia" w:ascii="宋体" w:hAnsi="宋体"/>
          <w:b/>
          <w:bCs/>
          <w:color w:val="auto"/>
          <w:sz w:val="24"/>
          <w:highlight w:val="none"/>
        </w:rPr>
        <w:t>附录18</w:t>
      </w:r>
      <w:r>
        <w:rPr>
          <w:rFonts w:hint="eastAsia" w:ascii="宋体" w:hAnsi="宋体"/>
          <w:color w:val="auto"/>
          <w:sz w:val="24"/>
          <w:highlight w:val="none"/>
        </w:rPr>
        <w:t>（适用于投票法）</w:t>
      </w:r>
    </w:p>
    <w:p>
      <w:pPr>
        <w:wordWrap w:val="0"/>
        <w:topLinePunct/>
        <w:jc w:val="center"/>
        <w:rPr>
          <w:rFonts w:ascii="宋体" w:hAnsi="宋体" w:cs="宋体"/>
          <w:color w:val="auto"/>
          <w:sz w:val="24"/>
          <w:highlight w:val="none"/>
        </w:rPr>
      </w:pPr>
      <w:r>
        <w:rPr>
          <w:rFonts w:hint="eastAsia" w:ascii="宋体" w:hAnsi="宋体" w:cs="宋体"/>
          <w:b/>
          <w:bCs/>
          <w:color w:val="auto"/>
          <w:sz w:val="32"/>
          <w:highlight w:val="none"/>
        </w:rPr>
        <w:t>市政工程设计方案评审记录表</w:t>
      </w:r>
    </w:p>
    <w:p>
      <w:pPr>
        <w:wordWrap w:val="0"/>
        <w:topLinePunct/>
        <w:rPr>
          <w:rFonts w:ascii="宋体" w:hAnsi="宋体" w:cs="宋体"/>
          <w:color w:val="auto"/>
          <w:highlight w:val="none"/>
        </w:rPr>
      </w:pPr>
      <w:r>
        <w:rPr>
          <w:rFonts w:hint="eastAsia" w:ascii="宋体" w:hAnsi="宋体" w:cs="宋体"/>
          <w:color w:val="auto"/>
          <w:highlight w:val="none"/>
        </w:rPr>
        <w:t>项目名称：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tcPr>
          <w:p>
            <w:pPr>
              <w:wordWrap w:val="0"/>
              <w:topLinePunct/>
              <w:jc w:val="center"/>
              <w:rPr>
                <w:rFonts w:ascii="宋体" w:hAnsi="宋体" w:cs="宋体"/>
                <w:color w:val="auto"/>
                <w:highlight w:val="none"/>
              </w:rPr>
            </w:pPr>
            <w:r>
              <w:rPr>
                <w:rFonts w:hint="eastAsia" w:ascii="宋体" w:hAnsi="宋体" w:cs="宋体"/>
                <w:color w:val="auto"/>
                <w:highlight w:val="none"/>
              </w:rPr>
              <w:t>序号</w:t>
            </w:r>
          </w:p>
        </w:tc>
        <w:tc>
          <w:tcPr>
            <w:tcW w:w="7992" w:type="dxa"/>
          </w:tcPr>
          <w:p>
            <w:pPr>
              <w:wordWrap w:val="0"/>
              <w:topLinePunct/>
              <w:jc w:val="center"/>
              <w:rPr>
                <w:rFonts w:ascii="宋体" w:hAnsi="宋体" w:cs="宋体"/>
                <w:color w:val="auto"/>
                <w:highlight w:val="none"/>
              </w:rPr>
            </w:pPr>
            <w:r>
              <w:rPr>
                <w:rFonts w:hint="eastAsia" w:ascii="宋体" w:hAnsi="宋体" w:cs="宋体"/>
                <w:color w:val="auto"/>
                <w:highlight w:val="none"/>
              </w:rPr>
              <w:t>主要评判因素</w:t>
            </w:r>
          </w:p>
        </w:tc>
        <w:tc>
          <w:tcPr>
            <w:tcW w:w="1548" w:type="dxa"/>
          </w:tcPr>
          <w:p>
            <w:pPr>
              <w:wordWrap w:val="0"/>
              <w:topLinePunct/>
              <w:jc w:val="center"/>
              <w:rPr>
                <w:rFonts w:ascii="宋体" w:hAnsi="宋体" w:cs="宋体"/>
                <w:color w:val="auto"/>
                <w:highlight w:val="none"/>
              </w:rPr>
            </w:pPr>
            <w:r>
              <w:rPr>
                <w:rFonts w:hint="eastAsia" w:ascii="宋体" w:hAnsi="宋体" w:cs="宋体"/>
                <w:color w:val="auto"/>
                <w:highlight w:val="none"/>
              </w:rPr>
              <w:t>较好方案</w:t>
            </w:r>
          </w:p>
        </w:tc>
        <w:tc>
          <w:tcPr>
            <w:tcW w:w="1440" w:type="dxa"/>
          </w:tcPr>
          <w:p>
            <w:pPr>
              <w:wordWrap w:val="0"/>
              <w:topLinePunct/>
              <w:jc w:val="center"/>
              <w:rPr>
                <w:rFonts w:ascii="宋体" w:hAnsi="宋体" w:cs="宋体"/>
                <w:color w:val="auto"/>
                <w:highlight w:val="none"/>
              </w:rPr>
            </w:pPr>
            <w:r>
              <w:rPr>
                <w:rFonts w:hint="eastAsia" w:ascii="宋体" w:hAnsi="宋体" w:cs="宋体"/>
                <w:color w:val="auto"/>
                <w:highlight w:val="none"/>
              </w:rPr>
              <w:t>一般方案</w:t>
            </w:r>
          </w:p>
        </w:tc>
        <w:tc>
          <w:tcPr>
            <w:tcW w:w="1440" w:type="dxa"/>
          </w:tcPr>
          <w:p>
            <w:pPr>
              <w:wordWrap w:val="0"/>
              <w:topLinePunct/>
              <w:jc w:val="center"/>
              <w:rPr>
                <w:rFonts w:ascii="宋体" w:hAnsi="宋体" w:cs="宋体"/>
                <w:color w:val="auto"/>
                <w:highlight w:val="none"/>
              </w:rPr>
            </w:pPr>
            <w:r>
              <w:rPr>
                <w:rFonts w:hint="eastAsia" w:ascii="宋体" w:hAnsi="宋体" w:cs="宋体"/>
                <w:color w:val="auto"/>
                <w:highlight w:val="none"/>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 xml:space="preserve">1整体设计 </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整个设计内容符合招标文件要求，内容全面，设计总说明书文字表达清楚、思路清晰、重点和难点突出、图纸及文卷质量高。</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2规划</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正确理解并执行规划建设意图，与周边路网、管网规划协调一致；对区域内路网的交通组织完善合理，总体思路清晰；路线平、纵、横等设计科学合理。</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szCs w:val="21"/>
                <w:highlight w:val="none"/>
                <w:lang w:val="zh-CN"/>
              </w:rPr>
              <w:t>交叉节点</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交叉节点功能定位合理；平、纵、横等设计指标符合规范且标准较高，技术措施优良。</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4排水设施</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highlight w:val="none"/>
              </w:rPr>
              <w:t>充分考虑已建排水设施，结合现状及规划污水处理需求，综合考虑近远期结合的要求；排水系统总体布局充分利用地形，尽量采用自流，充分考虑其可实施性和可操作性。</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5施工期交通</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施工期间交通组织、施工实施方案切合实际。</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6重点难点分析</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工程建设和使用的重点、难点分析透彻，解决措施合理。</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7勘察方案</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highlight w:val="none"/>
              </w:rPr>
              <w:t>勘察方案合理可行，勘察的重点、难点理解准确，建议合理可行；勘察工作流程规范，工期进度计划合理可行。</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8总投资</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工程总投资合理，节约工程总投资的措施及理由合理、可信、可行。</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9投资估算</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szCs w:val="21"/>
                <w:highlight w:val="none"/>
                <w:lang w:val="zh-CN"/>
              </w:rPr>
              <w:t>投资估算编制依据正确，达到相应的深度要求，编制质量高。</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color w:val="auto"/>
                <w:highlight w:val="none"/>
              </w:rPr>
            </w:pPr>
            <w:r>
              <w:rPr>
                <w:rFonts w:hint="eastAsia" w:ascii="宋体" w:hAnsi="宋体" w:cs="宋体"/>
                <w:color w:val="auto"/>
                <w:highlight w:val="none"/>
              </w:rPr>
              <w:t>10…………</w:t>
            </w:r>
          </w:p>
        </w:tc>
        <w:tc>
          <w:tcPr>
            <w:tcW w:w="7992" w:type="dxa"/>
            <w:vAlign w:val="center"/>
          </w:tcPr>
          <w:p>
            <w:pPr>
              <w:wordWrap w:val="0"/>
              <w:topLinePunct/>
              <w:rPr>
                <w:rFonts w:ascii="宋体" w:hAnsi="宋体" w:cs="宋体"/>
                <w:color w:val="auto"/>
                <w:highlight w:val="none"/>
              </w:rPr>
            </w:pPr>
            <w:r>
              <w:rPr>
                <w:rFonts w:hint="eastAsia" w:ascii="宋体" w:hAnsi="宋体" w:cs="宋体"/>
                <w:color w:val="auto"/>
                <w:highlight w:val="none"/>
              </w:rPr>
              <w:t>其他</w:t>
            </w: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jc w:val="center"/>
              <w:rPr>
                <w:rFonts w:ascii="宋体" w:hAnsi="宋体" w:cs="宋体"/>
                <w:color w:val="auto"/>
                <w:highlight w:val="none"/>
              </w:rPr>
            </w:pPr>
            <w:r>
              <w:rPr>
                <w:rFonts w:hint="eastAsia" w:ascii="宋体" w:hAnsi="宋体" w:cs="宋体"/>
                <w:color w:val="auto"/>
                <w:highlight w:val="none"/>
              </w:rPr>
              <w:t>综合评价</w:t>
            </w:r>
          </w:p>
        </w:tc>
        <w:tc>
          <w:tcPr>
            <w:tcW w:w="7992" w:type="dxa"/>
          </w:tcPr>
          <w:p>
            <w:pPr>
              <w:wordWrap w:val="0"/>
              <w:topLinePunct/>
              <w:rPr>
                <w:rFonts w:ascii="宋体" w:hAnsi="宋体" w:cs="宋体"/>
                <w:color w:val="auto"/>
                <w:highlight w:val="none"/>
              </w:rPr>
            </w:pPr>
          </w:p>
        </w:tc>
        <w:tc>
          <w:tcPr>
            <w:tcW w:w="1548"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c>
          <w:tcPr>
            <w:tcW w:w="1440" w:type="dxa"/>
          </w:tcPr>
          <w:p>
            <w:pPr>
              <w:wordWrap w:val="0"/>
              <w:topLinePunct/>
              <w:jc w:val="center"/>
              <w:rPr>
                <w:rFonts w:ascii="宋体" w:hAnsi="宋体" w:cs="宋体"/>
                <w:color w:val="auto"/>
                <w:highlight w:val="none"/>
              </w:rPr>
            </w:pPr>
          </w:p>
        </w:tc>
      </w:tr>
    </w:tbl>
    <w:p>
      <w:pPr>
        <w:wordWrap w:val="0"/>
        <w:topLinePunct/>
        <w:rPr>
          <w:rFonts w:ascii="宋体" w:hAnsi="宋体" w:cs="宋体"/>
          <w:color w:val="auto"/>
          <w:highlight w:val="none"/>
        </w:rPr>
      </w:pPr>
      <w:r>
        <w:rPr>
          <w:rFonts w:hint="eastAsia" w:ascii="宋体" w:hAnsi="宋体" w:cs="宋体"/>
          <w:color w:val="auto"/>
          <w:highlight w:val="none"/>
        </w:rPr>
        <w:t>招标人可以根据项目类型、特点、设计价值观等情况增删评判因素。</w:t>
      </w:r>
    </w:p>
    <w:p>
      <w:pPr>
        <w:wordWrap w:val="0"/>
        <w:topLinePunct/>
        <w:jc w:val="center"/>
        <w:rPr>
          <w:rFonts w:ascii="宋体" w:hAnsi="宋体" w:cs="宋体"/>
          <w:color w:val="auto"/>
          <w:sz w:val="24"/>
          <w:highlight w:val="none"/>
        </w:rPr>
        <w:sectPr>
          <w:footerReference r:id="rId8" w:type="default"/>
          <w:footerReference r:id="rId9" w:type="even"/>
          <w:type w:val="nextColumn"/>
          <w:pgSz w:w="16838" w:h="11906" w:orient="landscape"/>
          <w:pgMar w:top="851" w:right="1440" w:bottom="1134" w:left="1440" w:header="851" w:footer="992" w:gutter="0"/>
          <w:cols w:space="720" w:num="1"/>
          <w:docGrid w:type="linesAndChars" w:linePitch="312" w:charSpace="0"/>
        </w:sectPr>
      </w:pPr>
      <w:r>
        <w:rPr>
          <w:rFonts w:hint="eastAsia" w:ascii="宋体" w:hAnsi="宋体" w:cs="宋体"/>
          <w:color w:val="auto"/>
          <w:highlight w:val="none"/>
        </w:rPr>
        <w:t>评委签名：                                                                                       日期：       年    月    日</w:t>
      </w:r>
    </w:p>
    <w:p>
      <w:pPr>
        <w:rPr>
          <w:rFonts w:ascii="宋体" w:hAnsi="宋体"/>
          <w:b/>
          <w:bCs/>
          <w:color w:val="auto"/>
          <w:sz w:val="24"/>
          <w:highlight w:val="none"/>
        </w:rPr>
      </w:pPr>
      <w:r>
        <w:rPr>
          <w:rFonts w:hint="eastAsia" w:ascii="宋体" w:hAnsi="宋体"/>
          <w:b/>
          <w:bCs/>
          <w:color w:val="auto"/>
          <w:sz w:val="24"/>
          <w:highlight w:val="none"/>
        </w:rPr>
        <w:t>附录19</w:t>
      </w:r>
      <w:r>
        <w:rPr>
          <w:rFonts w:hint="eastAsia" w:ascii="宋体" w:hAnsi="宋体"/>
          <w:color w:val="auto"/>
          <w:sz w:val="24"/>
          <w:highlight w:val="none"/>
        </w:rPr>
        <w:t>（适用于投票法）</w:t>
      </w:r>
    </w:p>
    <w:p>
      <w:pPr>
        <w:pStyle w:val="14"/>
        <w:jc w:val="center"/>
        <w:rPr>
          <w:rFonts w:hAnsi="宋体"/>
          <w:b/>
          <w:color w:val="auto"/>
          <w:sz w:val="32"/>
          <w:highlight w:val="none"/>
        </w:rPr>
      </w:pPr>
      <w:r>
        <w:rPr>
          <w:rFonts w:hint="eastAsia" w:hAnsi="宋体"/>
          <w:b/>
          <w:color w:val="auto"/>
          <w:sz w:val="32"/>
          <w:highlight w:val="none"/>
        </w:rPr>
        <w:t>投票表格</w:t>
      </w:r>
    </w:p>
    <w:p>
      <w:pPr>
        <w:rPr>
          <w:rFonts w:ascii="宋体" w:hAnsi="宋体"/>
          <w:color w:val="auto"/>
          <w:sz w:val="24"/>
          <w:highlight w:val="none"/>
        </w:rPr>
      </w:pPr>
    </w:p>
    <w:p>
      <w:pPr>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p>
    <w:p>
      <w:pPr>
        <w:rPr>
          <w:rFonts w:ascii="宋体" w:hAnsi="宋体"/>
          <w:color w:val="auto"/>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第    轮</w:t>
            </w:r>
          </w:p>
        </w:tc>
        <w:tc>
          <w:tcPr>
            <w:tcW w:w="917" w:type="dxa"/>
            <w:tcBorders>
              <w:top w:val="double" w:color="auto" w:sz="4" w:space="0"/>
              <w:left w:val="single" w:color="auto" w:sz="4" w:space="0"/>
              <w:bottom w:val="double" w:color="auto" w:sz="4" w:space="0"/>
            </w:tcBorders>
          </w:tcPr>
          <w:p>
            <w:pPr>
              <w:rPr>
                <w:rFonts w:ascii="宋体" w:hAnsi="宋体"/>
                <w:color w:val="auto"/>
                <w:highlight w:val="none"/>
              </w:rPr>
            </w:pPr>
          </w:p>
        </w:tc>
        <w:tc>
          <w:tcPr>
            <w:tcW w:w="918" w:type="dxa"/>
            <w:tcBorders>
              <w:top w:val="double" w:color="auto" w:sz="4" w:space="0"/>
              <w:bottom w:val="double" w:color="auto" w:sz="4" w:space="0"/>
            </w:tcBorders>
          </w:tcPr>
          <w:p>
            <w:pPr>
              <w:rPr>
                <w:rFonts w:ascii="宋体" w:hAnsi="宋体"/>
                <w:color w:val="auto"/>
                <w:highlight w:val="none"/>
              </w:rPr>
            </w:pPr>
          </w:p>
        </w:tc>
        <w:tc>
          <w:tcPr>
            <w:tcW w:w="917" w:type="dxa"/>
            <w:tcBorders>
              <w:top w:val="double" w:color="auto" w:sz="4" w:space="0"/>
              <w:bottom w:val="double" w:color="auto" w:sz="4" w:space="0"/>
            </w:tcBorders>
          </w:tcPr>
          <w:p>
            <w:pPr>
              <w:rPr>
                <w:rFonts w:ascii="宋体" w:hAnsi="宋体"/>
                <w:color w:val="auto"/>
                <w:highlight w:val="none"/>
              </w:rPr>
            </w:pPr>
          </w:p>
        </w:tc>
        <w:tc>
          <w:tcPr>
            <w:tcW w:w="918" w:type="dxa"/>
            <w:tcBorders>
              <w:top w:val="double" w:color="auto" w:sz="4" w:space="0"/>
              <w:bottom w:val="double" w:color="auto" w:sz="4" w:space="0"/>
            </w:tcBorders>
          </w:tcPr>
          <w:p>
            <w:pPr>
              <w:rPr>
                <w:rFonts w:ascii="宋体" w:hAnsi="宋体"/>
                <w:color w:val="auto"/>
                <w:highlight w:val="none"/>
              </w:rPr>
            </w:pPr>
          </w:p>
        </w:tc>
        <w:tc>
          <w:tcPr>
            <w:tcW w:w="917" w:type="dxa"/>
            <w:tcBorders>
              <w:top w:val="double" w:color="auto" w:sz="4" w:space="0"/>
              <w:bottom w:val="double" w:color="auto" w:sz="4" w:space="0"/>
            </w:tcBorders>
          </w:tcPr>
          <w:p>
            <w:pPr>
              <w:rPr>
                <w:rFonts w:ascii="宋体" w:hAnsi="宋体"/>
                <w:color w:val="auto"/>
                <w:highlight w:val="none"/>
              </w:rPr>
            </w:pPr>
          </w:p>
        </w:tc>
        <w:tc>
          <w:tcPr>
            <w:tcW w:w="918" w:type="dxa"/>
            <w:tcBorders>
              <w:top w:val="double" w:color="auto" w:sz="4" w:space="0"/>
              <w:bottom w:val="double" w:color="auto" w:sz="4" w:space="0"/>
            </w:tcBorders>
          </w:tcPr>
          <w:p>
            <w:pPr>
              <w:rPr>
                <w:rFonts w:ascii="宋体" w:hAnsi="宋体"/>
                <w:color w:val="auto"/>
                <w:highlight w:val="none"/>
              </w:rPr>
            </w:pPr>
          </w:p>
        </w:tc>
        <w:tc>
          <w:tcPr>
            <w:tcW w:w="917" w:type="dxa"/>
            <w:tcBorders>
              <w:top w:val="double" w:color="auto" w:sz="4" w:space="0"/>
              <w:bottom w:val="double" w:color="auto" w:sz="4" w:space="0"/>
            </w:tcBorders>
          </w:tcPr>
          <w:p>
            <w:pPr>
              <w:rPr>
                <w:rFonts w:ascii="宋体" w:hAnsi="宋体"/>
                <w:color w:val="auto"/>
                <w:highlight w:val="none"/>
              </w:rPr>
            </w:pPr>
          </w:p>
        </w:tc>
        <w:tc>
          <w:tcPr>
            <w:tcW w:w="918" w:type="dxa"/>
            <w:tcBorders>
              <w:top w:val="double" w:color="auto" w:sz="4" w:space="0"/>
              <w:bottom w:val="double" w:color="auto" w:sz="4" w:space="0"/>
              <w:right w:val="double" w:color="auto" w:sz="4" w:space="0"/>
            </w:tcBorders>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第    轮</w:t>
            </w:r>
          </w:p>
        </w:tc>
        <w:tc>
          <w:tcPr>
            <w:tcW w:w="1835" w:type="dxa"/>
            <w:gridSpan w:val="2"/>
            <w:tcBorders>
              <w:top w:val="double" w:color="auto" w:sz="4" w:space="0"/>
              <w:left w:val="single" w:color="auto" w:sz="4" w:space="0"/>
              <w:bottom w:val="double" w:color="auto" w:sz="4" w:space="0"/>
            </w:tcBorders>
          </w:tcPr>
          <w:p>
            <w:pPr>
              <w:rPr>
                <w:rFonts w:ascii="宋体" w:hAnsi="宋体"/>
                <w:color w:val="auto"/>
                <w:highlight w:val="none"/>
              </w:rPr>
            </w:pPr>
          </w:p>
        </w:tc>
        <w:tc>
          <w:tcPr>
            <w:tcW w:w="1835" w:type="dxa"/>
            <w:gridSpan w:val="2"/>
            <w:tcBorders>
              <w:top w:val="double" w:color="auto" w:sz="4" w:space="0"/>
              <w:bottom w:val="double" w:color="auto" w:sz="4" w:space="0"/>
            </w:tcBorders>
          </w:tcPr>
          <w:p>
            <w:pPr>
              <w:rPr>
                <w:rFonts w:ascii="宋体" w:hAnsi="宋体"/>
                <w:color w:val="auto"/>
                <w:highlight w:val="none"/>
              </w:rPr>
            </w:pPr>
          </w:p>
        </w:tc>
        <w:tc>
          <w:tcPr>
            <w:tcW w:w="1835" w:type="dxa"/>
            <w:gridSpan w:val="2"/>
            <w:tcBorders>
              <w:top w:val="double" w:color="auto" w:sz="4" w:space="0"/>
              <w:bottom w:val="double" w:color="auto" w:sz="4" w:space="0"/>
            </w:tcBorders>
          </w:tcPr>
          <w:p>
            <w:pPr>
              <w:rPr>
                <w:rFonts w:ascii="宋体" w:hAnsi="宋体"/>
                <w:color w:val="auto"/>
                <w:highlight w:val="none"/>
              </w:rPr>
            </w:pPr>
          </w:p>
        </w:tc>
        <w:tc>
          <w:tcPr>
            <w:tcW w:w="1835" w:type="dxa"/>
            <w:gridSpan w:val="2"/>
            <w:tcBorders>
              <w:top w:val="double" w:color="auto" w:sz="4" w:space="0"/>
              <w:bottom w:val="double" w:color="auto" w:sz="4" w:space="0"/>
              <w:right w:val="double" w:color="auto" w:sz="4" w:space="0"/>
            </w:tcBorders>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第    轮</w:t>
            </w:r>
          </w:p>
        </w:tc>
        <w:tc>
          <w:tcPr>
            <w:tcW w:w="3670" w:type="dxa"/>
            <w:gridSpan w:val="4"/>
            <w:tcBorders>
              <w:top w:val="double" w:color="auto" w:sz="4" w:space="0"/>
              <w:left w:val="single" w:color="auto" w:sz="4" w:space="0"/>
              <w:bottom w:val="double" w:color="auto" w:sz="4" w:space="0"/>
            </w:tcBorders>
          </w:tcPr>
          <w:p>
            <w:pPr>
              <w:rPr>
                <w:rFonts w:ascii="宋体" w:hAnsi="宋体"/>
                <w:color w:val="auto"/>
                <w:highlight w:val="none"/>
              </w:rPr>
            </w:pPr>
          </w:p>
        </w:tc>
        <w:tc>
          <w:tcPr>
            <w:tcW w:w="3670" w:type="dxa"/>
            <w:gridSpan w:val="4"/>
            <w:tcBorders>
              <w:top w:val="double" w:color="auto" w:sz="4" w:space="0"/>
              <w:bottom w:val="double" w:color="auto" w:sz="4" w:space="0"/>
              <w:right w:val="double" w:color="auto" w:sz="4" w:space="0"/>
            </w:tcBorders>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tcPr>
          <w:p>
            <w:pPr>
              <w:rPr>
                <w:rFonts w:ascii="宋体" w:hAnsi="宋体"/>
                <w:color w:val="auto"/>
                <w:highlight w:val="none"/>
              </w:rPr>
            </w:pPr>
          </w:p>
        </w:tc>
      </w:tr>
    </w:tbl>
    <w:p>
      <w:pPr>
        <w:rPr>
          <w:rFonts w:ascii="宋体" w:hAnsi="宋体"/>
          <w:color w:val="auto"/>
          <w:highlight w:val="none"/>
        </w:rPr>
      </w:pPr>
      <w:r>
        <w:rPr>
          <w:rFonts w:hint="eastAsia" w:ascii="宋体" w:hAnsi="宋体"/>
          <w:color w:val="auto"/>
          <w:highlight w:val="non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color w:val="auto"/>
          <w:szCs w:val="18"/>
          <w:highlight w:val="none"/>
        </w:rPr>
        <w:t>以得票多的方案当选为</w:t>
      </w:r>
      <w:r>
        <w:rPr>
          <w:rFonts w:hint="eastAsia" w:ascii="宋体" w:hAnsi="宋体"/>
          <w:color w:val="auto"/>
          <w:highlight w:val="none"/>
        </w:rPr>
        <w:t>下一轮投票的候选方案</w:t>
      </w:r>
      <w:r>
        <w:rPr>
          <w:rFonts w:hint="eastAsia" w:ascii="宋体" w:hAnsi="宋体" w:cs="Arial"/>
          <w:color w:val="auto"/>
          <w:szCs w:val="18"/>
          <w:highlight w:val="none"/>
        </w:rPr>
        <w:t>。</w:t>
      </w:r>
      <w:r>
        <w:rPr>
          <w:rFonts w:hint="eastAsia" w:ascii="宋体" w:hAnsi="宋体"/>
          <w:color w:val="auto"/>
          <w:highlight w:val="none"/>
        </w:rPr>
        <w:t>不能进入下一轮的方案，根据本轮得票数量确定名次。</w:t>
      </w:r>
      <w:r>
        <w:rPr>
          <w:rFonts w:hint="eastAsia" w:ascii="宋体" w:hAnsi="宋体" w:cs="Arial"/>
          <w:color w:val="auto"/>
          <w:szCs w:val="18"/>
          <w:highlight w:val="none"/>
        </w:rPr>
        <w:t>遇票数相等不能确定入选下一轮的投标方案时，</w:t>
      </w:r>
      <w:r>
        <w:rPr>
          <w:rFonts w:hint="eastAsia"/>
          <w:color w:val="auto"/>
          <w:highlight w:val="none"/>
        </w:rPr>
        <w:t>应进行附加投票，以确定名次。</w:t>
      </w:r>
      <w:r>
        <w:rPr>
          <w:rFonts w:hint="eastAsia" w:ascii="宋体" w:hAnsi="宋体"/>
          <w:color w:val="auto"/>
          <w:highlight w:val="none"/>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2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p>
        </w:tc>
        <w:tc>
          <w:tcPr>
            <w:tcW w:w="6120" w:type="dxa"/>
            <w:gridSpan w:val="3"/>
          </w:tcPr>
          <w:p>
            <w:pPr>
              <w:jc w:val="center"/>
              <w:rPr>
                <w:rFonts w:ascii="宋体" w:hAnsi="宋体"/>
                <w:color w:val="auto"/>
                <w:highlight w:val="none"/>
              </w:rPr>
            </w:pPr>
            <w:r>
              <w:rPr>
                <w:rFonts w:hint="eastAsia" w:ascii="宋体" w:hAnsi="宋体"/>
                <w:color w:val="auto"/>
                <w:highlight w:val="non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投标人数</w:t>
            </w:r>
          </w:p>
        </w:tc>
        <w:tc>
          <w:tcPr>
            <w:tcW w:w="1980" w:type="dxa"/>
          </w:tcPr>
          <w:p>
            <w:pPr>
              <w:jc w:val="center"/>
              <w:rPr>
                <w:rFonts w:ascii="宋体" w:hAnsi="宋体"/>
                <w:color w:val="auto"/>
                <w:highlight w:val="none"/>
              </w:rPr>
            </w:pPr>
            <w:r>
              <w:rPr>
                <w:rFonts w:hint="eastAsia" w:ascii="宋体" w:hAnsi="宋体"/>
                <w:color w:val="auto"/>
                <w:highlight w:val="none"/>
              </w:rPr>
              <w:t>3至4</w:t>
            </w:r>
          </w:p>
        </w:tc>
        <w:tc>
          <w:tcPr>
            <w:tcW w:w="1980" w:type="dxa"/>
          </w:tcPr>
          <w:p>
            <w:pPr>
              <w:jc w:val="center"/>
              <w:rPr>
                <w:rFonts w:ascii="宋体" w:hAnsi="宋体"/>
                <w:color w:val="auto"/>
                <w:highlight w:val="none"/>
              </w:rPr>
            </w:pPr>
            <w:r>
              <w:rPr>
                <w:rFonts w:hint="eastAsia" w:ascii="宋体" w:hAnsi="宋体"/>
                <w:color w:val="auto"/>
                <w:highlight w:val="none"/>
              </w:rPr>
              <w:t>5至8</w:t>
            </w:r>
          </w:p>
        </w:tc>
        <w:tc>
          <w:tcPr>
            <w:tcW w:w="2160" w:type="dxa"/>
          </w:tcPr>
          <w:p>
            <w:pPr>
              <w:jc w:val="center"/>
              <w:rPr>
                <w:rFonts w:ascii="宋体" w:hAnsi="宋体"/>
                <w:color w:val="auto"/>
                <w:highlight w:val="none"/>
              </w:rPr>
            </w:pPr>
            <w:r>
              <w:rPr>
                <w:rFonts w:hint="eastAsia" w:ascii="宋体" w:hAnsi="宋体"/>
                <w:color w:val="auto"/>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第1轮</w:t>
            </w:r>
          </w:p>
        </w:tc>
        <w:tc>
          <w:tcPr>
            <w:tcW w:w="1980" w:type="dxa"/>
          </w:tcPr>
          <w:p>
            <w:pPr>
              <w:jc w:val="center"/>
              <w:rPr>
                <w:rFonts w:ascii="宋体" w:hAnsi="宋体"/>
                <w:color w:val="auto"/>
                <w:highlight w:val="none"/>
              </w:rPr>
            </w:pPr>
            <w:r>
              <w:rPr>
                <w:rFonts w:hint="eastAsia" w:ascii="宋体" w:hAnsi="宋体"/>
                <w:color w:val="auto"/>
                <w:highlight w:val="none"/>
              </w:rPr>
              <w:t>2</w:t>
            </w:r>
          </w:p>
        </w:tc>
        <w:tc>
          <w:tcPr>
            <w:tcW w:w="1980" w:type="dxa"/>
          </w:tcPr>
          <w:p>
            <w:pPr>
              <w:jc w:val="center"/>
              <w:rPr>
                <w:rFonts w:ascii="宋体" w:hAnsi="宋体"/>
                <w:color w:val="auto"/>
                <w:highlight w:val="none"/>
              </w:rPr>
            </w:pPr>
            <w:r>
              <w:rPr>
                <w:rFonts w:hint="eastAsia" w:ascii="宋体" w:hAnsi="宋体"/>
                <w:color w:val="auto"/>
                <w:highlight w:val="none"/>
              </w:rPr>
              <w:t>4</w:t>
            </w:r>
          </w:p>
        </w:tc>
        <w:tc>
          <w:tcPr>
            <w:tcW w:w="2160" w:type="dxa"/>
          </w:tcPr>
          <w:p>
            <w:pPr>
              <w:jc w:val="center"/>
              <w:rPr>
                <w:rFonts w:ascii="宋体" w:hAnsi="宋体"/>
                <w:color w:val="auto"/>
                <w:highlight w:val="none"/>
              </w:rPr>
            </w:pPr>
            <w:r>
              <w:rPr>
                <w:rFonts w:hint="eastAsia" w:ascii="宋体" w:hAnsi="宋体"/>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第2轮</w:t>
            </w:r>
          </w:p>
        </w:tc>
        <w:tc>
          <w:tcPr>
            <w:tcW w:w="1980" w:type="dxa"/>
          </w:tcPr>
          <w:p>
            <w:pPr>
              <w:jc w:val="center"/>
              <w:rPr>
                <w:rFonts w:ascii="宋体" w:hAnsi="宋体"/>
                <w:color w:val="auto"/>
                <w:highlight w:val="none"/>
              </w:rPr>
            </w:pPr>
            <w:r>
              <w:rPr>
                <w:rFonts w:hint="eastAsia" w:ascii="宋体" w:hAnsi="宋体"/>
                <w:color w:val="auto"/>
                <w:highlight w:val="none"/>
              </w:rPr>
              <w:t>1</w:t>
            </w:r>
          </w:p>
        </w:tc>
        <w:tc>
          <w:tcPr>
            <w:tcW w:w="1980" w:type="dxa"/>
          </w:tcPr>
          <w:p>
            <w:pPr>
              <w:jc w:val="center"/>
              <w:rPr>
                <w:rFonts w:ascii="宋体" w:hAnsi="宋体"/>
                <w:color w:val="auto"/>
                <w:highlight w:val="none"/>
              </w:rPr>
            </w:pPr>
            <w:r>
              <w:rPr>
                <w:rFonts w:hint="eastAsia" w:ascii="宋体" w:hAnsi="宋体"/>
                <w:color w:val="auto"/>
                <w:highlight w:val="none"/>
              </w:rPr>
              <w:t>2</w:t>
            </w:r>
          </w:p>
        </w:tc>
        <w:tc>
          <w:tcPr>
            <w:tcW w:w="2160" w:type="dxa"/>
          </w:tcPr>
          <w:p>
            <w:pPr>
              <w:jc w:val="center"/>
              <w:rPr>
                <w:rFonts w:ascii="宋体" w:hAnsi="宋体"/>
                <w:color w:val="auto"/>
                <w:highlight w:val="none"/>
              </w:rPr>
            </w:pPr>
            <w:r>
              <w:rPr>
                <w:rFonts w:hint="eastAsia" w:ascii="宋体" w:hAnsi="宋体"/>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第3轮</w:t>
            </w:r>
          </w:p>
        </w:tc>
        <w:tc>
          <w:tcPr>
            <w:tcW w:w="1980" w:type="dxa"/>
          </w:tcPr>
          <w:p>
            <w:pPr>
              <w:jc w:val="center"/>
              <w:rPr>
                <w:rFonts w:ascii="宋体" w:hAnsi="宋体"/>
                <w:color w:val="auto"/>
                <w:highlight w:val="none"/>
              </w:rPr>
            </w:pPr>
          </w:p>
        </w:tc>
        <w:tc>
          <w:tcPr>
            <w:tcW w:w="1980" w:type="dxa"/>
          </w:tcPr>
          <w:p>
            <w:pPr>
              <w:jc w:val="center"/>
              <w:rPr>
                <w:rFonts w:ascii="宋体" w:hAnsi="宋体"/>
                <w:color w:val="auto"/>
                <w:highlight w:val="none"/>
              </w:rPr>
            </w:pPr>
            <w:r>
              <w:rPr>
                <w:rFonts w:hint="eastAsia" w:ascii="宋体" w:hAnsi="宋体"/>
                <w:color w:val="auto"/>
                <w:highlight w:val="none"/>
              </w:rPr>
              <w:t>1</w:t>
            </w:r>
          </w:p>
        </w:tc>
        <w:tc>
          <w:tcPr>
            <w:tcW w:w="2160" w:type="dxa"/>
          </w:tcPr>
          <w:p>
            <w:pPr>
              <w:jc w:val="center"/>
              <w:rPr>
                <w:rFonts w:ascii="宋体" w:hAnsi="宋体"/>
                <w:color w:val="auto"/>
                <w:highlight w:val="none"/>
              </w:rPr>
            </w:pPr>
            <w:r>
              <w:rPr>
                <w:rFonts w:hint="eastAsia" w:ascii="宋体" w:hAnsi="宋体"/>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color w:val="auto"/>
                <w:highlight w:val="none"/>
              </w:rPr>
            </w:pPr>
            <w:r>
              <w:rPr>
                <w:rFonts w:hint="eastAsia" w:ascii="宋体" w:hAnsi="宋体"/>
                <w:color w:val="auto"/>
                <w:highlight w:val="none"/>
              </w:rPr>
              <w:t>第4轮</w:t>
            </w:r>
          </w:p>
        </w:tc>
        <w:tc>
          <w:tcPr>
            <w:tcW w:w="1980" w:type="dxa"/>
          </w:tcPr>
          <w:p>
            <w:pPr>
              <w:jc w:val="center"/>
              <w:rPr>
                <w:rFonts w:ascii="宋体" w:hAnsi="宋体"/>
                <w:color w:val="auto"/>
                <w:highlight w:val="none"/>
              </w:rPr>
            </w:pPr>
          </w:p>
        </w:tc>
        <w:tc>
          <w:tcPr>
            <w:tcW w:w="1980" w:type="dxa"/>
          </w:tcPr>
          <w:p>
            <w:pPr>
              <w:jc w:val="center"/>
              <w:rPr>
                <w:rFonts w:ascii="宋体" w:hAnsi="宋体"/>
                <w:color w:val="auto"/>
                <w:highlight w:val="none"/>
              </w:rPr>
            </w:pPr>
          </w:p>
        </w:tc>
        <w:tc>
          <w:tcPr>
            <w:tcW w:w="2160" w:type="dxa"/>
          </w:tcPr>
          <w:p>
            <w:pPr>
              <w:jc w:val="center"/>
              <w:rPr>
                <w:rFonts w:ascii="宋体" w:hAnsi="宋体"/>
                <w:color w:val="auto"/>
                <w:highlight w:val="none"/>
              </w:rPr>
            </w:pPr>
            <w:r>
              <w:rPr>
                <w:rFonts w:hint="eastAsia" w:ascii="宋体" w:hAnsi="宋体"/>
                <w:color w:val="auto"/>
                <w:highlight w:val="none"/>
              </w:rPr>
              <w:t>1</w:t>
            </w:r>
          </w:p>
        </w:tc>
      </w:tr>
    </w:tbl>
    <w:p>
      <w:pPr>
        <w:rPr>
          <w:rFonts w:ascii="宋体" w:hAnsi="宋体"/>
          <w:color w:val="auto"/>
          <w:highlight w:val="none"/>
        </w:rPr>
      </w:pPr>
      <w:r>
        <w:rPr>
          <w:rFonts w:hint="eastAsia" w:ascii="宋体" w:hAnsi="宋体"/>
          <w:color w:val="auto"/>
          <w:highlight w:val="none"/>
        </w:rPr>
        <w:t xml:space="preserve">    (1) </w:t>
      </w:r>
      <w:r>
        <w:rPr>
          <w:rFonts w:hint="eastAsia" w:ascii="宋体" w:hAnsi="宋体" w:cs="Arial"/>
          <w:color w:val="auto"/>
          <w:szCs w:val="18"/>
          <w:highlight w:val="none"/>
        </w:rPr>
        <w:t>投票结束后，</w:t>
      </w:r>
      <w:r>
        <w:rPr>
          <w:rFonts w:hint="eastAsia" w:ascii="宋体" w:hAnsi="宋体"/>
          <w:color w:val="auto"/>
          <w:highlight w:val="none"/>
        </w:rPr>
        <w:t>点票人员</w:t>
      </w:r>
      <w:r>
        <w:rPr>
          <w:rFonts w:hint="eastAsia" w:ascii="宋体" w:hAnsi="宋体" w:cs="Arial"/>
          <w:color w:val="auto"/>
          <w:szCs w:val="18"/>
          <w:highlight w:val="none"/>
        </w:rPr>
        <w:t>对投票人数、票数和每票应选方案总数加以核对和统计，作废的选票不得统计，并向</w:t>
      </w:r>
      <w:r>
        <w:rPr>
          <w:rFonts w:hint="eastAsia" w:ascii="宋体" w:hAnsi="宋体"/>
          <w:color w:val="auto"/>
          <w:highlight w:val="none"/>
        </w:rPr>
        <w:t>评标委员会</w:t>
      </w:r>
      <w:r>
        <w:rPr>
          <w:rFonts w:hint="eastAsia" w:ascii="宋体" w:hAnsi="宋体" w:cs="Arial"/>
          <w:color w:val="auto"/>
          <w:szCs w:val="18"/>
          <w:highlight w:val="none"/>
        </w:rPr>
        <w:t>报告。</w:t>
      </w:r>
    </w:p>
    <w:p>
      <w:pPr>
        <w:rPr>
          <w:rFonts w:ascii="宋体" w:hAnsi="宋体"/>
          <w:color w:val="auto"/>
          <w:highlight w:val="none"/>
        </w:rPr>
      </w:pPr>
      <w:r>
        <w:rPr>
          <w:rFonts w:hint="eastAsia" w:ascii="宋体" w:hAnsi="宋体"/>
          <w:color w:val="auto"/>
          <w:highlight w:val="none"/>
        </w:rPr>
        <w:t xml:space="preserve">    (2)评标委员会成员应当独立投票，自投票开始至最终排名统计结果公布期间，任何人不得非法干预、影响投票过程，不得透露、协商、改变投票结果，不得使用通信联络工具。</w:t>
      </w:r>
    </w:p>
    <w:p>
      <w:pPr>
        <w:rPr>
          <w:rFonts w:ascii="宋体" w:hAnsi="宋体"/>
          <w:color w:val="auto"/>
          <w:highlight w:val="none"/>
        </w:rPr>
      </w:pPr>
      <w:r>
        <w:rPr>
          <w:rFonts w:hint="eastAsia" w:ascii="宋体" w:hAnsi="宋体"/>
          <w:color w:val="auto"/>
          <w:highlight w:val="none"/>
        </w:rPr>
        <w:t>评委签名：                                        日期：       年    月    日</w:t>
      </w:r>
    </w:p>
    <w:p>
      <w:pPr>
        <w:widowControl/>
        <w:jc w:val="left"/>
        <w:rPr>
          <w:rFonts w:ascii="宋体" w:hAnsi="宋体"/>
          <w:b/>
          <w:bCs/>
          <w:color w:val="auto"/>
          <w:highlight w:val="none"/>
        </w:rPr>
      </w:pPr>
      <w:r>
        <w:rPr>
          <w:rFonts w:ascii="宋体" w:hAnsi="宋体"/>
          <w:b/>
          <w:bCs/>
          <w:color w:val="auto"/>
          <w:highlight w:val="none"/>
        </w:rPr>
        <w:br w:type="page"/>
      </w:r>
    </w:p>
    <w:p>
      <w:pPr>
        <w:rPr>
          <w:rFonts w:ascii="宋体" w:hAnsi="宋体"/>
          <w:color w:val="auto"/>
          <w:highlight w:val="none"/>
        </w:rPr>
      </w:pPr>
      <w:r>
        <w:rPr>
          <w:rFonts w:hint="eastAsia" w:hAnsi="宋体" w:cs="宋体"/>
          <w:b/>
          <w:bCs/>
          <w:color w:val="auto"/>
          <w:sz w:val="24"/>
          <w:highlight w:val="none"/>
        </w:rPr>
        <w:t>附录</w:t>
      </w:r>
      <w:r>
        <w:rPr>
          <w:rFonts w:hAnsi="宋体" w:cs="宋体"/>
          <w:b/>
          <w:bCs/>
          <w:color w:val="auto"/>
          <w:sz w:val="24"/>
          <w:highlight w:val="none"/>
        </w:rPr>
        <w:t>20</w:t>
      </w:r>
    </w:p>
    <w:p>
      <w:pPr>
        <w:wordWrap w:val="0"/>
        <w:topLinePunct/>
        <w:jc w:val="center"/>
        <w:rPr>
          <w:rFonts w:ascii="宋体" w:hAnsi="宋体" w:cs="宋体"/>
          <w:b/>
          <w:color w:val="auto"/>
          <w:sz w:val="32"/>
          <w:highlight w:val="none"/>
        </w:rPr>
      </w:pPr>
      <w:r>
        <w:rPr>
          <w:rFonts w:hint="eastAsia" w:ascii="宋体" w:hAnsi="宋体" w:cs="宋体"/>
          <w:b/>
          <w:color w:val="auto"/>
          <w:sz w:val="32"/>
          <w:highlight w:val="none"/>
        </w:rPr>
        <w:t>基础资料和设计任务书</w:t>
      </w:r>
    </w:p>
    <w:p>
      <w:pPr>
        <w:spacing w:line="360" w:lineRule="auto"/>
        <w:rPr>
          <w:rFonts w:ascii="宋体" w:hAnsi="宋体"/>
          <w:color w:val="auto"/>
          <w:szCs w:val="21"/>
          <w:highlight w:val="none"/>
        </w:rPr>
      </w:pPr>
      <w:r>
        <w:rPr>
          <w:rFonts w:hint="eastAsia" w:ascii="宋体" w:hAnsi="宋体"/>
          <w:color w:val="auto"/>
          <w:szCs w:val="21"/>
          <w:highlight w:val="none"/>
        </w:rPr>
        <w:t>一、项目概况</w:t>
      </w:r>
    </w:p>
    <w:p>
      <w:pPr>
        <w:spacing w:line="360" w:lineRule="auto"/>
        <w:ind w:firstLine="315" w:firstLineChars="150"/>
        <w:rPr>
          <w:rFonts w:ascii="宋体" w:hAnsi="宋体"/>
          <w:color w:val="auto"/>
          <w:szCs w:val="21"/>
          <w:highlight w:val="none"/>
          <w:u w:val="single"/>
        </w:rPr>
      </w:pPr>
      <w:r>
        <w:rPr>
          <w:rFonts w:hint="eastAsia" w:ascii="宋体" w:hAnsi="宋体"/>
          <w:color w:val="auto"/>
          <w:szCs w:val="21"/>
          <w:highlight w:val="none"/>
        </w:rPr>
        <w:t>1、项目名称：</w:t>
      </w:r>
      <w:r>
        <w:rPr>
          <w:rFonts w:hint="eastAsia" w:ascii="宋体" w:hAnsi="宋体" w:cs="Times New Roman"/>
          <w:color w:val="auto"/>
          <w:sz w:val="21"/>
          <w:szCs w:val="21"/>
          <w:highlight w:val="none"/>
          <w:u w:val="none"/>
          <w:lang w:val="en-US" w:eastAsia="zh-CN"/>
        </w:rPr>
        <w:t>永宁街永惠路道路建设工程</w:t>
      </w:r>
      <w:r>
        <w:rPr>
          <w:rFonts w:hint="eastAsia" w:ascii="宋体" w:hAnsi="宋体" w:cs="Times New Roman"/>
          <w:color w:val="auto"/>
          <w:sz w:val="21"/>
          <w:szCs w:val="21"/>
          <w:highlight w:val="none"/>
          <w:u w:val="none"/>
          <w:lang w:eastAsia="zh-CN"/>
        </w:rPr>
        <w:t>、</w:t>
      </w:r>
      <w:r>
        <w:rPr>
          <w:rFonts w:hint="eastAsia" w:ascii="宋体" w:hAnsi="宋体" w:cs="Times New Roman"/>
          <w:color w:val="auto"/>
          <w:sz w:val="21"/>
          <w:szCs w:val="21"/>
          <w:highlight w:val="none"/>
          <w:u w:val="none"/>
          <w:lang w:val="en-US" w:eastAsia="zh-CN"/>
        </w:rPr>
        <w:t>永宁街永誉路（创盈路-创优路）道路建设工程勘察设计</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2、项目位置：</w:t>
      </w:r>
      <w:r>
        <w:rPr>
          <w:rFonts w:hint="eastAsia" w:ascii="宋体" w:hAnsi="宋体"/>
          <w:color w:val="auto"/>
          <w:szCs w:val="21"/>
          <w:highlight w:val="none"/>
          <w:u w:val="single"/>
        </w:rPr>
        <w:t>广州市增城区永宁街</w:t>
      </w:r>
    </w:p>
    <w:p>
      <w:pPr>
        <w:spacing w:line="360" w:lineRule="auto"/>
        <w:ind w:firstLine="315" w:firstLineChars="150"/>
        <w:jc w:val="left"/>
        <w:rPr>
          <w:rFonts w:hint="eastAsia" w:ascii="宋体" w:hAnsi="宋体"/>
          <w:color w:val="auto"/>
          <w:szCs w:val="21"/>
          <w:highlight w:val="none"/>
          <w:u w:val="single"/>
        </w:rPr>
      </w:pPr>
      <w:r>
        <w:rPr>
          <w:rFonts w:hint="eastAsia" w:ascii="宋体" w:hAnsi="宋体"/>
          <w:color w:val="auto"/>
          <w:szCs w:val="21"/>
          <w:highlight w:val="none"/>
        </w:rPr>
        <w:t>3、项目概况：</w:t>
      </w:r>
      <w:r>
        <w:rPr>
          <w:rFonts w:hint="eastAsia" w:ascii="宋体" w:hAnsi="宋体" w:cs="Times New Roman"/>
          <w:color w:val="auto"/>
          <w:sz w:val="21"/>
          <w:szCs w:val="21"/>
          <w:highlight w:val="none"/>
          <w:u w:val="single"/>
        </w:rPr>
        <w:t>本次招标共包含两条道路</w:t>
      </w:r>
      <w:r>
        <w:rPr>
          <w:rFonts w:hint="eastAsia" w:ascii="宋体" w:hAnsi="宋体" w:cs="Times New Roman"/>
          <w:color w:val="auto"/>
          <w:sz w:val="21"/>
          <w:szCs w:val="21"/>
          <w:highlight w:val="none"/>
          <w:u w:val="single"/>
          <w:lang w:eastAsia="zh-CN"/>
        </w:rPr>
        <w:t>：（</w:t>
      </w:r>
      <w:r>
        <w:rPr>
          <w:rFonts w:hint="eastAsia" w:ascii="宋体" w:hAnsi="宋体" w:cs="Times New Roman"/>
          <w:color w:val="auto"/>
          <w:sz w:val="21"/>
          <w:szCs w:val="21"/>
          <w:highlight w:val="none"/>
          <w:u w:val="single"/>
          <w:lang w:val="en-US" w:eastAsia="zh-CN"/>
        </w:rPr>
        <w:t>1</w:t>
      </w:r>
      <w:r>
        <w:rPr>
          <w:rFonts w:hint="eastAsia" w:ascii="宋体" w:hAnsi="宋体" w:cs="Times New Roman"/>
          <w:color w:val="auto"/>
          <w:sz w:val="21"/>
          <w:szCs w:val="21"/>
          <w:highlight w:val="none"/>
          <w:u w:val="single"/>
          <w:lang w:eastAsia="zh-CN"/>
        </w:rPr>
        <w:t>）</w:t>
      </w:r>
      <w:r>
        <w:rPr>
          <w:rFonts w:hint="eastAsia" w:ascii="宋体" w:hAnsi="宋体" w:cs="Times New Roman"/>
          <w:color w:val="auto"/>
          <w:sz w:val="21"/>
          <w:szCs w:val="21"/>
          <w:highlight w:val="none"/>
          <w:u w:val="single"/>
        </w:rPr>
        <w:t>永宁街永惠路道路建设工程，</w:t>
      </w:r>
      <w:r>
        <w:rPr>
          <w:rFonts w:hint="eastAsia" w:ascii="宋体" w:hAnsi="宋体" w:cs="Times New Roman"/>
          <w:color w:val="auto"/>
          <w:sz w:val="21"/>
          <w:szCs w:val="21"/>
          <w:highlight w:val="none"/>
          <w:u w:val="single"/>
          <w:lang w:val="en-US" w:eastAsia="zh-CN"/>
        </w:rPr>
        <w:t>位于</w:t>
      </w:r>
      <w:r>
        <w:rPr>
          <w:rFonts w:hint="eastAsia" w:ascii="宋体" w:hAnsi="宋体" w:cs="Times New Roman"/>
          <w:color w:val="auto"/>
          <w:sz w:val="21"/>
          <w:szCs w:val="21"/>
          <w:highlight w:val="none"/>
          <w:u w:val="single"/>
        </w:rPr>
        <w:t>广州市增城区永宁街，整体呈南北走向，南起顺接创业大道，终点接现状永宁路。道路等级为城市次干路，路线长约595.861m，标准路基宽度为30m，双向四车道，设计车速为40km/h。建设内容包括道路工程、交通工程、给排水工程、照明工程、电力工程、绿化工程等。总造价9973.45万元。其中：工程建安费5392.01万元，工程建设其他费用4091.81万元，预备费489.63万元</w:t>
      </w:r>
      <w:r>
        <w:rPr>
          <w:rFonts w:hint="eastAsia" w:ascii="宋体" w:hAnsi="宋体" w:cs="Times New Roman"/>
          <w:color w:val="auto"/>
          <w:sz w:val="21"/>
          <w:szCs w:val="21"/>
          <w:highlight w:val="none"/>
          <w:u w:val="single"/>
          <w:lang w:eastAsia="zh-CN"/>
        </w:rPr>
        <w:t>；（</w:t>
      </w:r>
      <w:r>
        <w:rPr>
          <w:rFonts w:hint="eastAsia" w:ascii="宋体" w:hAnsi="宋体" w:cs="Times New Roman"/>
          <w:color w:val="auto"/>
          <w:sz w:val="21"/>
          <w:szCs w:val="21"/>
          <w:highlight w:val="none"/>
          <w:u w:val="single"/>
          <w:lang w:val="en-US" w:eastAsia="zh-CN"/>
        </w:rPr>
        <w:t>2</w:t>
      </w:r>
      <w:r>
        <w:rPr>
          <w:rFonts w:hint="eastAsia" w:ascii="宋体" w:hAnsi="宋体" w:cs="Times New Roman"/>
          <w:color w:val="auto"/>
          <w:sz w:val="21"/>
          <w:szCs w:val="21"/>
          <w:highlight w:val="none"/>
          <w:u w:val="single"/>
          <w:lang w:eastAsia="zh-CN"/>
        </w:rPr>
        <w:t>）</w:t>
      </w:r>
      <w:r>
        <w:rPr>
          <w:rFonts w:hint="eastAsia" w:ascii="宋体" w:hAnsi="宋体" w:cs="Times New Roman"/>
          <w:color w:val="auto"/>
          <w:sz w:val="21"/>
          <w:szCs w:val="21"/>
          <w:highlight w:val="none"/>
          <w:u w:val="single"/>
          <w:lang w:val="en-US" w:eastAsia="zh-CN"/>
        </w:rPr>
        <w:t>永宁街永誉路（创盈路-创优路）道路建设工程</w:t>
      </w:r>
      <w:r>
        <w:rPr>
          <w:rFonts w:hint="eastAsia" w:ascii="宋体" w:hAnsi="宋体" w:cs="Times New Roman"/>
          <w:color w:val="auto"/>
          <w:sz w:val="21"/>
          <w:szCs w:val="21"/>
          <w:highlight w:val="none"/>
          <w:u w:val="single"/>
          <w:lang w:eastAsia="zh-CN"/>
        </w:rPr>
        <w:t>，</w:t>
      </w:r>
      <w:r>
        <w:rPr>
          <w:rFonts w:hint="eastAsia" w:ascii="宋体" w:hAnsi="宋体" w:cs="Times New Roman"/>
          <w:color w:val="auto"/>
          <w:sz w:val="21"/>
          <w:szCs w:val="21"/>
          <w:highlight w:val="none"/>
          <w:u w:val="single"/>
        </w:rPr>
        <w:t>位于广州市增城区永宁街中心城区，路线呈南北走向，南起创盈路，北至创优路。道路等级为城市次干路，路线全长约597m，标准路基宽度为30m，双向四车道，设计速度40km/h。建设内容包括道路工程、桥梁工程、交通工程、给排水工程、电力工程、照明工程、绿化工程等。总造价8689.64万元。其中：工程建安费5526.73万元，工程建设其他费用2658.82万元，预备费504.09万元。最终以相关政府部门审查确定的建设项目、建设规模、建设标准等为准</w:t>
      </w:r>
      <w:r>
        <w:rPr>
          <w:rFonts w:hint="eastAsia" w:ascii="宋体" w:hAnsi="宋体" w:cs="Times New Roman"/>
          <w:color w:val="auto"/>
          <w:sz w:val="21"/>
          <w:szCs w:val="21"/>
          <w:highlight w:val="none"/>
          <w:u w:val="single"/>
          <w:lang w:eastAsia="zh-CN"/>
        </w:rPr>
        <w:t>。</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、设计目标及达到效果</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（1）尽量减少对现状路的破坏，减少对现有设施或绿化的破坏，以降低造价；</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（2）注重给排水管道设计，管径大小需满足远期需求，同时也能接入现状市政管网；</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（3）充分协调道路竖向标高与周边现状建筑或地块标高，确保衔接顺畅；</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（4）完善交通疏解方案，减少施工期间对现状交通的影响；</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（5）注重环境保护，景观协调。</w:t>
      </w:r>
    </w:p>
    <w:p>
      <w:pPr>
        <w:spacing w:line="360" w:lineRule="auto"/>
        <w:rPr>
          <w:rFonts w:ascii="宋体" w:hAnsi="宋体"/>
          <w:color w:val="auto"/>
          <w:szCs w:val="21"/>
          <w:highlight w:val="none"/>
        </w:rPr>
      </w:pPr>
      <w:r>
        <w:rPr>
          <w:rFonts w:hint="eastAsia" w:ascii="宋体" w:hAnsi="宋体"/>
          <w:color w:val="auto"/>
          <w:szCs w:val="21"/>
          <w:highlight w:val="none"/>
        </w:rPr>
        <w:t>二、技术经济指标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永宁街永惠路道路等级为城市次干路，设计车速为</w:t>
      </w:r>
      <w:r>
        <w:rPr>
          <w:rFonts w:ascii="宋体" w:hAnsi="宋体"/>
          <w:color w:val="auto"/>
          <w:szCs w:val="21"/>
          <w:highlight w:val="none"/>
        </w:rPr>
        <w:t>40</w:t>
      </w:r>
      <w:r>
        <w:rPr>
          <w:rFonts w:hint="eastAsia" w:ascii="宋体" w:hAnsi="宋体"/>
          <w:color w:val="auto"/>
          <w:szCs w:val="21"/>
          <w:highlight w:val="none"/>
        </w:rPr>
        <w:t>km/h，标准路宽度为</w:t>
      </w:r>
      <w:r>
        <w:rPr>
          <w:rFonts w:ascii="宋体" w:hAnsi="宋体"/>
          <w:color w:val="auto"/>
          <w:szCs w:val="21"/>
          <w:highlight w:val="none"/>
        </w:rPr>
        <w:t>30</w:t>
      </w:r>
      <w:r>
        <w:rPr>
          <w:rFonts w:hint="eastAsia" w:ascii="宋体" w:hAnsi="宋体"/>
          <w:color w:val="auto"/>
          <w:szCs w:val="21"/>
          <w:highlight w:val="none"/>
        </w:rPr>
        <w:t>m，路线全长</w:t>
      </w:r>
      <w:r>
        <w:rPr>
          <w:rFonts w:ascii="宋体" w:hAnsi="宋体"/>
          <w:color w:val="auto"/>
          <w:szCs w:val="21"/>
          <w:highlight w:val="none"/>
        </w:rPr>
        <w:t>596</w:t>
      </w:r>
      <w:r>
        <w:rPr>
          <w:rFonts w:hint="eastAsia" w:ascii="宋体" w:hAnsi="宋体"/>
          <w:color w:val="auto"/>
          <w:szCs w:val="21"/>
          <w:highlight w:val="none"/>
        </w:rPr>
        <w:t>m；永宁街永誉路（创盈路-创优路）道路等级为城市次干路，设计车速为</w:t>
      </w:r>
      <w:r>
        <w:rPr>
          <w:rFonts w:ascii="宋体" w:hAnsi="宋体"/>
          <w:color w:val="auto"/>
          <w:szCs w:val="21"/>
          <w:highlight w:val="none"/>
        </w:rPr>
        <w:t>40</w:t>
      </w:r>
      <w:r>
        <w:rPr>
          <w:rFonts w:hint="eastAsia" w:ascii="宋体" w:hAnsi="宋体"/>
          <w:color w:val="auto"/>
          <w:szCs w:val="21"/>
          <w:highlight w:val="none"/>
        </w:rPr>
        <w:t>km/h，标准路宽度为</w:t>
      </w:r>
      <w:r>
        <w:rPr>
          <w:rFonts w:ascii="宋体" w:hAnsi="宋体"/>
          <w:color w:val="auto"/>
          <w:szCs w:val="21"/>
          <w:highlight w:val="none"/>
        </w:rPr>
        <w:t>30</w:t>
      </w:r>
      <w:r>
        <w:rPr>
          <w:rFonts w:hint="eastAsia" w:ascii="宋体" w:hAnsi="宋体"/>
          <w:color w:val="auto"/>
          <w:szCs w:val="21"/>
          <w:highlight w:val="none"/>
        </w:rPr>
        <w:t>m，路线全长</w:t>
      </w:r>
      <w:r>
        <w:rPr>
          <w:rFonts w:ascii="宋体" w:hAnsi="宋体"/>
          <w:color w:val="auto"/>
          <w:szCs w:val="21"/>
          <w:highlight w:val="none"/>
        </w:rPr>
        <w:t>597</w:t>
      </w:r>
      <w:r>
        <w:rPr>
          <w:rFonts w:hint="eastAsia" w:ascii="宋体" w:hAnsi="宋体"/>
          <w:color w:val="auto"/>
          <w:szCs w:val="21"/>
          <w:highlight w:val="none"/>
        </w:rPr>
        <w:t>m。</w:t>
      </w:r>
    </w:p>
    <w:p>
      <w:pPr>
        <w:spacing w:line="360" w:lineRule="auto"/>
        <w:rPr>
          <w:rFonts w:ascii="宋体" w:hAnsi="宋体"/>
          <w:color w:val="auto"/>
          <w:szCs w:val="21"/>
          <w:highlight w:val="none"/>
        </w:rPr>
      </w:pPr>
      <w:r>
        <w:rPr>
          <w:rFonts w:hint="eastAsia" w:ascii="宋体" w:hAnsi="宋体"/>
          <w:color w:val="auto"/>
          <w:szCs w:val="21"/>
          <w:highlight w:val="none"/>
        </w:rPr>
        <w:t>三、设计依据和标准</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本项设计项目各阶段的设计文件必须符合现行中华人民共和国以及行业的一切法规、规范要求，包括但不限于：</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1、本工程设计依据</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1）本工程的立项批复文件；</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2）本工程的设计任务书；</w:t>
      </w:r>
    </w:p>
    <w:p>
      <w:pPr>
        <w:tabs>
          <w:tab w:val="left" w:pos="1080"/>
        </w:tabs>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）规划及国土提供的用地红线图；</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2、本工程的设计标准及主要设计规范：</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本工程设计的各阶段设计文件必须符合现行中华人民共和国以及行业的相关法规、规范要求，包括但不限于：</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 《城市道路工程设计规范》</w:t>
      </w:r>
      <w:r>
        <w:rPr>
          <w:rFonts w:ascii="宋体" w:hAnsi="宋体"/>
          <w:color w:val="auto"/>
          <w:szCs w:val="21"/>
          <w:highlight w:val="none"/>
        </w:rPr>
        <w:t>CJJ37-2012</w:t>
      </w:r>
      <w:r>
        <w:rPr>
          <w:rFonts w:hint="eastAsia" w:ascii="宋体" w:hAnsi="宋体"/>
          <w:color w:val="auto"/>
          <w:szCs w:val="21"/>
          <w:highlight w:val="none"/>
        </w:rPr>
        <w:t>（</w:t>
      </w:r>
      <w:r>
        <w:rPr>
          <w:rFonts w:ascii="宋体" w:hAnsi="宋体"/>
          <w:color w:val="auto"/>
          <w:szCs w:val="21"/>
          <w:highlight w:val="none"/>
        </w:rPr>
        <w:t xml:space="preserve">2016 </w:t>
      </w:r>
      <w:r>
        <w:rPr>
          <w:rFonts w:hint="eastAsia" w:ascii="宋体" w:hAnsi="宋体"/>
          <w:color w:val="auto"/>
          <w:szCs w:val="21"/>
          <w:highlight w:val="none"/>
        </w:rPr>
        <w:t xml:space="preserve">年版）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 《城市道路路线设计规范》</w:t>
      </w:r>
      <w:r>
        <w:rPr>
          <w:rFonts w:ascii="宋体" w:hAnsi="宋体"/>
          <w:color w:val="auto"/>
          <w:szCs w:val="21"/>
          <w:highlight w:val="none"/>
        </w:rPr>
        <w:t xml:space="preserve">CJJ193-2012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《城市道路路基设计规范》</w:t>
      </w:r>
      <w:r>
        <w:rPr>
          <w:rFonts w:ascii="宋体" w:hAnsi="宋体"/>
          <w:color w:val="auto"/>
          <w:szCs w:val="21"/>
          <w:highlight w:val="none"/>
        </w:rPr>
        <w:t xml:space="preserve">CJJ194-2013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《城镇道路路面设计规范》</w:t>
      </w:r>
      <w:r>
        <w:rPr>
          <w:rFonts w:ascii="宋体" w:hAnsi="宋体"/>
          <w:color w:val="auto"/>
          <w:szCs w:val="21"/>
          <w:highlight w:val="none"/>
        </w:rPr>
        <w:t xml:space="preserve">CJJ169-2012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 《城市道路交叉口设计规程》</w:t>
      </w:r>
      <w:r>
        <w:rPr>
          <w:rFonts w:ascii="宋体" w:hAnsi="宋体"/>
          <w:color w:val="auto"/>
          <w:szCs w:val="21"/>
          <w:highlight w:val="none"/>
        </w:rPr>
        <w:t xml:space="preserve">CJJ152-2010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 《无障碍设计规范》</w:t>
      </w:r>
      <w:r>
        <w:rPr>
          <w:rFonts w:ascii="宋体" w:hAnsi="宋体"/>
          <w:color w:val="auto"/>
          <w:szCs w:val="21"/>
          <w:highlight w:val="none"/>
        </w:rPr>
        <w:t xml:space="preserve">GB50763-2012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 《城镇道路工程施工与质量验收规范》</w:t>
      </w:r>
      <w:r>
        <w:rPr>
          <w:rFonts w:ascii="宋体" w:hAnsi="宋体"/>
          <w:color w:val="auto"/>
          <w:szCs w:val="21"/>
          <w:highlight w:val="none"/>
        </w:rPr>
        <w:t xml:space="preserve">CJJ1-2008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 《城市道路交通设施设计规范》（</w:t>
      </w:r>
      <w:r>
        <w:rPr>
          <w:rFonts w:ascii="宋体" w:hAnsi="宋体"/>
          <w:color w:val="auto"/>
          <w:szCs w:val="21"/>
          <w:highlight w:val="none"/>
        </w:rPr>
        <w:t>GB50688-2011</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 xml:space="preserve">） 《广州市城市规划管理技术标准与准则》（试行）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 xml:space="preserve">） 《广州市道路交通指路标志系统实施技术指引》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11</w:t>
      </w:r>
      <w:r>
        <w:rPr>
          <w:rFonts w:hint="eastAsia" w:ascii="宋体" w:hAnsi="宋体"/>
          <w:color w:val="auto"/>
          <w:szCs w:val="21"/>
          <w:highlight w:val="none"/>
        </w:rPr>
        <w:t>）《道路交通标志和标线》</w:t>
      </w:r>
      <w:r>
        <w:rPr>
          <w:rFonts w:ascii="宋体" w:hAnsi="宋体"/>
          <w:color w:val="auto"/>
          <w:szCs w:val="21"/>
          <w:highlight w:val="none"/>
        </w:rPr>
        <w:t>(</w:t>
      </w:r>
      <w:r>
        <w:rPr>
          <w:rFonts w:hint="eastAsia" w:ascii="宋体" w:hAnsi="宋体"/>
          <w:color w:val="auto"/>
          <w:szCs w:val="21"/>
          <w:highlight w:val="none"/>
        </w:rPr>
        <w:t>第一部分～第三部分</w:t>
      </w:r>
      <w:r>
        <w:rPr>
          <w:rFonts w:ascii="宋体" w:hAnsi="宋体"/>
          <w:color w:val="auto"/>
          <w:szCs w:val="21"/>
          <w:highlight w:val="none"/>
        </w:rPr>
        <w:t xml:space="preserve">)GB5768-2009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12</w:t>
      </w:r>
      <w:r>
        <w:rPr>
          <w:rFonts w:hint="eastAsia" w:ascii="宋体" w:hAnsi="宋体"/>
          <w:color w:val="auto"/>
          <w:szCs w:val="21"/>
          <w:highlight w:val="none"/>
        </w:rPr>
        <w:t>） 《城镇给水排水技术规范》</w:t>
      </w:r>
      <w:r>
        <w:rPr>
          <w:rFonts w:ascii="宋体" w:hAnsi="宋体"/>
          <w:color w:val="auto"/>
          <w:szCs w:val="21"/>
          <w:highlight w:val="none"/>
        </w:rPr>
        <w:t xml:space="preserve">(GB50788-2012)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13</w:t>
      </w:r>
      <w:r>
        <w:rPr>
          <w:rFonts w:hint="eastAsia" w:ascii="宋体" w:hAnsi="宋体"/>
          <w:color w:val="auto"/>
          <w:szCs w:val="21"/>
          <w:highlight w:val="none"/>
        </w:rPr>
        <w:t>） 《室外排水设计规范》</w:t>
      </w:r>
      <w:r>
        <w:rPr>
          <w:color w:val="auto"/>
          <w:highlight w:val="none"/>
        </w:rPr>
        <w:fldChar w:fldCharType="begin"/>
      </w:r>
      <w:r>
        <w:rPr>
          <w:color w:val="auto"/>
          <w:highlight w:val="none"/>
        </w:rPr>
        <w:instrText xml:space="preserve"> HYPERLINK "https://www.so.com/link?m=eLUUFIzTftbN7uWSH1Pc3KBHh+BQYbpXB66tipcU6Y/+sVa64GALU+EdWwo4kqXx5ozjd4LMn64BoKdbnxIdSKl2H65c2/fxEO3/1cElBHtMUmo6oEVW0wsFKLtabXWbwPwC5AGWZOrXestP0S83bDUTt1IYtzx/EBCHTKuVxGheKXhcZwSe1y9Qmy6NS45/dCqeiVDBpECkrximDliCdbCUDkZhhn5Tj" \t "https://www.so.com/_blank" </w:instrText>
      </w:r>
      <w:r>
        <w:rPr>
          <w:color w:val="auto"/>
          <w:highlight w:val="none"/>
        </w:rPr>
        <w:fldChar w:fldCharType="separate"/>
      </w:r>
      <w:r>
        <w:rPr>
          <w:rFonts w:hint="eastAsia" w:ascii="宋体" w:hAnsi="宋体"/>
          <w:color w:val="auto"/>
          <w:szCs w:val="21"/>
          <w:highlight w:val="none"/>
        </w:rPr>
        <w:t>(GB50014-2021)</w:t>
      </w:r>
      <w:r>
        <w:rPr>
          <w:rFonts w:hint="eastAsia" w:ascii="宋体" w:hAnsi="宋体"/>
          <w:color w:val="auto"/>
          <w:szCs w:val="21"/>
          <w:highlight w:val="none"/>
        </w:rPr>
        <w:fldChar w:fldCharType="end"/>
      </w:r>
      <w:r>
        <w:rPr>
          <w:rFonts w:ascii="宋体" w:hAnsi="宋体"/>
          <w:color w:val="auto"/>
          <w:szCs w:val="21"/>
          <w:highlight w:val="none"/>
        </w:rPr>
        <w:t>20</w:t>
      </w:r>
      <w:r>
        <w:rPr>
          <w:rFonts w:hint="eastAsia" w:ascii="宋体" w:hAnsi="宋体"/>
          <w:color w:val="auto"/>
          <w:szCs w:val="21"/>
          <w:highlight w:val="none"/>
        </w:rPr>
        <w:t xml:space="preserve">21版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 《给排水管道工程施工及验收规范》</w:t>
      </w:r>
      <w:r>
        <w:rPr>
          <w:rFonts w:ascii="宋体" w:hAnsi="宋体"/>
          <w:color w:val="auto"/>
          <w:szCs w:val="21"/>
          <w:highlight w:val="none"/>
        </w:rPr>
        <w:t xml:space="preserve">(GB50268-2008)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15</w:t>
      </w:r>
      <w:r>
        <w:rPr>
          <w:rFonts w:hint="eastAsia" w:ascii="宋体" w:hAnsi="宋体"/>
          <w:color w:val="auto"/>
          <w:szCs w:val="21"/>
          <w:highlight w:val="none"/>
        </w:rPr>
        <w:t>） 《印发〈广州市排水管理办法实施细则〉的通知》</w:t>
      </w:r>
      <w:r>
        <w:rPr>
          <w:rFonts w:ascii="宋体" w:hAnsi="宋体"/>
          <w:color w:val="auto"/>
          <w:szCs w:val="21"/>
          <w:highlight w:val="none"/>
        </w:rPr>
        <w:t>(</w:t>
      </w:r>
      <w:r>
        <w:rPr>
          <w:rFonts w:hint="eastAsia" w:ascii="宋体" w:hAnsi="宋体"/>
          <w:color w:val="auto"/>
          <w:szCs w:val="21"/>
          <w:highlight w:val="none"/>
        </w:rPr>
        <w:t>穗水〔</w:t>
      </w:r>
      <w:r>
        <w:rPr>
          <w:rFonts w:ascii="宋体" w:hAnsi="宋体"/>
          <w:color w:val="auto"/>
          <w:szCs w:val="21"/>
          <w:highlight w:val="none"/>
        </w:rPr>
        <w:t>2013</w:t>
      </w:r>
      <w:r>
        <w:rPr>
          <w:rFonts w:hint="eastAsia" w:ascii="宋体" w:hAnsi="宋体"/>
          <w:color w:val="auto"/>
          <w:szCs w:val="21"/>
          <w:highlight w:val="none"/>
        </w:rPr>
        <w:t>〕</w:t>
      </w:r>
      <w:r>
        <w:rPr>
          <w:rFonts w:ascii="宋体" w:hAnsi="宋体"/>
          <w:color w:val="auto"/>
          <w:szCs w:val="21"/>
          <w:highlight w:val="none"/>
        </w:rPr>
        <w:t xml:space="preserve">10 </w:t>
      </w:r>
      <w:r>
        <w:rPr>
          <w:rFonts w:hint="eastAsia" w:ascii="宋体" w:hAnsi="宋体"/>
          <w:color w:val="auto"/>
          <w:szCs w:val="21"/>
          <w:highlight w:val="none"/>
        </w:rPr>
        <w:t xml:space="preserve">号）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16</w:t>
      </w:r>
      <w:r>
        <w:rPr>
          <w:rFonts w:hint="eastAsia" w:ascii="宋体" w:hAnsi="宋体"/>
          <w:color w:val="auto"/>
          <w:szCs w:val="21"/>
          <w:highlight w:val="none"/>
        </w:rPr>
        <w:t>） 《井盖设施建设技术规范》</w:t>
      </w:r>
      <w:r>
        <w:rPr>
          <w:rFonts w:ascii="宋体" w:hAnsi="宋体"/>
          <w:color w:val="auto"/>
          <w:szCs w:val="21"/>
          <w:highlight w:val="none"/>
        </w:rPr>
        <w:t xml:space="preserve">(DBJ440100/T160-2013)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17</w:t>
      </w:r>
      <w:r>
        <w:rPr>
          <w:rFonts w:hint="eastAsia" w:ascii="宋体" w:hAnsi="宋体"/>
          <w:color w:val="auto"/>
          <w:szCs w:val="21"/>
          <w:highlight w:val="none"/>
        </w:rPr>
        <w:t>） 《广州市海绵城市建设技术指引及标准图集（试行）》（</w:t>
      </w:r>
      <w:r>
        <w:rPr>
          <w:rFonts w:ascii="宋体" w:hAnsi="宋体"/>
          <w:color w:val="auto"/>
          <w:szCs w:val="21"/>
          <w:highlight w:val="none"/>
        </w:rPr>
        <w:t>2017.01</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18</w:t>
      </w:r>
      <w:r>
        <w:rPr>
          <w:rFonts w:hint="eastAsia" w:ascii="宋体" w:hAnsi="宋体"/>
          <w:color w:val="auto"/>
          <w:szCs w:val="21"/>
          <w:highlight w:val="none"/>
        </w:rPr>
        <w:t>） 《海绵城市建设技术指南》（</w:t>
      </w:r>
      <w:r>
        <w:rPr>
          <w:rFonts w:ascii="宋体" w:hAnsi="宋体"/>
          <w:color w:val="auto"/>
          <w:szCs w:val="21"/>
          <w:highlight w:val="none"/>
        </w:rPr>
        <w:t>2014.10</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19</w:t>
      </w:r>
      <w:r>
        <w:rPr>
          <w:rFonts w:hint="eastAsia" w:ascii="宋体" w:hAnsi="宋体"/>
          <w:color w:val="auto"/>
          <w:szCs w:val="21"/>
          <w:highlight w:val="none"/>
        </w:rPr>
        <w:t>） 《城市工程管线综合规划规范》</w:t>
      </w:r>
      <w:r>
        <w:rPr>
          <w:rFonts w:ascii="宋体" w:hAnsi="宋体"/>
          <w:color w:val="auto"/>
          <w:szCs w:val="21"/>
          <w:highlight w:val="none"/>
        </w:rPr>
        <w:t xml:space="preserve">GB50289-2016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20</w:t>
      </w:r>
      <w:r>
        <w:rPr>
          <w:rFonts w:hint="eastAsia" w:ascii="宋体" w:hAnsi="宋体"/>
          <w:color w:val="auto"/>
          <w:szCs w:val="21"/>
          <w:highlight w:val="none"/>
        </w:rPr>
        <w:t>） 《室外给水排水和燃气热力工程抗震设计规范》</w:t>
      </w:r>
      <w:r>
        <w:rPr>
          <w:rFonts w:ascii="宋体" w:hAnsi="宋体"/>
          <w:color w:val="auto"/>
          <w:szCs w:val="21"/>
          <w:highlight w:val="none"/>
        </w:rPr>
        <w:t xml:space="preserve">GB50032—2003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21</w:t>
      </w:r>
      <w:r>
        <w:rPr>
          <w:rFonts w:hint="eastAsia" w:ascii="宋体" w:hAnsi="宋体"/>
          <w:color w:val="auto"/>
          <w:szCs w:val="21"/>
          <w:highlight w:val="none"/>
        </w:rPr>
        <w:t>） 《消防给水及消火栓系统技术规划》</w:t>
      </w:r>
      <w:r>
        <w:rPr>
          <w:rFonts w:ascii="宋体" w:hAnsi="宋体"/>
          <w:color w:val="auto"/>
          <w:szCs w:val="21"/>
          <w:highlight w:val="none"/>
        </w:rPr>
        <w:t xml:space="preserve">GB50947-2014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22</w:t>
      </w:r>
      <w:r>
        <w:rPr>
          <w:rFonts w:hint="eastAsia" w:ascii="宋体" w:hAnsi="宋体"/>
          <w:color w:val="auto"/>
          <w:szCs w:val="21"/>
          <w:highlight w:val="none"/>
        </w:rPr>
        <w:t>） 《城市用地竖向规划教程》（</w:t>
      </w:r>
      <w:r>
        <w:rPr>
          <w:rFonts w:ascii="宋体" w:hAnsi="宋体"/>
          <w:color w:val="auto"/>
          <w:szCs w:val="21"/>
          <w:highlight w:val="none"/>
        </w:rPr>
        <w:t>CJJ83-99</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23</w:t>
      </w:r>
      <w:r>
        <w:rPr>
          <w:rFonts w:hint="eastAsia" w:ascii="宋体" w:hAnsi="宋体"/>
          <w:color w:val="auto"/>
          <w:szCs w:val="21"/>
          <w:highlight w:val="none"/>
        </w:rPr>
        <w:t>） 《岩土锚杆（索）技术规程》（</w:t>
      </w:r>
      <w:r>
        <w:rPr>
          <w:rFonts w:ascii="宋体" w:hAnsi="宋体"/>
          <w:color w:val="auto"/>
          <w:szCs w:val="21"/>
          <w:highlight w:val="none"/>
        </w:rPr>
        <w:t>CECS22</w:t>
      </w:r>
      <w:r>
        <w:rPr>
          <w:rFonts w:hint="eastAsia" w:ascii="宋体" w:hAnsi="宋体"/>
          <w:color w:val="auto"/>
          <w:szCs w:val="21"/>
          <w:highlight w:val="none"/>
        </w:rPr>
        <w:t>：</w:t>
      </w:r>
      <w:r>
        <w:rPr>
          <w:rFonts w:ascii="宋体" w:hAnsi="宋体"/>
          <w:color w:val="auto"/>
          <w:szCs w:val="21"/>
          <w:highlight w:val="none"/>
        </w:rPr>
        <w:t>2005</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24</w:t>
      </w:r>
      <w:r>
        <w:rPr>
          <w:rFonts w:hint="eastAsia" w:ascii="宋体" w:hAnsi="宋体"/>
          <w:color w:val="auto"/>
          <w:szCs w:val="21"/>
          <w:highlight w:val="none"/>
        </w:rPr>
        <w:t>） 《岩土锚杆与喷射混凝土支护工程技术规范》（</w:t>
      </w:r>
      <w:r>
        <w:rPr>
          <w:rFonts w:ascii="宋体" w:hAnsi="宋体"/>
          <w:color w:val="auto"/>
          <w:szCs w:val="21"/>
          <w:highlight w:val="none"/>
        </w:rPr>
        <w:t>GB50086-2015</w:t>
      </w:r>
      <w:r>
        <w:rPr>
          <w:rFonts w:hint="eastAsia" w:ascii="宋体" w:hAnsi="宋体"/>
          <w:color w:val="auto"/>
          <w:szCs w:val="21"/>
          <w:highlight w:val="none"/>
        </w:rPr>
        <w:t>）</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25</w:t>
      </w:r>
      <w:r>
        <w:rPr>
          <w:rFonts w:hint="eastAsia" w:ascii="宋体" w:hAnsi="宋体"/>
          <w:color w:val="auto"/>
          <w:szCs w:val="21"/>
          <w:highlight w:val="none"/>
        </w:rPr>
        <w:t>） 《混凝土结构设计规范》（</w:t>
      </w:r>
      <w:r>
        <w:rPr>
          <w:rFonts w:ascii="宋体" w:hAnsi="宋体"/>
          <w:color w:val="auto"/>
          <w:szCs w:val="21"/>
          <w:highlight w:val="none"/>
        </w:rPr>
        <w:t>GB50010-2010</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26</w:t>
      </w:r>
      <w:r>
        <w:rPr>
          <w:rFonts w:hint="eastAsia" w:ascii="宋体" w:hAnsi="宋体"/>
          <w:color w:val="auto"/>
          <w:szCs w:val="21"/>
          <w:highlight w:val="none"/>
        </w:rPr>
        <w:t>） 《砌体结构设计规范》（</w:t>
      </w:r>
      <w:r>
        <w:rPr>
          <w:rFonts w:ascii="宋体" w:hAnsi="宋体"/>
          <w:color w:val="auto"/>
          <w:szCs w:val="21"/>
          <w:highlight w:val="none"/>
        </w:rPr>
        <w:t>GB50003-2011</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27</w:t>
      </w:r>
      <w:r>
        <w:rPr>
          <w:rFonts w:hint="eastAsia" w:ascii="宋体" w:hAnsi="宋体"/>
          <w:color w:val="auto"/>
          <w:szCs w:val="21"/>
          <w:highlight w:val="none"/>
        </w:rPr>
        <w:t>） 《钢筋焊接及验收规程》（</w:t>
      </w:r>
      <w:r>
        <w:rPr>
          <w:rFonts w:ascii="宋体" w:hAnsi="宋体"/>
          <w:color w:val="auto"/>
          <w:szCs w:val="21"/>
          <w:highlight w:val="none"/>
        </w:rPr>
        <w:t>JGJ18-2012</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28</w:t>
      </w:r>
      <w:r>
        <w:rPr>
          <w:rFonts w:hint="eastAsia" w:ascii="宋体" w:hAnsi="宋体"/>
          <w:color w:val="auto"/>
          <w:szCs w:val="21"/>
          <w:highlight w:val="none"/>
        </w:rPr>
        <w:t>） 《混凝土和钢筋混凝土排水管》（</w:t>
      </w:r>
      <w:r>
        <w:rPr>
          <w:rFonts w:ascii="宋体" w:hAnsi="宋体"/>
          <w:color w:val="auto"/>
          <w:szCs w:val="21"/>
          <w:highlight w:val="none"/>
        </w:rPr>
        <w:t>GB/T11836-1999</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29</w:t>
      </w:r>
      <w:r>
        <w:rPr>
          <w:rFonts w:hint="eastAsia" w:ascii="宋体" w:hAnsi="宋体"/>
          <w:color w:val="auto"/>
          <w:szCs w:val="21"/>
          <w:highlight w:val="none"/>
        </w:rPr>
        <w:t>） 《广州市城市规划管理技术标准与准则》（市政规划篇）（</w:t>
      </w:r>
      <w:r>
        <w:rPr>
          <w:rFonts w:ascii="宋体" w:hAnsi="宋体"/>
          <w:color w:val="auto"/>
          <w:szCs w:val="21"/>
          <w:highlight w:val="none"/>
        </w:rPr>
        <w:t xml:space="preserve">2005.12.15 </w:t>
      </w:r>
      <w:r>
        <w:rPr>
          <w:rFonts w:hint="eastAsia" w:ascii="宋体" w:hAnsi="宋体"/>
          <w:color w:val="auto"/>
          <w:szCs w:val="21"/>
          <w:highlight w:val="none"/>
        </w:rPr>
        <w:t xml:space="preserve">实施）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30</w:t>
      </w:r>
      <w:r>
        <w:rPr>
          <w:rFonts w:hint="eastAsia" w:ascii="宋体" w:hAnsi="宋体"/>
          <w:color w:val="auto"/>
          <w:szCs w:val="21"/>
          <w:highlight w:val="none"/>
        </w:rPr>
        <w:t>） 《城市排水工程规范规范》（</w:t>
      </w:r>
      <w:r>
        <w:rPr>
          <w:rFonts w:ascii="宋体" w:hAnsi="宋体"/>
          <w:color w:val="auto"/>
          <w:szCs w:val="21"/>
          <w:highlight w:val="none"/>
        </w:rPr>
        <w:t>GB50318-2000</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31</w:t>
      </w:r>
      <w:r>
        <w:rPr>
          <w:rFonts w:hint="eastAsia" w:ascii="宋体" w:hAnsi="宋体"/>
          <w:color w:val="auto"/>
          <w:szCs w:val="21"/>
          <w:highlight w:val="none"/>
        </w:rPr>
        <w:t>） 《给水排水工程构筑物结构设计规范》（</w:t>
      </w:r>
      <w:r>
        <w:rPr>
          <w:rFonts w:ascii="宋体" w:hAnsi="宋体"/>
          <w:color w:val="auto"/>
          <w:szCs w:val="21"/>
          <w:highlight w:val="none"/>
        </w:rPr>
        <w:t>GB50068-2002</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32</w:t>
      </w:r>
      <w:r>
        <w:rPr>
          <w:rFonts w:hint="eastAsia" w:ascii="宋体" w:hAnsi="宋体"/>
          <w:color w:val="auto"/>
          <w:szCs w:val="21"/>
          <w:highlight w:val="none"/>
        </w:rPr>
        <w:t>） 《给水排水管道工程施工及验收规范》（</w:t>
      </w:r>
      <w:r>
        <w:rPr>
          <w:rFonts w:ascii="宋体" w:hAnsi="宋体"/>
          <w:color w:val="auto"/>
          <w:szCs w:val="21"/>
          <w:highlight w:val="none"/>
        </w:rPr>
        <w:t>GB50268-2008</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33</w:t>
      </w:r>
      <w:r>
        <w:rPr>
          <w:rFonts w:hint="eastAsia" w:ascii="宋体" w:hAnsi="宋体"/>
          <w:color w:val="auto"/>
          <w:szCs w:val="21"/>
          <w:highlight w:val="none"/>
        </w:rPr>
        <w:t>） 《埋地给水钢管道水泥砂浆衬里技术标准》（</w:t>
      </w:r>
      <w:r>
        <w:rPr>
          <w:rFonts w:ascii="宋体" w:hAnsi="宋体"/>
          <w:color w:val="auto"/>
          <w:szCs w:val="21"/>
          <w:highlight w:val="none"/>
        </w:rPr>
        <w:t>CECS10</w:t>
      </w:r>
      <w:r>
        <w:rPr>
          <w:rFonts w:hint="eastAsia" w:ascii="宋体" w:hAnsi="宋体"/>
          <w:color w:val="auto"/>
          <w:szCs w:val="21"/>
          <w:highlight w:val="none"/>
        </w:rPr>
        <w:t>：</w:t>
      </w:r>
      <w:r>
        <w:rPr>
          <w:rFonts w:ascii="宋体" w:hAnsi="宋体"/>
          <w:color w:val="auto"/>
          <w:szCs w:val="21"/>
          <w:highlight w:val="none"/>
        </w:rPr>
        <w:t>89</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34</w:t>
      </w:r>
      <w:r>
        <w:rPr>
          <w:rFonts w:hint="eastAsia" w:ascii="宋体" w:hAnsi="宋体"/>
          <w:color w:val="auto"/>
          <w:szCs w:val="21"/>
          <w:highlight w:val="none"/>
        </w:rPr>
        <w:t>） 《工业金属管道工程施工及验收规范》（</w:t>
      </w:r>
      <w:r>
        <w:rPr>
          <w:rFonts w:ascii="宋体" w:hAnsi="宋体"/>
          <w:color w:val="auto"/>
          <w:szCs w:val="21"/>
          <w:highlight w:val="none"/>
        </w:rPr>
        <w:t>GB50235-97</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35</w:t>
      </w:r>
      <w:r>
        <w:rPr>
          <w:rFonts w:hint="eastAsia" w:ascii="宋体" w:hAnsi="宋体"/>
          <w:color w:val="auto"/>
          <w:szCs w:val="21"/>
          <w:highlight w:val="none"/>
        </w:rPr>
        <w:t>） 《混凝土和钢筋混凝土排水管》（</w:t>
      </w:r>
      <w:r>
        <w:rPr>
          <w:rFonts w:ascii="宋体" w:hAnsi="宋体"/>
          <w:color w:val="auto"/>
          <w:szCs w:val="21"/>
          <w:highlight w:val="none"/>
        </w:rPr>
        <w:t>GB/T11836-2009</w:t>
      </w:r>
      <w:r>
        <w:rPr>
          <w:rFonts w:hint="eastAsia" w:ascii="宋体" w:hAnsi="宋体"/>
          <w:color w:val="auto"/>
          <w:szCs w:val="21"/>
          <w:highlight w:val="none"/>
        </w:rPr>
        <w:t xml:space="preserve">）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36</w:t>
      </w:r>
      <w:r>
        <w:rPr>
          <w:rFonts w:hint="eastAsia" w:ascii="宋体" w:hAnsi="宋体"/>
          <w:color w:val="auto"/>
          <w:szCs w:val="21"/>
          <w:highlight w:val="none"/>
        </w:rPr>
        <w:t>） 《混凝土结构设计规范》</w:t>
      </w:r>
      <w:r>
        <w:rPr>
          <w:rFonts w:ascii="宋体" w:hAnsi="宋体"/>
          <w:color w:val="auto"/>
          <w:szCs w:val="21"/>
          <w:highlight w:val="none"/>
        </w:rPr>
        <w:t xml:space="preserve">GB50010-2010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37</w:t>
      </w:r>
      <w:r>
        <w:rPr>
          <w:rFonts w:hint="eastAsia" w:ascii="宋体" w:hAnsi="宋体"/>
          <w:color w:val="auto"/>
          <w:szCs w:val="21"/>
          <w:highlight w:val="none"/>
        </w:rPr>
        <w:t>） 《电力设施抗震设计规范》</w:t>
      </w:r>
      <w:r>
        <w:rPr>
          <w:rFonts w:ascii="宋体" w:hAnsi="宋体"/>
          <w:color w:val="auto"/>
          <w:szCs w:val="21"/>
          <w:highlight w:val="none"/>
        </w:rPr>
        <w:t xml:space="preserve">GB50260-2013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38</w:t>
      </w:r>
      <w:r>
        <w:rPr>
          <w:rFonts w:hint="eastAsia" w:ascii="宋体" w:hAnsi="宋体"/>
          <w:color w:val="auto"/>
          <w:szCs w:val="21"/>
          <w:highlight w:val="none"/>
        </w:rPr>
        <w:t>） 《电力系统安全稳定导则》</w:t>
      </w:r>
      <w:r>
        <w:rPr>
          <w:rFonts w:ascii="宋体" w:hAnsi="宋体"/>
          <w:color w:val="auto"/>
          <w:szCs w:val="21"/>
          <w:highlight w:val="none"/>
        </w:rPr>
        <w:t xml:space="preserve">DL755-2001 </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39</w:t>
      </w:r>
      <w:r>
        <w:rPr>
          <w:rFonts w:hint="eastAsia" w:ascii="宋体" w:hAnsi="宋体"/>
          <w:color w:val="auto"/>
          <w:szCs w:val="21"/>
          <w:highlight w:val="none"/>
        </w:rPr>
        <w:t>） 以及其他有关的国家及地方强制性规程、标准</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（40）其他符合国家、建设部及广东省现行有关设计标准的规定；</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（41）设计中的市政、水、电等用量及标准就符合国家、建设部及广东省有关设计标准及规定。设计深度需符合建设部《建筑工程设计文件编制深度的规定》中有关的要求及甲方的其他要求。</w:t>
      </w:r>
    </w:p>
    <w:p>
      <w:pPr>
        <w:tabs>
          <w:tab w:val="left" w:pos="10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（42）施工图设计符合建设部建质[2003号]《建筑工程施工图设计审查要点》（实行）以及各种国家现行设计规范的技术要求。</w:t>
      </w:r>
    </w:p>
    <w:p>
      <w:pPr>
        <w:tabs>
          <w:tab w:val="left" w:pos="1080"/>
        </w:tabs>
        <w:spacing w:line="360" w:lineRule="auto"/>
        <w:ind w:left="210" w:leftChars="100" w:firstLine="420" w:firstLineChars="200"/>
        <w:rPr>
          <w:rFonts w:ascii="宋体" w:hAnsi="宋体"/>
          <w:b/>
          <w:color w:val="auto"/>
          <w:szCs w:val="21"/>
          <w:highlight w:val="none"/>
        </w:rPr>
      </w:pPr>
      <w:r>
        <w:rPr>
          <w:rFonts w:hint="eastAsia" w:ascii="宋体" w:hAnsi="宋体"/>
          <w:b/>
          <w:color w:val="auto"/>
          <w:szCs w:val="21"/>
          <w:highlight w:val="none"/>
        </w:rPr>
        <w:t>备注：若有相关主管部门颁发的新规范则按新规范执行。</w:t>
      </w:r>
    </w:p>
    <w:p>
      <w:pPr>
        <w:rPr>
          <w:color w:val="auto"/>
          <w:sz w:val="24"/>
          <w:highlight w:val="none"/>
        </w:rPr>
      </w:pPr>
    </w:p>
    <w:sectPr>
      <w:footerReference r:id="rId10" w:type="default"/>
      <w:footerReference r:id="rId11" w:type="even"/>
      <w:type w:val="nextColumn"/>
      <w:pgSz w:w="11906" w:h="16838"/>
      <w:pgMar w:top="1440" w:right="1466"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posOffset>2821940</wp:posOffset>
              </wp:positionH>
              <wp:positionV relativeFrom="paragraph">
                <wp:posOffset>-9525</wp:posOffset>
              </wp:positionV>
              <wp:extent cx="240030" cy="264795"/>
              <wp:effectExtent l="0" t="0" r="0" b="0"/>
              <wp:wrapNone/>
              <wp:docPr id="3" name="文本框 2"/>
              <wp:cNvGraphicFramePr/>
              <a:graphic xmlns:a="http://schemas.openxmlformats.org/drawingml/2006/main">
                <a:graphicData uri="http://schemas.microsoft.com/office/word/2010/wordprocessingShape">
                  <wps:wsp>
                    <wps:cNvSpPr txBox="1"/>
                    <wps:spPr>
                      <a:xfrm>
                        <a:off x="0" y="0"/>
                        <a:ext cx="240030" cy="264795"/>
                      </a:xfrm>
                      <a:prstGeom prst="rect">
                        <a:avLst/>
                      </a:prstGeom>
                      <a:noFill/>
                      <a:ln w="6350">
                        <a:noFill/>
                      </a:ln>
                      <a:effectLst/>
                    </wps:spPr>
                    <wps:txbx>
                      <w:txbxContent>
                        <w:p>
                          <w:pPr>
                            <w:pStyle w:val="17"/>
                          </w:pPr>
                          <w:r>
                            <w:fldChar w:fldCharType="begin"/>
                          </w:r>
                          <w:r>
                            <w:instrText xml:space="preserve"> PAGE  \* MERGEFORMAT </w:instrText>
                          </w:r>
                          <w:r>
                            <w:fldChar w:fldCharType="separate"/>
                          </w:r>
                          <w:r>
                            <w:t>47</w:t>
                          </w:r>
                          <w:r>
                            <w:fldChar w:fldCharType="end"/>
                          </w:r>
                        </w:p>
                      </w:txbxContent>
                    </wps:txbx>
                    <wps:bodyPr lIns="0" tIns="0" rIns="0" bIns="0" upright="1"/>
                  </wps:wsp>
                </a:graphicData>
              </a:graphic>
            </wp:anchor>
          </w:drawing>
        </mc:Choice>
        <mc:Fallback>
          <w:pict>
            <v:shape id="文本框 2" o:spid="_x0000_s1026" o:spt="202" type="#_x0000_t202" style="position:absolute;left:0pt;margin-left:222.2pt;margin-top:-0.75pt;height:20.85pt;width:18.9pt;mso-position-horizontal-relative:margin;z-index:251659264;mso-width-relative:page;mso-height-relative:page;" filled="f" stroked="f" coordsize="21600,21600" o:gfxdata="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J74nXAAAACQEAAA8AAAAAAAAAAQAgAAAAIgAAAGRycy9kb3du&#10;cmV2LnhtbFBLAQIUABQAAAAIAIdO4kByns3sxwEAAIgDAAAOAAAAAAAAAAEAIAAAACYBAABkcnMv&#10;ZTJvRG9jLnhtbFBLBQYAAAAABgAGAFkBAABfBQAAAAA=&#10;">
              <v:fill on="f" focussize="0,0"/>
              <v:stroke on="f" weight="0.5pt"/>
              <v:imagedata o:title=""/>
              <o:lock v:ext="edit" aspectratio="f"/>
              <v:textbox inset="0mm,0mm,0mm,0mm">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50</w:t>
                          </w:r>
                          <w:r>
                            <w:rPr>
                              <w:rStyle w:val="27"/>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50</w:t>
                    </w:r>
                    <w:r>
                      <w:rPr>
                        <w:rStyle w:val="27"/>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56</w:t>
    </w:r>
    <w:r>
      <w:fldChar w:fldCharType="end"/>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21</w:t>
    </w:r>
    <w:r>
      <w:fldChar w:fldCharType="end"/>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47</w:t>
                          </w:r>
                          <w:r>
                            <w:rPr>
                              <w:rStyle w:val="27"/>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2WgyAgAAY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UvZaDICAABjBAAADgAAAAAAAAABACAAAAAfAQAAZHJzL2Uyb0RvYy54bWxQSwUG&#10;AAAAAAYABgBZAQAAwwUAAAAA&#10;">
              <v:fill on="f" focussize="0,0"/>
              <v:stroke on="f" weight="0.5pt"/>
              <v:imagedata o:title=""/>
              <o:lock v:ext="edit" aspectratio="f"/>
              <v:textbox inset="0mm,0mm,0mm,0mm" style="mso-fit-shape-to-text:t;">
                <w:txbxContent>
                  <w:p>
                    <w:pPr>
                      <w:pStyle w:val="17"/>
                      <w:rPr>
                        <w:rStyle w:val="27"/>
                      </w:rPr>
                    </w:pPr>
                    <w:r>
                      <w:rPr>
                        <w:rStyle w:val="27"/>
                      </w:rPr>
                      <w:fldChar w:fldCharType="begin"/>
                    </w:r>
                    <w:r>
                      <w:rPr>
                        <w:rStyle w:val="27"/>
                      </w:rPr>
                      <w:instrText xml:space="preserve">PAGE  </w:instrText>
                    </w:r>
                    <w:r>
                      <w:rPr>
                        <w:rStyle w:val="27"/>
                      </w:rPr>
                      <w:fldChar w:fldCharType="separate"/>
                    </w:r>
                    <w:r>
                      <w:rPr>
                        <w:rStyle w:val="27"/>
                      </w:rPr>
                      <w:t>47</w:t>
                    </w:r>
                    <w:r>
                      <w:rPr>
                        <w:rStyle w:val="27"/>
                      </w:rPr>
                      <w:fldChar w:fldCharType="end"/>
                    </w:r>
                  </w:p>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tabs>
          <w:tab w:val="left" w:pos="315"/>
        </w:tabs>
        <w:ind w:left="315" w:hanging="31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decimal"/>
      <w:lvlText w:val="%1、"/>
      <w:lvlJc w:val="left"/>
      <w:pPr>
        <w:tabs>
          <w:tab w:val="left" w:pos="1"/>
        </w:tabs>
        <w:ind w:left="1" w:hanging="36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2">
    <w:nsid w:val="24C41757"/>
    <w:multiLevelType w:val="singleLevel"/>
    <w:tmpl w:val="24C41757"/>
    <w:lvl w:ilvl="0" w:tentative="0">
      <w:start w:val="1"/>
      <w:numFmt w:val="decimal"/>
      <w:lvlText w:val="%1."/>
      <w:lvlJc w:val="left"/>
      <w:pPr>
        <w:ind w:left="425" w:hanging="425"/>
      </w:pPr>
      <w:rPr>
        <w:rFonts w:hint="default"/>
      </w:r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pStyle w:val="6"/>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7"/>
      <w:suff w:val="nothing"/>
      <w:lvlText w:val=""/>
      <w:lvlJc w:val="left"/>
      <w:pPr>
        <w:ind w:left="0" w:firstLine="0"/>
      </w:pPr>
      <w:rPr>
        <w:rFonts w:hint="eastAsia"/>
      </w:rPr>
    </w:lvl>
    <w:lvl w:ilvl="7" w:tentative="0">
      <w:start w:val="1"/>
      <w:numFmt w:val="none"/>
      <w:pStyle w:val="8"/>
      <w:suff w:val="nothing"/>
      <w:lvlText w:val=""/>
      <w:lvlJc w:val="left"/>
      <w:pPr>
        <w:ind w:left="0" w:firstLine="0"/>
      </w:pPr>
      <w:rPr>
        <w:rFonts w:hint="eastAsia"/>
      </w:rPr>
    </w:lvl>
    <w:lvl w:ilvl="8" w:tentative="0">
      <w:start w:val="1"/>
      <w:numFmt w:val="none"/>
      <w:pStyle w:val="9"/>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ZDg4NzIzNTAyMjFkOGEyMjA2YTMwMDE0OGVmZjAifQ=="/>
  </w:docVars>
  <w:rsids>
    <w:rsidRoot w:val="00020C4A"/>
    <w:rsid w:val="0000496D"/>
    <w:rsid w:val="0001148C"/>
    <w:rsid w:val="00020C4A"/>
    <w:rsid w:val="000552D2"/>
    <w:rsid w:val="00055406"/>
    <w:rsid w:val="000557FF"/>
    <w:rsid w:val="0006544E"/>
    <w:rsid w:val="000732ED"/>
    <w:rsid w:val="000762C5"/>
    <w:rsid w:val="000C1D50"/>
    <w:rsid w:val="000E4E89"/>
    <w:rsid w:val="000E5720"/>
    <w:rsid w:val="0010540F"/>
    <w:rsid w:val="00110E7C"/>
    <w:rsid w:val="001117AD"/>
    <w:rsid w:val="0014232A"/>
    <w:rsid w:val="00143989"/>
    <w:rsid w:val="00146546"/>
    <w:rsid w:val="00171A70"/>
    <w:rsid w:val="00184B14"/>
    <w:rsid w:val="001A508E"/>
    <w:rsid w:val="001B0B86"/>
    <w:rsid w:val="001C4A34"/>
    <w:rsid w:val="001C5F6B"/>
    <w:rsid w:val="001E15B3"/>
    <w:rsid w:val="001F435D"/>
    <w:rsid w:val="001F49A5"/>
    <w:rsid w:val="001F7E0E"/>
    <w:rsid w:val="00210DA9"/>
    <w:rsid w:val="002121F2"/>
    <w:rsid w:val="0022157D"/>
    <w:rsid w:val="002316B2"/>
    <w:rsid w:val="0025606A"/>
    <w:rsid w:val="00272018"/>
    <w:rsid w:val="00275562"/>
    <w:rsid w:val="00285ED7"/>
    <w:rsid w:val="00295B83"/>
    <w:rsid w:val="002C3869"/>
    <w:rsid w:val="00304A0F"/>
    <w:rsid w:val="00316E56"/>
    <w:rsid w:val="003235C4"/>
    <w:rsid w:val="00332127"/>
    <w:rsid w:val="00332F01"/>
    <w:rsid w:val="00336E20"/>
    <w:rsid w:val="0033737B"/>
    <w:rsid w:val="00337496"/>
    <w:rsid w:val="0038563F"/>
    <w:rsid w:val="00385820"/>
    <w:rsid w:val="00393288"/>
    <w:rsid w:val="003C00FD"/>
    <w:rsid w:val="003C7A21"/>
    <w:rsid w:val="003D4C9A"/>
    <w:rsid w:val="003E06B0"/>
    <w:rsid w:val="003F13BC"/>
    <w:rsid w:val="00420C87"/>
    <w:rsid w:val="00451F3A"/>
    <w:rsid w:val="00477710"/>
    <w:rsid w:val="004831DF"/>
    <w:rsid w:val="004926B6"/>
    <w:rsid w:val="00494087"/>
    <w:rsid w:val="00494527"/>
    <w:rsid w:val="004963E2"/>
    <w:rsid w:val="004E40EA"/>
    <w:rsid w:val="005026FE"/>
    <w:rsid w:val="00502989"/>
    <w:rsid w:val="00515743"/>
    <w:rsid w:val="00537723"/>
    <w:rsid w:val="00551DAB"/>
    <w:rsid w:val="00571698"/>
    <w:rsid w:val="00572BAE"/>
    <w:rsid w:val="00585A36"/>
    <w:rsid w:val="005A07D9"/>
    <w:rsid w:val="005A0878"/>
    <w:rsid w:val="005A7785"/>
    <w:rsid w:val="005B19E9"/>
    <w:rsid w:val="005B5804"/>
    <w:rsid w:val="005B6A50"/>
    <w:rsid w:val="005E31BC"/>
    <w:rsid w:val="005F0D0C"/>
    <w:rsid w:val="00621C1D"/>
    <w:rsid w:val="00627CCC"/>
    <w:rsid w:val="00632CFC"/>
    <w:rsid w:val="00643307"/>
    <w:rsid w:val="0064364B"/>
    <w:rsid w:val="00662ACC"/>
    <w:rsid w:val="006720A2"/>
    <w:rsid w:val="006840C9"/>
    <w:rsid w:val="006E0063"/>
    <w:rsid w:val="006E786F"/>
    <w:rsid w:val="0071199D"/>
    <w:rsid w:val="0072454C"/>
    <w:rsid w:val="00727B83"/>
    <w:rsid w:val="00777335"/>
    <w:rsid w:val="007B392C"/>
    <w:rsid w:val="007B6C57"/>
    <w:rsid w:val="007E514E"/>
    <w:rsid w:val="00816430"/>
    <w:rsid w:val="0082495B"/>
    <w:rsid w:val="00833203"/>
    <w:rsid w:val="008443BB"/>
    <w:rsid w:val="008456C4"/>
    <w:rsid w:val="008479BB"/>
    <w:rsid w:val="0085242B"/>
    <w:rsid w:val="008536EC"/>
    <w:rsid w:val="008564C7"/>
    <w:rsid w:val="00881640"/>
    <w:rsid w:val="00891A63"/>
    <w:rsid w:val="008A1387"/>
    <w:rsid w:val="008B4757"/>
    <w:rsid w:val="008B5716"/>
    <w:rsid w:val="008F3708"/>
    <w:rsid w:val="00942FFA"/>
    <w:rsid w:val="00947C5F"/>
    <w:rsid w:val="00967DDC"/>
    <w:rsid w:val="00992D1D"/>
    <w:rsid w:val="009A09B8"/>
    <w:rsid w:val="009B4FD1"/>
    <w:rsid w:val="009C5545"/>
    <w:rsid w:val="009D10D4"/>
    <w:rsid w:val="009D16B6"/>
    <w:rsid w:val="009F7F1E"/>
    <w:rsid w:val="00A25D51"/>
    <w:rsid w:val="00A26B70"/>
    <w:rsid w:val="00A721CB"/>
    <w:rsid w:val="00A75033"/>
    <w:rsid w:val="00A86743"/>
    <w:rsid w:val="00A9464B"/>
    <w:rsid w:val="00AA5490"/>
    <w:rsid w:val="00AA7973"/>
    <w:rsid w:val="00AC5804"/>
    <w:rsid w:val="00AD6C0E"/>
    <w:rsid w:val="00AE3BF6"/>
    <w:rsid w:val="00B065B2"/>
    <w:rsid w:val="00B15D63"/>
    <w:rsid w:val="00B760C4"/>
    <w:rsid w:val="00B77A11"/>
    <w:rsid w:val="00B90DF3"/>
    <w:rsid w:val="00BA5009"/>
    <w:rsid w:val="00C076CC"/>
    <w:rsid w:val="00C1029D"/>
    <w:rsid w:val="00C21375"/>
    <w:rsid w:val="00C57763"/>
    <w:rsid w:val="00C703F9"/>
    <w:rsid w:val="00C8347A"/>
    <w:rsid w:val="00CB656B"/>
    <w:rsid w:val="00CD04A1"/>
    <w:rsid w:val="00D02A28"/>
    <w:rsid w:val="00D10A1C"/>
    <w:rsid w:val="00D16C48"/>
    <w:rsid w:val="00D242B3"/>
    <w:rsid w:val="00D325CF"/>
    <w:rsid w:val="00D75018"/>
    <w:rsid w:val="00D94271"/>
    <w:rsid w:val="00D96E0A"/>
    <w:rsid w:val="00D97829"/>
    <w:rsid w:val="00DA60BA"/>
    <w:rsid w:val="00DA6FFA"/>
    <w:rsid w:val="00DB0935"/>
    <w:rsid w:val="00DC7191"/>
    <w:rsid w:val="00DD216D"/>
    <w:rsid w:val="00DD7177"/>
    <w:rsid w:val="00DF11FA"/>
    <w:rsid w:val="00E032D1"/>
    <w:rsid w:val="00E137DB"/>
    <w:rsid w:val="00E16902"/>
    <w:rsid w:val="00E20F0B"/>
    <w:rsid w:val="00E31B89"/>
    <w:rsid w:val="00E71A1B"/>
    <w:rsid w:val="00E72C45"/>
    <w:rsid w:val="00E80AD1"/>
    <w:rsid w:val="00EB395C"/>
    <w:rsid w:val="00EC1B60"/>
    <w:rsid w:val="00EC6B13"/>
    <w:rsid w:val="00EE4559"/>
    <w:rsid w:val="00EE7E6A"/>
    <w:rsid w:val="00EF3425"/>
    <w:rsid w:val="00F1089A"/>
    <w:rsid w:val="00F270FE"/>
    <w:rsid w:val="00F45FF6"/>
    <w:rsid w:val="00F5419E"/>
    <w:rsid w:val="00F67CCA"/>
    <w:rsid w:val="00F72120"/>
    <w:rsid w:val="00F85F8B"/>
    <w:rsid w:val="00F95697"/>
    <w:rsid w:val="00FB5BAD"/>
    <w:rsid w:val="00FC28A0"/>
    <w:rsid w:val="00FF49CF"/>
    <w:rsid w:val="01801672"/>
    <w:rsid w:val="01C5428D"/>
    <w:rsid w:val="02BF3D58"/>
    <w:rsid w:val="04167226"/>
    <w:rsid w:val="04757A59"/>
    <w:rsid w:val="04F16AE3"/>
    <w:rsid w:val="055661F0"/>
    <w:rsid w:val="055C7445"/>
    <w:rsid w:val="05666251"/>
    <w:rsid w:val="06554DE5"/>
    <w:rsid w:val="069A384B"/>
    <w:rsid w:val="06E15DF7"/>
    <w:rsid w:val="06F614BF"/>
    <w:rsid w:val="078A5361"/>
    <w:rsid w:val="087D263E"/>
    <w:rsid w:val="0981405F"/>
    <w:rsid w:val="098232DA"/>
    <w:rsid w:val="09BA7E24"/>
    <w:rsid w:val="0BC11EE1"/>
    <w:rsid w:val="0BC71D3E"/>
    <w:rsid w:val="0CC6580B"/>
    <w:rsid w:val="0D822807"/>
    <w:rsid w:val="0D912587"/>
    <w:rsid w:val="0DAD3E22"/>
    <w:rsid w:val="116C307D"/>
    <w:rsid w:val="128E014E"/>
    <w:rsid w:val="132565C9"/>
    <w:rsid w:val="146821C0"/>
    <w:rsid w:val="14A5507A"/>
    <w:rsid w:val="15382F2D"/>
    <w:rsid w:val="157D5C76"/>
    <w:rsid w:val="15F87753"/>
    <w:rsid w:val="162641DF"/>
    <w:rsid w:val="164809E5"/>
    <w:rsid w:val="164C64AC"/>
    <w:rsid w:val="17141A70"/>
    <w:rsid w:val="181C70C0"/>
    <w:rsid w:val="18BF3681"/>
    <w:rsid w:val="18C55045"/>
    <w:rsid w:val="18F77CE5"/>
    <w:rsid w:val="196F11D7"/>
    <w:rsid w:val="1B02359E"/>
    <w:rsid w:val="1BE85270"/>
    <w:rsid w:val="1C7B124F"/>
    <w:rsid w:val="1CA7488E"/>
    <w:rsid w:val="1CB76084"/>
    <w:rsid w:val="1D7C5331"/>
    <w:rsid w:val="1E6741BB"/>
    <w:rsid w:val="1EDA1B4B"/>
    <w:rsid w:val="1F341C78"/>
    <w:rsid w:val="20001606"/>
    <w:rsid w:val="20715A75"/>
    <w:rsid w:val="20A24C20"/>
    <w:rsid w:val="210B2262"/>
    <w:rsid w:val="210D1C98"/>
    <w:rsid w:val="212916F7"/>
    <w:rsid w:val="21442B42"/>
    <w:rsid w:val="21EE07BA"/>
    <w:rsid w:val="222C26C2"/>
    <w:rsid w:val="22E5665F"/>
    <w:rsid w:val="22F109D7"/>
    <w:rsid w:val="23240398"/>
    <w:rsid w:val="23407DB1"/>
    <w:rsid w:val="23A64E72"/>
    <w:rsid w:val="24116544"/>
    <w:rsid w:val="243423E6"/>
    <w:rsid w:val="248A412D"/>
    <w:rsid w:val="25360C0D"/>
    <w:rsid w:val="25825046"/>
    <w:rsid w:val="25B05FB0"/>
    <w:rsid w:val="26E01966"/>
    <w:rsid w:val="26EE318D"/>
    <w:rsid w:val="27B60C21"/>
    <w:rsid w:val="29870ACC"/>
    <w:rsid w:val="298C6BAF"/>
    <w:rsid w:val="299E4ED6"/>
    <w:rsid w:val="29AA71E4"/>
    <w:rsid w:val="2A1B14A7"/>
    <w:rsid w:val="2A2506D2"/>
    <w:rsid w:val="2A4C1117"/>
    <w:rsid w:val="2AAD6003"/>
    <w:rsid w:val="2AF10207"/>
    <w:rsid w:val="2B8D5A73"/>
    <w:rsid w:val="2D391DD0"/>
    <w:rsid w:val="2D60110A"/>
    <w:rsid w:val="2D9F121C"/>
    <w:rsid w:val="2DE2142E"/>
    <w:rsid w:val="2E016A0F"/>
    <w:rsid w:val="2E504F26"/>
    <w:rsid w:val="2E7E2B3D"/>
    <w:rsid w:val="2F1A71FF"/>
    <w:rsid w:val="2FE204FD"/>
    <w:rsid w:val="300F1584"/>
    <w:rsid w:val="30B434EC"/>
    <w:rsid w:val="323B1304"/>
    <w:rsid w:val="326C0F6C"/>
    <w:rsid w:val="33C277DB"/>
    <w:rsid w:val="33DA5DAF"/>
    <w:rsid w:val="33F70AA8"/>
    <w:rsid w:val="353F3C66"/>
    <w:rsid w:val="354602B0"/>
    <w:rsid w:val="368D1C4D"/>
    <w:rsid w:val="370809F0"/>
    <w:rsid w:val="391657C3"/>
    <w:rsid w:val="395954C0"/>
    <w:rsid w:val="39F635F6"/>
    <w:rsid w:val="3A0E5CB0"/>
    <w:rsid w:val="3A6D044D"/>
    <w:rsid w:val="3A900F49"/>
    <w:rsid w:val="3AAF1FC5"/>
    <w:rsid w:val="3AD7016A"/>
    <w:rsid w:val="3B05727D"/>
    <w:rsid w:val="3B601740"/>
    <w:rsid w:val="3B9A7024"/>
    <w:rsid w:val="3B9E34F1"/>
    <w:rsid w:val="3C1B6D0D"/>
    <w:rsid w:val="3C5747B6"/>
    <w:rsid w:val="3C91263C"/>
    <w:rsid w:val="3D3F4B62"/>
    <w:rsid w:val="3D750B7E"/>
    <w:rsid w:val="3D8F7403"/>
    <w:rsid w:val="3DCB308E"/>
    <w:rsid w:val="3E41473A"/>
    <w:rsid w:val="3F3E681D"/>
    <w:rsid w:val="3F402F1A"/>
    <w:rsid w:val="3F710742"/>
    <w:rsid w:val="3F9C5367"/>
    <w:rsid w:val="3FDE48BE"/>
    <w:rsid w:val="417A44B7"/>
    <w:rsid w:val="41BF3A76"/>
    <w:rsid w:val="42104450"/>
    <w:rsid w:val="429351C2"/>
    <w:rsid w:val="432E6BB3"/>
    <w:rsid w:val="44376875"/>
    <w:rsid w:val="45644AEA"/>
    <w:rsid w:val="45827B97"/>
    <w:rsid w:val="46A01AF1"/>
    <w:rsid w:val="46AE787C"/>
    <w:rsid w:val="48E1008E"/>
    <w:rsid w:val="4A45358B"/>
    <w:rsid w:val="4B174746"/>
    <w:rsid w:val="4B5272B0"/>
    <w:rsid w:val="4B7C53CB"/>
    <w:rsid w:val="4BCF1B14"/>
    <w:rsid w:val="4BF9132F"/>
    <w:rsid w:val="4C274DCA"/>
    <w:rsid w:val="4D7C38E7"/>
    <w:rsid w:val="4D7F140F"/>
    <w:rsid w:val="4E3E7BC0"/>
    <w:rsid w:val="4EB268B6"/>
    <w:rsid w:val="4F701464"/>
    <w:rsid w:val="4FCE41A2"/>
    <w:rsid w:val="50211DE2"/>
    <w:rsid w:val="50A26432"/>
    <w:rsid w:val="510179A2"/>
    <w:rsid w:val="512579AE"/>
    <w:rsid w:val="51B64914"/>
    <w:rsid w:val="51F5455F"/>
    <w:rsid w:val="520E4D2A"/>
    <w:rsid w:val="52927709"/>
    <w:rsid w:val="53226CDE"/>
    <w:rsid w:val="535915FA"/>
    <w:rsid w:val="53F14283"/>
    <w:rsid w:val="5483555B"/>
    <w:rsid w:val="54B73F4D"/>
    <w:rsid w:val="5568630F"/>
    <w:rsid w:val="55801545"/>
    <w:rsid w:val="574E75BE"/>
    <w:rsid w:val="575D23A0"/>
    <w:rsid w:val="58766827"/>
    <w:rsid w:val="58984900"/>
    <w:rsid w:val="58F74365"/>
    <w:rsid w:val="59BB1A82"/>
    <w:rsid w:val="5AAD1584"/>
    <w:rsid w:val="5C4D41B6"/>
    <w:rsid w:val="5D215199"/>
    <w:rsid w:val="5DA36519"/>
    <w:rsid w:val="5E3E5D43"/>
    <w:rsid w:val="5E3F58C9"/>
    <w:rsid w:val="5E802B0B"/>
    <w:rsid w:val="5E8F4270"/>
    <w:rsid w:val="5F406DC4"/>
    <w:rsid w:val="5FFD073B"/>
    <w:rsid w:val="60103816"/>
    <w:rsid w:val="61655B8D"/>
    <w:rsid w:val="61A274DE"/>
    <w:rsid w:val="62481B92"/>
    <w:rsid w:val="62834F12"/>
    <w:rsid w:val="63305264"/>
    <w:rsid w:val="63395513"/>
    <w:rsid w:val="63E50F2E"/>
    <w:rsid w:val="641B1A28"/>
    <w:rsid w:val="643847A7"/>
    <w:rsid w:val="646850D1"/>
    <w:rsid w:val="654D5223"/>
    <w:rsid w:val="656B1AFE"/>
    <w:rsid w:val="65B9075D"/>
    <w:rsid w:val="65CD18E1"/>
    <w:rsid w:val="65F04B2B"/>
    <w:rsid w:val="67AC4D96"/>
    <w:rsid w:val="68EC1764"/>
    <w:rsid w:val="6A3E2DD0"/>
    <w:rsid w:val="6C49746F"/>
    <w:rsid w:val="6CAB169B"/>
    <w:rsid w:val="6CEE5341"/>
    <w:rsid w:val="6E60137A"/>
    <w:rsid w:val="6ECD1F3B"/>
    <w:rsid w:val="6EF625A4"/>
    <w:rsid w:val="6F951527"/>
    <w:rsid w:val="702502A7"/>
    <w:rsid w:val="70405E25"/>
    <w:rsid w:val="705067E1"/>
    <w:rsid w:val="706B361B"/>
    <w:rsid w:val="707B34B7"/>
    <w:rsid w:val="70FC1342"/>
    <w:rsid w:val="71B65C45"/>
    <w:rsid w:val="7272487F"/>
    <w:rsid w:val="729A5AB1"/>
    <w:rsid w:val="73B953C9"/>
    <w:rsid w:val="74047C0A"/>
    <w:rsid w:val="741527AA"/>
    <w:rsid w:val="74960A38"/>
    <w:rsid w:val="74C40D97"/>
    <w:rsid w:val="75417E42"/>
    <w:rsid w:val="754B1461"/>
    <w:rsid w:val="7673393E"/>
    <w:rsid w:val="76841A28"/>
    <w:rsid w:val="771534DA"/>
    <w:rsid w:val="778E659F"/>
    <w:rsid w:val="78420591"/>
    <w:rsid w:val="78B665A5"/>
    <w:rsid w:val="78BA6032"/>
    <w:rsid w:val="794A7BF0"/>
    <w:rsid w:val="7A5F10F5"/>
    <w:rsid w:val="7ABC432D"/>
    <w:rsid w:val="7B665E87"/>
    <w:rsid w:val="7B8A2158"/>
    <w:rsid w:val="7BC136AD"/>
    <w:rsid w:val="7C2526C0"/>
    <w:rsid w:val="7CA11787"/>
    <w:rsid w:val="7CB65982"/>
    <w:rsid w:val="7CFC339A"/>
    <w:rsid w:val="7E7219C6"/>
    <w:rsid w:val="7E745105"/>
    <w:rsid w:val="7FBE2972"/>
    <w:rsid w:val="7FF87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link w:val="31"/>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4">
    <w:name w:val="heading 3"/>
    <w:basedOn w:val="1"/>
    <w:next w:val="1"/>
    <w:link w:val="32"/>
    <w:qFormat/>
    <w:uiPriority w:val="0"/>
    <w:pPr>
      <w:keepNext/>
      <w:keepLines/>
      <w:spacing w:before="260" w:after="260" w:line="416" w:lineRule="auto"/>
      <w:outlineLvl w:val="2"/>
    </w:pPr>
    <w:rPr>
      <w:b/>
      <w:bCs/>
      <w:kern w:val="0"/>
      <w:sz w:val="32"/>
      <w:szCs w:val="32"/>
    </w:rPr>
  </w:style>
  <w:style w:type="paragraph" w:styleId="5">
    <w:name w:val="heading 4"/>
    <w:basedOn w:val="4"/>
    <w:next w:val="2"/>
    <w:link w:val="33"/>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6">
    <w:name w:val="heading 5"/>
    <w:basedOn w:val="5"/>
    <w:next w:val="2"/>
    <w:link w:val="34"/>
    <w:qFormat/>
    <w:uiPriority w:val="0"/>
    <w:pPr>
      <w:numPr>
        <w:ilvl w:val="4"/>
      </w:numPr>
      <w:spacing w:line="240" w:lineRule="exact"/>
      <w:outlineLvl w:val="4"/>
    </w:pPr>
  </w:style>
  <w:style w:type="paragraph" w:styleId="7">
    <w:name w:val="heading 7"/>
    <w:basedOn w:val="1"/>
    <w:next w:val="2"/>
    <w:link w:val="35"/>
    <w:qFormat/>
    <w:uiPriority w:val="0"/>
    <w:pPr>
      <w:keepNext/>
      <w:keepLines/>
      <w:numPr>
        <w:ilvl w:val="6"/>
        <w:numId w:val="1"/>
      </w:numPr>
      <w:spacing w:before="240" w:after="64" w:line="320" w:lineRule="auto"/>
      <w:outlineLvl w:val="6"/>
    </w:pPr>
    <w:rPr>
      <w:b/>
      <w:kern w:val="0"/>
      <w:sz w:val="24"/>
      <w:szCs w:val="20"/>
    </w:rPr>
  </w:style>
  <w:style w:type="paragraph" w:styleId="8">
    <w:name w:val="heading 8"/>
    <w:basedOn w:val="1"/>
    <w:next w:val="2"/>
    <w:link w:val="36"/>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9">
    <w:name w:val="heading 9"/>
    <w:basedOn w:val="1"/>
    <w:next w:val="2"/>
    <w:link w:val="37"/>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0">
    <w:name w:val="Document Map"/>
    <w:basedOn w:val="1"/>
    <w:link w:val="49"/>
    <w:semiHidden/>
    <w:qFormat/>
    <w:uiPriority w:val="0"/>
    <w:pPr>
      <w:shd w:val="clear" w:color="auto" w:fill="000080"/>
    </w:pPr>
    <w:rPr>
      <w:kern w:val="0"/>
      <w:sz w:val="20"/>
    </w:rPr>
  </w:style>
  <w:style w:type="paragraph" w:styleId="11">
    <w:name w:val="annotation text"/>
    <w:basedOn w:val="1"/>
    <w:link w:val="43"/>
    <w:semiHidden/>
    <w:qFormat/>
    <w:uiPriority w:val="0"/>
    <w:pPr>
      <w:jc w:val="left"/>
    </w:pPr>
    <w:rPr>
      <w:kern w:val="0"/>
      <w:sz w:val="20"/>
    </w:rPr>
  </w:style>
  <w:style w:type="paragraph" w:styleId="12">
    <w:name w:val="Body Text"/>
    <w:basedOn w:val="1"/>
    <w:link w:val="41"/>
    <w:qFormat/>
    <w:uiPriority w:val="0"/>
    <w:pPr>
      <w:pBdr>
        <w:top w:val="single" w:color="auto" w:sz="4" w:space="1"/>
      </w:pBdr>
    </w:pPr>
    <w:rPr>
      <w:b/>
      <w:bCs/>
      <w:kern w:val="0"/>
      <w:sz w:val="20"/>
    </w:rPr>
  </w:style>
  <w:style w:type="paragraph" w:styleId="13">
    <w:name w:val="Body Text Indent"/>
    <w:basedOn w:val="1"/>
    <w:link w:val="42"/>
    <w:qFormat/>
    <w:uiPriority w:val="0"/>
    <w:pPr>
      <w:ind w:firstLine="600" w:firstLineChars="200"/>
    </w:pPr>
    <w:rPr>
      <w:rFonts w:ascii="宋体"/>
      <w:kern w:val="0"/>
      <w:sz w:val="30"/>
      <w:szCs w:val="20"/>
    </w:rPr>
  </w:style>
  <w:style w:type="paragraph" w:styleId="14">
    <w:name w:val="Plain Text"/>
    <w:basedOn w:val="1"/>
    <w:link w:val="38"/>
    <w:qFormat/>
    <w:uiPriority w:val="0"/>
    <w:rPr>
      <w:rFonts w:ascii="宋体" w:hAnsi="Courier New"/>
      <w:kern w:val="0"/>
      <w:sz w:val="20"/>
      <w:szCs w:val="20"/>
    </w:rPr>
  </w:style>
  <w:style w:type="paragraph" w:styleId="15">
    <w:name w:val="Date"/>
    <w:basedOn w:val="1"/>
    <w:next w:val="1"/>
    <w:link w:val="44"/>
    <w:qFormat/>
    <w:uiPriority w:val="0"/>
    <w:pPr>
      <w:ind w:left="100" w:leftChars="2500"/>
    </w:pPr>
    <w:rPr>
      <w:kern w:val="0"/>
      <w:sz w:val="20"/>
    </w:rPr>
  </w:style>
  <w:style w:type="paragraph" w:styleId="16">
    <w:name w:val="Balloon Text"/>
    <w:basedOn w:val="1"/>
    <w:link w:val="45"/>
    <w:semiHidden/>
    <w:qFormat/>
    <w:uiPriority w:val="0"/>
    <w:rPr>
      <w:kern w:val="0"/>
      <w:sz w:val="18"/>
      <w:szCs w:val="18"/>
    </w:rPr>
  </w:style>
  <w:style w:type="paragraph" w:styleId="17">
    <w:name w:val="footer"/>
    <w:basedOn w:val="1"/>
    <w:link w:val="39"/>
    <w:qFormat/>
    <w:uiPriority w:val="0"/>
    <w:pPr>
      <w:tabs>
        <w:tab w:val="center" w:pos="4153"/>
        <w:tab w:val="right" w:pos="8306"/>
      </w:tabs>
      <w:snapToGrid w:val="0"/>
      <w:jc w:val="left"/>
    </w:pPr>
    <w:rPr>
      <w:kern w:val="0"/>
      <w:sz w:val="18"/>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kern w:val="0"/>
      <w:sz w:val="18"/>
    </w:rPr>
  </w:style>
  <w:style w:type="paragraph" w:styleId="19">
    <w:name w:val="toc 2"/>
    <w:basedOn w:val="1"/>
    <w:next w:val="1"/>
    <w:unhideWhenUsed/>
    <w:qFormat/>
    <w:uiPriority w:val="39"/>
    <w:pPr>
      <w:ind w:left="420" w:leftChars="200"/>
    </w:pPr>
  </w:style>
  <w:style w:type="paragraph" w:styleId="20">
    <w:name w:val="Title"/>
    <w:basedOn w:val="1"/>
    <w:link w:val="48"/>
    <w:qFormat/>
    <w:uiPriority w:val="0"/>
    <w:pPr>
      <w:spacing w:before="240" w:after="60"/>
      <w:jc w:val="center"/>
      <w:outlineLvl w:val="0"/>
    </w:pPr>
    <w:rPr>
      <w:rFonts w:ascii="Arial" w:hAnsi="Arial"/>
      <w:b/>
      <w:bCs/>
      <w:kern w:val="0"/>
      <w:sz w:val="32"/>
      <w:szCs w:val="32"/>
    </w:rPr>
  </w:style>
  <w:style w:type="paragraph" w:styleId="21">
    <w:name w:val="annotation subject"/>
    <w:basedOn w:val="11"/>
    <w:next w:val="11"/>
    <w:link w:val="47"/>
    <w:semiHidden/>
    <w:qFormat/>
    <w:uiPriority w:val="0"/>
    <w:rPr>
      <w:b/>
      <w:bCs/>
    </w:rPr>
  </w:style>
  <w:style w:type="paragraph" w:styleId="22">
    <w:name w:val="Body Text First Indent"/>
    <w:basedOn w:val="12"/>
    <w:qFormat/>
    <w:uiPriority w:val="99"/>
    <w:pPr>
      <w:ind w:firstLine="420" w:firstLineChars="100"/>
    </w:pPr>
  </w:style>
  <w:style w:type="paragraph" w:styleId="23">
    <w:name w:val="Body Text First Indent 2"/>
    <w:basedOn w:val="13"/>
    <w:semiHidden/>
    <w:unhideWhenUsed/>
    <w:qFormat/>
    <w:uiPriority w:val="99"/>
    <w:pPr>
      <w:spacing w:after="120"/>
      <w:ind w:left="420" w:leftChars="200" w:firstLine="420"/>
    </w:pPr>
    <w:rPr>
      <w:rFonts w:ascii="Times New Roman"/>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unhideWhenUsed/>
    <w:qFormat/>
    <w:uiPriority w:val="0"/>
    <w:rPr>
      <w:sz w:val="21"/>
      <w:szCs w:val="21"/>
    </w:rPr>
  </w:style>
  <w:style w:type="paragraph" w:customStyle="1" w:styleId="3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1">
    <w:name w:val="标题 2 Char"/>
    <w:link w:val="3"/>
    <w:qFormat/>
    <w:uiPriority w:val="0"/>
    <w:rPr>
      <w:rFonts w:ascii="Arial" w:hAnsi="Arial" w:eastAsia="宋体" w:cs="Times New Roman"/>
      <w:b/>
      <w:color w:val="000000"/>
      <w:sz w:val="24"/>
      <w:szCs w:val="24"/>
    </w:rPr>
  </w:style>
  <w:style w:type="character" w:customStyle="1" w:styleId="32">
    <w:name w:val="标题 3 Char"/>
    <w:link w:val="4"/>
    <w:qFormat/>
    <w:uiPriority w:val="0"/>
    <w:rPr>
      <w:rFonts w:ascii="Times New Roman" w:hAnsi="Times New Roman" w:eastAsia="宋体" w:cs="Times New Roman"/>
      <w:b/>
      <w:bCs/>
      <w:sz w:val="32"/>
      <w:szCs w:val="32"/>
    </w:rPr>
  </w:style>
  <w:style w:type="character" w:customStyle="1" w:styleId="33">
    <w:name w:val="标题 4 Char"/>
    <w:link w:val="5"/>
    <w:qFormat/>
    <w:uiPriority w:val="0"/>
    <w:rPr>
      <w:rFonts w:ascii="Arial" w:hAnsi="Arial" w:eastAsia="宋体" w:cs="Times New Roman"/>
      <w:color w:val="000000"/>
      <w:sz w:val="24"/>
      <w:szCs w:val="24"/>
    </w:rPr>
  </w:style>
  <w:style w:type="character" w:customStyle="1" w:styleId="34">
    <w:name w:val="标题 5 Char"/>
    <w:link w:val="6"/>
    <w:qFormat/>
    <w:uiPriority w:val="0"/>
    <w:rPr>
      <w:rFonts w:ascii="Arial" w:hAnsi="Arial" w:eastAsia="宋体" w:cs="Times New Roman"/>
      <w:color w:val="000000"/>
      <w:sz w:val="24"/>
      <w:szCs w:val="24"/>
    </w:rPr>
  </w:style>
  <w:style w:type="character" w:customStyle="1" w:styleId="35">
    <w:name w:val="标题 7 Char"/>
    <w:link w:val="7"/>
    <w:qFormat/>
    <w:uiPriority w:val="0"/>
    <w:rPr>
      <w:rFonts w:ascii="Times New Roman" w:hAnsi="Times New Roman" w:eastAsia="宋体" w:cs="Times New Roman"/>
      <w:b/>
      <w:sz w:val="24"/>
      <w:szCs w:val="20"/>
    </w:rPr>
  </w:style>
  <w:style w:type="character" w:customStyle="1" w:styleId="36">
    <w:name w:val="标题 8 Char"/>
    <w:link w:val="8"/>
    <w:qFormat/>
    <w:uiPriority w:val="0"/>
    <w:rPr>
      <w:rFonts w:ascii="Arial" w:hAnsi="Arial" w:eastAsia="黑体" w:cs="Times New Roman"/>
      <w:sz w:val="24"/>
      <w:szCs w:val="20"/>
    </w:rPr>
  </w:style>
  <w:style w:type="character" w:customStyle="1" w:styleId="37">
    <w:name w:val="标题 9 Char"/>
    <w:link w:val="9"/>
    <w:qFormat/>
    <w:uiPriority w:val="0"/>
    <w:rPr>
      <w:rFonts w:ascii="Arial" w:hAnsi="Arial" w:eastAsia="黑体" w:cs="Times New Roman"/>
      <w:szCs w:val="20"/>
    </w:rPr>
  </w:style>
  <w:style w:type="character" w:customStyle="1" w:styleId="38">
    <w:name w:val="纯文本 Char"/>
    <w:link w:val="14"/>
    <w:qFormat/>
    <w:uiPriority w:val="0"/>
    <w:rPr>
      <w:rFonts w:ascii="宋体" w:hAnsi="Courier New" w:eastAsia="宋体" w:cs="Times New Roman"/>
      <w:szCs w:val="20"/>
    </w:rPr>
  </w:style>
  <w:style w:type="character" w:customStyle="1" w:styleId="39">
    <w:name w:val="页脚 Char"/>
    <w:link w:val="17"/>
    <w:qFormat/>
    <w:uiPriority w:val="0"/>
    <w:rPr>
      <w:rFonts w:ascii="Times New Roman" w:hAnsi="Times New Roman" w:eastAsia="宋体" w:cs="Times New Roman"/>
      <w:sz w:val="18"/>
      <w:szCs w:val="24"/>
    </w:rPr>
  </w:style>
  <w:style w:type="character" w:customStyle="1" w:styleId="40">
    <w:name w:val="页眉 Char"/>
    <w:link w:val="18"/>
    <w:qFormat/>
    <w:uiPriority w:val="0"/>
    <w:rPr>
      <w:rFonts w:ascii="Times New Roman" w:hAnsi="Times New Roman" w:eastAsia="宋体" w:cs="Times New Roman"/>
      <w:sz w:val="18"/>
      <w:szCs w:val="24"/>
    </w:rPr>
  </w:style>
  <w:style w:type="character" w:customStyle="1" w:styleId="41">
    <w:name w:val="正文文本 Char"/>
    <w:link w:val="12"/>
    <w:qFormat/>
    <w:uiPriority w:val="0"/>
    <w:rPr>
      <w:rFonts w:ascii="Times New Roman" w:hAnsi="Times New Roman" w:eastAsia="宋体" w:cs="Times New Roman"/>
      <w:b/>
      <w:bCs/>
      <w:szCs w:val="24"/>
    </w:rPr>
  </w:style>
  <w:style w:type="character" w:customStyle="1" w:styleId="42">
    <w:name w:val="正文文本缩进 Char"/>
    <w:link w:val="13"/>
    <w:qFormat/>
    <w:uiPriority w:val="0"/>
    <w:rPr>
      <w:rFonts w:ascii="宋体" w:hAnsi="Times New Roman" w:eastAsia="宋体" w:cs="Times New Roman"/>
      <w:sz w:val="30"/>
      <w:szCs w:val="20"/>
    </w:rPr>
  </w:style>
  <w:style w:type="character" w:customStyle="1" w:styleId="43">
    <w:name w:val="批注文字 Char"/>
    <w:link w:val="11"/>
    <w:semiHidden/>
    <w:qFormat/>
    <w:uiPriority w:val="0"/>
    <w:rPr>
      <w:rFonts w:ascii="Times New Roman" w:hAnsi="Times New Roman" w:eastAsia="宋体" w:cs="Times New Roman"/>
      <w:szCs w:val="24"/>
    </w:rPr>
  </w:style>
  <w:style w:type="character" w:customStyle="1" w:styleId="44">
    <w:name w:val="日期 Char"/>
    <w:link w:val="15"/>
    <w:qFormat/>
    <w:uiPriority w:val="0"/>
    <w:rPr>
      <w:rFonts w:ascii="Times New Roman" w:hAnsi="Times New Roman" w:eastAsia="宋体" w:cs="Times New Roman"/>
      <w:szCs w:val="24"/>
    </w:rPr>
  </w:style>
  <w:style w:type="character" w:customStyle="1" w:styleId="45">
    <w:name w:val="批注框文本 Char"/>
    <w:link w:val="16"/>
    <w:semiHidden/>
    <w:qFormat/>
    <w:uiPriority w:val="0"/>
    <w:rPr>
      <w:rFonts w:ascii="Times New Roman" w:hAnsi="Times New Roman" w:eastAsia="宋体" w:cs="Times New Roman"/>
      <w:sz w:val="18"/>
      <w:szCs w:val="18"/>
    </w:rPr>
  </w:style>
  <w:style w:type="paragraph" w:customStyle="1" w:styleId="46">
    <w:name w:val="样式 标题 3 + 首行缩进:  1.06 厘米"/>
    <w:basedOn w:val="4"/>
    <w:qFormat/>
    <w:uiPriority w:val="0"/>
    <w:pPr>
      <w:spacing w:before="120" w:after="0" w:line="240" w:lineRule="auto"/>
      <w:jc w:val="center"/>
    </w:pPr>
    <w:rPr>
      <w:rFonts w:ascii="宋体" w:hAnsi="宋体" w:cs="宋体"/>
      <w:bCs w:val="0"/>
      <w:color w:val="000000"/>
    </w:rPr>
  </w:style>
  <w:style w:type="character" w:customStyle="1" w:styleId="47">
    <w:name w:val="批注主题 Char"/>
    <w:link w:val="21"/>
    <w:semiHidden/>
    <w:qFormat/>
    <w:uiPriority w:val="0"/>
    <w:rPr>
      <w:rFonts w:ascii="Times New Roman" w:hAnsi="Times New Roman" w:eastAsia="宋体" w:cs="Times New Roman"/>
      <w:b/>
      <w:bCs/>
      <w:szCs w:val="24"/>
    </w:rPr>
  </w:style>
  <w:style w:type="character" w:customStyle="1" w:styleId="48">
    <w:name w:val="标题 Char"/>
    <w:link w:val="20"/>
    <w:qFormat/>
    <w:uiPriority w:val="0"/>
    <w:rPr>
      <w:rFonts w:ascii="Arial" w:hAnsi="Arial" w:eastAsia="宋体" w:cs="Arial"/>
      <w:b/>
      <w:bCs/>
      <w:sz w:val="32"/>
      <w:szCs w:val="32"/>
    </w:rPr>
  </w:style>
  <w:style w:type="character" w:customStyle="1" w:styleId="49">
    <w:name w:val="文档结构图 Char"/>
    <w:link w:val="10"/>
    <w:semiHidden/>
    <w:qFormat/>
    <w:uiPriority w:val="0"/>
    <w:rPr>
      <w:rFonts w:ascii="Times New Roman" w:hAnsi="Times New Roman" w:eastAsia="宋体" w:cs="Times New Roman"/>
      <w:szCs w:val="24"/>
      <w:shd w:val="clear" w:color="auto" w:fill="000080"/>
    </w:rPr>
  </w:style>
  <w:style w:type="paragraph" w:customStyle="1" w:styleId="50">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1">
    <w:name w:val="font21"/>
    <w:basedOn w:val="26"/>
    <w:qFormat/>
    <w:uiPriority w:val="0"/>
    <w:rPr>
      <w:rFonts w:hint="eastAsia" w:ascii="宋体" w:hAnsi="宋体" w:eastAsia="宋体" w:cs="宋体"/>
      <w:color w:val="0066CC"/>
      <w:sz w:val="20"/>
      <w:szCs w:val="20"/>
      <w:u w:val="none"/>
    </w:rPr>
  </w:style>
  <w:style w:type="paragraph" w:customStyle="1" w:styleId="52">
    <w:name w:val="文二"/>
    <w:basedOn w:val="1"/>
    <w:qFormat/>
    <w:uiPriority w:val="0"/>
    <w:rPr>
      <w:rFonts w:ascii="宋体" w:hAnsi="宋体"/>
      <w:szCs w:val="21"/>
    </w:rPr>
  </w:style>
  <w:style w:type="paragraph" w:customStyle="1" w:styleId="5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54">
    <w:name w:val="Plain Text1"/>
    <w:basedOn w:val="1"/>
    <w:qFormat/>
    <w:uiPriority w:val="99"/>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55C5D-58F7-4560-9A10-AFB48FEE01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29088</Words>
  <Characters>31135</Characters>
  <Lines>189</Lines>
  <Paragraphs>53</Paragraphs>
  <TotalTime>1</TotalTime>
  <ScaleCrop>false</ScaleCrop>
  <LinksUpToDate>false</LinksUpToDate>
  <CharactersWithSpaces>33794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2020-11-27T04:38:00Z</dcterms:created>
  <dc:creator>微软用户</dc:creator>
  <cp:lastModifiedBy>迪迪</cp:lastModifiedBy>
  <cp:lastPrinted>2020-08-26T02:49:00Z</cp:lastPrinted>
  <dcterms:modified xsi:type="dcterms:W3CDTF">2023-07-20T07:02:39Z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0429B5568111463D84D4EC3D99BF64A3</vt:lpwstr>
  </property>
</Properties>
</file>