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站前街铁路片区（站西小区、西站小区、克山小区）微改造项目</w:t>
      </w:r>
      <w:r>
        <w:rPr>
          <w:rFonts w:hint="eastAsia" w:ascii="宋体" w:hAnsi="宋体" w:cs="宋体"/>
          <w:b/>
          <w:bCs/>
          <w:color w:val="auto"/>
          <w:sz w:val="44"/>
          <w:szCs w:val="44"/>
          <w:highlight w:val="none"/>
        </w:rPr>
        <w:t>代建服务</w:t>
      </w:r>
    </w:p>
    <w:p>
      <w:pPr>
        <w:spacing w:line="360" w:lineRule="auto"/>
        <w:jc w:val="center"/>
        <w:rPr>
          <w:rFonts w:ascii="宋体" w:hAnsi="宋体" w:cs="宋体"/>
          <w:b/>
          <w:bCs/>
          <w:color w:val="auto"/>
          <w:sz w:val="44"/>
          <w:szCs w:val="44"/>
          <w:highlight w:val="none"/>
        </w:rPr>
      </w:pPr>
    </w:p>
    <w:p>
      <w:pPr>
        <w:spacing w:line="360" w:lineRule="auto"/>
        <w:jc w:val="center"/>
        <w:rPr>
          <w:rFonts w:ascii="宋体" w:hAnsi="宋体" w:cs="宋体"/>
          <w:b/>
          <w:bCs/>
          <w:color w:val="auto"/>
          <w:sz w:val="44"/>
          <w:szCs w:val="44"/>
          <w:highlight w:val="none"/>
        </w:rPr>
      </w:pPr>
    </w:p>
    <w:p>
      <w:pPr>
        <w:spacing w:line="360" w:lineRule="auto"/>
        <w:jc w:val="center"/>
        <w:rPr>
          <w:rFonts w:ascii="宋体" w:hAnsi="宋体" w:cs="宋体"/>
          <w:b/>
          <w:bCs/>
          <w:color w:val="auto"/>
          <w:sz w:val="44"/>
          <w:szCs w:val="44"/>
          <w:highlight w:val="none"/>
        </w:rPr>
      </w:pPr>
    </w:p>
    <w:p>
      <w:pPr>
        <w:spacing w:line="360" w:lineRule="auto"/>
        <w:jc w:val="center"/>
        <w:rPr>
          <w:rFonts w:ascii="宋体" w:hAnsi="宋体" w:cs="宋体"/>
          <w:b/>
          <w:bCs/>
          <w:color w:val="auto"/>
          <w:sz w:val="44"/>
          <w:szCs w:val="44"/>
          <w:highlight w:val="none"/>
        </w:rPr>
      </w:pPr>
    </w:p>
    <w:p>
      <w:pPr>
        <w:spacing w:line="360" w:lineRule="auto"/>
        <w:jc w:val="center"/>
        <w:rPr>
          <w:rFonts w:ascii="宋体" w:hAnsi="宋体" w:cs="宋体"/>
          <w:b/>
          <w:bCs/>
          <w:color w:val="auto"/>
          <w:sz w:val="84"/>
          <w:szCs w:val="84"/>
          <w:highlight w:val="none"/>
        </w:rPr>
      </w:pPr>
      <w:r>
        <w:rPr>
          <w:rFonts w:hint="eastAsia" w:ascii="宋体" w:hAnsi="宋体" w:cs="宋体"/>
          <w:b/>
          <w:bCs/>
          <w:color w:val="auto"/>
          <w:sz w:val="84"/>
          <w:szCs w:val="84"/>
          <w:highlight w:val="none"/>
        </w:rPr>
        <w:t>招 标 文 件</w:t>
      </w:r>
    </w:p>
    <w:p>
      <w:pPr>
        <w:pStyle w:val="18"/>
        <w:spacing w:line="360" w:lineRule="auto"/>
        <w:rPr>
          <w:rFonts w:ascii="宋体" w:hAnsi="宋体" w:cs="宋体"/>
          <w:color w:val="auto"/>
          <w:highlight w:val="none"/>
        </w:rPr>
      </w:pPr>
    </w:p>
    <w:p>
      <w:pPr>
        <w:spacing w:line="360" w:lineRule="auto"/>
        <w:ind w:firstLine="883" w:firstLineChars="200"/>
        <w:jc w:val="center"/>
        <w:rPr>
          <w:rFonts w:ascii="宋体" w:hAnsi="宋体" w:cs="宋体"/>
          <w:b/>
          <w:color w:val="auto"/>
          <w:sz w:val="44"/>
          <w:szCs w:val="44"/>
          <w:highlight w:val="none"/>
        </w:rPr>
      </w:pPr>
    </w:p>
    <w:p>
      <w:pPr>
        <w:spacing w:line="360" w:lineRule="auto"/>
        <w:ind w:firstLine="883" w:firstLineChars="200"/>
        <w:jc w:val="center"/>
        <w:rPr>
          <w:rFonts w:ascii="宋体" w:hAnsi="宋体" w:cs="宋体"/>
          <w:b/>
          <w:color w:val="auto"/>
          <w:sz w:val="44"/>
          <w:szCs w:val="44"/>
          <w:highlight w:val="none"/>
        </w:rPr>
      </w:pPr>
    </w:p>
    <w:p>
      <w:pPr>
        <w:spacing w:line="360" w:lineRule="auto"/>
        <w:ind w:firstLine="883" w:firstLineChars="200"/>
        <w:jc w:val="center"/>
        <w:rPr>
          <w:rFonts w:ascii="宋体" w:hAnsi="宋体" w:cs="宋体"/>
          <w:b/>
          <w:color w:val="auto"/>
          <w:sz w:val="44"/>
          <w:szCs w:val="44"/>
          <w:highlight w:val="none"/>
        </w:rPr>
      </w:pPr>
    </w:p>
    <w:p>
      <w:pPr>
        <w:pStyle w:val="25"/>
        <w:adjustRightInd w:val="0"/>
        <w:spacing w:line="480" w:lineRule="auto"/>
        <w:ind w:firstLine="838" w:firstLineChars="262"/>
        <w:jc w:val="left"/>
        <w:rPr>
          <w:rFonts w:hint="eastAsia" w:ascii="宋体" w:hAnsi="宋体" w:eastAsia="宋体" w:cs="宋体"/>
          <w:color w:val="auto"/>
          <w:sz w:val="32"/>
          <w:szCs w:val="32"/>
          <w:highlight w:val="none"/>
          <w:u w:val="single"/>
          <w:lang w:eastAsia="zh-CN"/>
        </w:rPr>
      </w:pPr>
      <w:r>
        <w:rPr>
          <w:rFonts w:hint="eastAsia" w:ascii="宋体" w:hAnsi="宋体" w:cs="宋体"/>
          <w:color w:val="auto"/>
          <w:sz w:val="32"/>
          <w:szCs w:val="32"/>
          <w:highlight w:val="none"/>
        </w:rPr>
        <w:t>招 标 单 位 ：</w:t>
      </w:r>
      <w:bookmarkStart w:id="0" w:name="OLE_LINK4"/>
      <w:r>
        <w:rPr>
          <w:rFonts w:hint="eastAsia" w:ascii="宋体" w:hAnsi="宋体" w:cs="宋体"/>
          <w:color w:val="auto"/>
          <w:sz w:val="32"/>
          <w:szCs w:val="32"/>
          <w:highlight w:val="none"/>
          <w:u w:val="single"/>
          <w:lang w:eastAsia="zh-CN"/>
        </w:rPr>
        <w:t>广州市荔湾区人民政府站前街道办事处</w:t>
      </w:r>
    </w:p>
    <w:p>
      <w:pPr>
        <w:pStyle w:val="25"/>
        <w:adjustRightInd w:val="0"/>
        <w:spacing w:line="480" w:lineRule="auto"/>
        <w:ind w:firstLine="838" w:firstLineChars="262"/>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招标代理机构：</w:t>
      </w:r>
      <w:bookmarkEnd w:id="0"/>
      <w:r>
        <w:rPr>
          <w:rFonts w:hint="eastAsia" w:ascii="宋体" w:hAnsi="宋体" w:cs="宋体"/>
          <w:color w:val="auto"/>
          <w:sz w:val="32"/>
          <w:szCs w:val="32"/>
          <w:highlight w:val="none"/>
          <w:u w:val="single"/>
          <w:lang w:eastAsia="zh-CN"/>
        </w:rPr>
        <w:t>广州市南悦工程顾问有限公司</w:t>
      </w:r>
    </w:p>
    <w:p>
      <w:pPr>
        <w:pStyle w:val="25"/>
        <w:adjustRightInd w:val="0"/>
        <w:spacing w:line="480" w:lineRule="auto"/>
        <w:ind w:firstLine="838" w:firstLineChars="262"/>
        <w:rPr>
          <w:rFonts w:ascii="宋体" w:hAnsi="宋体" w:cs="宋体"/>
          <w:color w:val="auto"/>
          <w:sz w:val="32"/>
          <w:szCs w:val="32"/>
          <w:highlight w:val="none"/>
        </w:rPr>
      </w:pPr>
      <w:r>
        <w:rPr>
          <w:rFonts w:hint="eastAsia" w:ascii="宋体" w:hAnsi="宋体" w:cs="宋体"/>
          <w:color w:val="auto"/>
          <w:sz w:val="32"/>
          <w:szCs w:val="32"/>
          <w:highlight w:val="none"/>
        </w:rPr>
        <w:t>日        期：</w:t>
      </w:r>
      <w:r>
        <w:rPr>
          <w:rFonts w:hint="eastAsia" w:ascii="宋体" w:hAnsi="宋体" w:cs="宋体"/>
          <w:color w:val="auto"/>
          <w:sz w:val="32"/>
          <w:szCs w:val="32"/>
          <w:highlight w:val="none"/>
          <w:u w:val="single"/>
        </w:rPr>
        <w:t>2023</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7</w:t>
      </w:r>
      <w:r>
        <w:rPr>
          <w:rFonts w:hint="eastAsia" w:ascii="宋体" w:hAnsi="宋体" w:cs="宋体"/>
          <w:color w:val="auto"/>
          <w:sz w:val="32"/>
          <w:szCs w:val="32"/>
          <w:highlight w:val="none"/>
        </w:rPr>
        <w:t>月</w:t>
      </w:r>
    </w:p>
    <w:p>
      <w:pPr>
        <w:widowControl/>
        <w:spacing w:line="360" w:lineRule="auto"/>
        <w:ind w:firstLine="842" w:firstLineChars="262"/>
        <w:jc w:val="left"/>
        <w:rPr>
          <w:rFonts w:ascii="宋体" w:hAnsi="宋体" w:cs="宋体"/>
          <w:b/>
          <w:bCs/>
          <w:color w:val="auto"/>
          <w:sz w:val="32"/>
          <w:szCs w:val="32"/>
          <w:highlight w:val="none"/>
        </w:rPr>
      </w:pPr>
    </w:p>
    <w:p>
      <w:pPr>
        <w:widowControl/>
        <w:spacing w:line="360" w:lineRule="auto"/>
        <w:ind w:firstLine="842" w:firstLineChars="262"/>
        <w:jc w:val="left"/>
        <w:rPr>
          <w:rFonts w:ascii="宋体" w:hAnsi="宋体" w:cs="宋体"/>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type w:val="continuous"/>
          <w:pgSz w:w="11907" w:h="16840"/>
          <w:pgMar w:top="1440" w:right="1474" w:bottom="1440" w:left="1474" w:header="720" w:footer="720" w:gutter="0"/>
          <w:cols w:space="720" w:num="1"/>
          <w:titlePg/>
          <w:docGrid w:linePitch="286" w:charSpace="0"/>
        </w:sectPr>
      </w:pPr>
    </w:p>
    <w:p>
      <w:pPr>
        <w:widowControl/>
        <w:jc w:val="left"/>
        <w:rPr>
          <w:rFonts w:ascii="宋体" w:hAnsi="宋体" w:cs="宋体"/>
          <w:b/>
          <w:bCs/>
          <w:color w:val="auto"/>
          <w:kern w:val="0"/>
          <w:sz w:val="36"/>
          <w:szCs w:val="36"/>
          <w:highlight w:val="none"/>
          <w:lang w:val="zh-CN"/>
        </w:rPr>
      </w:pPr>
      <w:r>
        <w:rPr>
          <w:rFonts w:ascii="宋体" w:hAnsi="宋体"/>
          <w:color w:val="auto"/>
          <w:sz w:val="36"/>
          <w:szCs w:val="36"/>
          <w:highlight w:val="none"/>
          <w:lang w:val="zh-CN"/>
        </w:rPr>
        <w:br w:type="page"/>
      </w:r>
    </w:p>
    <w:p>
      <w:pPr>
        <w:pStyle w:val="84"/>
        <w:spacing w:before="0"/>
        <w:jc w:val="center"/>
        <w:rPr>
          <w:rFonts w:ascii="宋体" w:hAnsi="宋体"/>
          <w:color w:val="auto"/>
          <w:sz w:val="48"/>
          <w:szCs w:val="48"/>
          <w:highlight w:val="none"/>
          <w:lang w:val="zh-CN"/>
        </w:rPr>
      </w:pPr>
      <w:r>
        <w:rPr>
          <w:rFonts w:hint="eastAsia" w:ascii="宋体" w:hAnsi="宋体"/>
          <w:color w:val="auto"/>
          <w:sz w:val="48"/>
          <w:szCs w:val="48"/>
          <w:highlight w:val="none"/>
          <w:lang w:val="zh-CN"/>
        </w:rPr>
        <w:t>目  录</w:t>
      </w:r>
    </w:p>
    <w:p>
      <w:pPr>
        <w:pStyle w:val="22"/>
        <w:tabs>
          <w:tab w:val="right" w:leader="dot" w:pos="8495"/>
        </w:tabs>
        <w:spacing w:line="360" w:lineRule="auto"/>
        <w:rPr>
          <w:rFonts w:ascii="宋体" w:hAnsi="宋体" w:cstheme="minorBidi"/>
          <w:color w:val="auto"/>
          <w:kern w:val="2"/>
          <w:sz w:val="28"/>
          <w:szCs w:val="28"/>
          <w:highlight w:val="none"/>
        </w:rPr>
      </w:pP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TOC \o "1-3" \h \z \u </w:instrText>
      </w:r>
      <w:r>
        <w:rPr>
          <w:rFonts w:hint="eastAsia" w:ascii="宋体" w:hAnsi="宋体" w:cs="宋体"/>
          <w:color w:val="auto"/>
          <w:sz w:val="28"/>
          <w:szCs w:val="28"/>
          <w:highlight w:val="none"/>
        </w:rPr>
        <w:fldChar w:fldCharType="separate"/>
      </w:r>
      <w:r>
        <w:rPr>
          <w:color w:val="auto"/>
          <w:highlight w:val="none"/>
        </w:rPr>
        <w:fldChar w:fldCharType="begin"/>
      </w:r>
      <w:r>
        <w:rPr>
          <w:color w:val="auto"/>
          <w:highlight w:val="none"/>
        </w:rPr>
        <w:instrText xml:space="preserve"> HYPERLINK \l "_Toc132272646" </w:instrText>
      </w:r>
      <w:r>
        <w:rPr>
          <w:color w:val="auto"/>
          <w:highlight w:val="none"/>
        </w:rPr>
        <w:fldChar w:fldCharType="separate"/>
      </w:r>
      <w:r>
        <w:rPr>
          <w:rStyle w:val="34"/>
          <w:rFonts w:hint="eastAsia" w:ascii="宋体" w:hAnsi="宋体"/>
          <w:color w:val="auto"/>
          <w:sz w:val="28"/>
          <w:szCs w:val="28"/>
          <w:highlight w:val="none"/>
        </w:rPr>
        <w:t>第一章招标公告</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_Toc132272646 \h </w:instrText>
      </w:r>
      <w:r>
        <w:rPr>
          <w:rFonts w:ascii="宋体" w:hAnsi="宋体"/>
          <w:color w:val="auto"/>
          <w:sz w:val="28"/>
          <w:szCs w:val="28"/>
          <w:highlight w:val="none"/>
        </w:rPr>
        <w:fldChar w:fldCharType="separate"/>
      </w:r>
      <w:r>
        <w:rPr>
          <w:rFonts w:ascii="宋体" w:hAnsi="宋体"/>
          <w:color w:val="auto"/>
          <w:sz w:val="28"/>
          <w:szCs w:val="28"/>
          <w:highlight w:val="none"/>
        </w:rPr>
        <w:t>3</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2"/>
        <w:tabs>
          <w:tab w:val="right" w:leader="dot" w:pos="8495"/>
        </w:tabs>
        <w:spacing w:line="360" w:lineRule="auto"/>
        <w:rPr>
          <w:rFonts w:ascii="宋体" w:hAnsi="宋体" w:cstheme="minorBidi"/>
          <w:color w:val="auto"/>
          <w:kern w:val="2"/>
          <w:sz w:val="28"/>
          <w:szCs w:val="28"/>
          <w:highlight w:val="none"/>
        </w:rPr>
      </w:pPr>
      <w:r>
        <w:rPr>
          <w:color w:val="auto"/>
          <w:highlight w:val="none"/>
        </w:rPr>
        <w:fldChar w:fldCharType="begin"/>
      </w:r>
      <w:r>
        <w:rPr>
          <w:color w:val="auto"/>
          <w:highlight w:val="none"/>
        </w:rPr>
        <w:instrText xml:space="preserve"> HYPERLINK \l "_Toc132272647" </w:instrText>
      </w:r>
      <w:r>
        <w:rPr>
          <w:color w:val="auto"/>
          <w:highlight w:val="none"/>
        </w:rPr>
        <w:fldChar w:fldCharType="separate"/>
      </w:r>
      <w:r>
        <w:rPr>
          <w:rStyle w:val="34"/>
          <w:rFonts w:hint="eastAsia" w:ascii="宋体" w:hAnsi="宋体"/>
          <w:color w:val="auto"/>
          <w:sz w:val="28"/>
          <w:szCs w:val="28"/>
          <w:highlight w:val="none"/>
        </w:rPr>
        <w:t>第二章投标人须知</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_Toc132272647 \h </w:instrText>
      </w:r>
      <w:r>
        <w:rPr>
          <w:rFonts w:ascii="宋体" w:hAnsi="宋体"/>
          <w:color w:val="auto"/>
          <w:sz w:val="28"/>
          <w:szCs w:val="28"/>
          <w:highlight w:val="none"/>
        </w:rPr>
        <w:fldChar w:fldCharType="separate"/>
      </w:r>
      <w:r>
        <w:rPr>
          <w:rFonts w:ascii="宋体" w:hAnsi="宋体"/>
          <w:color w:val="auto"/>
          <w:sz w:val="28"/>
          <w:szCs w:val="28"/>
          <w:highlight w:val="none"/>
        </w:rPr>
        <w:t>4</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2"/>
        <w:tabs>
          <w:tab w:val="right" w:leader="dot" w:pos="8495"/>
        </w:tabs>
        <w:spacing w:line="360" w:lineRule="auto"/>
        <w:rPr>
          <w:rFonts w:ascii="宋体" w:hAnsi="宋体" w:cstheme="minorBidi"/>
          <w:color w:val="auto"/>
          <w:kern w:val="2"/>
          <w:sz w:val="28"/>
          <w:szCs w:val="28"/>
          <w:highlight w:val="none"/>
        </w:rPr>
      </w:pPr>
      <w:r>
        <w:rPr>
          <w:color w:val="auto"/>
          <w:highlight w:val="none"/>
        </w:rPr>
        <w:fldChar w:fldCharType="begin"/>
      </w:r>
      <w:r>
        <w:rPr>
          <w:color w:val="auto"/>
          <w:highlight w:val="none"/>
        </w:rPr>
        <w:instrText xml:space="preserve"> HYPERLINK \l "_Toc132272652" </w:instrText>
      </w:r>
      <w:r>
        <w:rPr>
          <w:color w:val="auto"/>
          <w:highlight w:val="none"/>
        </w:rPr>
        <w:fldChar w:fldCharType="separate"/>
      </w:r>
      <w:r>
        <w:rPr>
          <w:rStyle w:val="34"/>
          <w:rFonts w:hint="eastAsia" w:ascii="宋体" w:hAnsi="宋体"/>
          <w:color w:val="auto"/>
          <w:sz w:val="28"/>
          <w:szCs w:val="28"/>
          <w:highlight w:val="none"/>
        </w:rPr>
        <w:t>第三章评标办法（综合评估法）</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_Toc132272652 \h </w:instrText>
      </w:r>
      <w:r>
        <w:rPr>
          <w:rFonts w:ascii="宋体" w:hAnsi="宋体"/>
          <w:color w:val="auto"/>
          <w:sz w:val="28"/>
          <w:szCs w:val="28"/>
          <w:highlight w:val="none"/>
        </w:rPr>
        <w:fldChar w:fldCharType="separate"/>
      </w:r>
      <w:r>
        <w:rPr>
          <w:rFonts w:ascii="宋体" w:hAnsi="宋体"/>
          <w:color w:val="auto"/>
          <w:sz w:val="28"/>
          <w:szCs w:val="28"/>
          <w:highlight w:val="none"/>
        </w:rPr>
        <w:t>29</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2"/>
        <w:tabs>
          <w:tab w:val="right" w:leader="dot" w:pos="8495"/>
        </w:tabs>
        <w:spacing w:line="360" w:lineRule="auto"/>
        <w:rPr>
          <w:rFonts w:ascii="宋体" w:hAnsi="宋体" w:cstheme="minorBidi"/>
          <w:color w:val="auto"/>
          <w:kern w:val="2"/>
          <w:sz w:val="28"/>
          <w:szCs w:val="28"/>
          <w:highlight w:val="none"/>
        </w:rPr>
      </w:pPr>
      <w:r>
        <w:rPr>
          <w:color w:val="auto"/>
          <w:highlight w:val="none"/>
        </w:rPr>
        <w:fldChar w:fldCharType="begin"/>
      </w:r>
      <w:r>
        <w:rPr>
          <w:color w:val="auto"/>
          <w:highlight w:val="none"/>
        </w:rPr>
        <w:instrText xml:space="preserve"> HYPERLINK \l "_Toc132272655" </w:instrText>
      </w:r>
      <w:r>
        <w:rPr>
          <w:color w:val="auto"/>
          <w:highlight w:val="none"/>
        </w:rPr>
        <w:fldChar w:fldCharType="separate"/>
      </w:r>
      <w:r>
        <w:rPr>
          <w:rStyle w:val="34"/>
          <w:rFonts w:hint="eastAsia" w:ascii="宋体" w:hAnsi="宋体"/>
          <w:color w:val="auto"/>
          <w:sz w:val="28"/>
          <w:szCs w:val="28"/>
          <w:highlight w:val="none"/>
        </w:rPr>
        <w:t>第四章合同条款及格式</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_Toc132272655 \h </w:instrText>
      </w:r>
      <w:r>
        <w:rPr>
          <w:rFonts w:ascii="宋体" w:hAnsi="宋体"/>
          <w:color w:val="auto"/>
          <w:sz w:val="28"/>
          <w:szCs w:val="28"/>
          <w:highlight w:val="none"/>
        </w:rPr>
        <w:fldChar w:fldCharType="separate"/>
      </w:r>
      <w:r>
        <w:rPr>
          <w:rFonts w:ascii="宋体" w:hAnsi="宋体"/>
          <w:color w:val="auto"/>
          <w:sz w:val="28"/>
          <w:szCs w:val="28"/>
          <w:highlight w:val="none"/>
        </w:rPr>
        <w:t>36</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2"/>
        <w:tabs>
          <w:tab w:val="right" w:leader="dot" w:pos="8495"/>
        </w:tabs>
        <w:spacing w:line="360" w:lineRule="auto"/>
        <w:rPr>
          <w:rFonts w:ascii="宋体" w:hAnsi="宋体" w:cstheme="minorBidi"/>
          <w:color w:val="auto"/>
          <w:kern w:val="2"/>
          <w:sz w:val="28"/>
          <w:szCs w:val="28"/>
          <w:highlight w:val="none"/>
        </w:rPr>
      </w:pPr>
      <w:r>
        <w:rPr>
          <w:color w:val="auto"/>
          <w:highlight w:val="none"/>
        </w:rPr>
        <w:fldChar w:fldCharType="begin"/>
      </w:r>
      <w:r>
        <w:rPr>
          <w:color w:val="auto"/>
          <w:highlight w:val="none"/>
        </w:rPr>
        <w:instrText xml:space="preserve"> HYPERLINK \l "_Toc132272674" </w:instrText>
      </w:r>
      <w:r>
        <w:rPr>
          <w:color w:val="auto"/>
          <w:highlight w:val="none"/>
        </w:rPr>
        <w:fldChar w:fldCharType="separate"/>
      </w:r>
      <w:r>
        <w:rPr>
          <w:rStyle w:val="34"/>
          <w:rFonts w:hint="eastAsia" w:ascii="宋体" w:hAnsi="宋体"/>
          <w:color w:val="auto"/>
          <w:sz w:val="28"/>
          <w:szCs w:val="28"/>
          <w:highlight w:val="none"/>
        </w:rPr>
        <w:t>第五章委托人要求</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_Toc132272674 \h </w:instrText>
      </w:r>
      <w:r>
        <w:rPr>
          <w:rFonts w:ascii="宋体" w:hAnsi="宋体"/>
          <w:color w:val="auto"/>
          <w:sz w:val="28"/>
          <w:szCs w:val="28"/>
          <w:highlight w:val="none"/>
        </w:rPr>
        <w:fldChar w:fldCharType="separate"/>
      </w:r>
      <w:r>
        <w:rPr>
          <w:rFonts w:ascii="宋体" w:hAnsi="宋体"/>
          <w:color w:val="auto"/>
          <w:sz w:val="28"/>
          <w:szCs w:val="28"/>
          <w:highlight w:val="none"/>
        </w:rPr>
        <w:t>37</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pStyle w:val="22"/>
        <w:tabs>
          <w:tab w:val="right" w:leader="dot" w:pos="8495"/>
        </w:tabs>
        <w:spacing w:line="360" w:lineRule="auto"/>
        <w:rPr>
          <w:rFonts w:ascii="宋体" w:hAnsi="宋体" w:cstheme="minorBidi"/>
          <w:color w:val="auto"/>
          <w:kern w:val="2"/>
          <w:sz w:val="28"/>
          <w:szCs w:val="28"/>
          <w:highlight w:val="none"/>
        </w:rPr>
      </w:pPr>
      <w:r>
        <w:rPr>
          <w:color w:val="auto"/>
          <w:highlight w:val="none"/>
        </w:rPr>
        <w:fldChar w:fldCharType="begin"/>
      </w:r>
      <w:r>
        <w:rPr>
          <w:color w:val="auto"/>
          <w:highlight w:val="none"/>
        </w:rPr>
        <w:instrText xml:space="preserve"> HYPERLINK \l "_Toc132272675" </w:instrText>
      </w:r>
      <w:r>
        <w:rPr>
          <w:color w:val="auto"/>
          <w:highlight w:val="none"/>
        </w:rPr>
        <w:fldChar w:fldCharType="separate"/>
      </w:r>
      <w:r>
        <w:rPr>
          <w:rStyle w:val="34"/>
          <w:rFonts w:hint="eastAsia" w:ascii="宋体" w:hAnsi="宋体"/>
          <w:color w:val="auto"/>
          <w:sz w:val="28"/>
          <w:szCs w:val="28"/>
          <w:highlight w:val="none"/>
        </w:rPr>
        <w:t>第六章投标文件格式</w:t>
      </w:r>
      <w:r>
        <w:rPr>
          <w:rFonts w:ascii="宋体" w:hAnsi="宋体"/>
          <w:color w:val="auto"/>
          <w:sz w:val="28"/>
          <w:szCs w:val="28"/>
          <w:highlight w:val="none"/>
        </w:rPr>
        <w:tab/>
      </w:r>
      <w:r>
        <w:rPr>
          <w:rFonts w:ascii="宋体" w:hAnsi="宋体"/>
          <w:color w:val="auto"/>
          <w:sz w:val="28"/>
          <w:szCs w:val="28"/>
          <w:highlight w:val="none"/>
        </w:rPr>
        <w:fldChar w:fldCharType="begin"/>
      </w:r>
      <w:r>
        <w:rPr>
          <w:rFonts w:ascii="宋体" w:hAnsi="宋体"/>
          <w:color w:val="auto"/>
          <w:sz w:val="28"/>
          <w:szCs w:val="28"/>
          <w:highlight w:val="none"/>
        </w:rPr>
        <w:instrText xml:space="preserve"> PAGEREF _Toc132272675 \h </w:instrText>
      </w:r>
      <w:r>
        <w:rPr>
          <w:rFonts w:ascii="宋体" w:hAnsi="宋体"/>
          <w:color w:val="auto"/>
          <w:sz w:val="28"/>
          <w:szCs w:val="28"/>
          <w:highlight w:val="none"/>
        </w:rPr>
        <w:fldChar w:fldCharType="separate"/>
      </w:r>
      <w:r>
        <w:rPr>
          <w:rFonts w:ascii="宋体" w:hAnsi="宋体"/>
          <w:color w:val="auto"/>
          <w:sz w:val="28"/>
          <w:szCs w:val="28"/>
          <w:highlight w:val="none"/>
        </w:rPr>
        <w:t>40</w:t>
      </w:r>
      <w:r>
        <w:rPr>
          <w:rFonts w:ascii="宋体" w:hAnsi="宋体"/>
          <w:color w:val="auto"/>
          <w:sz w:val="28"/>
          <w:szCs w:val="28"/>
          <w:highlight w:val="none"/>
        </w:rPr>
        <w:fldChar w:fldCharType="end"/>
      </w:r>
      <w:r>
        <w:rPr>
          <w:rFonts w:ascii="宋体" w:hAnsi="宋体"/>
          <w:color w:val="auto"/>
          <w:sz w:val="28"/>
          <w:szCs w:val="28"/>
          <w:highlight w:val="none"/>
        </w:rPr>
        <w:fldChar w:fldCharType="end"/>
      </w:r>
    </w:p>
    <w:p>
      <w:pPr>
        <w:spacing w:line="600" w:lineRule="auto"/>
        <w:rPr>
          <w:rFonts w:ascii="宋体" w:hAnsi="宋体" w:cs="宋体"/>
          <w:b/>
          <w:bCs/>
          <w:color w:val="auto"/>
          <w:sz w:val="24"/>
          <w:szCs w:val="24"/>
          <w:highlight w:val="none"/>
        </w:rPr>
      </w:pPr>
      <w:r>
        <w:rPr>
          <w:rFonts w:hint="eastAsia" w:ascii="宋体" w:hAnsi="宋体" w:cs="宋体"/>
          <w:b/>
          <w:bCs/>
          <w:color w:val="auto"/>
          <w:sz w:val="28"/>
          <w:szCs w:val="28"/>
          <w:highlight w:val="none"/>
          <w:lang w:val="zh-CN"/>
        </w:rPr>
        <w:fldChar w:fldCharType="end"/>
      </w:r>
    </w:p>
    <w:p>
      <w:pPr>
        <w:pStyle w:val="3"/>
        <w:rPr>
          <w:color w:val="auto"/>
          <w:highlight w:val="none"/>
        </w:rPr>
      </w:pPr>
      <w:r>
        <w:rPr>
          <w:rFonts w:hint="eastAsia"/>
          <w:color w:val="auto"/>
          <w:highlight w:val="none"/>
        </w:rPr>
        <w:br w:type="page"/>
      </w:r>
      <w:bookmarkStart w:id="1" w:name="_Toc2170"/>
      <w:bookmarkEnd w:id="1"/>
      <w:bookmarkStart w:id="2" w:name="_Toc16720"/>
      <w:bookmarkEnd w:id="2"/>
      <w:bookmarkStart w:id="3" w:name="_Toc610"/>
      <w:bookmarkEnd w:id="3"/>
      <w:bookmarkStart w:id="4" w:name="_Toc1036"/>
      <w:bookmarkEnd w:id="4"/>
      <w:bookmarkStart w:id="5" w:name="_Toc9309"/>
      <w:bookmarkEnd w:id="5"/>
      <w:bookmarkStart w:id="6" w:name="_Toc393961862"/>
      <w:bookmarkEnd w:id="6"/>
      <w:bookmarkStart w:id="7" w:name="_Toc514170118"/>
      <w:bookmarkEnd w:id="7"/>
      <w:bookmarkStart w:id="8" w:name="_Toc13962"/>
      <w:bookmarkStart w:id="9" w:name="_Toc132272646"/>
      <w:r>
        <w:rPr>
          <w:rFonts w:hint="eastAsia"/>
          <w:color w:val="auto"/>
          <w:highlight w:val="none"/>
        </w:rPr>
        <w:t>第一章 招标公告</w:t>
      </w:r>
      <w:bookmarkEnd w:id="8"/>
      <w:bookmarkEnd w:id="9"/>
    </w:p>
    <w:p>
      <w:pPr>
        <w:spacing w:before="240" w:beforeLines="100" w:line="300" w:lineRule="exact"/>
        <w:ind w:right="840"/>
        <w:jc w:val="center"/>
        <w:rPr>
          <w:rFonts w:ascii="宋体" w:hAnsi="宋体" w:cs="宋体"/>
          <w:b/>
          <w:color w:val="auto"/>
          <w:sz w:val="28"/>
          <w:szCs w:val="28"/>
          <w:highlight w:val="none"/>
        </w:rPr>
      </w:pPr>
      <w:bookmarkStart w:id="10" w:name="_Toc6636"/>
      <w:bookmarkEnd w:id="10"/>
      <w:bookmarkStart w:id="11" w:name="_Toc5915"/>
      <w:bookmarkEnd w:id="11"/>
      <w:bookmarkStart w:id="12" w:name="_Toc9935"/>
      <w:bookmarkEnd w:id="12"/>
      <w:bookmarkStart w:id="13" w:name="_Toc19352"/>
      <w:bookmarkEnd w:id="13"/>
      <w:bookmarkStart w:id="14" w:name="_Toc22940"/>
      <w:bookmarkEnd w:id="14"/>
      <w:bookmarkStart w:id="15" w:name="_Toc15805"/>
      <w:bookmarkEnd w:id="15"/>
      <w:bookmarkStart w:id="16" w:name="_Toc27380"/>
      <w:bookmarkEnd w:id="16"/>
      <w:bookmarkStart w:id="17" w:name="_Toc514170119"/>
      <w:bookmarkEnd w:id="17"/>
      <w:bookmarkStart w:id="18" w:name="_Toc174"/>
      <w:r>
        <w:rPr>
          <w:rFonts w:hint="eastAsia" w:ascii="宋体" w:hAnsi="宋体" w:cs="宋体"/>
          <w:b/>
          <w:color w:val="auto"/>
          <w:sz w:val="28"/>
          <w:szCs w:val="28"/>
          <w:highlight w:val="none"/>
        </w:rPr>
        <w:t>（另册）</w:t>
      </w:r>
    </w:p>
    <w:p>
      <w:pPr>
        <w:pStyle w:val="17"/>
        <w:rPr>
          <w:rFonts w:ascii="宋体" w:hAnsi="宋体" w:eastAsia="宋体"/>
          <w:color w:val="auto"/>
          <w:highlight w:val="none"/>
        </w:rPr>
      </w:pPr>
      <w:r>
        <w:rPr>
          <w:rFonts w:ascii="宋体" w:hAnsi="宋体" w:eastAsia="宋体"/>
          <w:color w:val="auto"/>
          <w:highlight w:val="none"/>
        </w:rPr>
        <w:br w:type="page"/>
      </w:r>
    </w:p>
    <w:p>
      <w:pPr>
        <w:pStyle w:val="3"/>
        <w:spacing w:line="480" w:lineRule="auto"/>
        <w:rPr>
          <w:color w:val="auto"/>
          <w:highlight w:val="none"/>
        </w:rPr>
      </w:pPr>
      <w:bookmarkStart w:id="19" w:name="_Toc132272647"/>
      <w:r>
        <w:rPr>
          <w:rFonts w:hint="eastAsia"/>
          <w:color w:val="auto"/>
          <w:highlight w:val="none"/>
        </w:rPr>
        <w:t>第二章 投标人须知</w:t>
      </w:r>
      <w:bookmarkEnd w:id="18"/>
      <w:bookmarkEnd w:id="19"/>
    </w:p>
    <w:p>
      <w:pPr>
        <w:pStyle w:val="4"/>
        <w:rPr>
          <w:rFonts w:cs="宋体"/>
          <w:color w:val="auto"/>
          <w:highlight w:val="none"/>
        </w:rPr>
      </w:pPr>
      <w:bookmarkStart w:id="20" w:name="_Toc514170120"/>
      <w:bookmarkEnd w:id="20"/>
      <w:bookmarkStart w:id="21" w:name="_Toc24793"/>
      <w:bookmarkEnd w:id="21"/>
      <w:bookmarkStart w:id="22" w:name="_Toc7336"/>
      <w:bookmarkEnd w:id="22"/>
      <w:bookmarkStart w:id="23" w:name="_Toc2375"/>
      <w:bookmarkEnd w:id="23"/>
      <w:bookmarkStart w:id="24" w:name="_Toc32677"/>
      <w:bookmarkEnd w:id="24"/>
      <w:bookmarkStart w:id="25" w:name="_Toc14233"/>
      <w:bookmarkEnd w:id="25"/>
      <w:bookmarkStart w:id="26" w:name="_Toc393961864"/>
      <w:bookmarkEnd w:id="26"/>
      <w:bookmarkStart w:id="27" w:name="_Toc12460"/>
      <w:bookmarkStart w:id="28" w:name="_Toc132272648"/>
      <w:r>
        <w:rPr>
          <w:rFonts w:hint="eastAsia" w:cs="宋体"/>
          <w:color w:val="auto"/>
          <w:highlight w:val="none"/>
        </w:rPr>
        <w:t>投标人须知前附表</w:t>
      </w:r>
      <w:bookmarkEnd w:id="27"/>
      <w:bookmarkEnd w:id="28"/>
    </w:p>
    <w:tbl>
      <w:tblPr>
        <w:tblStyle w:val="30"/>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738"/>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条款号</w:t>
            </w:r>
          </w:p>
        </w:tc>
        <w:tc>
          <w:tcPr>
            <w:tcW w:w="27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条  款  名  称</w:t>
            </w:r>
          </w:p>
        </w:tc>
        <w:tc>
          <w:tcPr>
            <w:tcW w:w="5955"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color w:val="auto"/>
                <w:highlight w:val="none"/>
              </w:rPr>
            </w:pPr>
            <w:r>
              <w:rPr>
                <w:rFonts w:hint="eastAsia" w:ascii="宋体" w:hAnsi="宋体" w:cs="宋体"/>
                <w:b/>
                <w:color w:val="auto"/>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招标人</w:t>
            </w:r>
          </w:p>
        </w:tc>
        <w:tc>
          <w:tcPr>
            <w:tcW w:w="5955"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宋体" w:hAnsi="宋体" w:eastAsia="宋体" w:cs="宋体"/>
                <w:color w:val="auto"/>
                <w:highlight w:val="none"/>
                <w:lang w:eastAsia="zh-CN"/>
              </w:rPr>
            </w:pPr>
            <w:r>
              <w:rPr>
                <w:rFonts w:hint="eastAsia" w:ascii="宋体" w:hAnsi="宋体" w:cs="宋体"/>
                <w:color w:val="auto"/>
                <w:highlight w:val="none"/>
              </w:rPr>
              <w:t>招标人名称：</w:t>
            </w:r>
            <w:r>
              <w:rPr>
                <w:rFonts w:hint="eastAsia" w:ascii="宋体" w:hAnsi="宋体" w:cs="宋体"/>
                <w:color w:val="auto"/>
                <w:highlight w:val="none"/>
                <w:lang w:eastAsia="zh-CN"/>
              </w:rPr>
              <w:t>广州市荔湾区人民政府站前街道办事处</w:t>
            </w:r>
          </w:p>
          <w:p>
            <w:pPr>
              <w:snapToGrid w:val="0"/>
              <w:spacing w:line="400" w:lineRule="exact"/>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eastAsia="zh-CN"/>
              </w:rPr>
              <w:t>刘工</w:t>
            </w:r>
            <w:r>
              <w:rPr>
                <w:rFonts w:hint="eastAsia" w:ascii="宋体" w:hAnsi="宋体" w:cs="宋体"/>
                <w:color w:val="auto"/>
                <w:highlight w:val="none"/>
              </w:rPr>
              <w:t xml:space="preserve"> </w:t>
            </w:r>
          </w:p>
          <w:p>
            <w:pPr>
              <w:snapToGrid w:val="0"/>
              <w:spacing w:line="400" w:lineRule="exact"/>
              <w:rPr>
                <w:rFonts w:hint="eastAsia" w:ascii="宋体" w:hAnsi="宋体" w:eastAsia="宋体" w:cs="宋体"/>
                <w:color w:val="auto"/>
                <w:highlight w:val="none"/>
                <w:lang w:eastAsia="zh-CN"/>
              </w:rPr>
            </w:pPr>
            <w:r>
              <w:rPr>
                <w:rFonts w:hint="eastAsia" w:ascii="宋体" w:hAnsi="宋体" w:cs="宋体"/>
                <w:color w:val="auto"/>
                <w:highlight w:val="none"/>
              </w:rPr>
              <w:t xml:space="preserve">地址： </w:t>
            </w:r>
            <w:r>
              <w:rPr>
                <w:rFonts w:hint="eastAsia" w:ascii="宋体" w:hAnsi="宋体" w:cs="宋体"/>
                <w:color w:val="auto"/>
                <w:highlight w:val="none"/>
                <w:lang w:eastAsia="zh-CN"/>
              </w:rPr>
              <w:t>广州市荔湾区中展里72号</w:t>
            </w:r>
          </w:p>
          <w:p>
            <w:pPr>
              <w:spacing w:line="360" w:lineRule="auto"/>
              <w:rPr>
                <w:rFonts w:ascii="宋体" w:hAnsi="宋体" w:cs="宋体"/>
                <w:color w:val="auto"/>
                <w:highlight w:val="none"/>
              </w:rPr>
            </w:pPr>
            <w:r>
              <w:rPr>
                <w:rFonts w:hint="eastAsia" w:ascii="宋体" w:hAnsi="宋体" w:cs="宋体"/>
                <w:color w:val="auto"/>
                <w:highlight w:val="none"/>
              </w:rPr>
              <w:t xml:space="preserve">联系电话： </w:t>
            </w:r>
            <w:r>
              <w:rPr>
                <w:rFonts w:hint="eastAsia" w:ascii="宋体" w:hAnsi="宋体" w:cs="宋体"/>
                <w:color w:val="auto"/>
                <w:highlight w:val="none"/>
                <w:lang w:eastAsia="zh-CN"/>
              </w:rPr>
              <w:t>020-86433246</w:t>
            </w:r>
            <w:r>
              <w:rPr>
                <w:rFonts w:hint="eastAsia" w:ascii="宋体" w:hAnsi="宋体" w:cs="宋体"/>
                <w:color w:val="auto"/>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1.1.3</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招标代理机构</w:t>
            </w:r>
          </w:p>
        </w:tc>
        <w:tc>
          <w:tcPr>
            <w:tcW w:w="5955" w:type="dxa"/>
            <w:tcBorders>
              <w:top w:val="single" w:color="auto" w:sz="4" w:space="0"/>
              <w:left w:val="nil"/>
              <w:bottom w:val="single" w:color="auto" w:sz="4" w:space="0"/>
              <w:right w:val="single" w:color="auto" w:sz="4" w:space="0"/>
            </w:tcBorders>
            <w:vAlign w:val="center"/>
          </w:tcPr>
          <w:p>
            <w:pPr>
              <w:snapToGrid w:val="0"/>
              <w:spacing w:line="400" w:lineRule="exact"/>
              <w:rPr>
                <w:rFonts w:hint="eastAsia" w:ascii="宋体" w:hAnsi="宋体" w:eastAsia="宋体" w:cs="宋体"/>
                <w:color w:val="auto"/>
                <w:highlight w:val="none"/>
                <w:lang w:eastAsia="zh-CN"/>
              </w:rPr>
            </w:pPr>
            <w:r>
              <w:rPr>
                <w:rFonts w:hint="eastAsia" w:ascii="宋体" w:hAnsi="宋体" w:cs="宋体"/>
                <w:color w:val="auto"/>
                <w:highlight w:val="none"/>
              </w:rPr>
              <w:t>招标代理机构名称：</w:t>
            </w:r>
            <w:r>
              <w:rPr>
                <w:rFonts w:hint="eastAsia" w:ascii="宋体" w:hAnsi="宋体" w:cs="宋体"/>
                <w:color w:val="auto"/>
                <w:highlight w:val="none"/>
                <w:lang w:eastAsia="zh-CN"/>
              </w:rPr>
              <w:t>广州市南悦工程顾问有限公司</w:t>
            </w:r>
          </w:p>
          <w:p>
            <w:pPr>
              <w:snapToGrid w:val="0"/>
              <w:spacing w:line="400" w:lineRule="exact"/>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highlight w:val="none"/>
                <w:lang w:eastAsia="zh-CN"/>
              </w:rPr>
              <w:t>广州市天河区天润路467号之六2-5楼（部分:3楼自编302-16单元）</w:t>
            </w:r>
          </w:p>
          <w:p>
            <w:pPr>
              <w:snapToGrid w:val="0"/>
              <w:spacing w:line="400" w:lineRule="exact"/>
              <w:rPr>
                <w:rFonts w:ascii="宋体" w:hAnsi="宋体" w:cs="宋体"/>
                <w:color w:val="auto"/>
                <w:highlight w:val="none"/>
              </w:rPr>
            </w:pPr>
            <w:r>
              <w:rPr>
                <w:rFonts w:hint="eastAsia" w:ascii="宋体" w:hAnsi="宋体" w:cs="宋体"/>
                <w:color w:val="auto"/>
                <w:highlight w:val="none"/>
              </w:rPr>
              <w:t>联系人：</w:t>
            </w:r>
            <w:r>
              <w:rPr>
                <w:rFonts w:hint="eastAsia" w:ascii="宋体" w:hAnsi="宋体" w:cs="宋体"/>
                <w:color w:val="auto"/>
                <w:highlight w:val="none"/>
                <w:lang w:eastAsia="zh-CN"/>
              </w:rPr>
              <w:t>董工</w:t>
            </w:r>
            <w:r>
              <w:rPr>
                <w:rFonts w:hint="eastAsia" w:ascii="宋体" w:hAnsi="宋体" w:cs="宋体"/>
                <w:color w:val="auto"/>
                <w:highlight w:val="none"/>
              </w:rPr>
              <w:t xml:space="preserve"> </w:t>
            </w:r>
          </w:p>
          <w:p>
            <w:pPr>
              <w:tabs>
                <w:tab w:val="left" w:pos="5816"/>
              </w:tabs>
              <w:spacing w:line="360" w:lineRule="auto"/>
              <w:rPr>
                <w:rFonts w:hint="eastAsia" w:ascii="宋体" w:hAnsi="宋体" w:eastAsia="宋体" w:cs="宋体"/>
                <w:color w:val="auto"/>
                <w:highlight w:val="none"/>
                <w:u w:val="single"/>
                <w:lang w:eastAsia="zh-CN"/>
              </w:rPr>
            </w:pPr>
            <w:r>
              <w:rPr>
                <w:rFonts w:hint="eastAsia" w:ascii="宋体" w:hAnsi="宋体" w:cs="宋体"/>
                <w:color w:val="auto"/>
                <w:highlight w:val="none"/>
              </w:rPr>
              <w:t>电话：</w:t>
            </w:r>
            <w:r>
              <w:rPr>
                <w:rFonts w:hint="eastAsia" w:ascii="宋体" w:hAnsi="宋体" w:cs="宋体"/>
                <w:color w:val="auto"/>
                <w:highlight w:val="none"/>
                <w:lang w:eastAsia="zh-CN"/>
              </w:rPr>
              <w:t>020-87576487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1.1.4</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招标项目名称</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u w:val="single"/>
                <w:lang w:eastAsia="zh-CN"/>
              </w:rPr>
              <w:t>站前街铁路片区（站西小区、西站小区、克山小区）微改造项目</w:t>
            </w:r>
            <w:r>
              <w:rPr>
                <w:rFonts w:hint="eastAsia" w:ascii="宋体" w:hAnsi="宋体" w:cs="宋体"/>
                <w:color w:val="auto"/>
                <w:highlight w:val="none"/>
                <w:u w:val="single"/>
              </w:rPr>
              <w:t>代建服务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1.1.5</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项目建设地点</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1.1.6</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项目建设规模</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1.1.7</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工程项目施工预计开工日期和建设周期</w:t>
            </w:r>
          </w:p>
        </w:tc>
        <w:tc>
          <w:tcPr>
            <w:tcW w:w="595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highlight w:val="none"/>
              </w:rPr>
            </w:pPr>
            <w:r>
              <w:rPr>
                <w:rFonts w:hint="eastAsia" w:ascii="宋体" w:hAnsi="宋体" w:cs="宋体"/>
                <w:color w:val="auto"/>
                <w:highlight w:val="none"/>
              </w:rPr>
              <w:t>施工工期为业主下达开工令或开工报告审批之日起按施工进度要求控制。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1.1.8</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项目投资估算/项目概算</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u w:val="single"/>
              </w:rPr>
            </w:pPr>
            <w:r>
              <w:rPr>
                <w:rFonts w:hint="eastAsia" w:ascii="宋体" w:hAnsi="宋体" w:cs="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1.2.1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资金来源及比例</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1.2.2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资金落实情况</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1.3.1</w:t>
            </w:r>
          </w:p>
        </w:tc>
        <w:tc>
          <w:tcPr>
            <w:tcW w:w="2738"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highlight w:val="none"/>
              </w:rPr>
            </w:pPr>
            <w:r>
              <w:rPr>
                <w:rFonts w:hint="eastAsia" w:ascii="宋体" w:hAnsi="宋体" w:cs="宋体"/>
                <w:color w:val="auto"/>
                <w:highlight w:val="none"/>
              </w:rPr>
              <w:t>招标范围</w:t>
            </w:r>
          </w:p>
        </w:tc>
        <w:tc>
          <w:tcPr>
            <w:tcW w:w="5955"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highlight w:val="none"/>
              </w:rPr>
            </w:pPr>
            <w:r>
              <w:rPr>
                <w:rFonts w:hint="eastAsia" w:ascii="宋体" w:hAnsi="宋体" w:cs="宋体"/>
                <w:color w:val="auto"/>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1.3.2</w:t>
            </w:r>
          </w:p>
        </w:tc>
        <w:tc>
          <w:tcPr>
            <w:tcW w:w="2738"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cs="宋体"/>
                <w:color w:val="auto"/>
                <w:highlight w:val="none"/>
              </w:rPr>
            </w:pPr>
            <w:r>
              <w:rPr>
                <w:rFonts w:hint="eastAsia" w:ascii="宋体" w:hAnsi="宋体" w:cs="宋体"/>
                <w:color w:val="auto"/>
                <w:highlight w:val="none"/>
              </w:rPr>
              <w:t>代建服务期</w:t>
            </w:r>
          </w:p>
        </w:tc>
        <w:tc>
          <w:tcPr>
            <w:tcW w:w="5955"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cs="宋体"/>
                <w:color w:val="auto"/>
                <w:highlight w:val="none"/>
              </w:rPr>
            </w:pPr>
            <w:r>
              <w:rPr>
                <w:rFonts w:hint="eastAsia" w:ascii="宋体" w:hAnsi="宋体" w:cs="宋体"/>
                <w:color w:val="auto"/>
                <w:highlight w:val="none"/>
              </w:rPr>
              <w:t>代建服务期限从代建服务合同签订之日起，至项目通过竣工验收且保修责任期满、工程尾款支付完毕且建设项目完成竣工财务决算批复、代建服务合同约定的代建服务工作范围内的全部工作完成之日止。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1.3.3</w:t>
            </w:r>
          </w:p>
        </w:tc>
        <w:tc>
          <w:tcPr>
            <w:tcW w:w="2738"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highlight w:val="none"/>
              </w:rPr>
            </w:pPr>
            <w:r>
              <w:rPr>
                <w:rFonts w:hint="eastAsia" w:ascii="宋体" w:hAnsi="宋体" w:cs="宋体"/>
                <w:color w:val="auto"/>
                <w:highlight w:val="none"/>
              </w:rPr>
              <w:t>质量标准</w:t>
            </w:r>
          </w:p>
        </w:tc>
        <w:tc>
          <w:tcPr>
            <w:tcW w:w="5955"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color w:val="auto"/>
                <w:highlight w:val="none"/>
              </w:rPr>
            </w:pPr>
            <w:r>
              <w:rPr>
                <w:rFonts w:hint="eastAsia" w:ascii="宋体" w:hAnsi="宋体" w:cs="宋体"/>
                <w:color w:val="auto"/>
                <w:highlight w:val="none"/>
              </w:rPr>
              <w:t>竣工验收达到合格或以上标准。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1.4.1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投标人资质条件、能力、信誉</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（1）资质要求：/。</w:t>
            </w:r>
          </w:p>
          <w:p>
            <w:pPr>
              <w:spacing w:line="360" w:lineRule="auto"/>
              <w:rPr>
                <w:rFonts w:ascii="宋体" w:hAnsi="宋体" w:cs="宋体"/>
                <w:color w:val="auto"/>
                <w:highlight w:val="none"/>
              </w:rPr>
            </w:pPr>
            <w:r>
              <w:rPr>
                <w:rFonts w:hint="eastAsia" w:ascii="宋体" w:hAnsi="宋体" w:cs="宋体"/>
                <w:color w:val="auto"/>
                <w:highlight w:val="none"/>
              </w:rPr>
              <w:t>（2）财务要求：/。</w:t>
            </w:r>
          </w:p>
          <w:p>
            <w:pPr>
              <w:spacing w:line="360" w:lineRule="auto"/>
              <w:rPr>
                <w:rFonts w:ascii="宋体" w:hAnsi="宋体" w:cs="宋体"/>
                <w:color w:val="auto"/>
                <w:highlight w:val="none"/>
              </w:rPr>
            </w:pPr>
            <w:r>
              <w:rPr>
                <w:rFonts w:hint="eastAsia" w:ascii="宋体" w:hAnsi="宋体" w:cs="宋体"/>
                <w:color w:val="auto"/>
                <w:highlight w:val="none"/>
              </w:rPr>
              <w:t>（3）业绩要求：/。</w:t>
            </w:r>
          </w:p>
          <w:p>
            <w:pPr>
              <w:spacing w:line="360" w:lineRule="auto"/>
              <w:rPr>
                <w:rFonts w:ascii="宋体" w:hAnsi="宋体" w:cs="宋体"/>
                <w:color w:val="auto"/>
                <w:highlight w:val="none"/>
              </w:rPr>
            </w:pPr>
            <w:r>
              <w:rPr>
                <w:rFonts w:hint="eastAsia" w:ascii="宋体" w:hAnsi="宋体" w:cs="宋体"/>
                <w:color w:val="auto"/>
                <w:highlight w:val="none"/>
              </w:rPr>
              <w:t>（4）信誉要求：/。</w:t>
            </w:r>
          </w:p>
          <w:p>
            <w:pPr>
              <w:spacing w:line="360" w:lineRule="auto"/>
              <w:rPr>
                <w:rFonts w:ascii="宋体" w:hAnsi="宋体" w:cs="宋体"/>
                <w:color w:val="auto"/>
                <w:highlight w:val="none"/>
              </w:rPr>
            </w:pPr>
            <w:r>
              <w:rPr>
                <w:rFonts w:hint="eastAsia" w:ascii="宋体" w:hAnsi="宋体" w:cs="宋体"/>
                <w:color w:val="auto"/>
                <w:highlight w:val="none"/>
              </w:rPr>
              <w:t>（5）项目负责人的资格要求：详见招标公告。</w:t>
            </w:r>
          </w:p>
          <w:p>
            <w:pPr>
              <w:spacing w:line="360" w:lineRule="auto"/>
              <w:rPr>
                <w:rFonts w:ascii="宋体" w:hAnsi="宋体" w:cs="宋体"/>
                <w:color w:val="auto"/>
                <w:highlight w:val="none"/>
              </w:rPr>
            </w:pPr>
            <w:r>
              <w:rPr>
                <w:rFonts w:hint="eastAsia" w:ascii="宋体" w:hAnsi="宋体" w:cs="宋体"/>
                <w:color w:val="auto"/>
                <w:highlight w:val="none"/>
              </w:rPr>
              <w:t>（6）其他主要人员要求：/。</w:t>
            </w:r>
          </w:p>
          <w:p>
            <w:pPr>
              <w:spacing w:line="360" w:lineRule="auto"/>
              <w:rPr>
                <w:rFonts w:ascii="宋体" w:hAnsi="宋体" w:cs="宋体"/>
                <w:color w:val="auto"/>
                <w:highlight w:val="none"/>
              </w:rPr>
            </w:pPr>
            <w:r>
              <w:rPr>
                <w:rFonts w:hint="eastAsia" w:ascii="宋体" w:hAnsi="宋体" w:cs="宋体"/>
                <w:color w:val="auto"/>
                <w:highlight w:val="none"/>
              </w:rPr>
              <w:t>（7）试验检测仪器设备要求：/。</w:t>
            </w:r>
          </w:p>
          <w:p>
            <w:pPr>
              <w:spacing w:line="360" w:lineRule="auto"/>
              <w:jc w:val="left"/>
              <w:rPr>
                <w:rFonts w:ascii="宋体" w:hAnsi="宋体" w:cs="宋体"/>
                <w:color w:val="auto"/>
                <w:highlight w:val="none"/>
              </w:rPr>
            </w:pPr>
            <w:r>
              <w:rPr>
                <w:rFonts w:hint="eastAsia" w:ascii="宋体" w:hAnsi="宋体" w:cs="宋体"/>
                <w:color w:val="auto"/>
                <w:highlight w:val="none"/>
              </w:rPr>
              <w:t>（8）其他要求：见招标公告投标人资格要求。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1.4.2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是否接受联合体投标</w:t>
            </w:r>
          </w:p>
        </w:tc>
        <w:tc>
          <w:tcPr>
            <w:tcW w:w="5955" w:type="dxa"/>
            <w:tcBorders>
              <w:top w:val="single" w:color="auto" w:sz="4" w:space="0"/>
              <w:left w:val="nil"/>
              <w:bottom w:val="single" w:color="auto" w:sz="4" w:space="0"/>
              <w:right w:val="single" w:color="auto" w:sz="4" w:space="0"/>
            </w:tcBorders>
            <w:vAlign w:val="center"/>
          </w:tcPr>
          <w:p>
            <w:pPr>
              <w:spacing w:line="276" w:lineRule="auto"/>
              <w:rPr>
                <w:rFonts w:ascii="宋体" w:hAnsi="宋体"/>
                <w:color w:val="auto"/>
                <w:highlight w:val="none"/>
              </w:rPr>
            </w:pPr>
            <w:r>
              <w:rPr>
                <w:rFonts w:hint="eastAsia" w:ascii="宋体" w:hAnsi="宋体" w:cs="宋体"/>
                <w:color w:val="auto"/>
                <w:highlight w:val="none"/>
              </w:rPr>
              <w:t>■</w:t>
            </w:r>
            <w:r>
              <w:rPr>
                <w:rFonts w:ascii="宋体" w:hAnsi="宋体"/>
                <w:color w:val="auto"/>
                <w:highlight w:val="none"/>
              </w:rPr>
              <w:t>不接受</w:t>
            </w:r>
          </w:p>
          <w:p>
            <w:pPr>
              <w:spacing w:line="360" w:lineRule="auto"/>
              <w:ind w:right="174" w:rightChars="83"/>
              <w:rPr>
                <w:rFonts w:ascii="宋体" w:hAnsi="宋体" w:cs="宋体"/>
                <w:strike/>
                <w:color w:val="auto"/>
                <w:highlight w:val="none"/>
              </w:rPr>
            </w:pPr>
            <w:r>
              <w:rPr>
                <w:rFonts w:hint="eastAsia" w:ascii="宋体" w:hAnsi="宋体" w:cs="宋体"/>
                <w:color w:val="auto"/>
                <w:spacing w:val="-1"/>
                <w:highlight w:val="none"/>
              </w:rPr>
              <w:t>□</w:t>
            </w:r>
            <w:r>
              <w:rPr>
                <w:rFonts w:ascii="宋体" w:hAnsi="宋体"/>
                <w:color w:val="auto"/>
                <w:highlight w:val="none"/>
              </w:rPr>
              <w:t>接受，应满足下列要求：</w:t>
            </w:r>
            <w:r>
              <w:rPr>
                <w:rFonts w:ascii="宋体" w:hAnsi="宋体"/>
                <w:color w:val="auto"/>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1.4.3</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投标人不得存在的其他情形</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u w:val="single"/>
              </w:rPr>
            </w:pPr>
            <w:r>
              <w:rPr>
                <w:rFonts w:hint="eastAsia" w:ascii="宋体" w:hAnsi="宋体" w:cs="宋体"/>
                <w:color w:val="auto"/>
                <w:highlight w:val="none"/>
                <w:u w:val="single"/>
              </w:rPr>
              <w:t>修改：（14）在近三年内投标人或其法定代表人、拟委任的项目负责人有行贿犯罪行为的；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1.9.1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踏勘现场</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■不组织，由投标人自行现场考察。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1.10.1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投标预备会</w:t>
            </w:r>
          </w:p>
        </w:tc>
        <w:tc>
          <w:tcPr>
            <w:tcW w:w="5955" w:type="dxa"/>
            <w:tcBorders>
              <w:top w:val="single" w:color="auto" w:sz="4" w:space="0"/>
              <w:left w:val="nil"/>
              <w:bottom w:val="single" w:color="auto" w:sz="4" w:space="0"/>
              <w:right w:val="single" w:color="auto" w:sz="4" w:space="0"/>
            </w:tcBorders>
            <w:vAlign w:val="center"/>
          </w:tcPr>
          <w:p>
            <w:pPr>
              <w:topLinePunct/>
              <w:spacing w:line="360" w:lineRule="auto"/>
              <w:rPr>
                <w:rFonts w:ascii="宋体" w:hAnsi="宋体" w:cs="宋体"/>
                <w:color w:val="auto"/>
                <w:highlight w:val="none"/>
              </w:rPr>
            </w:pPr>
            <w:r>
              <w:rPr>
                <w:rFonts w:hint="eastAsia" w:ascii="宋体" w:hAnsi="宋体" w:cs="宋体"/>
                <w:color w:val="auto"/>
                <w:highlight w:val="none"/>
              </w:rPr>
              <w:t>■ 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1.10.2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投标人在投标预备会前提出问题</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u w:val="single"/>
              </w:rPr>
            </w:pPr>
            <w:r>
              <w:rPr>
                <w:rFonts w:hint="eastAsia" w:ascii="宋体" w:hAnsi="宋体" w:cs="宋体"/>
                <w:color w:val="auto"/>
                <w:highlight w:val="none"/>
                <w:u w:val="single"/>
              </w:rPr>
              <w:t>本项目不召开投标预备会。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1.10.3</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招标文件澄清发出的形式</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1.12.1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实质性要求和条件</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1.12.3</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偏差</w:t>
            </w:r>
          </w:p>
        </w:tc>
        <w:tc>
          <w:tcPr>
            <w:tcW w:w="5955" w:type="dxa"/>
            <w:tcBorders>
              <w:top w:val="single" w:color="auto" w:sz="4" w:space="0"/>
              <w:left w:val="nil"/>
              <w:bottom w:val="single" w:color="auto" w:sz="4" w:space="0"/>
              <w:right w:val="single" w:color="auto" w:sz="4" w:space="0"/>
            </w:tcBorders>
            <w:vAlign w:val="center"/>
          </w:tcPr>
          <w:p>
            <w:pPr>
              <w:spacing w:line="360" w:lineRule="auto"/>
              <w:ind w:right="174" w:rightChars="83"/>
              <w:rPr>
                <w:rFonts w:ascii="宋体" w:hAnsi="宋体" w:cs="宋体"/>
                <w:strike/>
                <w:color w:val="auto"/>
                <w:highlight w:val="none"/>
              </w:rPr>
            </w:pPr>
            <w:r>
              <w:rPr>
                <w:rFonts w:hint="eastAsia" w:ascii="宋体" w:hAnsi="宋体" w:cs="宋体"/>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构成招标文件的其他资料</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1" w:hRule="atLeast"/>
          <w:jc w:val="center"/>
        </w:trPr>
        <w:tc>
          <w:tcPr>
            <w:tcW w:w="104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2.2.1</w:t>
            </w:r>
          </w:p>
        </w:tc>
        <w:tc>
          <w:tcPr>
            <w:tcW w:w="2738" w:type="dxa"/>
            <w:tcBorders>
              <w:top w:val="single" w:color="auto" w:sz="4" w:space="0"/>
              <w:left w:val="nil"/>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投标人要求澄清招标文件</w:t>
            </w:r>
          </w:p>
        </w:tc>
        <w:tc>
          <w:tcPr>
            <w:tcW w:w="5955"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 w:leftChars="20" w:right="42" w:rightChars="2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疑问提交时间：</w:t>
            </w:r>
            <w:r>
              <w:rPr>
                <w:rFonts w:hint="eastAsia"/>
                <w:color w:val="000000" w:themeColor="text1"/>
                <w:sz w:val="21"/>
                <w:szCs w:val="21"/>
                <w:highlight w:val="none"/>
                <w:u w:val="single"/>
                <w14:textFill>
                  <w14:solidFill>
                    <w14:schemeClr w14:val="tx1"/>
                  </w14:solidFill>
                </w14:textFill>
              </w:rPr>
              <w:t xml:space="preserve"> 202</w:t>
            </w:r>
            <w:r>
              <w:rPr>
                <w:rFonts w:hint="eastAsia"/>
                <w:color w:val="000000" w:themeColor="text1"/>
                <w:sz w:val="21"/>
                <w:szCs w:val="21"/>
                <w:highlight w:val="none"/>
                <w:u w:val="single"/>
                <w:lang w:val="en-US"/>
                <w14:textFill>
                  <w14:solidFill>
                    <w14:schemeClr w14:val="tx1"/>
                  </w14:solidFill>
                </w14:textFill>
              </w:rPr>
              <w:t>3</w:t>
            </w:r>
            <w:r>
              <w:rPr>
                <w:rFonts w:hint="eastAsia"/>
                <w:color w:val="000000" w:themeColor="text1"/>
                <w:sz w:val="21"/>
                <w:szCs w:val="21"/>
                <w:highlight w:val="none"/>
                <w:u w:val="single"/>
                <w14:textFill>
                  <w14:solidFill>
                    <w14:schemeClr w14:val="tx1"/>
                  </w14:solidFill>
                </w14:textFill>
              </w:rPr>
              <w:t>年</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月</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日</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时</w:t>
            </w:r>
            <w:r>
              <w:rPr>
                <w:rFonts w:hint="eastAsia"/>
                <w:color w:val="000000" w:themeColor="text1"/>
                <w:sz w:val="21"/>
                <w:szCs w:val="21"/>
                <w:highlight w:val="none"/>
                <w14:textFill>
                  <w14:solidFill>
                    <w14:schemeClr w14:val="tx1"/>
                  </w14:solidFill>
                </w14:textFill>
              </w:rPr>
              <w:t>前</w:t>
            </w:r>
            <w:r>
              <w:rPr>
                <w:rFonts w:hint="eastAsia"/>
                <w:color w:val="000000" w:themeColor="text1"/>
                <w:sz w:val="21"/>
                <w:szCs w:val="21"/>
                <w:highlight w:val="none"/>
                <w:u w:val="single"/>
                <w14:textFill>
                  <w14:solidFill>
                    <w14:schemeClr w14:val="tx1"/>
                  </w14:solidFill>
                </w14:textFill>
              </w:rPr>
              <w:t>(具体详见广州公共资源交易中心招投标日程安排)</w:t>
            </w:r>
            <w:r>
              <w:rPr>
                <w:rFonts w:hint="eastAsia"/>
                <w:color w:val="000000" w:themeColor="text1"/>
                <w:sz w:val="21"/>
                <w:szCs w:val="21"/>
                <w:highlight w:val="none"/>
                <w14:textFill>
                  <w14:solidFill>
                    <w14:schemeClr w14:val="tx1"/>
                  </w14:solidFill>
                </w14:textFill>
              </w:rPr>
              <w:t>。</w:t>
            </w:r>
          </w:p>
          <w:p>
            <w:pPr>
              <w:adjustRightInd w:val="0"/>
              <w:snapToGrid w:val="0"/>
              <w:spacing w:line="400" w:lineRule="exact"/>
              <w:ind w:left="42" w:leftChars="20" w:right="42"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招标答疑采用网上答疑方式进行。投标人若对招标文件有疑问的，可在规定的时间内通过广州公共资源交易中心网站进入提问区域将问题提交给招标人或招标代理人，提交问题时一律不得署名。</w:t>
            </w:r>
          </w:p>
          <w:p>
            <w:pPr>
              <w:adjustRightInd w:val="0"/>
              <w:snapToGrid w:val="0"/>
              <w:spacing w:line="400" w:lineRule="exact"/>
              <w:ind w:left="42" w:leftChars="20" w:right="42" w:rightChars="20"/>
              <w:rPr>
                <w:rFonts w:hint="eastAsia"/>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14:textFill>
                  <w14:solidFill>
                    <w14:schemeClr w14:val="tx1"/>
                  </w14:solidFill>
                </w14:textFill>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adjustRightInd w:val="0"/>
              <w:snapToGrid w:val="0"/>
              <w:spacing w:line="400" w:lineRule="exact"/>
              <w:ind w:left="42" w:leftChars="20" w:right="42" w:rightChars="20"/>
              <w:rPr>
                <w:rFonts w:ascii="宋体" w:hAnsi="宋体" w:cs="宋体"/>
                <w:color w:val="auto"/>
                <w:highlight w:val="none"/>
              </w:rPr>
            </w:pPr>
            <w:r>
              <w:rPr>
                <w:rFonts w:hint="eastAsia"/>
                <w:color w:val="000000" w:themeColor="text1"/>
                <w:sz w:val="21"/>
                <w:szCs w:val="21"/>
                <w:highlight w:val="none"/>
                <w14:textFill>
                  <w14:solidFill>
                    <w14:schemeClr w14:val="tx1"/>
                  </w14:solidFill>
                </w14:textFill>
              </w:rPr>
              <w:t>形式：投标人的疑问通过广州公共资源交易中心网站交易平台提交。具体要求：操作详见广州公共资源交易中心网站发布的最新版《</w:t>
            </w:r>
            <w:r>
              <w:rPr>
                <w:rFonts w:hint="eastAsia"/>
                <w:color w:val="000000" w:themeColor="text1"/>
                <w:sz w:val="21"/>
                <w:szCs w:val="21"/>
                <w:highlight w:val="none"/>
                <w:lang w:eastAsia="zh-CN"/>
                <w14:textFill>
                  <w14:solidFill>
                    <w14:schemeClr w14:val="tx1"/>
                  </w14:solidFill>
                </w14:textFill>
              </w:rPr>
              <w:t>建设工程全流程电子化项目操作指南</w:t>
            </w:r>
            <w:r>
              <w:rPr>
                <w:rFonts w:hint="eastAsia"/>
                <w:color w:val="000000" w:themeColor="text1"/>
                <w:sz w:val="21"/>
                <w:szCs w:val="21"/>
                <w:highlight w:val="none"/>
                <w14:textFill>
                  <w14:solidFill>
                    <w14:schemeClr w14:val="tx1"/>
                  </w14:solidFill>
                </w14:textFill>
              </w:rPr>
              <w:t>》。提问一律不得署名。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2.2.2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招标文件澄清发出的形式</w:t>
            </w:r>
          </w:p>
        </w:tc>
        <w:tc>
          <w:tcPr>
            <w:tcW w:w="5955"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 w:leftChars="20" w:right="42"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1、</w:t>
            </w:r>
            <w:r>
              <w:rPr>
                <w:rFonts w:hint="eastAsia"/>
                <w:color w:val="000000" w:themeColor="text1"/>
                <w:sz w:val="21"/>
                <w:szCs w:val="21"/>
                <w:highlight w:val="none"/>
                <w:u w:val="single"/>
                <w14:textFill>
                  <w14:solidFill>
                    <w14:schemeClr w14:val="tx1"/>
                  </w14:solidFill>
                </w14:textFill>
              </w:rPr>
              <w:t>投标人应在递交投标文件截止时间15天前解答投标人对招标文件提出的疑问，形成答疑纪要，并在广州公共资源交易中心网站通过项目答疑专区网上公开发布。</w:t>
            </w:r>
          </w:p>
          <w:p>
            <w:pPr>
              <w:adjustRightInd w:val="0"/>
              <w:snapToGrid w:val="0"/>
              <w:spacing w:line="400" w:lineRule="exact"/>
              <w:ind w:left="42" w:leftChars="20" w:right="42" w:rightChars="2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u w:val="single"/>
                <w:lang w:val="en-US"/>
                <w14:textFill>
                  <w14:solidFill>
                    <w14:schemeClr w14:val="tx1"/>
                  </w14:solidFill>
                </w14:textFill>
              </w:rPr>
              <w:t>2、</w:t>
            </w:r>
            <w:r>
              <w:rPr>
                <w:rFonts w:hint="eastAsia"/>
                <w:color w:val="000000" w:themeColor="text1"/>
                <w:sz w:val="21"/>
                <w:szCs w:val="21"/>
                <w:highlight w:val="none"/>
                <w:u w:val="single"/>
                <w14:textFill>
                  <w14:solidFill>
                    <w14:schemeClr w14:val="tx1"/>
                  </w14:solidFill>
                </w14:textFill>
              </w:rPr>
              <w:t>招标答疑纪要一经在广州公共资源交易中心网站发布，视作已发放给所有投标人。</w:t>
            </w:r>
          </w:p>
          <w:p>
            <w:pPr>
              <w:spacing w:line="360" w:lineRule="auto"/>
              <w:rPr>
                <w:rFonts w:ascii="宋体" w:hAnsi="宋体" w:cs="宋体"/>
                <w:color w:val="auto"/>
                <w:highlight w:val="none"/>
              </w:rPr>
            </w:pPr>
            <w:r>
              <w:rPr>
                <w:rFonts w:hint="eastAsia"/>
                <w:color w:val="000000" w:themeColor="text1"/>
                <w:sz w:val="21"/>
                <w:szCs w:val="21"/>
                <w:highlight w:val="none"/>
                <w:u w:val="single"/>
                <w:lang w:val="en-US"/>
                <w14:textFill>
                  <w14:solidFill>
                    <w14:schemeClr w14:val="tx1"/>
                  </w14:solidFill>
                </w14:textFill>
              </w:rPr>
              <w:t>3</w:t>
            </w:r>
            <w:r>
              <w:rPr>
                <w:rFonts w:hint="eastAsia"/>
                <w:color w:val="000000" w:themeColor="text1"/>
                <w:sz w:val="21"/>
                <w:szCs w:val="21"/>
                <w:highlight w:val="none"/>
                <w:u w:val="single"/>
                <w14:textFill>
                  <w14:solidFill>
                    <w14:schemeClr w14:val="tx1"/>
                  </w14:solidFill>
                </w14:textFill>
              </w:rPr>
              <w:t>、招标答疑纪要为招标文件的一部分。投标人可在广州公资源交易中心网站浏览、下载招标答疑纪要。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1040"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2.2.3</w:t>
            </w:r>
          </w:p>
        </w:tc>
        <w:tc>
          <w:tcPr>
            <w:tcW w:w="2738" w:type="dxa"/>
            <w:tcBorders>
              <w:top w:val="single" w:color="auto" w:sz="4" w:space="0"/>
              <w:left w:val="nil"/>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投标人确认收到招标文件澄清</w:t>
            </w:r>
          </w:p>
        </w:tc>
        <w:tc>
          <w:tcPr>
            <w:tcW w:w="5955"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 w:leftChars="20" w:right="42" w:rightChars="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时间：发出即视作收到。</w:t>
            </w:r>
          </w:p>
          <w:p>
            <w:pPr>
              <w:spacing w:line="360" w:lineRule="auto"/>
              <w:rPr>
                <w:rFonts w:ascii="宋体" w:hAnsi="宋体" w:cs="宋体"/>
                <w:color w:val="auto"/>
                <w:highlight w:val="none"/>
              </w:rPr>
            </w:pPr>
            <w:r>
              <w:rPr>
                <w:rFonts w:hint="eastAsia"/>
                <w:color w:val="000000" w:themeColor="text1"/>
                <w:sz w:val="21"/>
                <w:szCs w:val="21"/>
                <w:highlight w:val="none"/>
                <w14:textFill>
                  <w14:solidFill>
                    <w14:schemeClr w14:val="tx1"/>
                  </w14:solidFill>
                </w14:textFill>
              </w:rPr>
              <w:t>形式：招标文件澄清（招标答疑纪要）一经在广州公共资源交易中心网站发布，视作已发放给所有投标人。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2.3.1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招标文件修改发出的形式</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2.3.2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投标人确认收到招标文件修改</w:t>
            </w:r>
          </w:p>
        </w:tc>
        <w:tc>
          <w:tcPr>
            <w:tcW w:w="5955" w:type="dxa"/>
            <w:tcBorders>
              <w:top w:val="single" w:color="auto" w:sz="4" w:space="0"/>
              <w:left w:val="nil"/>
              <w:bottom w:val="single" w:color="auto" w:sz="4" w:space="0"/>
              <w:right w:val="single" w:color="auto" w:sz="4" w:space="0"/>
            </w:tcBorders>
            <w:vAlign w:val="center"/>
          </w:tcPr>
          <w:p>
            <w:pPr>
              <w:adjustRightInd w:val="0"/>
              <w:snapToGrid w:val="0"/>
              <w:spacing w:line="400" w:lineRule="exact"/>
              <w:ind w:left="42" w:leftChars="20" w:right="42" w:rightChars="20"/>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时间：从招标文件澄清及答疑文件发布之日起即视为投标人已确认收到</w:t>
            </w:r>
          </w:p>
          <w:p>
            <w:pPr>
              <w:spacing w:line="360" w:lineRule="auto"/>
              <w:rPr>
                <w:rFonts w:ascii="宋体" w:hAnsi="宋体" w:cs="宋体"/>
                <w:color w:val="auto"/>
                <w:highlight w:val="none"/>
              </w:rPr>
            </w:pPr>
            <w:r>
              <w:rPr>
                <w:rFonts w:hint="eastAsia"/>
                <w:color w:val="000000" w:themeColor="text1"/>
                <w:sz w:val="21"/>
                <w:szCs w:val="21"/>
                <w:highlight w:val="none"/>
                <w14:textFill>
                  <w14:solidFill>
                    <w14:schemeClr w14:val="tx1"/>
                  </w14:solidFill>
                </w14:textFill>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3.1.1（8）</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构成投标文件的其他资料</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满足本项目评审要求需提交的证明资料。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3.2.1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增值税税金的计算方法</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szCs w:val="21"/>
                <w:highlight w:val="none"/>
                <w:u w:val="single"/>
              </w:rPr>
              <w:t>按国家税务机关的规定执行。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3.2.3</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报价方式</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人根据招标文件要求以及企业自身情况填报投标报价及下浮率,下浮率=（最高投标限价-投标报价）/最高投标限价*100%，保留到小数位后2位，第三位小数四舍五入。（如下浮率报价和数值报价不一致时，以数值报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3.2.4</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最高投标限价</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最高投标限价：</w:t>
            </w:r>
            <w:r>
              <w:rPr>
                <w:rFonts w:hint="eastAsia" w:ascii="宋体" w:hAnsi="宋体" w:cs="宋体"/>
                <w:color w:val="auto"/>
                <w:highlight w:val="none"/>
              </w:rPr>
              <w:t>人民币</w:t>
            </w:r>
            <w:r>
              <w:rPr>
                <w:rFonts w:hint="eastAsia" w:ascii="宋体" w:hAnsi="宋体" w:cs="宋体"/>
                <w:color w:val="auto"/>
                <w:highlight w:val="none"/>
                <w:lang w:eastAsia="zh-CN"/>
              </w:rPr>
              <w:t>109.</w:t>
            </w:r>
            <w:r>
              <w:rPr>
                <w:rFonts w:hint="eastAsia" w:ascii="宋体" w:hAnsi="宋体" w:cs="宋体"/>
                <w:color w:val="auto"/>
                <w:highlight w:val="none"/>
                <w:lang w:val="en-US" w:eastAsia="zh-CN"/>
              </w:rPr>
              <w:t>87</w:t>
            </w:r>
            <w:r>
              <w:rPr>
                <w:rFonts w:hint="eastAsia" w:ascii="宋体" w:hAnsi="宋体" w:cs="宋体"/>
                <w:color w:val="auto"/>
                <w:highlight w:val="none"/>
              </w:rPr>
              <w:t>万元</w:t>
            </w:r>
            <w:r>
              <w:rPr>
                <w:rFonts w:hint="eastAsia" w:ascii="宋体" w:hAnsi="宋体" w:cs="宋体"/>
                <w:color w:val="auto"/>
                <w:highlight w:val="none"/>
              </w:rPr>
              <w:t>。超过最高投标限价的为无效标。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3.2.5</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投标报价的其他要求</w:t>
            </w:r>
          </w:p>
        </w:tc>
        <w:tc>
          <w:tcPr>
            <w:tcW w:w="5955" w:type="dxa"/>
            <w:tcBorders>
              <w:top w:val="single" w:color="auto" w:sz="4" w:space="0"/>
              <w:left w:val="nil"/>
              <w:bottom w:val="single" w:color="auto" w:sz="4" w:space="0"/>
              <w:right w:val="single" w:color="auto" w:sz="4" w:space="0"/>
            </w:tcBorders>
            <w:vAlign w:val="center"/>
          </w:tcPr>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投标人必须详细审阅全部招标文件，充分考虑职责和义务，全面地理解招标文件对投标报价的要求，并按招标人提出的条件及内容进行报价。</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代建服务报酬已包含执行和完成代建服务合同规定全部代建服务工作所需支付的费用、代建服务单位所考虑的风险和合理利润以及代建服务单位所应缴纳的一切税金。代建服务费最终结算以财政投资评审核定的工程概算为计算基数，按财评审定价乘以（1-中标下浮率计算执行）。</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本项目实施建设全过程的代建服务，具体建设范围和内容最终以投资主管部门批准为准。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概算列支的如工程质量监督费、工程保险等不属于代建服务报酬的内容，不在本次投标报价内。</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投标过程(包括签订代建服务合同)中，涉及所有资金往来的币种为人民币。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3.3.1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投标有效期</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3.4.1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投标保证金</w:t>
            </w:r>
          </w:p>
        </w:tc>
        <w:tc>
          <w:tcPr>
            <w:tcW w:w="5955" w:type="dxa"/>
            <w:tcBorders>
              <w:top w:val="single" w:color="auto" w:sz="4" w:space="0"/>
              <w:left w:val="nil"/>
              <w:bottom w:val="single" w:color="auto" w:sz="4" w:space="0"/>
              <w:right w:val="single" w:color="auto" w:sz="4" w:space="0"/>
            </w:tcBorders>
            <w:vAlign w:val="center"/>
          </w:tcPr>
          <w:p>
            <w:pPr>
              <w:pStyle w:val="12"/>
              <w:topLinePunct/>
              <w:spacing w:line="360" w:lineRule="auto"/>
              <w:ind w:left="40" w:leftChars="19" w:right="107" w:rightChars="51"/>
              <w:rPr>
                <w:rFonts w:hAnsi="宋体" w:cs="宋体"/>
                <w:color w:val="auto"/>
                <w:sz w:val="21"/>
                <w:szCs w:val="21"/>
                <w:highlight w:val="none"/>
              </w:rPr>
            </w:pPr>
            <w:r>
              <w:rPr>
                <w:rFonts w:hint="eastAsia" w:hAnsi="宋体" w:cs="宋体"/>
                <w:color w:val="auto"/>
                <w:sz w:val="21"/>
                <w:szCs w:val="21"/>
                <w:highlight w:val="none"/>
              </w:rPr>
              <w:t>是否要求投标人递交投标保证金：</w:t>
            </w:r>
          </w:p>
          <w:p>
            <w:pPr>
              <w:spacing w:line="360" w:lineRule="auto"/>
              <w:ind w:right="107" w:rightChars="51"/>
              <w:rPr>
                <w:rFonts w:ascii="宋体" w:hAnsi="宋体" w:cs="宋体"/>
                <w:color w:val="auto"/>
                <w:highlight w:val="none"/>
                <w:u w:val="single"/>
              </w:rPr>
            </w:pPr>
            <w:r>
              <w:rPr>
                <w:rFonts w:hint="eastAsia" w:ascii="宋体" w:hAnsi="宋体" w:cs="宋体"/>
                <w:color w:val="auto"/>
                <w:highlight w:val="none"/>
              </w:rPr>
              <w:t>■要求，投标保证金的金额：</w:t>
            </w:r>
            <w:r>
              <w:rPr>
                <w:rFonts w:hint="eastAsia" w:ascii="宋体" w:hAnsi="宋体" w:cs="宋体"/>
                <w:b/>
                <w:color w:val="auto"/>
                <w:kern w:val="0"/>
                <w:highlight w:val="none"/>
                <w:u w:val="single"/>
              </w:rPr>
              <w:t>2</w:t>
            </w:r>
            <w:r>
              <w:rPr>
                <w:rFonts w:hint="eastAsia" w:ascii="宋体" w:hAnsi="宋体" w:cs="宋体"/>
                <w:color w:val="auto"/>
                <w:highlight w:val="none"/>
                <w:u w:val="single"/>
              </w:rPr>
              <w:t>万元人民币。</w:t>
            </w:r>
          </w:p>
          <w:p>
            <w:pPr>
              <w:spacing w:line="360" w:lineRule="auto"/>
              <w:ind w:right="107" w:rightChars="51"/>
              <w:rPr>
                <w:rFonts w:ascii="宋体" w:hAnsi="宋体" w:cs="宋体"/>
                <w:color w:val="auto"/>
                <w:highlight w:val="none"/>
              </w:rPr>
            </w:pPr>
            <w:r>
              <w:rPr>
                <w:rFonts w:hint="eastAsia" w:ascii="宋体" w:hAnsi="宋体" w:cs="宋体"/>
                <w:color w:val="auto"/>
                <w:highlight w:val="none"/>
              </w:rPr>
              <w:t>投标保证金有效期：</w:t>
            </w:r>
            <w:r>
              <w:rPr>
                <w:rFonts w:hint="eastAsia" w:ascii="宋体" w:hAnsi="宋体" w:cs="宋体"/>
                <w:color w:val="auto"/>
                <w:highlight w:val="none"/>
                <w:u w:val="single"/>
              </w:rPr>
              <w:t>与投标有效期一致</w:t>
            </w:r>
            <w:r>
              <w:rPr>
                <w:rFonts w:hint="eastAsia" w:ascii="宋体" w:hAnsi="宋体" w:cs="宋体"/>
                <w:color w:val="auto"/>
                <w:highlight w:val="none"/>
              </w:rPr>
              <w:t>。</w:t>
            </w:r>
          </w:p>
          <w:p>
            <w:pPr>
              <w:spacing w:line="360" w:lineRule="auto"/>
              <w:ind w:right="107" w:rightChars="51"/>
              <w:rPr>
                <w:rFonts w:ascii="宋体" w:hAnsi="宋体" w:cs="宋体"/>
                <w:color w:val="auto"/>
                <w:highlight w:val="none"/>
              </w:rPr>
            </w:pPr>
            <w:r>
              <w:rPr>
                <w:rFonts w:hint="eastAsia" w:ascii="宋体" w:hAnsi="宋体" w:cs="宋体"/>
                <w:color w:val="auto"/>
                <w:highlight w:val="none"/>
              </w:rPr>
              <w:t> 一、投标保证金的形式：投标保证金可采用现金、支票、投标保证保险、投标保函（银行或专业担保公司出具）的形式，须在递交投标文件截止时间前完成缴纳。</w:t>
            </w:r>
            <w:r>
              <w:rPr>
                <w:rFonts w:hint="eastAsia" w:ascii="宋体" w:hAnsi="宋体" w:cs="宋体"/>
                <w:color w:val="auto"/>
                <w:highlight w:val="none"/>
              </w:rPr>
              <w:br w:type="textWrapping"/>
            </w:r>
            <w:r>
              <w:rPr>
                <w:rFonts w:hint="eastAsia" w:ascii="宋体" w:hAnsi="宋体" w:cs="宋体"/>
                <w:color w:val="auto"/>
                <w:highlight w:val="none"/>
              </w:rPr>
              <w:t> 二、投标保证金的提交方式：</w:t>
            </w:r>
            <w:r>
              <w:rPr>
                <w:rFonts w:hint="eastAsia" w:ascii="宋体" w:hAnsi="宋体" w:cs="宋体"/>
                <w:color w:val="auto"/>
                <w:highlight w:val="none"/>
              </w:rPr>
              <w:br w:type="textWrapping"/>
            </w:r>
            <w:r>
              <w:rPr>
                <w:rFonts w:hint="eastAsia" w:ascii="宋体" w:hAnsi="宋体" w:cs="宋体"/>
                <w:color w:val="auto"/>
                <w:highlight w:val="none"/>
              </w:rPr>
              <w:t>（1）如采用现金或者支票形式提交的，投标保证金从投标人基本账户递交，由广州交易集团有限公司（广州公共资源交易中心）代收。具体操作要求详见广州公共资源交易中心有关指引，递交事宜请自行咨询交易中心，到账情况以开标时广州公共资源交易中心数据库查询的信息为准。</w:t>
            </w:r>
          </w:p>
          <w:p>
            <w:pPr>
              <w:spacing w:line="360" w:lineRule="auto"/>
              <w:ind w:right="107" w:rightChars="51" w:firstLine="600" w:firstLineChars="286"/>
              <w:rPr>
                <w:rFonts w:ascii="宋体" w:hAnsi="宋体" w:cs="宋体"/>
                <w:color w:val="auto"/>
                <w:highlight w:val="none"/>
              </w:rPr>
            </w:pPr>
            <w:r>
              <w:rPr>
                <w:rFonts w:hint="eastAsia" w:ascii="宋体" w:hAnsi="宋体" w:cs="宋体"/>
                <w:color w:val="auto"/>
                <w:highlight w:val="none"/>
              </w:rPr>
              <w:t>收款单位：广州交易集团有限公司</w:t>
            </w:r>
          </w:p>
          <w:p>
            <w:pPr>
              <w:spacing w:line="360" w:lineRule="auto"/>
              <w:ind w:right="107" w:rightChars="51" w:firstLine="600" w:firstLineChars="286"/>
              <w:rPr>
                <w:rFonts w:ascii="宋体" w:hAnsi="宋体" w:cs="宋体"/>
                <w:color w:val="auto"/>
                <w:highlight w:val="none"/>
              </w:rPr>
            </w:pPr>
            <w:r>
              <w:rPr>
                <w:rFonts w:hint="eastAsia" w:ascii="宋体" w:hAnsi="宋体" w:cs="宋体"/>
                <w:color w:val="auto"/>
                <w:highlight w:val="none"/>
              </w:rPr>
              <w:t>开户银行：中国建设银行广州天润路支行</w:t>
            </w:r>
          </w:p>
          <w:p>
            <w:pPr>
              <w:spacing w:line="360" w:lineRule="auto"/>
              <w:ind w:right="107" w:rightChars="51" w:firstLine="600" w:firstLineChars="286"/>
              <w:rPr>
                <w:rFonts w:ascii="宋体" w:hAnsi="宋体" w:cs="宋体"/>
                <w:color w:val="auto"/>
                <w:highlight w:val="none"/>
                <w:u w:val="single"/>
              </w:rPr>
            </w:pPr>
            <w:r>
              <w:rPr>
                <w:rFonts w:hint="eastAsia" w:ascii="宋体" w:hAnsi="宋体" w:cs="宋体"/>
                <w:color w:val="auto"/>
                <w:highlight w:val="none"/>
              </w:rPr>
              <w:t>银行账号：44001583404059333333</w:t>
            </w:r>
            <w:r>
              <w:rPr>
                <w:rFonts w:hint="eastAsia" w:ascii="宋体" w:hAnsi="宋体" w:cs="宋体"/>
                <w:color w:val="auto"/>
                <w:highlight w:val="none"/>
              </w:rPr>
              <w:br w:type="textWrapping"/>
            </w:r>
            <w:r>
              <w:rPr>
                <w:rFonts w:hint="eastAsia" w:ascii="宋体" w:hAnsi="宋体" w:cs="宋体"/>
                <w:color w:val="auto"/>
                <w:highlight w:val="none"/>
              </w:rPr>
              <w:t>（2）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若以交易系统支持的电子保函或电子投标保证保险递交的，到账情况以开标时广州公共资源交易中心数据库查询信息为准。</w:t>
            </w:r>
          </w:p>
          <w:p>
            <w:pPr>
              <w:spacing w:line="360" w:lineRule="auto"/>
              <w:rPr>
                <w:rFonts w:ascii="宋体" w:hAnsi="宋体" w:cs="宋体"/>
                <w:color w:val="auto"/>
                <w:highlight w:val="none"/>
              </w:rPr>
            </w:pPr>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3.4.4</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其他可以不予退还投标保证金的情形</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（1）因中标人原因未能在规定期限内签署合同。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资格审查资料的特殊要求</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■有，具体要求：</w:t>
            </w:r>
          </w:p>
          <w:p>
            <w:pPr>
              <w:spacing w:line="360" w:lineRule="auto"/>
              <w:rPr>
                <w:rFonts w:ascii="宋体" w:hAnsi="宋体" w:cs="宋体"/>
                <w:color w:val="auto"/>
                <w:highlight w:val="none"/>
              </w:rPr>
            </w:pPr>
            <w:r>
              <w:rPr>
                <w:rFonts w:hint="eastAsia" w:ascii="宋体" w:hAnsi="宋体" w:cs="宋体"/>
                <w:color w:val="auto"/>
                <w:highlight w:val="none"/>
              </w:rPr>
              <w:t xml:space="preserve">新增： </w:t>
            </w:r>
          </w:p>
          <w:p>
            <w:pPr>
              <w:spacing w:line="360" w:lineRule="auto"/>
              <w:rPr>
                <w:rFonts w:ascii="宋体" w:hAnsi="宋体" w:cs="宋体"/>
                <w:color w:val="auto"/>
                <w:highlight w:val="none"/>
              </w:rPr>
            </w:pPr>
            <w:r>
              <w:rPr>
                <w:rFonts w:hint="eastAsia" w:ascii="宋体" w:hAnsi="宋体" w:cs="宋体"/>
                <w:color w:val="auto"/>
                <w:highlight w:val="none"/>
              </w:rPr>
              <w:t xml:space="preserve">3.5.9投标人已出具按要求签署盖章《投标申请人声明》（格式见招标文件第六章）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投标人基本情况</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u w:val="single"/>
              </w:rPr>
            </w:pPr>
            <w:r>
              <w:rPr>
                <w:rFonts w:hint="eastAsia" w:ascii="宋体" w:hAnsi="宋体" w:cs="宋体"/>
                <w:color w:val="auto"/>
                <w:highlight w:val="none"/>
                <w:u w:val="single"/>
              </w:rPr>
              <w:t>应附投标人营业执照等材料的原件清晰彩色扫描件。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近年财务状况的年份要求</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3.5.3</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近年承接的类似项目情况及时间要求</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3.5.4</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正在建设管理和新承接的项目情况</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3.5.5</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近年发生的诉讼及仲裁情况的时间要求</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3.5.6</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拟委任的项目负责人及其他主要人员</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拟委任的项目负责人要求详见招标公告。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3.5.7</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拟投入本项目的主要试验检测仪器设备</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本项目资格审查不要求。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3.5.8</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关于联合体投标</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本次招标不接受联合体投标。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3.6.1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是否允许递交备选投标方案</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trike/>
                <w:color w:val="auto"/>
                <w:highlight w:val="none"/>
              </w:rPr>
            </w:pPr>
            <w:r>
              <w:rPr>
                <w:rFonts w:hint="eastAsia" w:ascii="宋体" w:hAnsi="宋体" w:cs="宋体"/>
                <w:color w:val="auto"/>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3.7.3 (B)</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投标文件所附证书证件要求</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证书证件需为清晰扫描件，并采用单位数字证书，按照招标文件要求加盖电子印章。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3.7.3 (B)</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 xml:space="preserve">投标文件签字或盖章要求 </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取消在招标文件中采用个人数字证书和加盖个人电子印章要求，投标文件中需法定代表人、代理人签字或加盖电子印章的，应手签后扫描上传，对加盖个人电子印章不做要求。投标文件按招标文件要求加盖单位电子印章。具体操作详见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4.1.1（B）</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投标文件加密要求</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网上递交的电子投标文件须进行加密。具体操作详见广州公共资源交易中心网站最新发布的最新指引。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4.1.2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封套上应载明的信息</w:t>
            </w:r>
          </w:p>
        </w:tc>
        <w:tc>
          <w:tcPr>
            <w:tcW w:w="5955" w:type="dxa"/>
            <w:tcBorders>
              <w:top w:val="single" w:color="auto" w:sz="4" w:space="0"/>
              <w:left w:val="nil"/>
              <w:bottom w:val="single" w:color="auto" w:sz="4" w:space="0"/>
              <w:right w:val="single" w:color="auto" w:sz="4" w:space="0"/>
            </w:tcBorders>
            <w:vAlign w:val="center"/>
          </w:tcPr>
          <w:p>
            <w:pPr>
              <w:pStyle w:val="12"/>
              <w:topLinePunct/>
              <w:spacing w:line="360" w:lineRule="auto"/>
              <w:contextualSpacing/>
              <w:rPr>
                <w:rFonts w:hAnsi="宋体" w:cs="宋体"/>
                <w:color w:val="auto"/>
                <w:sz w:val="21"/>
                <w:szCs w:val="21"/>
                <w:highlight w:val="none"/>
              </w:rPr>
            </w:pPr>
            <w:r>
              <w:rPr>
                <w:rFonts w:hint="eastAsia" w:hAnsi="宋体" w:cs="宋体"/>
                <w:color w:val="auto"/>
                <w:sz w:val="21"/>
                <w:szCs w:val="21"/>
                <w:highlight w:val="none"/>
              </w:rPr>
              <w:t>如有提交备用电子投标文件光盘，封套上应注明如下信息：</w:t>
            </w:r>
          </w:p>
          <w:p>
            <w:pPr>
              <w:pStyle w:val="12"/>
              <w:topLinePunct/>
              <w:spacing w:line="360" w:lineRule="auto"/>
              <w:contextualSpacing/>
              <w:rPr>
                <w:rFonts w:hint="eastAsia" w:hAnsi="宋体" w:eastAsia="宋体" w:cs="宋体"/>
                <w:color w:val="auto"/>
                <w:sz w:val="21"/>
                <w:szCs w:val="21"/>
                <w:highlight w:val="none"/>
                <w:lang w:eastAsia="zh-CN"/>
              </w:rPr>
            </w:pPr>
            <w:r>
              <w:rPr>
                <w:rFonts w:hint="eastAsia" w:hAnsi="宋体" w:cs="宋体"/>
                <w:color w:val="auto"/>
                <w:sz w:val="21"/>
                <w:szCs w:val="21"/>
                <w:highlight w:val="none"/>
              </w:rPr>
              <w:t>招标人名称：</w:t>
            </w:r>
            <w:r>
              <w:rPr>
                <w:rFonts w:hint="eastAsia" w:hAnsi="宋体" w:cs="宋体"/>
                <w:color w:val="auto"/>
                <w:sz w:val="21"/>
                <w:szCs w:val="21"/>
                <w:highlight w:val="none"/>
                <w:lang w:eastAsia="zh-CN"/>
              </w:rPr>
              <w:t>广州市荔湾区人民政府站前街道办事处</w:t>
            </w:r>
          </w:p>
          <w:p>
            <w:pPr>
              <w:pStyle w:val="12"/>
              <w:topLinePunct/>
              <w:spacing w:line="360" w:lineRule="auto"/>
              <w:contextualSpacing/>
              <w:rPr>
                <w:rFonts w:hint="eastAsia" w:hAnsi="宋体" w:eastAsia="宋体" w:cs="宋体"/>
                <w:color w:val="auto"/>
                <w:sz w:val="21"/>
                <w:szCs w:val="21"/>
                <w:highlight w:val="none"/>
                <w:u w:val="single"/>
                <w:lang w:eastAsia="zh-CN"/>
              </w:rPr>
            </w:pPr>
            <w:r>
              <w:rPr>
                <w:rFonts w:hint="eastAsia" w:hAnsi="宋体" w:cs="宋体"/>
                <w:color w:val="auto"/>
                <w:sz w:val="21"/>
                <w:szCs w:val="21"/>
                <w:highlight w:val="none"/>
              </w:rPr>
              <w:t>招标人地址：</w:t>
            </w:r>
            <w:r>
              <w:rPr>
                <w:rFonts w:hint="eastAsia" w:hAnsi="宋体" w:cs="宋体"/>
                <w:color w:val="auto"/>
                <w:sz w:val="21"/>
                <w:szCs w:val="21"/>
                <w:highlight w:val="none"/>
                <w:lang w:eastAsia="zh-CN"/>
              </w:rPr>
              <w:t>广州市荔湾区中展里72号</w:t>
            </w:r>
          </w:p>
          <w:p>
            <w:pPr>
              <w:pStyle w:val="12"/>
              <w:topLinePunct/>
              <w:spacing w:line="360" w:lineRule="auto"/>
              <w:contextualSpacing/>
              <w:rPr>
                <w:rFonts w:hAnsi="宋体" w:cs="宋体"/>
                <w:color w:val="auto"/>
                <w:sz w:val="21"/>
                <w:szCs w:val="21"/>
                <w:highlight w:val="none"/>
              </w:rPr>
            </w:pPr>
            <w:r>
              <w:rPr>
                <w:rFonts w:hint="eastAsia" w:hAnsi="宋体" w:cs="宋体"/>
                <w:bCs/>
                <w:color w:val="auto"/>
                <w:sz w:val="21"/>
                <w:szCs w:val="21"/>
                <w:highlight w:val="none"/>
                <w:lang w:eastAsia="zh-CN"/>
              </w:rPr>
              <w:t>站前街铁路片区（站西小区、西站小区、克山小区）微改造项目</w:t>
            </w:r>
            <w:r>
              <w:rPr>
                <w:rFonts w:hint="eastAsia" w:hAnsi="宋体" w:cs="宋体"/>
                <w:bCs/>
                <w:color w:val="auto"/>
                <w:sz w:val="21"/>
                <w:szCs w:val="21"/>
                <w:highlight w:val="none"/>
              </w:rPr>
              <w:t>代建服务</w:t>
            </w:r>
            <w:r>
              <w:rPr>
                <w:rFonts w:hint="eastAsia" w:hAnsi="宋体" w:cs="宋体"/>
                <w:color w:val="auto"/>
                <w:sz w:val="21"/>
                <w:szCs w:val="21"/>
                <w:highlight w:val="none"/>
              </w:rPr>
              <w:t xml:space="preserve">投标文件                  </w:t>
            </w:r>
          </w:p>
          <w:p>
            <w:pPr>
              <w:spacing w:line="360" w:lineRule="auto"/>
              <w:rPr>
                <w:rFonts w:ascii="宋体" w:hAnsi="宋体" w:cs="宋体"/>
                <w:color w:val="auto"/>
                <w:highlight w:val="none"/>
              </w:rPr>
            </w:pPr>
            <w:r>
              <w:rPr>
                <w:rFonts w:hint="eastAsia" w:ascii="宋体" w:hAnsi="宋体" w:cs="宋体"/>
                <w:color w:val="auto"/>
                <w:highlight w:val="none"/>
              </w:rPr>
              <w:t>在2023年    月    日    时   分前不得开启（填入开标时间）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4.2.1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投标截止时间</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2023年   月   日   时   分（北京时间）</w:t>
            </w:r>
          </w:p>
          <w:p>
            <w:pPr>
              <w:spacing w:line="360" w:lineRule="auto"/>
              <w:rPr>
                <w:rFonts w:ascii="宋体" w:hAnsi="宋体" w:cs="宋体"/>
                <w:color w:val="auto"/>
                <w:highlight w:val="none"/>
              </w:rPr>
            </w:pPr>
            <w:r>
              <w:rPr>
                <w:rFonts w:hint="eastAsia" w:ascii="宋体" w:hAnsi="宋体" w:cs="宋体"/>
                <w:color w:val="auto"/>
                <w:highlight w:val="none"/>
              </w:rPr>
              <w:t>具体时间可以到广州公共资源交易中心网站的项目查询(日程安排、答疑纪要)中输入本项目编号或项目名称进行查询。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4.2.2（B）</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递交投标文件地点</w:t>
            </w:r>
          </w:p>
        </w:tc>
        <w:tc>
          <w:tcPr>
            <w:tcW w:w="5955" w:type="dxa"/>
            <w:tcBorders>
              <w:top w:val="single" w:color="auto" w:sz="4" w:space="0"/>
              <w:left w:val="nil"/>
              <w:bottom w:val="single" w:color="auto" w:sz="4" w:space="0"/>
              <w:right w:val="single" w:color="auto" w:sz="4" w:space="0"/>
            </w:tcBorders>
            <w:vAlign w:val="center"/>
          </w:tcPr>
          <w:p>
            <w:pPr>
              <w:spacing w:line="360" w:lineRule="auto"/>
              <w:contextualSpacing/>
              <w:rPr>
                <w:rFonts w:ascii="宋体" w:hAnsi="宋体" w:cs="宋体"/>
                <w:color w:val="auto"/>
                <w:highlight w:val="none"/>
              </w:rPr>
            </w:pPr>
            <w:r>
              <w:rPr>
                <w:rFonts w:hint="eastAsia" w:ascii="宋体" w:hAnsi="宋体" w:cs="宋体"/>
                <w:color w:val="auto"/>
                <w:highlight w:val="none"/>
              </w:rPr>
              <w:t>1.递交方式：</w:t>
            </w:r>
            <w:r>
              <w:rPr>
                <w:rFonts w:hint="eastAsia" w:ascii="宋体" w:hAnsi="宋体" w:cs="宋体"/>
                <w:color w:val="auto"/>
                <w:highlight w:val="none"/>
                <w:u w:val="single"/>
              </w:rPr>
              <w:t>网上递交投标文件</w:t>
            </w:r>
          </w:p>
          <w:p>
            <w:pPr>
              <w:spacing w:line="360" w:lineRule="auto"/>
              <w:contextualSpacing/>
              <w:rPr>
                <w:rFonts w:ascii="宋体" w:hAnsi="宋体" w:cs="宋体"/>
                <w:color w:val="auto"/>
                <w:highlight w:val="none"/>
              </w:rPr>
            </w:pPr>
            <w:r>
              <w:rPr>
                <w:rFonts w:hint="eastAsia" w:ascii="宋体" w:hAnsi="宋体" w:cs="宋体"/>
                <w:color w:val="auto"/>
                <w:highlight w:val="none"/>
              </w:rPr>
              <w:t>2.递交投标文件的起始时间：</w:t>
            </w:r>
          </w:p>
          <w:p>
            <w:pPr>
              <w:spacing w:line="360" w:lineRule="auto"/>
              <w:contextualSpacing/>
              <w:rPr>
                <w:rFonts w:ascii="宋体" w:hAnsi="宋体" w:cs="宋体"/>
                <w:color w:val="auto"/>
                <w:highlight w:val="none"/>
              </w:rPr>
            </w:pPr>
            <w:r>
              <w:rPr>
                <w:rFonts w:hint="eastAsia" w:ascii="宋体" w:hAnsi="宋体" w:cs="宋体"/>
                <w:color w:val="auto"/>
                <w:highlight w:val="none"/>
              </w:rPr>
              <w:t>截止时间：</w:t>
            </w:r>
          </w:p>
          <w:p>
            <w:pPr>
              <w:spacing w:line="360" w:lineRule="auto"/>
              <w:contextualSpacing/>
              <w:rPr>
                <w:rFonts w:ascii="宋体" w:hAnsi="宋体" w:cs="宋体"/>
                <w:color w:val="auto"/>
                <w:highlight w:val="none"/>
              </w:rPr>
            </w:pPr>
            <w:r>
              <w:rPr>
                <w:rFonts w:hint="eastAsia" w:ascii="宋体" w:hAnsi="宋体" w:cs="宋体"/>
                <w:color w:val="auto"/>
                <w:highlight w:val="none"/>
              </w:rPr>
              <w:t xml:space="preserve">3.地点：广州公共资源交易中心网站。 </w:t>
            </w:r>
          </w:p>
          <w:p>
            <w:pPr>
              <w:spacing w:line="360" w:lineRule="auto"/>
              <w:rPr>
                <w:rFonts w:ascii="宋体" w:hAnsi="宋体" w:cs="宋体"/>
                <w:color w:val="auto"/>
                <w:highlight w:val="none"/>
              </w:rPr>
            </w:pPr>
            <w:r>
              <w:rPr>
                <w:rFonts w:hint="eastAsia" w:ascii="宋体" w:hAnsi="宋体" w:cs="宋体"/>
                <w:color w:val="auto"/>
                <w:highlight w:val="none"/>
              </w:rPr>
              <w:t>4.上述时间及地点是否有改变，请密切留意招标答疑纪要的相关信息。</w:t>
            </w:r>
          </w:p>
          <w:p>
            <w:pPr>
              <w:spacing w:line="360" w:lineRule="auto"/>
              <w:rPr>
                <w:rFonts w:ascii="宋体" w:hAnsi="宋体" w:cs="宋体"/>
                <w:color w:val="auto"/>
                <w:highlight w:val="none"/>
              </w:rPr>
            </w:pPr>
            <w:r>
              <w:rPr>
                <w:rFonts w:hint="eastAsia" w:ascii="宋体" w:hAnsi="宋体" w:cs="宋体"/>
                <w:color w:val="auto"/>
                <w:highlight w:val="none"/>
              </w:rPr>
              <w:t>具体时间可以到广州公共资源交易中心网站的项目查询(日程安排、答疑纪要)中输入本项目编号或项目名称进行查询。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4.2.3</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投标文件是否退还</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strike/>
                <w:color w:val="auto"/>
                <w:highlight w:val="none"/>
              </w:rPr>
            </w:pPr>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5.1（B）</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开标时间和地点</w:t>
            </w:r>
          </w:p>
        </w:tc>
        <w:tc>
          <w:tcPr>
            <w:tcW w:w="5955" w:type="dxa"/>
            <w:tcBorders>
              <w:top w:val="single" w:color="auto" w:sz="4" w:space="0"/>
              <w:left w:val="nil"/>
              <w:bottom w:val="single" w:color="auto" w:sz="4" w:space="0"/>
              <w:right w:val="single" w:color="auto" w:sz="4" w:space="0"/>
            </w:tcBorders>
            <w:vAlign w:val="center"/>
          </w:tcPr>
          <w:p>
            <w:pPr>
              <w:contextualSpacing/>
              <w:rPr>
                <w:rFonts w:ascii="宋体" w:hAnsi="宋体" w:cs="宋体"/>
                <w:color w:val="auto"/>
                <w:highlight w:val="none"/>
              </w:rPr>
            </w:pPr>
            <w:r>
              <w:rPr>
                <w:rFonts w:hint="eastAsia" w:ascii="宋体" w:hAnsi="宋体" w:cs="宋体"/>
                <w:color w:val="auto"/>
                <w:highlight w:val="none"/>
              </w:rPr>
              <w:t>开标时间及地点：</w:t>
            </w:r>
          </w:p>
          <w:p>
            <w:pPr>
              <w:contextualSpacing/>
              <w:rPr>
                <w:rFonts w:ascii="宋体" w:hAnsi="宋体" w:cs="宋体"/>
                <w:color w:val="auto"/>
                <w:highlight w:val="none"/>
              </w:rPr>
            </w:pPr>
            <w:r>
              <w:rPr>
                <w:rFonts w:hint="eastAsia" w:ascii="宋体" w:hAnsi="宋体" w:cs="宋体"/>
                <w:color w:val="auto"/>
                <w:highlight w:val="none"/>
              </w:rPr>
              <w:t>1、开标时间：</w:t>
            </w:r>
            <w:r>
              <w:rPr>
                <w:rFonts w:hint="eastAsia" w:ascii="宋体" w:hAnsi="宋体" w:cs="宋体"/>
                <w:color w:val="auto"/>
                <w:highlight w:val="none"/>
                <w:u w:val="single"/>
              </w:rPr>
              <w:t>2023</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r>
              <w:rPr>
                <w:rFonts w:hint="eastAsia" w:ascii="宋体" w:hAnsi="宋体" w:cs="宋体"/>
                <w:color w:val="auto"/>
                <w:highlight w:val="none"/>
                <w:u w:val="single"/>
              </w:rPr>
              <w:t xml:space="preserve">     </w:t>
            </w:r>
            <w:r>
              <w:rPr>
                <w:rFonts w:hint="eastAsia" w:ascii="宋体" w:hAnsi="宋体" w:cs="宋体"/>
                <w:color w:val="auto"/>
                <w:highlight w:val="none"/>
              </w:rPr>
              <w:t>时</w:t>
            </w:r>
            <w:r>
              <w:rPr>
                <w:rFonts w:hint="eastAsia" w:ascii="宋体" w:hAnsi="宋体" w:cs="宋体"/>
                <w:color w:val="auto"/>
                <w:highlight w:val="none"/>
                <w:u w:val="single"/>
              </w:rPr>
              <w:t xml:space="preserve">    </w:t>
            </w:r>
            <w:r>
              <w:rPr>
                <w:rFonts w:hint="eastAsia" w:ascii="宋体" w:hAnsi="宋体" w:cs="宋体"/>
                <w:color w:val="auto"/>
                <w:highlight w:val="none"/>
              </w:rPr>
              <w:t>分</w:t>
            </w:r>
          </w:p>
          <w:p>
            <w:pPr>
              <w:contextualSpacing/>
              <w:rPr>
                <w:rFonts w:ascii="宋体" w:hAnsi="宋体" w:cs="宋体"/>
                <w:color w:val="auto"/>
                <w:highlight w:val="none"/>
              </w:rPr>
            </w:pPr>
            <w:r>
              <w:rPr>
                <w:rFonts w:hint="eastAsia" w:ascii="宋体" w:hAnsi="宋体" w:cs="宋体"/>
                <w:color w:val="auto"/>
                <w:highlight w:val="none"/>
              </w:rPr>
              <w:t>2、地点：广州公共资源交易中心第</w:t>
            </w:r>
            <w:r>
              <w:rPr>
                <w:rFonts w:hint="eastAsia" w:ascii="宋体" w:hAnsi="宋体" w:cs="宋体"/>
                <w:color w:val="auto"/>
                <w:highlight w:val="none"/>
                <w:u w:val="single"/>
              </w:rPr>
              <w:t xml:space="preserve">    </w:t>
            </w:r>
            <w:r>
              <w:rPr>
                <w:rFonts w:hint="eastAsia" w:ascii="宋体" w:hAnsi="宋体" w:cs="宋体"/>
                <w:color w:val="auto"/>
                <w:highlight w:val="none"/>
              </w:rPr>
              <w:t>开标室。</w:t>
            </w:r>
          </w:p>
          <w:p>
            <w:pPr>
              <w:spacing w:line="360" w:lineRule="auto"/>
              <w:rPr>
                <w:rFonts w:ascii="宋体" w:hAnsi="宋体" w:cs="宋体"/>
                <w:color w:val="auto"/>
                <w:highlight w:val="none"/>
              </w:rPr>
            </w:pPr>
            <w:r>
              <w:rPr>
                <w:rFonts w:hint="eastAsia" w:ascii="宋体" w:hAnsi="宋体" w:cs="宋体"/>
                <w:color w:val="auto"/>
                <w:highlight w:val="none"/>
              </w:rPr>
              <w:t>具体时间可以到广州公共资源交易中心网站的项目查询(日程安排、答疑纪要)中输入本项目编号或项目名称进行查询。</w:t>
            </w:r>
          </w:p>
          <w:p>
            <w:pPr>
              <w:spacing w:line="360" w:lineRule="auto"/>
              <w:rPr>
                <w:rFonts w:ascii="宋体" w:hAnsi="宋体" w:cs="宋体"/>
                <w:color w:val="auto"/>
                <w:highlight w:val="none"/>
              </w:rPr>
            </w:pPr>
            <w:r>
              <w:rPr>
                <w:rFonts w:hint="eastAsia" w:ascii="宋体" w:hAnsi="宋体" w:cs="宋体"/>
                <w:color w:val="auto"/>
                <w:highlight w:val="none"/>
              </w:rPr>
              <w:t>开标时，投标人代表有权出席开标会，也可以自主决定不参加开标会，若投标人代表对开标过程提出异议，该投标人代表须同时出示授权委托书及本人身份证原件。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5.2（B）</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开标程序</w:t>
            </w:r>
          </w:p>
        </w:tc>
        <w:tc>
          <w:tcPr>
            <w:tcW w:w="5955" w:type="dxa"/>
            <w:tcBorders>
              <w:top w:val="single" w:color="auto" w:sz="4" w:space="0"/>
              <w:left w:val="nil"/>
              <w:bottom w:val="single" w:color="auto" w:sz="4" w:space="0"/>
              <w:right w:val="single" w:color="auto" w:sz="4" w:space="0"/>
            </w:tcBorders>
            <w:vAlign w:val="center"/>
          </w:tcPr>
          <w:p>
            <w:pPr>
              <w:spacing w:line="360" w:lineRule="auto"/>
              <w:rPr>
                <w:highlight w:val="none"/>
              </w:rPr>
            </w:pPr>
            <w:r>
              <w:rPr>
                <w:rFonts w:hint="eastAsia"/>
                <w:highlight w:val="none"/>
              </w:rPr>
              <w:t>电子招投标项目开标按下列程序进行：</w:t>
            </w:r>
          </w:p>
          <w:p>
            <w:pPr>
              <w:spacing w:line="360" w:lineRule="auto"/>
              <w:rPr>
                <w:highlight w:val="none"/>
              </w:rPr>
            </w:pPr>
            <w:r>
              <w:rPr>
                <w:rFonts w:hint="eastAsia"/>
                <w:highlight w:val="none"/>
              </w:rPr>
              <w:t>5.2.1主持人按下列程序进行开标：</w:t>
            </w:r>
          </w:p>
          <w:p>
            <w:pPr>
              <w:spacing w:line="360" w:lineRule="auto"/>
              <w:rPr>
                <w:highlight w:val="none"/>
              </w:rPr>
            </w:pPr>
            <w:r>
              <w:rPr>
                <w:rFonts w:hint="eastAsia"/>
                <w:highlight w:val="none"/>
              </w:rPr>
              <w:t>（1）宣布开标纪律；</w:t>
            </w:r>
          </w:p>
          <w:p>
            <w:pPr>
              <w:spacing w:line="360" w:lineRule="auto"/>
              <w:rPr>
                <w:highlight w:val="none"/>
              </w:rPr>
            </w:pPr>
            <w:r>
              <w:rPr>
                <w:rFonts w:hint="eastAsia"/>
                <w:highlight w:val="none"/>
              </w:rPr>
              <w:t>（2）公布在投标截止时间前递交投标文件的投标人名称；</w:t>
            </w:r>
          </w:p>
          <w:p>
            <w:pPr>
              <w:spacing w:line="360" w:lineRule="auto"/>
              <w:rPr>
                <w:highlight w:val="none"/>
              </w:rPr>
            </w:pPr>
            <w:r>
              <w:rPr>
                <w:rFonts w:hint="eastAsia"/>
                <w:highlight w:val="none"/>
              </w:rPr>
              <w:t>（3）宣布开标人、唱标人、记录人、监标人等有关人员姓名；</w:t>
            </w:r>
          </w:p>
          <w:p>
            <w:pPr>
              <w:spacing w:line="360" w:lineRule="auto"/>
              <w:rPr>
                <w:highlight w:val="none"/>
              </w:rPr>
            </w:pPr>
            <w:r>
              <w:rPr>
                <w:rFonts w:hint="eastAsia"/>
                <w:highlight w:val="none"/>
              </w:rPr>
              <w:t>（4）（B）投标人通过电子招标投标交易平台对已递交的电子投标文件进行解密，公布招标项目名称、投标人名称、投标保证金的递交情况、投标报价、代建服务期限及其他内容，并记录在案；</w:t>
            </w:r>
          </w:p>
          <w:p>
            <w:pPr>
              <w:spacing w:line="360" w:lineRule="auto"/>
              <w:rPr>
                <w:highlight w:val="none"/>
              </w:rPr>
            </w:pPr>
            <w:r>
              <w:rPr>
                <w:rFonts w:hint="eastAsia"/>
                <w:highlight w:val="none"/>
              </w:rPr>
              <w:t>（5）（B）投标人代表、招标人代表、监标人、记录人等有关人员在开标记录上签字确认；若有关人员不签字的，不影响开标程序；</w:t>
            </w:r>
          </w:p>
          <w:p>
            <w:pPr>
              <w:spacing w:line="360" w:lineRule="auto"/>
              <w:rPr>
                <w:highlight w:val="none"/>
              </w:rPr>
            </w:pPr>
            <w:r>
              <w:rPr>
                <w:rFonts w:hint="eastAsia"/>
                <w:highlight w:val="none"/>
              </w:rPr>
              <w:t>（6）开标结束。</w:t>
            </w:r>
          </w:p>
          <w:p>
            <w:pPr>
              <w:spacing w:line="360" w:lineRule="auto"/>
              <w:rPr>
                <w:highlight w:val="none"/>
              </w:rPr>
            </w:pPr>
            <w:r>
              <w:rPr>
                <w:rFonts w:hint="eastAsia"/>
                <w:highlight w:val="none"/>
              </w:rPr>
              <w:t>5.2.2投标截止时间前未完成投标文件传输的，或因投标人之外的原因造成投标文件未解密且未按要求递交备用光盘的，视为投标人撤回其投标文件。因投标人原因造成投标文件未解密的或未在投标截止时间后半小时内解密的，视为撤销其投标文件。</w:t>
            </w:r>
          </w:p>
          <w:p>
            <w:pPr>
              <w:spacing w:line="360" w:lineRule="auto"/>
              <w:rPr>
                <w:rFonts w:hint="eastAsia"/>
                <w:highlight w:val="none"/>
              </w:rPr>
            </w:pPr>
            <w:r>
              <w:rPr>
                <w:rFonts w:hint="eastAsia"/>
                <w:highlight w:val="none"/>
              </w:rPr>
              <w:t>5.2.3开标时，两个（含两个）以上的投标人加密打包投标文件电脑机器特征码一致的，不参与下一程序，并由评标委员会否决其投标。</w:t>
            </w:r>
          </w:p>
          <w:p>
            <w:pPr>
              <w:pStyle w:val="17"/>
              <w:spacing w:line="360" w:lineRule="auto"/>
              <w:rPr>
                <w:highlight w:val="none"/>
              </w:rPr>
            </w:pPr>
            <w:r>
              <w:rPr>
                <w:rFonts w:hint="eastAsia" w:ascii="Times New Roman" w:hAnsi="Times New Roman" w:eastAsia="宋体" w:cs="Times New Roman"/>
                <w:kern w:val="2"/>
                <w:sz w:val="21"/>
                <w:szCs w:val="21"/>
                <w:highlight w:val="none"/>
                <w:lang w:val="en-US" w:eastAsia="zh-CN" w:bidi="ar-SA"/>
              </w:rPr>
              <w:t>注:开标方式采用电子开标和现场开标两种模式，投标人可选择在开标室参与开标或准时在线参加开标，也可不参加开标。参加在线开标的投标人登录广州公共资源交易中心交易平台实时查看开标、唱标情况。广州公共资源交易中心交易平台生成开标记录并向社会公众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6.1.1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评标委员会的组建</w:t>
            </w:r>
          </w:p>
        </w:tc>
        <w:tc>
          <w:tcPr>
            <w:tcW w:w="595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highlight w:val="none"/>
              </w:rPr>
            </w:pPr>
            <w:bookmarkStart w:id="29" w:name="OLE_LINK30"/>
            <w:r>
              <w:rPr>
                <w:rFonts w:hint="eastAsia" w:ascii="宋体" w:hAnsi="宋体" w:cs="宋体"/>
                <w:color w:val="auto"/>
                <w:highlight w:val="none"/>
              </w:rPr>
              <w:t>由招标人在开标前按照有关规定依法组建评标委员会。</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6.3.2</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评标委员会推荐中标候选人的人数</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推荐的中标候选人数：3人。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7.1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中标候选人公示媒介及期限</w:t>
            </w:r>
          </w:p>
        </w:tc>
        <w:tc>
          <w:tcPr>
            <w:tcW w:w="595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highlight w:val="none"/>
              </w:rPr>
            </w:pPr>
            <w:r>
              <w:rPr>
                <w:rFonts w:hint="eastAsia" w:ascii="宋体" w:hAnsi="宋体" w:cs="宋体"/>
                <w:color w:val="auto"/>
                <w:highlight w:val="none"/>
              </w:rPr>
              <w:t>公示媒介：中国招标投标公共服务平台、广东省招标投标监管网、广州公共资源交易网。</w:t>
            </w:r>
          </w:p>
          <w:p>
            <w:pPr>
              <w:spacing w:line="360" w:lineRule="auto"/>
              <w:rPr>
                <w:rFonts w:ascii="宋体" w:hAnsi="宋体" w:cs="宋体"/>
                <w:color w:val="auto"/>
                <w:highlight w:val="none"/>
              </w:rPr>
            </w:pPr>
            <w:r>
              <w:rPr>
                <w:rFonts w:hint="eastAsia" w:ascii="宋体" w:hAnsi="宋体" w:cs="宋体"/>
                <w:color w:val="auto"/>
                <w:highlight w:val="none"/>
              </w:rPr>
              <w:t>公示期限：</w:t>
            </w:r>
            <w:r>
              <w:rPr>
                <w:rFonts w:hint="eastAsia" w:ascii="宋体" w:hAnsi="宋体" w:cs="宋体"/>
                <w:color w:val="auto"/>
                <w:highlight w:val="none"/>
                <w:u w:val="single"/>
              </w:rPr>
              <w:t>3</w:t>
            </w:r>
            <w:r>
              <w:rPr>
                <w:rFonts w:hint="eastAsia" w:ascii="宋体" w:hAnsi="宋体" w:cs="宋体"/>
                <w:color w:val="auto"/>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7.4</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是否授权评标委员会确定中标人</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highlight w:val="none"/>
              </w:rPr>
            </w:pPr>
            <w:r>
              <w:rPr>
                <w:rFonts w:hint="eastAsia" w:ascii="宋体" w:hAnsi="宋体" w:cs="宋体"/>
                <w:color w:val="auto"/>
                <w:highlight w:val="none"/>
              </w:rPr>
              <w:t>7.6.1</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履约保证金</w:t>
            </w:r>
          </w:p>
        </w:tc>
        <w:tc>
          <w:tcPr>
            <w:tcW w:w="5955" w:type="dxa"/>
            <w:tcBorders>
              <w:top w:val="single" w:color="auto" w:sz="4" w:space="0"/>
              <w:left w:val="nil"/>
              <w:bottom w:val="single" w:color="auto" w:sz="4" w:space="0"/>
              <w:right w:val="single" w:color="auto" w:sz="4" w:space="0"/>
            </w:tcBorders>
            <w:vAlign w:val="center"/>
          </w:tcPr>
          <w:p>
            <w:pPr>
              <w:pStyle w:val="12"/>
              <w:topLinePunct/>
              <w:spacing w:line="360" w:lineRule="auto"/>
              <w:ind w:left="40" w:leftChars="19" w:right="107" w:rightChars="51"/>
              <w:rPr>
                <w:rFonts w:hAnsi="宋体" w:cs="宋体"/>
                <w:color w:val="auto"/>
                <w:sz w:val="21"/>
                <w:szCs w:val="21"/>
                <w:highlight w:val="none"/>
              </w:rPr>
            </w:pPr>
            <w:r>
              <w:rPr>
                <w:rFonts w:hint="eastAsia" w:hAnsi="宋体" w:cs="宋体"/>
                <w:color w:val="auto"/>
                <w:sz w:val="21"/>
                <w:szCs w:val="21"/>
                <w:highlight w:val="none"/>
              </w:rPr>
              <w:t>是否要求中标人提交履约保证金：</w:t>
            </w:r>
          </w:p>
          <w:p>
            <w:pPr>
              <w:pStyle w:val="12"/>
              <w:topLinePunct/>
              <w:spacing w:line="360" w:lineRule="auto"/>
              <w:ind w:left="40" w:leftChars="19" w:right="107" w:rightChars="51"/>
              <w:rPr>
                <w:rFonts w:hAnsi="宋体" w:cs="宋体"/>
                <w:color w:val="auto"/>
                <w:sz w:val="21"/>
                <w:szCs w:val="21"/>
                <w:highlight w:val="none"/>
              </w:rPr>
            </w:pPr>
            <w:r>
              <w:rPr>
                <w:rFonts w:hint="eastAsia" w:ascii="宋体" w:hAnsi="宋体" w:cs="宋体"/>
                <w:color w:val="auto"/>
                <w:highlight w:val="none"/>
              </w:rPr>
              <w:t>□</w:t>
            </w:r>
            <w:r>
              <w:rPr>
                <w:rFonts w:hint="eastAsia" w:hAnsi="宋体" w:cs="宋体"/>
                <w:color w:val="auto"/>
                <w:sz w:val="21"/>
                <w:szCs w:val="21"/>
                <w:highlight w:val="none"/>
              </w:rPr>
              <w:t>要求，履约保证金的形式：</w:t>
            </w:r>
            <w:r>
              <w:rPr>
                <w:rFonts w:hint="eastAsia" w:hAnsi="宋体" w:cs="宋体"/>
                <w:color w:val="auto"/>
                <w:sz w:val="21"/>
                <w:szCs w:val="21"/>
                <w:highlight w:val="none"/>
                <w:u w:val="single"/>
              </w:rPr>
              <w:t>银行保函</w:t>
            </w:r>
            <w:r>
              <w:rPr>
                <w:rFonts w:hint="eastAsia" w:hAnsi="宋体" w:cs="宋体"/>
                <w:color w:val="auto"/>
                <w:sz w:val="21"/>
                <w:szCs w:val="21"/>
                <w:highlight w:val="none"/>
              </w:rPr>
              <w:t>；</w:t>
            </w:r>
          </w:p>
          <w:p>
            <w:pPr>
              <w:spacing w:line="360" w:lineRule="auto"/>
              <w:ind w:left="40" w:leftChars="19" w:right="107" w:rightChars="51" w:firstLine="840" w:firstLineChars="400"/>
              <w:rPr>
                <w:rFonts w:ascii="宋体" w:hAnsi="宋体" w:cs="宋体"/>
                <w:color w:val="auto"/>
                <w:highlight w:val="none"/>
              </w:rPr>
            </w:pPr>
            <w:r>
              <w:rPr>
                <w:rFonts w:hint="eastAsia" w:ascii="宋体" w:hAnsi="宋体" w:cs="宋体"/>
                <w:color w:val="auto"/>
                <w:highlight w:val="none"/>
              </w:rPr>
              <w:t>履约保证金的金额：</w:t>
            </w:r>
            <w:r>
              <w:rPr>
                <w:rFonts w:hint="eastAsia" w:ascii="宋体" w:hAnsi="宋体" w:cs="宋体"/>
                <w:color w:val="auto"/>
                <w:highlight w:val="none"/>
                <w:u w:val="single"/>
              </w:rPr>
              <w:t>中标价款的10%</w:t>
            </w:r>
            <w:r>
              <w:rPr>
                <w:rFonts w:hint="eastAsia" w:ascii="宋体" w:hAnsi="宋体" w:cs="宋体"/>
                <w:color w:val="auto"/>
                <w:highlight w:val="none"/>
              </w:rPr>
              <w:t>。</w:t>
            </w:r>
          </w:p>
          <w:p>
            <w:pPr>
              <w:keepNext/>
              <w:topLinePunct/>
              <w:ind w:right="174" w:rightChars="83"/>
              <w:rPr>
                <w:rFonts w:ascii="宋体" w:hAnsi="宋体" w:cs="宋体"/>
                <w:strike/>
                <w:color w:val="auto"/>
                <w:highlight w:val="none"/>
              </w:rPr>
            </w:pPr>
            <w:r>
              <w:rPr>
                <w:rFonts w:hint="eastAsia" w:hAnsi="宋体" w:cs="宋体"/>
                <w:color w:val="auto"/>
                <w:szCs w:val="21"/>
                <w:highlight w:val="none"/>
              </w:rPr>
              <w:t>■</w:t>
            </w:r>
            <w:r>
              <w:rPr>
                <w:rFonts w:hint="eastAsia" w:ascii="宋体" w:hAnsi="宋体" w:cs="宋体"/>
                <w:color w:val="auto"/>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9</w:t>
            </w:r>
          </w:p>
        </w:tc>
        <w:tc>
          <w:tcPr>
            <w:tcW w:w="2738"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是否采用电子招标投标</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是，具体要求：</w:t>
            </w:r>
          </w:p>
          <w:p>
            <w:pPr>
              <w:keepNext/>
              <w:spacing w:line="360" w:lineRule="auto"/>
              <w:rPr>
                <w:rFonts w:ascii="宋体" w:hAnsi="宋体" w:cs="宋体"/>
                <w:b/>
                <w:color w:val="auto"/>
                <w:highlight w:val="none"/>
              </w:rPr>
            </w:pPr>
            <w:r>
              <w:rPr>
                <w:rFonts w:hint="eastAsia" w:ascii="宋体" w:hAnsi="宋体" w:cs="宋体"/>
                <w:color w:val="auto"/>
                <w:highlight w:val="none"/>
              </w:rPr>
              <w:t>1.具体操作详见广州公共资源交易中心发布的最新指引。</w:t>
            </w:r>
          </w:p>
          <w:p>
            <w:pPr>
              <w:spacing w:line="360" w:lineRule="auto"/>
              <w:rPr>
                <w:rFonts w:ascii="宋体" w:hAnsi="宋体" w:cs="宋体"/>
                <w:color w:val="auto"/>
                <w:highlight w:val="none"/>
              </w:rPr>
            </w:pPr>
            <w:r>
              <w:rPr>
                <w:rFonts w:hint="eastAsia" w:ascii="宋体" w:hAnsi="宋体" w:cs="宋体"/>
                <w:color w:val="auto"/>
                <w:highlight w:val="none"/>
              </w:rPr>
              <w:t>2.现场提交投标文件光盘备用</w:t>
            </w:r>
          </w:p>
          <w:p>
            <w:pPr>
              <w:spacing w:line="360" w:lineRule="auto"/>
              <w:rPr>
                <w:rFonts w:ascii="宋体" w:hAnsi="宋体" w:cs="宋体"/>
                <w:color w:val="auto"/>
                <w:highlight w:val="none"/>
              </w:rPr>
            </w:pPr>
            <w:r>
              <w:rPr>
                <w:rFonts w:hint="eastAsia" w:ascii="宋体" w:hAnsi="宋体" w:cs="宋体"/>
                <w:color w:val="auto"/>
                <w:highlight w:val="none"/>
              </w:rPr>
              <w:t>投标人将按广州公共资源交易中心发布的最新指引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spacing w:line="360" w:lineRule="auto"/>
              <w:rPr>
                <w:rFonts w:ascii="宋体" w:hAnsi="宋体" w:cs="宋体"/>
                <w:color w:val="auto"/>
                <w:highlight w:val="none"/>
              </w:rPr>
            </w:pPr>
            <w:r>
              <w:rPr>
                <w:rFonts w:hint="eastAsia" w:ascii="宋体" w:hAnsi="宋体" w:cs="宋体"/>
                <w:color w:val="auto"/>
                <w:highlight w:val="none"/>
              </w:rPr>
              <w:t>3.补救方案</w:t>
            </w:r>
          </w:p>
          <w:p>
            <w:pPr>
              <w:spacing w:line="360" w:lineRule="auto"/>
              <w:rPr>
                <w:rFonts w:ascii="宋体" w:hAnsi="宋体" w:cs="宋体"/>
                <w:color w:val="auto"/>
                <w:highlight w:val="none"/>
              </w:rPr>
            </w:pPr>
            <w:r>
              <w:rPr>
                <w:rFonts w:hint="eastAsia" w:ascii="宋体" w:hAnsi="宋体" w:cs="宋体"/>
                <w:color w:val="auto"/>
                <w:highlight w:val="none"/>
              </w:rPr>
              <w:t>（1）投标文件解密失败的补救方案：</w:t>
            </w:r>
          </w:p>
          <w:p>
            <w:pPr>
              <w:spacing w:line="360" w:lineRule="auto"/>
              <w:rPr>
                <w:rFonts w:ascii="宋体" w:hAnsi="宋体" w:cs="宋体"/>
                <w:color w:val="auto"/>
                <w:highlight w:val="none"/>
              </w:rPr>
            </w:pPr>
            <w:r>
              <w:rPr>
                <w:rFonts w:hint="eastAsia" w:ascii="宋体" w:hAnsi="宋体" w:cs="宋体"/>
                <w:color w:val="auto"/>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cs="宋体"/>
                <w:color w:val="auto"/>
                <w:highlight w:val="none"/>
              </w:rPr>
            </w:pPr>
            <w:r>
              <w:rPr>
                <w:rFonts w:hint="eastAsia" w:ascii="宋体" w:hAnsi="宋体" w:cs="宋体"/>
                <w:color w:val="auto"/>
                <w:highlight w:val="none"/>
              </w:rPr>
              <w:t>（2）评标时突发情况的补救方案</w:t>
            </w:r>
          </w:p>
          <w:p>
            <w:pPr>
              <w:spacing w:line="360" w:lineRule="auto"/>
              <w:rPr>
                <w:rFonts w:ascii="宋体" w:hAnsi="宋体" w:cs="宋体"/>
                <w:color w:val="auto"/>
                <w:highlight w:val="none"/>
              </w:rPr>
            </w:pPr>
            <w:r>
              <w:rPr>
                <w:rFonts w:hint="eastAsia" w:ascii="宋体" w:hAnsi="宋体" w:cs="宋体"/>
                <w:color w:val="auto"/>
                <w:highlight w:val="none"/>
              </w:rPr>
              <w:t>若遇不可抗力发生（如：网络瘫痪、服务器损坏、交易系统故障短期无法恢复等因素），由评标委员会开启现场递交的全部投标文件光盘，并按光盘内容进行评审。</w:t>
            </w:r>
          </w:p>
          <w:p>
            <w:pPr>
              <w:spacing w:line="360" w:lineRule="auto"/>
              <w:rPr>
                <w:rFonts w:ascii="宋体" w:hAnsi="宋体" w:cs="宋体"/>
                <w:color w:val="auto"/>
                <w:highlight w:val="none"/>
              </w:rPr>
            </w:pPr>
            <w:r>
              <w:rPr>
                <w:rFonts w:hint="eastAsia" w:ascii="宋体" w:hAnsi="宋体" w:cs="宋体"/>
                <w:color w:val="auto"/>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10</w:t>
            </w:r>
          </w:p>
        </w:tc>
        <w:tc>
          <w:tcPr>
            <w:tcW w:w="8693"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10.1</w:t>
            </w:r>
          </w:p>
        </w:tc>
        <w:tc>
          <w:tcPr>
            <w:tcW w:w="27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招标失败的情形</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本项目递交投标文件或初步评审通过的投标申请人不足3名时为招标失败。招标人分析招标失败原因，修正招标方案，报有关管理部门核准后，重新组织招标。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10.2</w:t>
            </w:r>
          </w:p>
        </w:tc>
        <w:tc>
          <w:tcPr>
            <w:tcW w:w="27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招标人拒绝接收备用投标文件电子光盘的情况</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1.投标人在投标截止期后逾期或未在指定地点递交备用投标文件电子光盘的；</w:t>
            </w:r>
          </w:p>
          <w:p>
            <w:pPr>
              <w:spacing w:line="360" w:lineRule="auto"/>
              <w:rPr>
                <w:rFonts w:ascii="宋体" w:hAnsi="宋体" w:cs="宋体"/>
                <w:color w:val="auto"/>
                <w:highlight w:val="none"/>
              </w:rPr>
            </w:pPr>
            <w:r>
              <w:rPr>
                <w:rFonts w:hint="eastAsia" w:ascii="宋体" w:hAnsi="宋体" w:cs="宋体"/>
                <w:color w:val="auto"/>
                <w:highlight w:val="none"/>
              </w:rPr>
              <w:t>2.投标人递交的备用投标文件电子光盘未按招标文件要求密封或未在密封处盖章的；</w:t>
            </w:r>
          </w:p>
          <w:p>
            <w:pPr>
              <w:spacing w:line="360" w:lineRule="auto"/>
              <w:rPr>
                <w:rFonts w:ascii="宋体" w:hAnsi="宋体" w:cs="宋体"/>
                <w:color w:val="auto"/>
                <w:highlight w:val="none"/>
              </w:rPr>
            </w:pPr>
            <w:r>
              <w:rPr>
                <w:rFonts w:hint="eastAsia" w:ascii="宋体" w:hAnsi="宋体" w:cs="宋体"/>
                <w:color w:val="auto"/>
                <w:highlight w:val="none"/>
              </w:rPr>
              <w:t>3.投标人代表未凭法定代表人证明书原件、授权委托书原件（仅限于非法定代表人）、本人身份证原件按要求递交备用投标文件电子光盘的；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10.3</w:t>
            </w:r>
          </w:p>
        </w:tc>
        <w:tc>
          <w:tcPr>
            <w:tcW w:w="2738" w:type="dxa"/>
            <w:tcBorders>
              <w:top w:val="single" w:color="auto" w:sz="4" w:space="0"/>
              <w:left w:val="nil"/>
              <w:bottom w:val="single" w:color="auto" w:sz="4" w:space="0"/>
              <w:right w:val="single" w:color="auto" w:sz="4" w:space="0"/>
            </w:tcBorders>
            <w:vAlign w:val="center"/>
          </w:tcPr>
          <w:p>
            <w:pPr>
              <w:spacing w:line="360" w:lineRule="auto"/>
              <w:ind w:right="174" w:rightChars="83"/>
              <w:jc w:val="center"/>
              <w:rPr>
                <w:rFonts w:ascii="宋体" w:hAnsi="宋体" w:cs="宋体"/>
                <w:color w:val="auto"/>
                <w:highlight w:val="none"/>
              </w:rPr>
            </w:pPr>
            <w:r>
              <w:rPr>
                <w:rFonts w:hint="eastAsia" w:ascii="宋体" w:hAnsi="宋体" w:cs="宋体"/>
                <w:color w:val="auto"/>
                <w:highlight w:val="none"/>
              </w:rPr>
              <w:t>否决投标条款</w:t>
            </w:r>
          </w:p>
        </w:tc>
        <w:tc>
          <w:tcPr>
            <w:tcW w:w="5955" w:type="dxa"/>
            <w:tcBorders>
              <w:top w:val="single" w:color="auto" w:sz="4" w:space="0"/>
              <w:left w:val="nil"/>
              <w:bottom w:val="single" w:color="auto" w:sz="4" w:space="0"/>
              <w:right w:val="single" w:color="auto" w:sz="4" w:space="0"/>
            </w:tcBorders>
            <w:vAlign w:val="center"/>
          </w:tcPr>
          <w:p>
            <w:pPr>
              <w:spacing w:line="360" w:lineRule="auto"/>
              <w:rPr>
                <w:rFonts w:ascii="宋体" w:hAnsi="宋体" w:cs="宋体"/>
                <w:color w:val="auto"/>
                <w:highlight w:val="none"/>
              </w:rPr>
            </w:pPr>
            <w:r>
              <w:rPr>
                <w:rFonts w:hint="eastAsia" w:ascii="宋体" w:hAnsi="宋体" w:cs="宋体"/>
                <w:color w:val="auto"/>
                <w:highlight w:val="none"/>
              </w:rPr>
              <w:t>否决投标条款：</w:t>
            </w:r>
          </w:p>
          <w:p>
            <w:pPr>
              <w:spacing w:line="360" w:lineRule="auto"/>
              <w:rPr>
                <w:rFonts w:ascii="宋体" w:hAnsi="宋体" w:cs="宋体"/>
                <w:color w:val="auto"/>
                <w:highlight w:val="none"/>
              </w:rPr>
            </w:pPr>
            <w:r>
              <w:rPr>
                <w:rFonts w:hint="eastAsia" w:ascii="宋体" w:hAnsi="宋体" w:cs="宋体"/>
                <w:color w:val="auto"/>
                <w:highlight w:val="none"/>
              </w:rPr>
              <w:t>1.在投标截止期后逾期或未在广州公共资源交易中心数字交易平台（http://www.gzggzy.cn）递交电子投标文件的，电子招标投标交易平台将拒绝接收其投标文件。</w:t>
            </w:r>
          </w:p>
          <w:p>
            <w:pPr>
              <w:spacing w:line="360" w:lineRule="auto"/>
              <w:rPr>
                <w:rFonts w:ascii="宋体" w:hAnsi="宋体" w:cs="宋体"/>
                <w:color w:val="auto"/>
                <w:highlight w:val="none"/>
              </w:rPr>
            </w:pPr>
            <w:r>
              <w:rPr>
                <w:rFonts w:hint="eastAsia" w:ascii="宋体" w:hAnsi="宋体" w:cs="宋体"/>
                <w:color w:val="auto"/>
                <w:highlight w:val="none"/>
              </w:rPr>
              <w:t>2.投标人未按招标文件要求提供附件或未按要求加盖电子印章及签名的，经评标委员会认定后，其投标文件将被否决。</w:t>
            </w:r>
          </w:p>
          <w:p>
            <w:pPr>
              <w:spacing w:line="360" w:lineRule="auto"/>
              <w:rPr>
                <w:rFonts w:ascii="宋体" w:hAnsi="宋体" w:cs="宋体"/>
                <w:color w:val="auto"/>
                <w:highlight w:val="none"/>
              </w:rPr>
            </w:pPr>
            <w:r>
              <w:rPr>
                <w:rFonts w:hint="eastAsia" w:ascii="宋体" w:hAnsi="宋体" w:cs="宋体"/>
                <w:color w:val="auto"/>
                <w:highlight w:val="none"/>
              </w:rPr>
              <w:t>3.投标人没有按要求提供投标保证金的，经评标委员会认定后，其投标文件将被否决。</w:t>
            </w:r>
          </w:p>
          <w:p>
            <w:pPr>
              <w:spacing w:line="360" w:lineRule="auto"/>
              <w:rPr>
                <w:rFonts w:ascii="宋体" w:hAnsi="宋体" w:cs="宋体"/>
                <w:color w:val="auto"/>
                <w:highlight w:val="none"/>
              </w:rPr>
            </w:pPr>
            <w:r>
              <w:rPr>
                <w:rFonts w:hint="eastAsia" w:ascii="宋体" w:hAnsi="宋体" w:cs="宋体"/>
                <w:color w:val="auto"/>
                <w:highlight w:val="none"/>
              </w:rPr>
              <w:t>4.投标文件中投标报价高于最高投标限价的，其投标文件将被否决。</w:t>
            </w:r>
          </w:p>
          <w:p>
            <w:pPr>
              <w:spacing w:line="360" w:lineRule="auto"/>
              <w:rPr>
                <w:rFonts w:ascii="宋体" w:hAnsi="宋体" w:cs="宋体"/>
                <w:color w:val="auto"/>
                <w:highlight w:val="none"/>
              </w:rPr>
            </w:pPr>
            <w:r>
              <w:rPr>
                <w:rFonts w:hint="eastAsia" w:ascii="宋体" w:hAnsi="宋体" w:cs="宋体"/>
                <w:color w:val="auto"/>
                <w:highlight w:val="none"/>
              </w:rPr>
              <w:t>5.按投标报价的算术校核原则及方法调整或修正投标文件的投标报价，调整后的投标报价对投标人起约束作用。如果投标人不接受修正后的报价，则取消其中标资格，并且其投标保证金也将被没收。</w:t>
            </w:r>
          </w:p>
          <w:p>
            <w:pPr>
              <w:spacing w:line="360" w:lineRule="auto"/>
              <w:rPr>
                <w:rFonts w:ascii="宋体" w:hAnsi="宋体" w:cs="宋体"/>
                <w:color w:val="auto"/>
                <w:highlight w:val="none"/>
              </w:rPr>
            </w:pPr>
            <w:r>
              <w:rPr>
                <w:rFonts w:hint="eastAsia" w:ascii="宋体" w:hAnsi="宋体" w:cs="宋体"/>
                <w:color w:val="auto"/>
                <w:highlight w:val="none"/>
              </w:rPr>
              <w:t>6.资审合格后，投标人的资格发生变化而不满足投标人合格条件，在发出中标通知书前，资格问题仍未解决的，招标人将取消其中标资格。</w:t>
            </w:r>
          </w:p>
          <w:p>
            <w:pPr>
              <w:spacing w:line="360" w:lineRule="auto"/>
              <w:rPr>
                <w:rFonts w:ascii="宋体" w:hAnsi="宋体" w:cs="宋体"/>
                <w:color w:val="auto"/>
                <w:highlight w:val="none"/>
              </w:rPr>
            </w:pPr>
            <w:r>
              <w:rPr>
                <w:rFonts w:hint="eastAsia" w:ascii="宋体" w:hAnsi="宋体" w:cs="宋体"/>
                <w:color w:val="auto"/>
                <w:highlight w:val="none"/>
              </w:rPr>
              <w:t>7.投标人如在本项目中存在串通投标、弄虚作假、行贿情形的，中标无效，该投标人将被招标人列入黑名单并限制其投标。行政监督部门将对其违法行为进行政处罚并通报。</w:t>
            </w:r>
          </w:p>
          <w:p>
            <w:pPr>
              <w:spacing w:line="360" w:lineRule="auto"/>
              <w:ind w:left="38" w:leftChars="17" w:hanging="2" w:hangingChars="1"/>
              <w:rPr>
                <w:rFonts w:ascii="宋体" w:hAnsi="宋体" w:cs="宋体"/>
                <w:color w:val="auto"/>
                <w:highlight w:val="none"/>
              </w:rPr>
            </w:pPr>
            <w:r>
              <w:rPr>
                <w:rFonts w:hint="eastAsia" w:ascii="宋体" w:hAnsi="宋体" w:cs="宋体"/>
                <w:color w:val="auto"/>
                <w:highlight w:val="none"/>
              </w:rPr>
              <w:t>8.投标文件符合列于《评标办法前附表》“形式评审标准”“资格评审标准”“响应性评审标准”中所有情形的，为有效投标文件。任一情形不符合均为无效投标文件，经评标委员会认定后，其投标文件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pStyle w:val="87"/>
              <w:snapToGrid w:val="0"/>
              <w:spacing w:line="360" w:lineRule="auto"/>
              <w:jc w:val="center"/>
              <w:rPr>
                <w:color w:val="auto"/>
                <w:highlight w:val="none"/>
              </w:rPr>
            </w:pPr>
            <w:r>
              <w:rPr>
                <w:rFonts w:hint="eastAsia"/>
                <w:color w:val="auto"/>
                <w:highlight w:val="none"/>
              </w:rPr>
              <w:t>10.4</w:t>
            </w:r>
          </w:p>
        </w:tc>
        <w:tc>
          <w:tcPr>
            <w:tcW w:w="2738" w:type="dxa"/>
            <w:tcBorders>
              <w:top w:val="single" w:color="auto" w:sz="4" w:space="0"/>
              <w:left w:val="nil"/>
              <w:bottom w:val="single" w:color="auto" w:sz="4" w:space="0"/>
              <w:right w:val="single" w:color="auto" w:sz="4" w:space="0"/>
            </w:tcBorders>
            <w:vAlign w:val="center"/>
          </w:tcPr>
          <w:p>
            <w:pPr>
              <w:pStyle w:val="87"/>
              <w:snapToGrid w:val="0"/>
              <w:spacing w:line="360" w:lineRule="auto"/>
              <w:jc w:val="center"/>
              <w:rPr>
                <w:color w:val="auto"/>
                <w:highlight w:val="none"/>
              </w:rPr>
            </w:pPr>
            <w:r>
              <w:rPr>
                <w:rFonts w:hint="eastAsia"/>
                <w:color w:val="auto"/>
                <w:highlight w:val="none"/>
              </w:rPr>
              <w:t>其他</w:t>
            </w:r>
          </w:p>
        </w:tc>
        <w:tc>
          <w:tcPr>
            <w:tcW w:w="5955" w:type="dxa"/>
            <w:tcBorders>
              <w:top w:val="single" w:color="auto" w:sz="4" w:space="0"/>
              <w:left w:val="nil"/>
              <w:bottom w:val="single" w:color="auto" w:sz="4" w:space="0"/>
              <w:right w:val="single" w:color="auto" w:sz="4" w:space="0"/>
            </w:tcBorders>
            <w:vAlign w:val="center"/>
          </w:tcPr>
          <w:p>
            <w:pPr>
              <w:pStyle w:val="87"/>
              <w:snapToGrid w:val="0"/>
              <w:spacing w:line="360" w:lineRule="auto"/>
              <w:rPr>
                <w:highlight w:val="none"/>
              </w:rPr>
            </w:pPr>
            <w:r>
              <w:rPr>
                <w:rFonts w:hint="eastAsia"/>
                <w:highlight w:val="none"/>
              </w:rPr>
              <w:t>1.在产生中标候选人后，招标人将中标候选人的投标文件商务部分的电子版（报价清单、方案等涉及商业秘密的内容除外）在广州公共资源交易中心网站公开。招标人在公示前应对中标候选人提交的电子文件内容进行核对，确定电子文件内容是否与中标候选人提交的纸质投标文件内容一致。若电子文件内容与中标候选人提交的纸质投标文件内容不一致或不完整的，中标候选人应补充或修改电子文件后公开。</w:t>
            </w:r>
          </w:p>
          <w:p>
            <w:pPr>
              <w:spacing w:line="360" w:lineRule="auto"/>
              <w:rPr>
                <w:rFonts w:hint="eastAsia" w:eastAsia="方正书宋简体"/>
                <w:highlight w:val="none"/>
                <w:lang w:val="en-US" w:eastAsia="zh-CN"/>
              </w:rPr>
            </w:pPr>
            <w:r>
              <w:rPr>
                <w:rFonts w:hint="eastAsia"/>
                <w:highlight w:val="none"/>
              </w:rPr>
              <w:t>2.中标人应向广州公共资源交易中心缴纳公共资源交易服务费，此费用包含在投标报价当中。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040" w:type="dxa"/>
            <w:tcBorders>
              <w:top w:val="single" w:color="auto" w:sz="4" w:space="0"/>
              <w:left w:val="single" w:color="auto" w:sz="4" w:space="0"/>
              <w:bottom w:val="single" w:color="auto" w:sz="4" w:space="0"/>
              <w:right w:val="single" w:color="auto" w:sz="4" w:space="0"/>
            </w:tcBorders>
            <w:vAlign w:val="center"/>
          </w:tcPr>
          <w:p>
            <w:pPr>
              <w:pStyle w:val="87"/>
              <w:snapToGrid w:val="0"/>
              <w:spacing w:line="360" w:lineRule="auto"/>
              <w:jc w:val="center"/>
              <w:rPr>
                <w:color w:val="auto"/>
                <w:highlight w:val="none"/>
              </w:rPr>
            </w:pPr>
            <w:r>
              <w:rPr>
                <w:rFonts w:hint="eastAsia"/>
                <w:color w:val="auto"/>
                <w:highlight w:val="none"/>
              </w:rPr>
              <w:t>10.5</w:t>
            </w:r>
          </w:p>
        </w:tc>
        <w:tc>
          <w:tcPr>
            <w:tcW w:w="2738" w:type="dxa"/>
            <w:tcBorders>
              <w:top w:val="single" w:color="auto" w:sz="4" w:space="0"/>
              <w:left w:val="nil"/>
              <w:bottom w:val="single" w:color="auto" w:sz="4" w:space="0"/>
              <w:right w:val="single" w:color="auto" w:sz="4" w:space="0"/>
            </w:tcBorders>
            <w:vAlign w:val="center"/>
          </w:tcPr>
          <w:p>
            <w:pPr>
              <w:pStyle w:val="87"/>
              <w:snapToGrid w:val="0"/>
              <w:spacing w:line="360" w:lineRule="auto"/>
              <w:jc w:val="center"/>
              <w:rPr>
                <w:color w:val="auto"/>
                <w:highlight w:val="none"/>
              </w:rPr>
            </w:pPr>
            <w:r>
              <w:rPr>
                <w:rFonts w:hint="eastAsia"/>
                <w:color w:val="auto"/>
                <w:highlight w:val="none"/>
              </w:rPr>
              <w:t>纸质投标文件</w:t>
            </w:r>
          </w:p>
        </w:tc>
        <w:tc>
          <w:tcPr>
            <w:tcW w:w="5955" w:type="dxa"/>
            <w:tcBorders>
              <w:top w:val="single" w:color="auto" w:sz="4" w:space="0"/>
              <w:left w:val="nil"/>
              <w:bottom w:val="single" w:color="auto" w:sz="4" w:space="0"/>
              <w:right w:val="single" w:color="auto" w:sz="4" w:space="0"/>
            </w:tcBorders>
            <w:vAlign w:val="center"/>
          </w:tcPr>
          <w:p>
            <w:pPr>
              <w:pStyle w:val="87"/>
              <w:snapToGrid w:val="0"/>
              <w:spacing w:line="360" w:lineRule="auto"/>
              <w:rPr>
                <w:color w:val="auto"/>
                <w:highlight w:val="none"/>
              </w:rPr>
            </w:pPr>
            <w:r>
              <w:rPr>
                <w:rFonts w:hint="eastAsia"/>
                <w:color w:val="auto"/>
                <w:highlight w:val="none"/>
              </w:rPr>
              <w:t>中标候选人公示结束后3天内中标人需将在广州公共资源交易中心网站下载的投标文件打印，投标文件需与中标人在广州公共资源交易中心网站提交的投标文件一致，并提供给招标人，相关费用由中标人支付。</w:t>
            </w:r>
          </w:p>
        </w:tc>
      </w:tr>
    </w:tbl>
    <w:p>
      <w:pPr>
        <w:spacing w:line="480" w:lineRule="auto"/>
        <w:jc w:val="left"/>
        <w:rPr>
          <w:rFonts w:ascii="宋体" w:hAnsi="宋体" w:cs="宋体"/>
          <w:b/>
          <w:color w:val="auto"/>
          <w:highlight w:val="none"/>
        </w:rPr>
      </w:pPr>
      <w:r>
        <w:rPr>
          <w:rFonts w:hint="eastAsia" w:ascii="宋体" w:hAnsi="宋体" w:cs="宋体"/>
          <w:color w:val="auto"/>
          <w:sz w:val="24"/>
          <w:szCs w:val="24"/>
          <w:highlight w:val="none"/>
        </w:rPr>
        <w:br w:type="page"/>
      </w:r>
      <w:bookmarkStart w:id="30" w:name="_Toc514170121"/>
      <w:bookmarkEnd w:id="30"/>
      <w:bookmarkStart w:id="31" w:name="_Toc9855"/>
      <w:bookmarkEnd w:id="31"/>
      <w:bookmarkStart w:id="32" w:name="_Toc25165"/>
      <w:bookmarkEnd w:id="32"/>
      <w:bookmarkStart w:id="33" w:name="_Toc20776"/>
      <w:bookmarkEnd w:id="33"/>
      <w:bookmarkStart w:id="34" w:name="_Toc30533"/>
      <w:bookmarkEnd w:id="34"/>
      <w:bookmarkStart w:id="35" w:name="_Toc13444"/>
      <w:bookmarkEnd w:id="35"/>
      <w:bookmarkStart w:id="36" w:name="_Toc7526"/>
      <w:r>
        <w:rPr>
          <w:rFonts w:hint="eastAsia" w:ascii="宋体" w:hAnsi="宋体" w:cs="宋体"/>
          <w:b/>
          <w:bCs/>
          <w:color w:val="auto"/>
          <w:highlight w:val="none"/>
        </w:rPr>
        <w:t>1.</w:t>
      </w:r>
      <w:bookmarkEnd w:id="36"/>
      <w:r>
        <w:rPr>
          <w:rFonts w:hint="eastAsia" w:ascii="宋体" w:hAnsi="宋体" w:cs="宋体"/>
          <w:b/>
          <w:color w:val="auto"/>
          <w:highlight w:val="none"/>
        </w:rPr>
        <w:t xml:space="preserve">总则 </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 xml:space="preserve">1.1 招标项目概况                        </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根据《中华人民共和国招标投标法》、《中华人民共和国招标投标法实施条例》等有关法律、法规和规章的规定，本招标项目已具备招标条件，现对代建进行招标。</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1.1.2 招标人：见投标人须知前附表。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1.1.3 招标代理机构：见投标人须知前附表。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1.1.4 招标项目名称：见投标人须知前附表。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1.1.5 项目建设地点：见投标人须知前附表。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1.1.6 项目建设规模：见投标人须知前附表。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1.1.7 工程项目施工预计开工日期和建设周期：见投标人须知前附表。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1.1.8 建筑安装工程费/工程概算：见投标人须知前附表。</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1.2 招标项目的资金来源和落实情况</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1.2.1 资金来源及比例：见投标人须知前附表。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1.2.2 资金落实情况：见投标人须知前附表。</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1.3 招标范围、代建服务期和质量标准</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1.3.1 招标范围：见投标人须知前附表。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1.3.2代建服务期：见投标人须知前附表。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1.3.3 质量标准：见投标人须知前附表。</w:t>
      </w:r>
    </w:p>
    <w:p>
      <w:pPr>
        <w:spacing w:before="8" w:line="480" w:lineRule="auto"/>
        <w:jc w:val="left"/>
        <w:rPr>
          <w:rFonts w:ascii="宋体" w:hAnsi="宋体" w:cs="宋体"/>
          <w:color w:val="auto"/>
          <w:highlight w:val="none"/>
        </w:rPr>
      </w:pPr>
      <w:r>
        <w:rPr>
          <w:rFonts w:hint="eastAsia" w:ascii="宋体" w:hAnsi="宋体" w:cs="宋体"/>
          <w:color w:val="auto"/>
          <w:highlight w:val="none"/>
        </w:rPr>
        <w:t xml:space="preserve"> 1.4 投标人资格要求</w:t>
      </w:r>
    </w:p>
    <w:p>
      <w:pPr>
        <w:spacing w:before="3" w:line="480" w:lineRule="auto"/>
        <w:jc w:val="left"/>
        <w:rPr>
          <w:rFonts w:ascii="宋体" w:hAnsi="宋体" w:cs="宋体"/>
          <w:color w:val="auto"/>
          <w:highlight w:val="none"/>
        </w:rPr>
      </w:pPr>
      <w:r>
        <w:rPr>
          <w:rFonts w:hint="eastAsia" w:ascii="宋体" w:hAnsi="宋体" w:cs="宋体"/>
          <w:color w:val="auto"/>
          <w:highlight w:val="none"/>
        </w:rPr>
        <w:t xml:space="preserve">    1.4.1 投标人应具备承担本招标项目资质条件、能力和信誉：</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（1）资质要求：见投标人须知前附表；</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（2）财务要求：见投标人须知前附表；</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（3）业绩要求：见投标人须知前附表；</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（4）信誉要求：见投标人须知前附表；</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（5）项目负责人的资格要求：见投标人须知前附表；</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（6）其他主要人员要求：见投标人须知前附表。</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（7）试验检测仪器设备要求：见投标人须知前附表。</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（8）其他要求：见投标人须知前附表。需要提交的相关证明材料见本章第 3.5 款的规定。</w:t>
      </w:r>
    </w:p>
    <w:p>
      <w:pPr>
        <w:autoSpaceDE w:val="0"/>
        <w:spacing w:before="39" w:line="480" w:lineRule="auto"/>
        <w:ind w:firstLine="42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 1.4.1 项和投标人须知前附表的要求外，还应遵守以下规定：</w:t>
      </w:r>
    </w:p>
    <w:p>
      <w:pPr>
        <w:autoSpaceDE w:val="0"/>
        <w:spacing w:before="11" w:line="480" w:lineRule="auto"/>
        <w:ind w:left="100" w:right="43" w:firstLine="314"/>
        <w:jc w:val="left"/>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（1）联合体各方应按招标文件提供的格式签订联合体协议书，明确联合体牵头人和各方权利义务，并承诺就中标项目向招标人承担连带责任；</w:t>
      </w:r>
    </w:p>
    <w:p>
      <w:pPr>
        <w:autoSpaceDE w:val="0"/>
        <w:spacing w:before="6" w:line="480" w:lineRule="auto"/>
        <w:ind w:left="415" w:right="-20"/>
        <w:jc w:val="left"/>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pPr>
        <w:autoSpaceDE w:val="0"/>
        <w:spacing w:before="39" w:line="480" w:lineRule="auto"/>
        <w:ind w:left="100" w:right="43" w:firstLine="314"/>
        <w:jc w:val="left"/>
        <w:rPr>
          <w:rFonts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（3）联合体各方不得再以自己名义单独或参加其他联合体在本招标项目中投标，否则各相关投标均无效。</w:t>
      </w:r>
    </w:p>
    <w:p>
      <w:pPr>
        <w:autoSpaceDE w:val="0"/>
        <w:spacing w:before="6" w:line="480" w:lineRule="auto"/>
        <w:ind w:left="520" w:right="-20"/>
        <w:jc w:val="left"/>
        <w:rPr>
          <w:rFonts w:ascii="宋体" w:hAnsi="宋体" w:cs="宋体"/>
          <w:color w:val="auto"/>
          <w:highlight w:val="none"/>
        </w:rPr>
      </w:pPr>
      <w:r>
        <w:rPr>
          <w:rFonts w:hint="eastAsia" w:ascii="宋体" w:hAnsi="宋体" w:cs="宋体"/>
          <w:color w:val="auto"/>
          <w:highlight w:val="none"/>
        </w:rPr>
        <w:t>1.4.3 投标人不得存在下列情形之一：</w:t>
      </w:r>
    </w:p>
    <w:p>
      <w:pPr>
        <w:autoSpaceDE w:val="0"/>
        <w:spacing w:before="39" w:line="480" w:lineRule="auto"/>
        <w:ind w:left="520" w:right="-20"/>
        <w:jc w:val="left"/>
        <w:rPr>
          <w:rFonts w:ascii="宋体" w:hAnsi="宋体" w:cs="宋体"/>
          <w:color w:val="auto"/>
          <w:highlight w:val="none"/>
        </w:rPr>
      </w:pPr>
      <w:r>
        <w:rPr>
          <w:rFonts w:hint="eastAsia" w:ascii="宋体" w:hAnsi="宋体" w:cs="宋体"/>
          <w:color w:val="auto"/>
          <w:highlight w:val="none"/>
        </w:rPr>
        <w:t>（1）为招标人不具有独立法人资格的附属机构（单位）；</w:t>
      </w:r>
    </w:p>
    <w:p>
      <w:pPr>
        <w:autoSpaceDE w:val="0"/>
        <w:spacing w:before="39" w:line="480" w:lineRule="auto"/>
        <w:ind w:left="520" w:right="-20"/>
        <w:jc w:val="left"/>
        <w:rPr>
          <w:rFonts w:ascii="宋体" w:hAnsi="宋体" w:cs="宋体"/>
          <w:color w:val="auto"/>
          <w:highlight w:val="none"/>
        </w:rPr>
      </w:pPr>
      <w:r>
        <w:rPr>
          <w:rFonts w:hint="eastAsia" w:ascii="宋体" w:hAnsi="宋体" w:cs="宋体"/>
          <w:color w:val="auto"/>
          <w:highlight w:val="none"/>
        </w:rPr>
        <w:t>（2）与招标人存在利害关系且可能影响招标公正性；</w:t>
      </w:r>
    </w:p>
    <w:p>
      <w:pPr>
        <w:autoSpaceDE w:val="0"/>
        <w:spacing w:before="37" w:line="480" w:lineRule="auto"/>
        <w:ind w:left="520" w:right="-20"/>
        <w:jc w:val="left"/>
        <w:rPr>
          <w:rFonts w:ascii="宋体" w:hAnsi="宋体" w:cs="宋体"/>
          <w:color w:val="auto"/>
          <w:highlight w:val="none"/>
        </w:rPr>
      </w:pPr>
      <w:r>
        <w:rPr>
          <w:rFonts w:hint="eastAsia" w:ascii="宋体" w:hAnsi="宋体" w:cs="宋体"/>
          <w:color w:val="auto"/>
          <w:highlight w:val="none"/>
        </w:rPr>
        <w:t>（3）与本招标项目的其他投标人为同一个单位负责人；</w:t>
      </w:r>
    </w:p>
    <w:p>
      <w:pPr>
        <w:autoSpaceDE w:val="0"/>
        <w:spacing w:before="40" w:line="480" w:lineRule="auto"/>
        <w:ind w:left="520" w:right="-20"/>
        <w:jc w:val="left"/>
        <w:rPr>
          <w:rFonts w:ascii="宋体" w:hAnsi="宋体" w:cs="宋体"/>
          <w:color w:val="auto"/>
          <w:highlight w:val="none"/>
        </w:rPr>
      </w:pPr>
      <w:r>
        <w:rPr>
          <w:rFonts w:hint="eastAsia" w:ascii="宋体" w:hAnsi="宋体" w:cs="宋体"/>
          <w:color w:val="auto"/>
          <w:highlight w:val="none"/>
        </w:rPr>
        <w:t>（4）与本招标项目的其他投标人存在控股、管理关系；</w:t>
      </w:r>
    </w:p>
    <w:p>
      <w:pPr>
        <w:autoSpaceDE w:val="0"/>
        <w:spacing w:before="39" w:line="480" w:lineRule="auto"/>
        <w:ind w:left="520" w:right="-20"/>
        <w:jc w:val="left"/>
        <w:rPr>
          <w:rFonts w:ascii="宋体" w:hAnsi="宋体" w:cs="宋体"/>
          <w:color w:val="auto"/>
          <w:highlight w:val="none"/>
        </w:rPr>
      </w:pPr>
      <w:r>
        <w:rPr>
          <w:rFonts w:hint="eastAsia" w:ascii="宋体" w:hAnsi="宋体" w:cs="宋体"/>
          <w:color w:val="auto"/>
          <w:highlight w:val="none"/>
        </w:rPr>
        <w:t>（5）为本招标项目的招标代理机构；</w:t>
      </w:r>
    </w:p>
    <w:p>
      <w:pPr>
        <w:autoSpaceDE w:val="0"/>
        <w:spacing w:before="39" w:line="480" w:lineRule="auto"/>
        <w:ind w:left="520" w:right="-20"/>
        <w:jc w:val="left"/>
        <w:rPr>
          <w:rFonts w:ascii="宋体" w:hAnsi="宋体" w:cs="宋体"/>
          <w:color w:val="auto"/>
          <w:highlight w:val="none"/>
        </w:rPr>
      </w:pPr>
      <w:r>
        <w:rPr>
          <w:rFonts w:hint="eastAsia" w:ascii="宋体" w:hAnsi="宋体" w:cs="宋体"/>
          <w:color w:val="auto"/>
          <w:highlight w:val="none"/>
        </w:rPr>
        <w:t>（6）与本招标项目的招标人或招标代理机构同为一个法定代表人；</w:t>
      </w:r>
    </w:p>
    <w:p>
      <w:pPr>
        <w:autoSpaceDE w:val="0"/>
        <w:spacing w:before="39" w:line="480" w:lineRule="auto"/>
        <w:ind w:left="520" w:right="-20"/>
        <w:jc w:val="left"/>
        <w:rPr>
          <w:rFonts w:ascii="宋体" w:hAnsi="宋体" w:cs="宋体"/>
          <w:color w:val="auto"/>
          <w:highlight w:val="none"/>
        </w:rPr>
      </w:pPr>
      <w:r>
        <w:rPr>
          <w:rFonts w:hint="eastAsia" w:ascii="宋体" w:hAnsi="宋体" w:cs="宋体"/>
          <w:color w:val="auto"/>
          <w:highlight w:val="none"/>
        </w:rPr>
        <w:t>（7）与本招标项目的招标人或招标代理机构存在控股或参股关系；</w:t>
      </w:r>
    </w:p>
    <w:p>
      <w:pPr>
        <w:autoSpaceDE w:val="0"/>
        <w:spacing w:before="37" w:line="480" w:lineRule="auto"/>
        <w:ind w:left="100" w:right="39" w:firstLine="420"/>
        <w:jc w:val="left"/>
        <w:rPr>
          <w:rFonts w:ascii="宋体" w:hAnsi="宋体" w:cs="宋体"/>
          <w:color w:val="auto"/>
          <w:highlight w:val="none"/>
        </w:rPr>
      </w:pPr>
      <w:r>
        <w:rPr>
          <w:rFonts w:hint="eastAsia" w:ascii="宋体" w:hAnsi="宋体" w:cs="宋体"/>
          <w:color w:val="auto"/>
          <w:highlight w:val="none"/>
        </w:rPr>
        <w:t>（8）与本招标项目的施工承包人以及建筑材料、建筑构配件和设备供应商有隶属关系或者其他利害关系；</w:t>
      </w:r>
    </w:p>
    <w:p>
      <w:pPr>
        <w:autoSpaceDE w:val="0"/>
        <w:spacing w:before="9" w:line="480" w:lineRule="auto"/>
        <w:ind w:left="520" w:right="-20"/>
        <w:jc w:val="left"/>
        <w:rPr>
          <w:rFonts w:ascii="宋体" w:hAnsi="宋体" w:cs="宋体"/>
          <w:color w:val="auto"/>
          <w:highlight w:val="none"/>
        </w:rPr>
      </w:pPr>
      <w:r>
        <w:rPr>
          <w:rFonts w:hint="eastAsia" w:ascii="宋体" w:hAnsi="宋体" w:cs="宋体"/>
          <w:color w:val="auto"/>
          <w:highlight w:val="none"/>
        </w:rPr>
        <w:t>（9）被依法暂停或者取消投标资格；</w:t>
      </w:r>
    </w:p>
    <w:p>
      <w:pPr>
        <w:autoSpaceDE w:val="0"/>
        <w:spacing w:before="37" w:line="480" w:lineRule="auto"/>
        <w:ind w:left="520" w:right="-20"/>
        <w:jc w:val="left"/>
        <w:rPr>
          <w:rFonts w:ascii="宋体" w:hAnsi="宋体" w:cs="宋体"/>
          <w:color w:val="auto"/>
          <w:highlight w:val="none"/>
        </w:rPr>
      </w:pPr>
      <w:r>
        <w:rPr>
          <w:rFonts w:hint="eastAsia" w:ascii="宋体" w:hAnsi="宋体" w:cs="宋体"/>
          <w:color w:val="auto"/>
          <w:highlight w:val="none"/>
        </w:rPr>
        <w:t>（10）被责令停产停业、暂扣或者吊销许可证、暂扣或者吊销执照；</w:t>
      </w:r>
    </w:p>
    <w:p>
      <w:pPr>
        <w:autoSpaceDE w:val="0"/>
        <w:spacing w:before="39" w:line="480" w:lineRule="auto"/>
        <w:ind w:left="520" w:right="-20"/>
        <w:jc w:val="left"/>
        <w:rPr>
          <w:rFonts w:ascii="宋体" w:hAnsi="宋体" w:cs="宋体"/>
          <w:color w:val="auto"/>
          <w:highlight w:val="none"/>
        </w:rPr>
      </w:pPr>
      <w:r>
        <w:rPr>
          <w:rFonts w:hint="eastAsia" w:ascii="宋体" w:hAnsi="宋体" w:cs="宋体"/>
          <w:color w:val="auto"/>
          <w:highlight w:val="none"/>
        </w:rPr>
        <w:t>（11）进入清算程序，或被宣告破产，或其他丧失履约能力的情形；</w:t>
      </w:r>
    </w:p>
    <w:p>
      <w:pPr>
        <w:autoSpaceDE w:val="0"/>
        <w:spacing w:before="11" w:line="480" w:lineRule="auto"/>
        <w:ind w:left="520" w:right="-20"/>
        <w:jc w:val="left"/>
        <w:rPr>
          <w:rFonts w:ascii="宋体" w:hAnsi="宋体" w:cs="宋体"/>
          <w:color w:val="auto"/>
          <w:highlight w:val="none"/>
        </w:rPr>
      </w:pPr>
      <w:r>
        <w:rPr>
          <w:rFonts w:hint="eastAsia" w:ascii="宋体" w:hAnsi="宋体" w:cs="宋体"/>
          <w:color w:val="auto"/>
          <w:highlight w:val="none"/>
        </w:rPr>
        <w:t>（12）被工商行政管理机关在全国企业信用信息公示系统中列入严重违法失信企业名单；</w:t>
      </w:r>
    </w:p>
    <w:p>
      <w:pPr>
        <w:autoSpaceDE w:val="0"/>
        <w:spacing w:before="39" w:line="480" w:lineRule="auto"/>
        <w:ind w:left="100" w:right="39" w:firstLine="420"/>
        <w:jc w:val="left"/>
        <w:rPr>
          <w:rFonts w:ascii="宋体" w:hAnsi="宋体" w:cs="宋体"/>
          <w:color w:val="auto"/>
          <w:highlight w:val="none"/>
        </w:rPr>
      </w:pPr>
      <w:r>
        <w:rPr>
          <w:rFonts w:hint="eastAsia" w:ascii="宋体" w:hAnsi="宋体" w:cs="宋体"/>
          <w:color w:val="auto"/>
          <w:highlight w:val="none"/>
        </w:rPr>
        <w:t>（13）被最高人民法院在“信用中国”网站（www.creditchina.gov.cn）或各级信用信息共享平台中列入失信被执行人名单；</w:t>
      </w:r>
    </w:p>
    <w:p>
      <w:pPr>
        <w:autoSpaceDE w:val="0"/>
        <w:spacing w:before="11" w:line="480" w:lineRule="auto"/>
        <w:ind w:left="100" w:right="42" w:firstLine="420"/>
        <w:jc w:val="left"/>
        <w:rPr>
          <w:rFonts w:ascii="宋体" w:hAnsi="宋体" w:cs="宋体"/>
          <w:color w:val="auto"/>
          <w:highlight w:val="none"/>
        </w:rPr>
      </w:pPr>
      <w:r>
        <w:rPr>
          <w:rFonts w:hint="eastAsia" w:ascii="宋体" w:hAnsi="宋体" w:cs="宋体"/>
          <w:color w:val="auto"/>
          <w:highlight w:val="none"/>
        </w:rPr>
        <w:t>（14）在近三年内投标人或其法定代表人、拟委任的项目负责人有行贿犯罪行为的；</w:t>
      </w:r>
    </w:p>
    <w:p>
      <w:pPr>
        <w:autoSpaceDE w:val="0"/>
        <w:spacing w:line="480" w:lineRule="auto"/>
        <w:ind w:left="520" w:right="-20"/>
        <w:jc w:val="left"/>
        <w:rPr>
          <w:rFonts w:ascii="宋体" w:hAnsi="宋体" w:cs="宋体"/>
          <w:color w:val="auto"/>
          <w:highlight w:val="none"/>
        </w:rPr>
      </w:pPr>
      <w:r>
        <w:rPr>
          <w:rFonts w:hint="eastAsia" w:ascii="宋体" w:hAnsi="宋体" w:cs="宋体"/>
          <w:color w:val="auto"/>
          <w:highlight w:val="none"/>
        </w:rPr>
        <w:t>（15）法律法规或投标人须知前附表规定的其他情形。</w:t>
      </w:r>
    </w:p>
    <w:p>
      <w:pPr>
        <w:spacing w:before="8" w:line="480" w:lineRule="auto"/>
        <w:jc w:val="left"/>
        <w:rPr>
          <w:rFonts w:ascii="宋体" w:hAnsi="宋体" w:cs="宋体"/>
          <w:color w:val="auto"/>
          <w:highlight w:val="none"/>
        </w:rPr>
      </w:pPr>
      <w:r>
        <w:rPr>
          <w:rFonts w:hint="eastAsia" w:ascii="宋体" w:hAnsi="宋体" w:cs="宋体"/>
          <w:color w:val="auto"/>
          <w:highlight w:val="none"/>
        </w:rPr>
        <w:t xml:space="preserve"> 1.5 费用承担</w:t>
      </w:r>
    </w:p>
    <w:p>
      <w:pPr>
        <w:spacing w:before="3" w:line="480" w:lineRule="auto"/>
        <w:jc w:val="left"/>
        <w:rPr>
          <w:rFonts w:ascii="宋体" w:hAnsi="宋体" w:cs="宋体"/>
          <w:color w:val="auto"/>
          <w:highlight w:val="none"/>
        </w:rPr>
      </w:pPr>
      <w:r>
        <w:rPr>
          <w:rFonts w:hint="eastAsia" w:ascii="宋体" w:hAnsi="宋体" w:cs="宋体"/>
          <w:color w:val="auto"/>
          <w:highlight w:val="none"/>
        </w:rPr>
        <w:t xml:space="preserve">      投标人准备和参加投标活动发生的费用自理。</w:t>
      </w:r>
    </w:p>
    <w:p>
      <w:pPr>
        <w:spacing w:before="5" w:line="480" w:lineRule="auto"/>
        <w:jc w:val="left"/>
        <w:rPr>
          <w:rFonts w:ascii="宋体" w:hAnsi="宋体" w:cs="宋体"/>
          <w:color w:val="auto"/>
          <w:highlight w:val="none"/>
        </w:rPr>
      </w:pPr>
      <w:r>
        <w:rPr>
          <w:rFonts w:hint="eastAsia" w:ascii="宋体" w:hAnsi="宋体" w:cs="宋体"/>
          <w:color w:val="auto"/>
          <w:highlight w:val="none"/>
        </w:rPr>
        <w:t xml:space="preserve"> 1.6 保密</w:t>
      </w:r>
    </w:p>
    <w:p>
      <w:pPr>
        <w:spacing w:before="3" w:line="480" w:lineRule="auto"/>
        <w:jc w:val="left"/>
        <w:rPr>
          <w:rFonts w:ascii="宋体" w:hAnsi="宋体" w:cs="宋体"/>
          <w:color w:val="auto"/>
          <w:highlight w:val="none"/>
        </w:rPr>
      </w:pPr>
      <w:r>
        <w:rPr>
          <w:rFonts w:hint="eastAsia" w:ascii="宋体" w:hAnsi="宋体" w:cs="宋体"/>
          <w:color w:val="auto"/>
          <w:highlight w:val="none"/>
        </w:rPr>
        <w:t xml:space="preserve">      参与招标投标活动的各方应对招标文件和投标文件中的商业和技术等秘密保密，否则应承担相应的法律责任。</w:t>
      </w:r>
    </w:p>
    <w:p>
      <w:pPr>
        <w:spacing w:before="7" w:line="480" w:lineRule="auto"/>
        <w:jc w:val="left"/>
        <w:rPr>
          <w:rFonts w:ascii="宋体" w:hAnsi="宋体" w:cs="宋体"/>
          <w:color w:val="auto"/>
          <w:highlight w:val="none"/>
        </w:rPr>
      </w:pPr>
      <w:r>
        <w:rPr>
          <w:rFonts w:hint="eastAsia" w:ascii="宋体" w:hAnsi="宋体" w:cs="宋体"/>
          <w:color w:val="auto"/>
          <w:highlight w:val="none"/>
        </w:rPr>
        <w:t xml:space="preserve"> 1.7 语言文字</w:t>
      </w:r>
    </w:p>
    <w:p>
      <w:pPr>
        <w:spacing w:before="3" w:line="480" w:lineRule="auto"/>
        <w:ind w:firstLine="630" w:firstLineChars="300"/>
        <w:jc w:val="left"/>
        <w:rPr>
          <w:rFonts w:ascii="宋体" w:hAnsi="宋体" w:cs="宋体"/>
          <w:color w:val="auto"/>
          <w:highlight w:val="none"/>
        </w:rPr>
      </w:pPr>
      <w:r>
        <w:rPr>
          <w:rFonts w:hint="eastAsia" w:ascii="宋体" w:hAnsi="宋体" w:cs="宋体"/>
          <w:color w:val="auto"/>
          <w:highlight w:val="none"/>
        </w:rPr>
        <w:t>招标投标文件使用的语言文字为中文。专用术语使用外文的，应附有中文注释。</w:t>
      </w:r>
    </w:p>
    <w:p>
      <w:pPr>
        <w:spacing w:before="5" w:line="480" w:lineRule="auto"/>
        <w:jc w:val="left"/>
        <w:rPr>
          <w:rFonts w:ascii="宋体" w:hAnsi="宋体" w:cs="宋体"/>
          <w:color w:val="auto"/>
          <w:highlight w:val="none"/>
        </w:rPr>
      </w:pPr>
      <w:r>
        <w:rPr>
          <w:rFonts w:hint="eastAsia" w:ascii="宋体" w:hAnsi="宋体" w:cs="宋体"/>
          <w:color w:val="auto"/>
          <w:highlight w:val="none"/>
        </w:rPr>
        <w:t xml:space="preserve"> 1.8 计量单位</w:t>
      </w:r>
    </w:p>
    <w:p>
      <w:pPr>
        <w:spacing w:before="3" w:line="480" w:lineRule="auto"/>
        <w:jc w:val="left"/>
        <w:rPr>
          <w:rFonts w:ascii="宋体" w:hAnsi="宋体" w:cs="宋体"/>
          <w:color w:val="auto"/>
          <w:highlight w:val="none"/>
        </w:rPr>
      </w:pPr>
      <w:r>
        <w:rPr>
          <w:rFonts w:hint="eastAsia" w:ascii="宋体" w:hAnsi="宋体" w:cs="宋体"/>
          <w:color w:val="auto"/>
          <w:highlight w:val="none"/>
        </w:rPr>
        <w:t xml:space="preserve">      所有计量均采用中华人民共和国法定计量单位。</w:t>
      </w:r>
    </w:p>
    <w:p>
      <w:pPr>
        <w:spacing w:before="8" w:line="480" w:lineRule="auto"/>
        <w:jc w:val="left"/>
        <w:rPr>
          <w:rFonts w:ascii="宋体" w:hAnsi="宋体" w:cs="宋体"/>
          <w:color w:val="auto"/>
          <w:highlight w:val="none"/>
        </w:rPr>
      </w:pPr>
      <w:r>
        <w:rPr>
          <w:rFonts w:hint="eastAsia" w:ascii="宋体" w:hAnsi="宋体" w:cs="宋体"/>
          <w:color w:val="auto"/>
          <w:highlight w:val="none"/>
        </w:rPr>
        <w:t xml:space="preserve"> 1.9 踏勘现场</w:t>
      </w:r>
    </w:p>
    <w:p>
      <w:pPr>
        <w:autoSpaceDE w:val="0"/>
        <w:spacing w:line="480" w:lineRule="auto"/>
        <w:ind w:firstLine="315" w:firstLineChars="150"/>
        <w:jc w:val="left"/>
        <w:rPr>
          <w:rFonts w:ascii="宋体" w:hAnsi="宋体" w:cs="宋体"/>
          <w:color w:val="auto"/>
          <w:highlight w:val="none"/>
        </w:rPr>
      </w:pPr>
      <w:r>
        <w:rPr>
          <w:rFonts w:hint="eastAsia" w:ascii="宋体" w:hAnsi="宋体" w:cs="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pPr>
        <w:autoSpaceDE w:val="0"/>
        <w:spacing w:line="480" w:lineRule="auto"/>
        <w:ind w:firstLine="315" w:firstLineChars="150"/>
        <w:jc w:val="left"/>
        <w:rPr>
          <w:rFonts w:ascii="宋体" w:hAnsi="宋体" w:cs="宋体"/>
          <w:color w:val="auto"/>
          <w:highlight w:val="none"/>
        </w:rPr>
      </w:pPr>
      <w:r>
        <w:rPr>
          <w:rFonts w:hint="eastAsia" w:ascii="宋体" w:hAnsi="宋体" w:cs="宋体"/>
          <w:color w:val="auto"/>
          <w:highlight w:val="none"/>
        </w:rPr>
        <w:t>1.9.2 投标人踏勘现场发生的费用自理。</w:t>
      </w:r>
    </w:p>
    <w:p>
      <w:pPr>
        <w:autoSpaceDE w:val="0"/>
        <w:spacing w:line="480" w:lineRule="auto"/>
        <w:ind w:firstLine="315" w:firstLineChars="150"/>
        <w:jc w:val="left"/>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pPr>
        <w:autoSpaceDE w:val="0"/>
        <w:spacing w:line="480" w:lineRule="auto"/>
        <w:ind w:firstLine="315" w:firstLineChars="150"/>
        <w:jc w:val="left"/>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pPr>
        <w:spacing w:before="9" w:line="480" w:lineRule="auto"/>
        <w:jc w:val="left"/>
        <w:rPr>
          <w:rFonts w:ascii="宋体" w:hAnsi="宋体" w:cs="宋体"/>
          <w:strike/>
          <w:color w:val="auto"/>
          <w:highlight w:val="none"/>
        </w:rPr>
      </w:pPr>
      <w:r>
        <w:rPr>
          <w:rFonts w:hint="eastAsia" w:ascii="宋体" w:hAnsi="宋体" w:cs="宋体"/>
          <w:strike/>
          <w:color w:val="auto"/>
          <w:highlight w:val="none"/>
        </w:rPr>
        <w:t>1.10 投标预备会</w:t>
      </w:r>
    </w:p>
    <w:p>
      <w:pPr>
        <w:spacing w:line="480" w:lineRule="auto"/>
        <w:ind w:left="237" w:right="-20" w:firstLine="210" w:firstLineChars="100"/>
        <w:jc w:val="left"/>
        <w:rPr>
          <w:rFonts w:ascii="宋体" w:hAnsi="宋体" w:cs="宋体"/>
          <w:strike/>
          <w:color w:val="auto"/>
          <w:highlight w:val="none"/>
        </w:rPr>
      </w:pPr>
      <w:r>
        <w:rPr>
          <w:rFonts w:hint="eastAsia" w:ascii="宋体" w:hAnsi="宋体" w:cs="宋体"/>
          <w:strike/>
          <w:color w:val="auto"/>
          <w:highlight w:val="none"/>
        </w:rPr>
        <w:t>1.10.1 投标人须知前附表规定召开投标预备会的，招标人按投标人须知前附表规定的时间和地点召开投标预备会，澄清投标人提出的问题。</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1.10.2 投标人应按投标人须知前附表规定的时间和形式将提出的问题送达招标人，以便招标人在会议期间澄清。</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1.10.3 投标预备会后，招标人将对投标人所提问题的澄清，以投标人须知前附表规定的形式通知所有购买招标文件的投标人。该澄清内容为招标文件的组成部分。</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1.11 分包</w:t>
      </w:r>
    </w:p>
    <w:p>
      <w:pPr>
        <w:spacing w:before="3" w:line="480" w:lineRule="auto"/>
        <w:jc w:val="left"/>
        <w:rPr>
          <w:rFonts w:ascii="宋体" w:hAnsi="宋体" w:cs="宋体"/>
          <w:color w:val="auto"/>
          <w:highlight w:val="none"/>
        </w:rPr>
      </w:pPr>
      <w:r>
        <w:rPr>
          <w:rFonts w:hint="eastAsia" w:ascii="宋体" w:hAnsi="宋体" w:cs="宋体"/>
          <w:color w:val="auto"/>
          <w:highlight w:val="none"/>
        </w:rPr>
        <w:t xml:space="preserve">       本项目严禁分包。</w:t>
      </w:r>
    </w:p>
    <w:p>
      <w:pPr>
        <w:spacing w:before="5" w:line="480" w:lineRule="auto"/>
        <w:jc w:val="left"/>
        <w:rPr>
          <w:rFonts w:ascii="宋体" w:hAnsi="宋体" w:cs="宋体"/>
          <w:color w:val="auto"/>
          <w:highlight w:val="none"/>
        </w:rPr>
      </w:pPr>
      <w:r>
        <w:rPr>
          <w:rFonts w:hint="eastAsia" w:ascii="宋体" w:hAnsi="宋体" w:cs="宋体"/>
          <w:color w:val="auto"/>
          <w:highlight w:val="none"/>
        </w:rPr>
        <w:t xml:space="preserve"> 1.12 响应和偏差</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1.12.1 投标文件应当对招标文件的实质性要求和条件作出满足性或更有利于招标人的响应，否则，投标人的投标将被否决。实质性要求和条件见投标人须知前附表。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1.12.2 投标人应根据招标文件的要求提供投标项目管理方案等内容以对招标文件作出响应。</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1.12.3 投标人须知前附表允许投标文件偏离招标文件某些要求的，偏差应当符合招标文件规定的偏差范围和幅度。</w:t>
      </w:r>
    </w:p>
    <w:p>
      <w:pPr>
        <w:spacing w:before="9" w:line="480" w:lineRule="auto"/>
        <w:jc w:val="left"/>
        <w:rPr>
          <w:rFonts w:ascii="宋体" w:hAnsi="宋体" w:cs="宋体"/>
          <w:b/>
          <w:color w:val="auto"/>
          <w:highlight w:val="none"/>
        </w:rPr>
      </w:pPr>
      <w:r>
        <w:rPr>
          <w:rFonts w:hint="eastAsia" w:ascii="宋体" w:hAnsi="宋体" w:cs="宋体"/>
          <w:b/>
          <w:bCs/>
          <w:color w:val="auto"/>
          <w:highlight w:val="none"/>
        </w:rPr>
        <w:t xml:space="preserve">2. </w:t>
      </w:r>
      <w:r>
        <w:rPr>
          <w:rFonts w:hint="eastAsia" w:ascii="宋体" w:hAnsi="宋体" w:cs="宋体"/>
          <w:b/>
          <w:color w:val="auto"/>
          <w:highlight w:val="none"/>
        </w:rPr>
        <w:t>招标文件</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2.1 招标文件的组成</w:t>
      </w:r>
    </w:p>
    <w:p>
      <w:pPr>
        <w:spacing w:before="4" w:line="480" w:lineRule="auto"/>
        <w:jc w:val="left"/>
        <w:rPr>
          <w:rFonts w:ascii="宋体" w:hAnsi="宋体" w:cs="宋体"/>
          <w:color w:val="auto"/>
          <w:highlight w:val="none"/>
        </w:rPr>
      </w:pPr>
      <w:r>
        <w:rPr>
          <w:rFonts w:hint="eastAsia" w:ascii="宋体" w:hAnsi="宋体" w:cs="宋体"/>
          <w:color w:val="auto"/>
          <w:highlight w:val="none"/>
        </w:rPr>
        <w:t xml:space="preserve">     本招标文件包括：</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（1）招标公告；</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（2）投标人须知；</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（3）评标办法；</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（4）合同条款及格式；</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（5）委托人要求；</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（6）投标文件格式；</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（7）投标人须知前附表规定的其他资料。</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pPr>
        <w:spacing w:before="5" w:line="480" w:lineRule="auto"/>
        <w:jc w:val="left"/>
        <w:rPr>
          <w:rFonts w:ascii="宋体" w:hAnsi="宋体" w:cs="宋体"/>
          <w:color w:val="auto"/>
          <w:highlight w:val="none"/>
        </w:rPr>
      </w:pPr>
      <w:r>
        <w:rPr>
          <w:rFonts w:hint="eastAsia" w:ascii="宋体" w:hAnsi="宋体" w:cs="宋体"/>
          <w:color w:val="auto"/>
          <w:highlight w:val="none"/>
        </w:rPr>
        <w:t xml:space="preserve"> 2.2 招标文件的澄清</w:t>
      </w:r>
    </w:p>
    <w:p>
      <w:pPr>
        <w:spacing w:before="3" w:line="480" w:lineRule="auto"/>
        <w:ind w:firstLine="480"/>
        <w:jc w:val="left"/>
        <w:rPr>
          <w:rFonts w:ascii="宋体" w:hAnsi="宋体" w:cs="宋体"/>
          <w:color w:val="auto"/>
          <w:highlight w:val="none"/>
        </w:rPr>
      </w:pPr>
      <w:r>
        <w:rPr>
          <w:rFonts w:hint="eastAsia" w:ascii="宋体" w:hAnsi="宋体" w:cs="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before="3" w:line="480" w:lineRule="auto"/>
        <w:ind w:firstLine="480"/>
        <w:jc w:val="left"/>
        <w:rPr>
          <w:rFonts w:ascii="宋体" w:hAnsi="宋体" w:cs="宋体"/>
          <w:color w:val="auto"/>
          <w:highlight w:val="none"/>
        </w:rPr>
      </w:pPr>
      <w:r>
        <w:rPr>
          <w:rFonts w:hint="eastAsia" w:ascii="宋体" w:hAnsi="宋体" w:cs="宋体"/>
          <w:color w:val="auto"/>
          <w:highlight w:val="none"/>
        </w:rPr>
        <w:t>2.2.2 招标文件的澄清以投标人须知前附表规定的形式发给所有购买招标文件的投标人，但不指明澄清问题的来源。澄清发出的时间距本章第 4.2.1 项规定的投标截止时间不足 15日的，并且澄清内容可能影响投标文件编制的，将相应延长投标截止时间。</w:t>
      </w:r>
    </w:p>
    <w:p>
      <w:pPr>
        <w:spacing w:before="3" w:line="480" w:lineRule="auto"/>
        <w:ind w:firstLine="480"/>
        <w:jc w:val="left"/>
        <w:rPr>
          <w:rFonts w:ascii="宋体" w:hAnsi="宋体" w:cs="宋体"/>
          <w:color w:val="auto"/>
          <w:highlight w:val="none"/>
        </w:rPr>
      </w:pPr>
      <w:r>
        <w:rPr>
          <w:rFonts w:hint="eastAsia" w:ascii="宋体" w:hAnsi="宋体" w:cs="宋体"/>
          <w:color w:val="auto"/>
          <w:highlight w:val="none"/>
        </w:rPr>
        <w:t>2.2.3 投标人在收到澄清后，应按投标人须知前附表规定的时间和形式通知招标人，确认已收到该澄清。</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2.2.4 除非招标人认为确有必要答复，否则，招标人有权拒绝回复投标人在本章第 2.2.1 项规定的时间后的任何澄清要求。</w:t>
      </w:r>
    </w:p>
    <w:p>
      <w:pPr>
        <w:spacing w:before="5" w:line="480" w:lineRule="auto"/>
        <w:jc w:val="left"/>
        <w:rPr>
          <w:rFonts w:ascii="宋体" w:hAnsi="宋体" w:cs="宋体"/>
          <w:color w:val="auto"/>
          <w:highlight w:val="none"/>
        </w:rPr>
      </w:pPr>
      <w:r>
        <w:rPr>
          <w:rFonts w:hint="eastAsia" w:ascii="宋体" w:hAnsi="宋体" w:cs="宋体"/>
          <w:color w:val="auto"/>
          <w:highlight w:val="none"/>
        </w:rPr>
        <w:t xml:space="preserve"> 2.3 招标文件的修改</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2.3.1 招标人以投标人须知前附表规定的形式修改招标文件，并通知</w:t>
      </w:r>
      <w:r>
        <w:rPr>
          <w:rFonts w:hint="eastAsia" w:ascii="宋体" w:hAnsi="宋体" w:cs="宋体"/>
          <w:strike/>
          <w:color w:val="auto"/>
          <w:highlight w:val="none"/>
        </w:rPr>
        <w:t>所有已购买招标文件的</w:t>
      </w:r>
      <w:r>
        <w:rPr>
          <w:rFonts w:hint="eastAsia" w:ascii="宋体" w:hAnsi="宋体" w:cs="宋体"/>
          <w:color w:val="auto"/>
          <w:highlight w:val="none"/>
        </w:rPr>
        <w:t>投标人。修改招标文件的时间距本章第 4.2.1 项规定的投标截止时间不足 15 日的，并且修改内容可能影响投标文件编制的，将相应延长投标截止时间。</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2.3.2 投标人收到修改内容后，应按投标人须知前附表规定的时间和形式通知招标人，确认已收到该修改。</w:t>
      </w:r>
    </w:p>
    <w:p>
      <w:pPr>
        <w:spacing w:before="7" w:line="480" w:lineRule="auto"/>
        <w:jc w:val="left"/>
        <w:rPr>
          <w:rFonts w:ascii="宋体" w:hAnsi="宋体" w:cs="宋体"/>
          <w:color w:val="auto"/>
          <w:highlight w:val="none"/>
        </w:rPr>
      </w:pPr>
      <w:r>
        <w:rPr>
          <w:rFonts w:hint="eastAsia" w:ascii="宋体" w:hAnsi="宋体" w:cs="宋体"/>
          <w:color w:val="auto"/>
          <w:highlight w:val="none"/>
        </w:rPr>
        <w:t xml:space="preserve"> 2.4 招标文件的异议</w:t>
      </w:r>
    </w:p>
    <w:p>
      <w:pPr>
        <w:autoSpaceDE w:val="0"/>
        <w:spacing w:line="480" w:lineRule="auto"/>
        <w:ind w:firstLine="630" w:firstLineChars="300"/>
        <w:jc w:val="left"/>
        <w:rPr>
          <w:rFonts w:ascii="宋体" w:hAnsi="宋体" w:cs="宋体"/>
          <w:color w:val="auto"/>
          <w:highlight w:val="none"/>
        </w:rPr>
      </w:pPr>
      <w:r>
        <w:rPr>
          <w:rFonts w:hint="eastAsia" w:ascii="宋体" w:hAnsi="宋体" w:cs="宋体"/>
          <w:color w:val="auto"/>
          <w:highlight w:val="none"/>
        </w:rPr>
        <w:t>投标人或者其他利害关系人对招标文件有异议的，应当在投标截止时间 10 日前以书面形式提出。招标人将在收到异议之日起 3 日内作出答复；作出答复前，将暂停招标投标活动。</w:t>
      </w:r>
    </w:p>
    <w:p>
      <w:pPr>
        <w:spacing w:before="1" w:line="480" w:lineRule="auto"/>
        <w:jc w:val="left"/>
        <w:rPr>
          <w:rFonts w:ascii="宋体" w:hAnsi="宋体" w:cs="宋体"/>
          <w:b/>
          <w:color w:val="auto"/>
          <w:highlight w:val="none"/>
        </w:rPr>
      </w:pPr>
      <w:r>
        <w:rPr>
          <w:rFonts w:hint="eastAsia" w:ascii="宋体" w:hAnsi="宋体" w:cs="宋体"/>
          <w:b/>
          <w:bCs/>
          <w:color w:val="auto"/>
          <w:highlight w:val="none"/>
        </w:rPr>
        <w:t xml:space="preserve">3. </w:t>
      </w:r>
      <w:r>
        <w:rPr>
          <w:rFonts w:hint="eastAsia" w:ascii="宋体" w:hAnsi="宋体" w:cs="宋体"/>
          <w:b/>
          <w:color w:val="auto"/>
          <w:highlight w:val="none"/>
        </w:rPr>
        <w:t>投标文件</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3.1 投标文件的组成</w:t>
      </w:r>
    </w:p>
    <w:p>
      <w:pPr>
        <w:autoSpaceDE w:val="0"/>
        <w:spacing w:line="480" w:lineRule="auto"/>
        <w:ind w:firstLine="210" w:firstLineChars="100"/>
        <w:jc w:val="left"/>
        <w:rPr>
          <w:rFonts w:ascii="宋体" w:hAnsi="宋体" w:cs="宋体"/>
          <w:color w:val="auto"/>
          <w:highlight w:val="none"/>
        </w:rPr>
      </w:pPr>
      <w:r>
        <w:rPr>
          <w:rFonts w:hint="eastAsia" w:ascii="宋体" w:hAnsi="宋体" w:cs="宋体"/>
          <w:color w:val="auto"/>
          <w:highlight w:val="none"/>
        </w:rPr>
        <w:t>3.1.1 投标文件应包括下列内容：</w:t>
      </w:r>
    </w:p>
    <w:p>
      <w:pPr>
        <w:autoSpaceDE w:val="0"/>
        <w:spacing w:line="480" w:lineRule="auto"/>
        <w:ind w:firstLine="210" w:firstLineChars="100"/>
        <w:jc w:val="left"/>
        <w:rPr>
          <w:rFonts w:ascii="宋体" w:hAnsi="宋体" w:cs="宋体"/>
          <w:color w:val="auto"/>
          <w:highlight w:val="none"/>
          <w:u w:val="single"/>
        </w:rPr>
      </w:pPr>
      <w:r>
        <w:rPr>
          <w:rFonts w:hint="eastAsia" w:ascii="宋体" w:hAnsi="宋体" w:cs="宋体"/>
          <w:color w:val="auto"/>
          <w:highlight w:val="none"/>
        </w:rPr>
        <w:t>3.1.1.1资格审查文件主要包括的内容：</w:t>
      </w:r>
    </w:p>
    <w:p>
      <w:pPr>
        <w:autoSpaceDE w:val="0"/>
        <w:spacing w:line="480" w:lineRule="auto"/>
        <w:ind w:firstLine="210" w:firstLineChars="100"/>
        <w:jc w:val="left"/>
        <w:rPr>
          <w:rFonts w:ascii="宋体" w:hAnsi="宋体" w:cs="宋体"/>
          <w:color w:val="auto"/>
          <w:highlight w:val="none"/>
          <w:u w:val="single"/>
        </w:rPr>
      </w:pPr>
      <w:r>
        <w:rPr>
          <w:rFonts w:hint="eastAsia" w:ascii="宋体" w:hAnsi="宋体" w:cs="宋体"/>
          <w:color w:val="auto"/>
          <w:highlight w:val="none"/>
          <w:u w:val="single"/>
        </w:rPr>
        <w:t>（1）投标人基本情况表(见招标文件第六章格式）；</w:t>
      </w:r>
    </w:p>
    <w:p>
      <w:pPr>
        <w:autoSpaceDE w:val="0"/>
        <w:spacing w:line="480" w:lineRule="auto"/>
        <w:ind w:firstLine="210" w:firstLineChars="100"/>
        <w:jc w:val="left"/>
        <w:rPr>
          <w:rFonts w:ascii="宋体" w:hAnsi="宋体" w:cs="宋体"/>
          <w:color w:val="auto"/>
          <w:highlight w:val="none"/>
          <w:u w:val="single"/>
        </w:rPr>
      </w:pPr>
      <w:r>
        <w:rPr>
          <w:rFonts w:hint="eastAsia" w:ascii="宋体" w:hAnsi="宋体" w:cs="宋体"/>
          <w:color w:val="auto"/>
          <w:highlight w:val="none"/>
          <w:u w:val="single"/>
        </w:rPr>
        <w:t>（2）按招标公告要求提供相关资料。</w:t>
      </w:r>
    </w:p>
    <w:p>
      <w:pPr>
        <w:autoSpaceDE w:val="0"/>
        <w:spacing w:line="480" w:lineRule="auto"/>
        <w:ind w:firstLine="210" w:firstLineChars="100"/>
        <w:jc w:val="left"/>
        <w:rPr>
          <w:rFonts w:ascii="宋体" w:hAnsi="宋体" w:cs="宋体"/>
          <w:strike/>
          <w:color w:val="auto"/>
          <w:highlight w:val="none"/>
        </w:rPr>
      </w:pPr>
      <w:r>
        <w:rPr>
          <w:rFonts w:hint="eastAsia" w:ascii="宋体" w:hAnsi="宋体" w:cs="宋体"/>
          <w:color w:val="auto"/>
          <w:highlight w:val="none"/>
        </w:rPr>
        <w:t>3.1.1.2商务技术标包括下列内容</w:t>
      </w:r>
    </w:p>
    <w:p>
      <w:pPr>
        <w:autoSpaceDE w:val="0"/>
        <w:spacing w:line="480" w:lineRule="auto"/>
        <w:ind w:firstLine="210" w:firstLineChars="100"/>
        <w:jc w:val="left"/>
        <w:rPr>
          <w:rFonts w:ascii="宋体" w:hAnsi="宋体" w:cs="宋体"/>
          <w:color w:val="auto"/>
          <w:highlight w:val="none"/>
        </w:rPr>
      </w:pPr>
      <w:r>
        <w:rPr>
          <w:rFonts w:hint="eastAsia" w:ascii="宋体" w:hAnsi="宋体" w:cs="宋体"/>
          <w:color w:val="auto"/>
          <w:highlight w:val="none"/>
        </w:rPr>
        <w:t>（1）投标报价表（见招标文件第六章格式）；</w:t>
      </w:r>
    </w:p>
    <w:p>
      <w:pPr>
        <w:spacing w:line="480" w:lineRule="auto"/>
        <w:ind w:firstLine="240"/>
        <w:rPr>
          <w:rFonts w:ascii="宋体" w:hAnsi="宋体" w:cs="宋体"/>
          <w:color w:val="auto"/>
          <w:highlight w:val="none"/>
        </w:rPr>
      </w:pPr>
      <w:r>
        <w:rPr>
          <w:rFonts w:hint="eastAsia" w:ascii="宋体" w:hAnsi="宋体" w:cs="宋体"/>
          <w:color w:val="auto"/>
          <w:highlight w:val="none"/>
        </w:rPr>
        <w:t>（2）投标函及附录（见招标文件第六章格式）；</w:t>
      </w:r>
    </w:p>
    <w:p>
      <w:pPr>
        <w:pStyle w:val="29"/>
        <w:spacing w:line="480" w:lineRule="auto"/>
        <w:ind w:left="0" w:leftChars="0" w:firstLine="210" w:firstLineChars="100"/>
        <w:rPr>
          <w:rFonts w:ascii="宋体" w:hAnsi="宋体" w:cs="宋体"/>
          <w:color w:val="auto"/>
          <w:szCs w:val="21"/>
          <w:highlight w:val="none"/>
          <w:lang w:eastAsia="zh-CN"/>
        </w:rPr>
      </w:pPr>
      <w:r>
        <w:rPr>
          <w:rFonts w:hint="eastAsia" w:ascii="宋体" w:hAnsi="宋体" w:cs="宋体"/>
          <w:color w:val="auto"/>
          <w:szCs w:val="21"/>
          <w:highlight w:val="none"/>
          <w:lang w:eastAsia="zh-CN"/>
        </w:rPr>
        <w:t>（3）投标保证金缴纳凭证（见招标文件第六章）；</w:t>
      </w:r>
    </w:p>
    <w:p>
      <w:pPr>
        <w:pStyle w:val="29"/>
        <w:spacing w:line="480" w:lineRule="auto"/>
        <w:ind w:left="0" w:leftChars="0" w:firstLine="210" w:firstLineChars="100"/>
        <w:rPr>
          <w:rFonts w:ascii="宋体" w:hAnsi="宋体" w:cs="宋体"/>
          <w:color w:val="auto"/>
          <w:szCs w:val="21"/>
          <w:highlight w:val="none"/>
          <w:lang w:eastAsia="zh-CN"/>
        </w:rPr>
      </w:pPr>
      <w:r>
        <w:rPr>
          <w:rFonts w:hint="eastAsia" w:ascii="宋体" w:hAnsi="宋体" w:cs="宋体"/>
          <w:color w:val="auto"/>
          <w:szCs w:val="21"/>
          <w:highlight w:val="none"/>
          <w:lang w:eastAsia="zh-CN"/>
        </w:rPr>
        <w:t>（4）法定代表人证明书（见招标文件第六章格式）；</w:t>
      </w:r>
    </w:p>
    <w:p>
      <w:pPr>
        <w:pStyle w:val="17"/>
        <w:spacing w:line="480" w:lineRule="auto"/>
        <w:ind w:firstLine="210" w:firstLineChars="1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（5）授权委托书（见招标文件第六章格式）；</w:t>
      </w:r>
    </w:p>
    <w:p>
      <w:pPr>
        <w:pStyle w:val="17"/>
        <w:spacing w:line="480" w:lineRule="auto"/>
        <w:ind w:firstLine="210" w:firstLineChars="1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（6）拟委任的主要人员汇总表（见招标文件第六章格式）；</w:t>
      </w:r>
    </w:p>
    <w:p>
      <w:pPr>
        <w:spacing w:line="480" w:lineRule="auto"/>
        <w:ind w:firstLine="240"/>
        <w:rPr>
          <w:rFonts w:ascii="宋体" w:hAnsi="宋体" w:cs="宋体"/>
          <w:color w:val="auto"/>
          <w:highlight w:val="none"/>
        </w:rPr>
      </w:pPr>
      <w:r>
        <w:rPr>
          <w:rFonts w:hint="eastAsia" w:ascii="宋体" w:hAnsi="宋体" w:cs="宋体"/>
          <w:color w:val="auto"/>
          <w:highlight w:val="none"/>
        </w:rPr>
        <w:t>（7）代建服务方案（格式自拟）；</w:t>
      </w:r>
    </w:p>
    <w:p>
      <w:pPr>
        <w:spacing w:line="480" w:lineRule="auto"/>
        <w:ind w:firstLine="210" w:firstLineChars="100"/>
        <w:rPr>
          <w:rFonts w:ascii="宋体" w:hAnsi="宋体" w:cs="宋体"/>
          <w:color w:val="auto"/>
          <w:highlight w:val="none"/>
        </w:rPr>
      </w:pPr>
      <w:r>
        <w:rPr>
          <w:rFonts w:hint="eastAsia" w:ascii="宋体" w:hAnsi="宋体" w:cs="宋体"/>
          <w:color w:val="auto"/>
          <w:highlight w:val="none"/>
        </w:rPr>
        <w:t xml:space="preserve">（8）投标人认为有必要提供的其它资料：                                         </w:t>
      </w:r>
    </w:p>
    <w:p>
      <w:pPr>
        <w:spacing w:line="480" w:lineRule="auto"/>
        <w:rPr>
          <w:rFonts w:ascii="宋体" w:hAnsi="宋体" w:cs="宋体"/>
          <w:color w:val="auto"/>
          <w:highlight w:val="none"/>
        </w:rPr>
      </w:pPr>
      <w:r>
        <w:rPr>
          <w:rFonts w:hint="eastAsia" w:ascii="宋体" w:hAnsi="宋体" w:cs="宋体"/>
          <w:color w:val="auto"/>
          <w:highlight w:val="none"/>
        </w:rPr>
        <w:t xml:space="preserve">  注：以上所有资料必须实事求是、真实准确，不能存在虚假材料，必要时需提供原件核对，一经发现或被投诉，经确认证实后，招标人将取消其投标资格。</w:t>
      </w:r>
    </w:p>
    <w:p>
      <w:pPr>
        <w:spacing w:line="480" w:lineRule="auto"/>
        <w:rPr>
          <w:rFonts w:ascii="宋体" w:hAnsi="宋体" w:cs="宋体"/>
          <w:color w:val="auto"/>
          <w:highlight w:val="none"/>
        </w:rPr>
      </w:pPr>
      <w:r>
        <w:rPr>
          <w:rFonts w:hint="eastAsia" w:ascii="宋体" w:hAnsi="宋体" w:cs="宋体"/>
          <w:color w:val="auto"/>
          <w:highlight w:val="none"/>
        </w:rPr>
        <w:t xml:space="preserve">    3.2 投标报价</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3.2.1 投标报价应包括国家规定的增值税税金，除投标人须知前附表另有规定外，增值税税金按一般计税方法计算。投标人应按第六章“投标文件格式”的要求在投标函中进行报价。</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3.2.2 投标人应充分了解该项目的总体情况以及影响投标报价的其他要素。</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3.2.3 本项目的报价方式见投标人须知前附表。投标人在投标截止时间前修改投标函中的投标报价总额。</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3.2.4 招标人设有最高投标限价的，投标人的投标报价不得超过最高投标限价，最高投标限价在投标人须知前附表中载明。</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3.2.5 投标报价的其他要求见投标人须知前附表。</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3.3 投标有效期</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3.3.1 除投标人须知前附表另有规定外，投标有效期为90天。</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3.3.2 在投标有效期内，投标人撤销投标文件的，应承担招标文件和法律规定的责任。</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before="5" w:line="480" w:lineRule="auto"/>
        <w:jc w:val="left"/>
        <w:rPr>
          <w:rFonts w:ascii="宋体" w:hAnsi="宋体" w:cs="宋体"/>
          <w:color w:val="auto"/>
          <w:highlight w:val="none"/>
        </w:rPr>
      </w:pPr>
      <w:r>
        <w:rPr>
          <w:rFonts w:hint="eastAsia" w:ascii="宋体" w:hAnsi="宋体" w:cs="宋体"/>
          <w:color w:val="auto"/>
          <w:highlight w:val="none"/>
        </w:rPr>
        <w:t xml:space="preserve"> 3.4 投标保证金</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color w:val="auto"/>
          <w:highlight w:val="none"/>
        </w:rPr>
        <w:t>3.4.1 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3.4.2 投标人不按本章第 3.4.1 项要求提交投标保证金的，评标委员会将否决其投标。</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3.4.3 招标人最迟将在与中标人签订合同后 5 日内，向未中标的投标人和中标人退还投标保证金。投标保证金以现金或者支票形式递交的，还应退还银行同期存款利息。</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3.4.4 有下列情形之一的，投标保证金将不予退还：</w:t>
      </w:r>
    </w:p>
    <w:p>
      <w:pPr>
        <w:autoSpaceDE w:val="0"/>
        <w:spacing w:line="480" w:lineRule="auto"/>
        <w:ind w:firstLine="567" w:firstLineChars="270"/>
        <w:jc w:val="left"/>
        <w:rPr>
          <w:rFonts w:ascii="宋体" w:hAnsi="宋体" w:cs="宋体"/>
          <w:color w:val="auto"/>
          <w:highlight w:val="none"/>
        </w:rPr>
      </w:pPr>
      <w:r>
        <w:rPr>
          <w:rFonts w:hint="eastAsia" w:ascii="宋体" w:hAnsi="宋体" w:cs="宋体"/>
          <w:color w:val="auto"/>
          <w:highlight w:val="none"/>
        </w:rPr>
        <w:t>（1）投标人在投标有效期内撤销投标文件；</w:t>
      </w:r>
    </w:p>
    <w:p>
      <w:pPr>
        <w:spacing w:before="5" w:line="480" w:lineRule="auto"/>
        <w:ind w:firstLine="567" w:firstLineChars="270"/>
        <w:jc w:val="left"/>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 xml:space="preserve">）因中标人原因未能在规定期限内签署合同协议。 </w:t>
      </w:r>
    </w:p>
    <w:p>
      <w:pPr>
        <w:spacing w:before="5" w:line="480" w:lineRule="auto"/>
        <w:ind w:firstLine="567" w:firstLineChars="270"/>
        <w:jc w:val="left"/>
        <w:rPr>
          <w:rFonts w:ascii="宋体" w:hAnsi="宋体" w:cs="宋体"/>
          <w:color w:val="auto"/>
          <w:highlight w:val="none"/>
        </w:rPr>
      </w:pPr>
      <w:r>
        <w:rPr>
          <w:rFonts w:hint="eastAsia" w:ascii="宋体" w:hAnsi="宋体" w:cs="宋体"/>
          <w:color w:val="auto"/>
          <w:highlight w:val="none"/>
        </w:rPr>
        <w:t>（3）发生投标人须知前附表规定的其他可以不予退还投标保证金的情形</w:t>
      </w:r>
    </w:p>
    <w:p>
      <w:pPr>
        <w:spacing w:before="5" w:line="480" w:lineRule="auto"/>
        <w:jc w:val="left"/>
        <w:rPr>
          <w:rFonts w:ascii="宋体" w:hAnsi="宋体" w:cs="宋体"/>
          <w:color w:val="auto"/>
          <w:highlight w:val="none"/>
        </w:rPr>
      </w:pPr>
      <w:r>
        <w:rPr>
          <w:rFonts w:hint="eastAsia" w:ascii="宋体" w:hAnsi="宋体" w:cs="宋体"/>
          <w:color w:val="auto"/>
          <w:highlight w:val="none"/>
        </w:rPr>
        <w:t xml:space="preserve">3.5 资格审查资料（适用于未进行资格预审的） </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除投标人须知前附表另有规定外，投标人应按下列规定提供资格审查资料，以证明其满足本章第 1.4 款规定的等要求。</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3.5.1 “投标人基本情况表”应附投标人营业执照扫描件等材料的扫描件。</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3.5.2 “近年财务状况表”应附经会计师事务所或审计机构审计的财务会计报表，包括资产负债表、现金流量表、利润表和财务情况说明书的扫描件，具体年份要求见投标人须知前附表。 投标人的成立时间少于投标人须知前附表规定年份的，应提供成立以来的财务状况表。</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3.5.3 “近年承接的类似</w:t>
      </w:r>
      <w:r>
        <w:rPr>
          <w:rFonts w:hint="eastAsia" w:ascii="宋体" w:hAnsi="宋体" w:cs="宋体"/>
          <w:strike/>
          <w:color w:val="auto"/>
          <w:highlight w:val="none"/>
          <w:u w:val="single"/>
        </w:rPr>
        <w:t>代建</w:t>
      </w:r>
      <w:r>
        <w:rPr>
          <w:rFonts w:hint="eastAsia" w:ascii="宋体" w:hAnsi="宋体" w:cs="宋体"/>
          <w:strike/>
          <w:color w:val="auto"/>
          <w:highlight w:val="none"/>
        </w:rPr>
        <w:t>项目情况表”</w:t>
      </w:r>
      <w:r>
        <w:rPr>
          <w:rFonts w:hint="eastAsia" w:ascii="宋体" w:hAnsi="宋体" w:cs="宋体"/>
          <w:strike/>
          <w:color w:val="auto"/>
          <w:kern w:val="0"/>
          <w:highlight w:val="none"/>
        </w:rPr>
        <w:t>需提供中标通知书或建设业主下发的委托文件或与建设业主签订的合同（提供业主名称、联系人、电话和地址﹞。投标人的下属法人独资企业业绩可作为投标人业绩，但须提供证明材料。</w:t>
      </w:r>
      <w:r>
        <w:rPr>
          <w:rFonts w:hint="eastAsia" w:ascii="宋体" w:hAnsi="宋体" w:cs="宋体"/>
          <w:strike/>
          <w:color w:val="auto"/>
          <w:highlight w:val="none"/>
        </w:rPr>
        <w:t>每张表格只填写一个项目，并标明序号。具体要求见投标人须知前附表。</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3.5.4 “正在代建和新承接的项目情况表”应附中标通知书和（或）合同协议书扫描件。每张表格只填写一个项目，并标明序号。</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3.5.5 “近年发生的诉讼及仲裁情况”应说明投标人败诉的代建合同的相关情况，并附法院或仲裁机构作出的判决、裁决等有关法律文书扫描件，具体时间要求见投标人须知前附表。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3.5.6 “拟委任的项目负责人及其他主要人员汇总表”应满足本章第 1.4.1 项项目负责人等人员的要求，须为投标人的正式员工，需提供职称证及在本单位缴纳社保的证明材料。</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3.5.7 “拟投入本项目的主要试验检测仪器设备表”应填报满足本章第 1.4.1 项规定的试验检测仪器设备。</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3.5.8 投标人须知前附表规定接受联合体投标的，本章第 3.5.1 项至第 3.5.7 项规定的表格和资料应包括联合体各方相关情况。</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3.5.9投标人已按要求签署盖章《投标申请人声明》（格式见招标文件第六章）。</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 xml:space="preserve">3.6 备选投标方案 </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3.6.1 除投标人须知前附表规定允许外，投标人不得递交备选投标方案，否则其投标将被否决。</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strike/>
          <w:color w:val="auto"/>
          <w:highlight w:val="none"/>
        </w:rPr>
        <w:t>3.6.3 投标人提供两个或两个以上投标报价，或者在投标文件中提供一个报价，但同时提供两个或两个以上代建方案的，视为提供备选方案。</w:t>
      </w:r>
    </w:p>
    <w:p>
      <w:pPr>
        <w:spacing w:before="8" w:line="480" w:lineRule="auto"/>
        <w:jc w:val="left"/>
        <w:rPr>
          <w:rFonts w:ascii="宋体" w:hAnsi="宋体" w:cs="宋体"/>
          <w:color w:val="auto"/>
          <w:highlight w:val="none"/>
        </w:rPr>
      </w:pPr>
      <w:r>
        <w:rPr>
          <w:rFonts w:hint="eastAsia" w:ascii="宋体" w:hAnsi="宋体" w:cs="宋体"/>
          <w:color w:val="auto"/>
          <w:highlight w:val="none"/>
        </w:rPr>
        <w:t xml:space="preserve"> 3.7 投标文件的编制</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3.7.2 投标文件应当对招标文件有关代建服务期限、投标有效期、委托人要求、招标范围等实质性内容作出响应。</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480" w:lineRule="auto"/>
        <w:ind w:left="100" w:right="-20"/>
        <w:jc w:val="left"/>
        <w:rPr>
          <w:rFonts w:ascii="宋体" w:hAnsi="宋体" w:cs="宋体"/>
          <w:b/>
          <w:color w:val="auto"/>
          <w:highlight w:val="none"/>
        </w:rPr>
      </w:pPr>
      <w:r>
        <w:rPr>
          <w:rFonts w:hint="eastAsia" w:ascii="宋体" w:hAnsi="宋体" w:cs="宋体"/>
          <w:b/>
          <w:bCs/>
          <w:color w:val="auto"/>
          <w:highlight w:val="none"/>
        </w:rPr>
        <w:t>4.</w:t>
      </w:r>
      <w:r>
        <w:rPr>
          <w:rFonts w:hint="eastAsia" w:ascii="宋体" w:hAnsi="宋体" w:cs="宋体"/>
          <w:b/>
          <w:color w:val="auto"/>
          <w:highlight w:val="none"/>
        </w:rPr>
        <w:t>投标</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4.1 投标文件的密封和标记</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4.1.1 （B）投标人应当按照招标文件和电子招标投标交易平台的要求加密投标文件，具体要求见投标人须知前附表。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4.1.2 投标文件封套上应写明的内容见投标人须知前附表。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4.1.3 未按本章第 4.1.1 项要求密封的投标文件，招标人将予以拒收。</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4.2 投标文件的递交</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4.2.1 投标人应在投标人须知前附表规定的投标截止时间前递交投标文件。</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4.2.2 （B）投标人通过下载招标文件的电子招标投标交易平台递交电子投标文件。</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4.2.4 （B）投标人完成电子投标文件上传后，电子招标投标交易平台即时向投标人发出递交回执通知。递交时间以递交回执通知载明的传输完成时间为准。</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4.2.5 （B）逾期送达的投标文件，电子招标投标交易平台将予以拒收。</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4.3 投标文件的修改与撤回</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4.3.1 在本章第 4.2.1 项规定的投标截止时间前，投标人可以修改或撤回已递交的投标文件，但应以书面形式通知招标人。</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4.3.2 （B）投标人修改或撤回已递交投标文件的通知，应按照本章第 3.7.3（B）项的要求加盖电子印章。电子招标投标交易平台收到通知后，即时向投标人发出确认回执通知。</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 5日内退还已收取的投标保证金。</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 3 条、第 4 条的规定进行编制、密封、标记和递交，并标明“修改”字样。</w:t>
      </w:r>
    </w:p>
    <w:p>
      <w:pPr>
        <w:spacing w:before="7" w:line="480" w:lineRule="auto"/>
        <w:jc w:val="left"/>
        <w:rPr>
          <w:rFonts w:ascii="宋体" w:hAnsi="宋体" w:cs="宋体"/>
          <w:b/>
          <w:color w:val="auto"/>
          <w:highlight w:val="none"/>
        </w:rPr>
      </w:pPr>
      <w:r>
        <w:rPr>
          <w:rFonts w:hint="eastAsia" w:ascii="宋体" w:hAnsi="宋体" w:cs="宋体"/>
          <w:b/>
          <w:bCs/>
          <w:color w:val="auto"/>
          <w:highlight w:val="none"/>
        </w:rPr>
        <w:t xml:space="preserve">5. </w:t>
      </w:r>
      <w:r>
        <w:rPr>
          <w:rFonts w:hint="eastAsia" w:ascii="宋体" w:hAnsi="宋体" w:cs="宋体"/>
          <w:b/>
          <w:color w:val="auto"/>
          <w:highlight w:val="none"/>
        </w:rPr>
        <w:t>开标</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5.1 开标时间和地点（B）</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招标人在本章第 4.2.1 项规定的投标截止时间（开标时间）,通过电子招标投标交易平台公开开标。</w:t>
      </w:r>
    </w:p>
    <w:p>
      <w:pPr>
        <w:spacing w:before="10" w:line="480" w:lineRule="auto"/>
        <w:jc w:val="left"/>
        <w:rPr>
          <w:rFonts w:ascii="宋体" w:hAnsi="宋体" w:cs="宋体"/>
          <w:color w:val="auto"/>
          <w:highlight w:val="none"/>
        </w:rPr>
      </w:pPr>
      <w:r>
        <w:rPr>
          <w:rFonts w:hint="eastAsia" w:ascii="宋体" w:hAnsi="宋体" w:cs="宋体"/>
          <w:color w:val="auto"/>
          <w:highlight w:val="none"/>
        </w:rPr>
        <w:t xml:space="preserve"> 5.2 开标程序</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5.2.1主持人按下列程序进行开标：</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（1）宣布开标纪律；</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（2）公布在投标截止时间前递交投标文件的投标人名称；</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（3）宣布开标人、唱标人、记录人、监标人等有关人员姓名；</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（4）（B）投标人通过电子招标投标交易平台对已递交的电子投标文件进行解密，公布招标项目名称、投标人名称、投标保证金的递交情况、投标报价、代建服务期限及其他内容，并记录在案；</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（5）（B）投标人代表、招标人代表、监标人、记录人等有关人员使用本人的电子印章在开标记录上签字确认；若有关人员不签字的，不影响开标程序；</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（6）开标结束。</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5.2.2</w:t>
      </w:r>
      <w:r>
        <w:rPr>
          <w:rFonts w:hint="eastAsia" w:ascii="宋体" w:hAnsi="宋体" w:cs="宋体"/>
          <w:color w:val="auto"/>
          <w:highlight w:val="none"/>
          <w:u w:val="single"/>
        </w:rPr>
        <w:t>投标截止时间前未完成投标文件传输的，或因投标人之外的原因造成投标文件未解密且未按要求递交备用光盘的，视为投标人撤回其投标文件。因投标人原因造成投标文件未解密的或未在投标截止时间后</w:t>
      </w:r>
      <w:r>
        <w:rPr>
          <w:rFonts w:hint="eastAsia" w:ascii="宋体" w:hAnsi="宋体" w:cs="宋体"/>
          <w:b/>
          <w:bCs/>
          <w:color w:val="auto"/>
          <w:highlight w:val="none"/>
          <w:u w:val="single"/>
        </w:rPr>
        <w:t>半小时内</w:t>
      </w:r>
      <w:r>
        <w:rPr>
          <w:rFonts w:hint="eastAsia" w:ascii="宋体" w:hAnsi="宋体" w:cs="宋体"/>
          <w:color w:val="auto"/>
          <w:highlight w:val="none"/>
          <w:u w:val="single"/>
        </w:rPr>
        <w:t>解密的，视为撤销其投标文件。</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5.2.3</w:t>
      </w:r>
      <w:r>
        <w:rPr>
          <w:rFonts w:hint="eastAsia" w:ascii="宋体" w:hAnsi="宋体" w:cs="宋体"/>
          <w:color w:val="auto"/>
          <w:highlight w:val="none"/>
          <w:u w:val="single"/>
        </w:rPr>
        <w:t>开标时，两个（含两个）以上的投标人加密打包投标文件电脑机器特征码一致的，不参与下一程序，并由评标委员会否决其投标</w:t>
      </w:r>
      <w:r>
        <w:rPr>
          <w:rFonts w:hint="eastAsia" w:ascii="宋体" w:hAnsi="宋体" w:cs="宋体"/>
          <w:color w:val="auto"/>
          <w:highlight w:val="none"/>
        </w:rPr>
        <w:t>。</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5.3 开标异议</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投标人对开标有异议的，应当在开标现场提出，招标人当场作出答复，并制作记录。</w:t>
      </w:r>
    </w:p>
    <w:p>
      <w:pPr>
        <w:spacing w:before="8" w:line="480" w:lineRule="auto"/>
        <w:jc w:val="left"/>
        <w:rPr>
          <w:rFonts w:ascii="宋体" w:hAnsi="宋体" w:cs="宋体"/>
          <w:b/>
          <w:color w:val="auto"/>
          <w:highlight w:val="none"/>
        </w:rPr>
      </w:pPr>
      <w:r>
        <w:rPr>
          <w:rFonts w:hint="eastAsia" w:ascii="宋体" w:hAnsi="宋体" w:cs="宋体"/>
          <w:b/>
          <w:bCs/>
          <w:color w:val="auto"/>
          <w:highlight w:val="none"/>
        </w:rPr>
        <w:t xml:space="preserve">6. </w:t>
      </w:r>
      <w:r>
        <w:rPr>
          <w:rFonts w:hint="eastAsia" w:ascii="宋体" w:hAnsi="宋体" w:cs="宋体"/>
          <w:b/>
          <w:color w:val="auto"/>
          <w:highlight w:val="none"/>
        </w:rPr>
        <w:t>评标</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6.1 评标委员会</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6.1.2 评标委员会成员有下列情形之一的，应当回避：</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（1）投标人或投标人主要负责人的近亲属；</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（2）项目主管部门或者行政监督部门的人员；</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（3）与投标人有经济利益关系，可能影响对投标公正评审的；</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（4）曾因在招标、评标以及其他与招标投标有关活动中从事违法行为而受过行政处罚或刑事处罚的；</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（5）与投标人有其他利害关系。</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6.1.3 评标过程中，评标委员会成员有回避事由、擅离职守或者因健康等原因不能继续评标的，招标人有权更换。被更换的评标委员会成员作出的评审结论无效，由更换后的评标委员会 成员重新进行评审。</w:t>
      </w:r>
    </w:p>
    <w:p>
      <w:pPr>
        <w:autoSpaceDE w:val="0"/>
        <w:spacing w:before="8" w:line="480" w:lineRule="auto"/>
        <w:jc w:val="left"/>
        <w:rPr>
          <w:rFonts w:ascii="宋体" w:hAnsi="宋体" w:cs="宋体"/>
          <w:color w:val="auto"/>
          <w:highlight w:val="none"/>
        </w:rPr>
      </w:pPr>
      <w:r>
        <w:rPr>
          <w:rFonts w:hint="eastAsia" w:ascii="宋体" w:hAnsi="宋体" w:cs="宋体"/>
          <w:color w:val="auto"/>
          <w:highlight w:val="none"/>
        </w:rPr>
        <w:t xml:space="preserve"> 6.2 评标原则</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评标活动遵循公平、公正、科学和择优的原则。</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6.3 评标</w:t>
      </w:r>
    </w:p>
    <w:p>
      <w:pPr>
        <w:spacing w:before="3" w:line="480" w:lineRule="auto"/>
        <w:jc w:val="left"/>
        <w:rPr>
          <w:rFonts w:ascii="宋体" w:hAnsi="宋体" w:cs="宋体"/>
          <w:color w:val="auto"/>
          <w:highlight w:val="none"/>
        </w:rPr>
      </w:pPr>
      <w:r>
        <w:rPr>
          <w:rFonts w:hint="eastAsia" w:ascii="宋体" w:hAnsi="宋体" w:cs="宋体"/>
          <w:color w:val="auto"/>
          <w:highlight w:val="none"/>
        </w:rPr>
        <w:t>6.3.1 评标委员会按照第三章“评标办法”规定的方法、评审因素、标准和程序对投标文件进行评审。第三章“评标办法”没有规定的方法、评审因素和标准，不作为评标依据。</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6.3.2 评标完成后，评标委员会应当向招标人提交书面评标报告和中标候选人名单。评标委员会推荐中标候选人的人数见投标人须知前附表。</w:t>
      </w:r>
    </w:p>
    <w:p>
      <w:pPr>
        <w:spacing w:before="7" w:line="480" w:lineRule="auto"/>
        <w:jc w:val="left"/>
        <w:rPr>
          <w:rFonts w:ascii="宋体" w:hAnsi="宋体" w:cs="宋体"/>
          <w:b/>
          <w:color w:val="auto"/>
          <w:highlight w:val="none"/>
        </w:rPr>
      </w:pPr>
      <w:r>
        <w:rPr>
          <w:rFonts w:hint="eastAsia" w:ascii="宋体" w:hAnsi="宋体" w:cs="宋体"/>
          <w:b/>
          <w:bCs/>
          <w:color w:val="auto"/>
          <w:highlight w:val="none"/>
        </w:rPr>
        <w:t xml:space="preserve">7. </w:t>
      </w:r>
      <w:r>
        <w:rPr>
          <w:rFonts w:hint="eastAsia" w:ascii="宋体" w:hAnsi="宋体" w:cs="宋体"/>
          <w:b/>
          <w:color w:val="auto"/>
          <w:highlight w:val="none"/>
        </w:rPr>
        <w:t>合同授予</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7.1 中标候选人公示</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招标人在收到评标报告之日起 3 日内，按照投标人须知前附表规定的公示媒介和期限公示中标候选人，公示期不得少于 3 天。</w:t>
      </w:r>
    </w:p>
    <w:p>
      <w:pPr>
        <w:spacing w:before="7" w:line="480" w:lineRule="auto"/>
        <w:jc w:val="left"/>
        <w:rPr>
          <w:rFonts w:ascii="宋体" w:hAnsi="宋体" w:cs="宋体"/>
          <w:color w:val="auto"/>
          <w:highlight w:val="none"/>
        </w:rPr>
      </w:pPr>
      <w:r>
        <w:rPr>
          <w:rFonts w:hint="eastAsia" w:ascii="宋体" w:hAnsi="宋体" w:cs="宋体"/>
          <w:color w:val="auto"/>
          <w:highlight w:val="none"/>
        </w:rPr>
        <w:t xml:space="preserve"> 7.2 评标结果异议</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投标人或者其他利害关系人对评标结果有异议的，应当在中标候选人公示期间提出。招标人将在收到异议之日起 3 日内作出答复；作出答复前，将暂停招标投标活动。</w:t>
      </w:r>
    </w:p>
    <w:p>
      <w:pPr>
        <w:spacing w:before="9" w:line="480" w:lineRule="auto"/>
        <w:jc w:val="left"/>
        <w:rPr>
          <w:rFonts w:ascii="宋体" w:hAnsi="宋体" w:cs="宋体"/>
          <w:color w:val="auto"/>
          <w:highlight w:val="none"/>
        </w:rPr>
      </w:pPr>
      <w:r>
        <w:rPr>
          <w:rFonts w:hint="eastAsia" w:ascii="宋体" w:hAnsi="宋体" w:cs="宋体"/>
          <w:color w:val="auto"/>
          <w:highlight w:val="none"/>
        </w:rPr>
        <w:t xml:space="preserve"> 7.3 中标候选人履约能力审查</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before="9" w:line="480" w:lineRule="auto"/>
        <w:jc w:val="left"/>
        <w:rPr>
          <w:rFonts w:ascii="宋体" w:hAnsi="宋体" w:cs="宋体"/>
          <w:color w:val="auto"/>
          <w:highlight w:val="none"/>
        </w:rPr>
      </w:pPr>
      <w:r>
        <w:rPr>
          <w:rFonts w:hint="eastAsia" w:ascii="宋体" w:hAnsi="宋体" w:cs="宋体"/>
          <w:color w:val="auto"/>
          <w:highlight w:val="none"/>
        </w:rPr>
        <w:t xml:space="preserve"> 7.4 定标</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pPr>
        <w:spacing w:before="8" w:line="480" w:lineRule="auto"/>
        <w:jc w:val="left"/>
        <w:rPr>
          <w:rFonts w:ascii="宋体" w:hAnsi="宋体" w:cs="宋体"/>
          <w:color w:val="auto"/>
          <w:highlight w:val="none"/>
        </w:rPr>
      </w:pPr>
      <w:r>
        <w:rPr>
          <w:rFonts w:hint="eastAsia" w:ascii="宋体" w:hAnsi="宋体" w:cs="宋体"/>
          <w:color w:val="auto"/>
          <w:highlight w:val="none"/>
        </w:rPr>
        <w:t xml:space="preserve"> 7.5 中标通知</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在本章第 3.3 款规定的投标有效期内，招标人以书面形式向中标人发出中标通知书，同时将中标结果通知未中标的投标人。</w:t>
      </w:r>
    </w:p>
    <w:p>
      <w:pPr>
        <w:spacing w:before="9" w:line="480" w:lineRule="auto"/>
        <w:jc w:val="left"/>
        <w:rPr>
          <w:rFonts w:ascii="宋体" w:hAnsi="宋体" w:cs="宋体"/>
          <w:color w:val="auto"/>
          <w:highlight w:val="none"/>
        </w:rPr>
      </w:pPr>
      <w:r>
        <w:rPr>
          <w:rFonts w:hint="eastAsia" w:ascii="宋体" w:hAnsi="宋体" w:cs="宋体"/>
          <w:color w:val="auto"/>
          <w:highlight w:val="none"/>
        </w:rPr>
        <w:t xml:space="preserve"> 7.6 履约保证金</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7.6.1 在签订合同前，中标人应按投标人须知前附表规定的形式、金额和招标文件第四章“合同条款及格式”规定的或者事先经过招标人书面认可的履约保证金格式向招标人提交履约保证金。</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7.6.2 中标人不能按本章第 7.6.1 项要求提交履约保证金的，视为放弃中标，其投标保证金不予退还，给招标人造成的损失超过投标保证金数额的，中标人还应当对超过部分予以赔偿。</w:t>
      </w:r>
    </w:p>
    <w:p>
      <w:pPr>
        <w:spacing w:before="5" w:line="480" w:lineRule="auto"/>
        <w:jc w:val="left"/>
        <w:rPr>
          <w:rFonts w:ascii="宋体" w:hAnsi="宋体" w:cs="宋体"/>
          <w:color w:val="auto"/>
          <w:highlight w:val="none"/>
        </w:rPr>
      </w:pPr>
      <w:r>
        <w:rPr>
          <w:rFonts w:hint="eastAsia" w:ascii="宋体" w:hAnsi="宋体" w:cs="宋体"/>
          <w:color w:val="auto"/>
          <w:highlight w:val="none"/>
        </w:rPr>
        <w:t xml:space="preserve"> 7.7 签订合同</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7.7.1 招标人和中标人应当在中标通知书发出之日起 30 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7.7.2 发出中标通知书后，招标人无正当理由拒签合同，或者在签订合同时向中标人提出附加条件的，招标人向中标人退还投标保证金；给中标人造成损失的，还应当赔偿损失。</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7.7.3 联合体中标的，联合体各方应当共同与招标人签订合同，就中标项目向招标人承担连带责任。</w:t>
      </w:r>
    </w:p>
    <w:p>
      <w:pPr>
        <w:spacing w:before="10" w:line="480" w:lineRule="auto"/>
        <w:jc w:val="left"/>
        <w:rPr>
          <w:rFonts w:ascii="宋体" w:hAnsi="宋体" w:cs="宋体"/>
          <w:b/>
          <w:color w:val="auto"/>
          <w:highlight w:val="none"/>
        </w:rPr>
      </w:pPr>
      <w:r>
        <w:rPr>
          <w:rFonts w:hint="eastAsia" w:ascii="宋体" w:hAnsi="宋体" w:cs="宋体"/>
          <w:b/>
          <w:bCs/>
          <w:color w:val="auto"/>
          <w:highlight w:val="none"/>
        </w:rPr>
        <w:t>8.</w:t>
      </w:r>
      <w:r>
        <w:rPr>
          <w:rFonts w:hint="eastAsia" w:ascii="宋体" w:hAnsi="宋体" w:cs="宋体"/>
          <w:b/>
          <w:color w:val="auto"/>
          <w:highlight w:val="none"/>
        </w:rPr>
        <w:t>纪律和监督</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8.1 对招标人的纪律要求</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招标人不得泄露招标投标活动中应当保密的情况和资料，不得与投标人串通损害国家利益、 社会公共利益或者他人合法权益。</w:t>
      </w:r>
    </w:p>
    <w:p>
      <w:pPr>
        <w:spacing w:before="10" w:line="480" w:lineRule="auto"/>
        <w:jc w:val="left"/>
        <w:rPr>
          <w:rFonts w:ascii="宋体" w:hAnsi="宋体" w:cs="宋体"/>
          <w:color w:val="auto"/>
          <w:highlight w:val="none"/>
        </w:rPr>
      </w:pPr>
      <w:r>
        <w:rPr>
          <w:rFonts w:hint="eastAsia" w:ascii="宋体" w:hAnsi="宋体" w:cs="宋体"/>
          <w:color w:val="auto"/>
          <w:highlight w:val="none"/>
        </w:rPr>
        <w:t xml:space="preserve"> 8.2 对投标人的纪律要求</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before="8" w:line="480" w:lineRule="auto"/>
        <w:jc w:val="left"/>
        <w:rPr>
          <w:rFonts w:ascii="宋体" w:hAnsi="宋体" w:cs="宋体"/>
          <w:color w:val="auto"/>
          <w:highlight w:val="none"/>
        </w:rPr>
      </w:pPr>
      <w:r>
        <w:rPr>
          <w:rFonts w:hint="eastAsia" w:ascii="宋体" w:hAnsi="宋体" w:cs="宋体"/>
          <w:color w:val="auto"/>
          <w:highlight w:val="none"/>
        </w:rPr>
        <w:t xml:space="preserve"> 8.3 对评标委员会成员的纪律要求</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before="8" w:line="480" w:lineRule="auto"/>
        <w:jc w:val="left"/>
        <w:rPr>
          <w:rFonts w:ascii="宋体" w:hAnsi="宋体" w:cs="宋体"/>
          <w:color w:val="auto"/>
          <w:highlight w:val="none"/>
        </w:rPr>
      </w:pPr>
      <w:r>
        <w:rPr>
          <w:rFonts w:hint="eastAsia" w:ascii="宋体" w:hAnsi="宋体" w:cs="宋体"/>
          <w:color w:val="auto"/>
          <w:highlight w:val="none"/>
        </w:rPr>
        <w:t xml:space="preserve"> 8.4 对与评标活动有关的工作人员的纪律要求</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pacing w:before="8" w:line="480" w:lineRule="auto"/>
        <w:jc w:val="left"/>
        <w:rPr>
          <w:rFonts w:ascii="宋体" w:hAnsi="宋体" w:cs="宋体"/>
          <w:color w:val="auto"/>
          <w:highlight w:val="none"/>
        </w:rPr>
      </w:pPr>
      <w:r>
        <w:rPr>
          <w:rFonts w:hint="eastAsia" w:ascii="宋体" w:hAnsi="宋体" w:cs="宋体"/>
          <w:color w:val="auto"/>
          <w:highlight w:val="none"/>
        </w:rPr>
        <w:t xml:space="preserve"> 8.5 投诉</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8.5.1 投标人或者其他利害关系人认为招标投标活动不符合法律、行政法规规定的，可以自知道或者应当知道之日起 10 日内向有关监督部门投诉。投诉应当有明确的请求和必要的证明材料。</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8.5.2 投标人或者其他利害关系人对招标文件、开标和评标结果提出投诉的，应当按照投标人须知第 2.4 款、第 5.3 款和第 7.2 款的规定先向招标人提出异议。异议答复期间不计算在第 8.5.1 项规定的期限内。</w:t>
      </w:r>
    </w:p>
    <w:p>
      <w:pPr>
        <w:spacing w:before="1" w:line="480" w:lineRule="auto"/>
        <w:jc w:val="left"/>
        <w:rPr>
          <w:rFonts w:ascii="宋体" w:hAnsi="宋体" w:cs="宋体"/>
          <w:b/>
          <w:color w:val="auto"/>
          <w:highlight w:val="none"/>
        </w:rPr>
      </w:pPr>
      <w:r>
        <w:rPr>
          <w:rFonts w:hint="eastAsia" w:ascii="宋体" w:hAnsi="宋体" w:cs="宋体"/>
          <w:b/>
          <w:bCs/>
          <w:color w:val="auto"/>
          <w:highlight w:val="none"/>
        </w:rPr>
        <w:t xml:space="preserve">9. </w:t>
      </w:r>
      <w:r>
        <w:rPr>
          <w:rFonts w:hint="eastAsia" w:ascii="宋体" w:hAnsi="宋体" w:cs="宋体"/>
          <w:b/>
          <w:color w:val="auto"/>
          <w:highlight w:val="none"/>
        </w:rPr>
        <w:t>是否采用电子招标投标</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pPr>
        <w:spacing w:line="480" w:lineRule="auto"/>
        <w:jc w:val="left"/>
        <w:rPr>
          <w:rFonts w:ascii="宋体" w:hAnsi="宋体" w:cs="宋体"/>
          <w:b/>
          <w:color w:val="auto"/>
          <w:highlight w:val="none"/>
        </w:rPr>
      </w:pPr>
      <w:r>
        <w:rPr>
          <w:rFonts w:hint="eastAsia" w:ascii="宋体" w:hAnsi="宋体" w:cs="宋体"/>
          <w:b/>
          <w:color w:val="auto"/>
          <w:highlight w:val="none"/>
        </w:rPr>
        <w:t>10</w:t>
      </w:r>
      <w:r>
        <w:rPr>
          <w:rFonts w:hint="eastAsia" w:ascii="宋体" w:hAnsi="宋体" w:cs="宋体"/>
          <w:b/>
          <w:bCs/>
          <w:color w:val="auto"/>
          <w:highlight w:val="none"/>
        </w:rPr>
        <w:t xml:space="preserve">. </w:t>
      </w:r>
      <w:r>
        <w:rPr>
          <w:rFonts w:hint="eastAsia" w:ascii="宋体" w:hAnsi="宋体" w:cs="宋体"/>
          <w:b/>
          <w:color w:val="auto"/>
          <w:highlight w:val="none"/>
        </w:rPr>
        <w:t>需要补充的其他内容</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需要补充的其他内容：见投标人须知前附表。</w:t>
      </w:r>
    </w:p>
    <w:p>
      <w:pPr>
        <w:widowControl/>
        <w:spacing w:beforeAutospacing="1" w:afterAutospacing="1" w:line="312" w:lineRule="auto"/>
        <w:jc w:val="left"/>
        <w:rPr>
          <w:rFonts w:ascii="宋体" w:hAnsi="宋体" w:cs="宋体"/>
          <w:color w:val="auto"/>
          <w:sz w:val="28"/>
          <w:szCs w:val="28"/>
          <w:highlight w:val="none"/>
        </w:rPr>
        <w:sectPr>
          <w:type w:val="continuous"/>
          <w:pgSz w:w="11907" w:h="16840"/>
          <w:pgMar w:top="1440" w:right="1701" w:bottom="1440" w:left="1701" w:header="720" w:footer="720" w:gutter="0"/>
          <w:pgNumType w:start="1"/>
          <w:cols w:space="720" w:num="1"/>
          <w:titlePg/>
          <w:docGrid w:linePitch="286" w:charSpace="0"/>
        </w:sectPr>
      </w:pPr>
    </w:p>
    <w:p>
      <w:pPr>
        <w:pStyle w:val="5"/>
        <w:rPr>
          <w:rFonts w:ascii="宋体" w:hAnsi="宋体" w:cs="宋体"/>
          <w:color w:val="auto"/>
          <w:highlight w:val="none"/>
        </w:rPr>
      </w:pPr>
      <w:bookmarkStart w:id="37" w:name="_Toc132272649"/>
      <w:r>
        <w:rPr>
          <w:rFonts w:hint="eastAsia" w:ascii="宋体" w:hAnsi="宋体" w:cs="宋体"/>
          <w:color w:val="auto"/>
          <w:highlight w:val="none"/>
        </w:rPr>
        <w:t>附件一：开标记录表</w:t>
      </w:r>
      <w:bookmarkEnd w:id="37"/>
    </w:p>
    <w:p>
      <w:pPr>
        <w:spacing w:line="200" w:lineRule="exact"/>
        <w:jc w:val="left"/>
        <w:rPr>
          <w:rFonts w:ascii="宋体" w:hAnsi="宋体" w:cs="宋体"/>
          <w:color w:val="auto"/>
          <w:sz w:val="20"/>
          <w:szCs w:val="20"/>
          <w:highlight w:val="none"/>
        </w:rPr>
      </w:pPr>
    </w:p>
    <w:p>
      <w:pPr>
        <w:spacing w:line="373" w:lineRule="exact"/>
        <w:ind w:left="3799" w:right="3400"/>
        <w:jc w:val="center"/>
        <w:rPr>
          <w:rFonts w:ascii="宋体" w:hAnsi="宋体" w:cs="宋体"/>
          <w:b/>
          <w:color w:val="auto"/>
          <w:sz w:val="32"/>
          <w:szCs w:val="32"/>
          <w:highlight w:val="none"/>
        </w:rPr>
      </w:pPr>
      <w:r>
        <w:rPr>
          <w:rFonts w:hint="eastAsia" w:ascii="宋体" w:hAnsi="宋体" w:cs="宋体"/>
          <w:b/>
          <w:color w:val="auto"/>
          <w:sz w:val="32"/>
          <w:szCs w:val="32"/>
          <w:highlight w:val="none"/>
        </w:rPr>
        <w:t>开标记录表</w:t>
      </w:r>
    </w:p>
    <w:p>
      <w:pPr>
        <w:spacing w:before="7" w:line="140" w:lineRule="exact"/>
        <w:jc w:val="left"/>
        <w:rPr>
          <w:rFonts w:ascii="宋体" w:hAnsi="宋体" w:cs="宋体"/>
          <w:color w:val="auto"/>
          <w:sz w:val="32"/>
          <w:szCs w:val="32"/>
          <w:highlight w:val="none"/>
        </w:rPr>
      </w:pPr>
    </w:p>
    <w:p>
      <w:pPr>
        <w:spacing w:line="337" w:lineRule="exact"/>
        <w:ind w:left="1617" w:right="-20"/>
        <w:jc w:val="left"/>
        <w:rPr>
          <w:rFonts w:ascii="宋体" w:hAnsi="宋体" w:cs="宋体"/>
          <w:color w:val="auto"/>
          <w:highlight w:val="none"/>
        </w:rPr>
      </w:pPr>
      <w:r>
        <w:rPr>
          <w:rFonts w:hint="eastAsia" w:ascii="宋体" w:hAnsi="宋体" w:cs="宋体"/>
          <w:color w:val="auto"/>
          <w:highlight w:val="none"/>
        </w:rPr>
        <w:t>开标时间：</w:t>
      </w:r>
      <w:r>
        <w:rPr>
          <w:rFonts w:hint="eastAsia" w:ascii="宋体" w:hAnsi="宋体" w:cs="宋体"/>
          <w:color w:val="auto"/>
          <w:highlight w:val="none"/>
          <w:u w:val="single"/>
        </w:rPr>
        <w:tab/>
      </w:r>
      <w:r>
        <w:rPr>
          <w:rFonts w:hint="eastAsia" w:ascii="宋体" w:hAnsi="宋体" w:cs="宋体"/>
          <w:color w:val="auto"/>
          <w:highlight w:val="none"/>
        </w:rPr>
        <w:t>年</w:t>
      </w:r>
      <w:r>
        <w:rPr>
          <w:rFonts w:hint="eastAsia" w:ascii="宋体" w:hAnsi="宋体" w:cs="宋体"/>
          <w:color w:val="auto"/>
          <w:highlight w:val="none"/>
          <w:u w:val="single"/>
        </w:rPr>
        <w:tab/>
      </w:r>
      <w:r>
        <w:rPr>
          <w:rFonts w:hint="eastAsia" w:ascii="宋体" w:hAnsi="宋体" w:cs="宋体"/>
          <w:color w:val="auto"/>
          <w:highlight w:val="none"/>
        </w:rPr>
        <w:t>月</w:t>
      </w:r>
      <w:r>
        <w:rPr>
          <w:rFonts w:hint="eastAsia" w:ascii="宋体" w:hAnsi="宋体" w:cs="宋体"/>
          <w:color w:val="auto"/>
          <w:highlight w:val="none"/>
          <w:u w:val="single"/>
        </w:rPr>
        <w:tab/>
      </w:r>
      <w:r>
        <w:rPr>
          <w:rFonts w:hint="eastAsia" w:ascii="宋体" w:hAnsi="宋体" w:cs="宋体"/>
          <w:color w:val="auto"/>
          <w:highlight w:val="none"/>
        </w:rPr>
        <w:t>日</w:t>
      </w:r>
      <w:r>
        <w:rPr>
          <w:rFonts w:hint="eastAsia" w:ascii="宋体" w:hAnsi="宋体" w:cs="宋体"/>
          <w:color w:val="auto"/>
          <w:highlight w:val="none"/>
          <w:u w:val="single"/>
        </w:rPr>
        <w:tab/>
      </w:r>
      <w:r>
        <w:rPr>
          <w:rFonts w:hint="eastAsia" w:ascii="宋体" w:hAnsi="宋体" w:cs="宋体"/>
          <w:color w:val="auto"/>
          <w:highlight w:val="none"/>
        </w:rPr>
        <w:t>时</w:t>
      </w:r>
      <w:r>
        <w:rPr>
          <w:rFonts w:hint="eastAsia" w:ascii="宋体" w:hAnsi="宋体" w:cs="宋体"/>
          <w:color w:val="auto"/>
          <w:highlight w:val="none"/>
          <w:u w:val="single"/>
        </w:rPr>
        <w:tab/>
      </w:r>
      <w:r>
        <w:rPr>
          <w:rFonts w:hint="eastAsia" w:ascii="宋体" w:hAnsi="宋体" w:cs="宋体"/>
          <w:color w:val="auto"/>
          <w:highlight w:val="none"/>
        </w:rPr>
        <w:t>分</w:t>
      </w:r>
    </w:p>
    <w:p>
      <w:pPr>
        <w:spacing w:before="1" w:line="170" w:lineRule="exact"/>
        <w:jc w:val="left"/>
        <w:rPr>
          <w:rFonts w:ascii="宋体" w:hAnsi="宋体" w:cs="宋体"/>
          <w:color w:val="auto"/>
          <w:sz w:val="17"/>
          <w:szCs w:val="17"/>
          <w:highlight w:val="none"/>
        </w:rPr>
      </w:pPr>
    </w:p>
    <w:tbl>
      <w:tblPr>
        <w:tblStyle w:val="30"/>
        <w:tblW w:w="9397" w:type="dxa"/>
        <w:jc w:val="center"/>
        <w:tblLayout w:type="fixed"/>
        <w:tblCellMar>
          <w:top w:w="0" w:type="dxa"/>
          <w:left w:w="108" w:type="dxa"/>
          <w:bottom w:w="0" w:type="dxa"/>
          <w:right w:w="108" w:type="dxa"/>
        </w:tblCellMar>
      </w:tblPr>
      <w:tblGrid>
        <w:gridCol w:w="854"/>
        <w:gridCol w:w="854"/>
        <w:gridCol w:w="854"/>
        <w:gridCol w:w="855"/>
        <w:gridCol w:w="854"/>
        <w:gridCol w:w="854"/>
        <w:gridCol w:w="854"/>
        <w:gridCol w:w="855"/>
        <w:gridCol w:w="854"/>
        <w:gridCol w:w="854"/>
        <w:gridCol w:w="855"/>
      </w:tblGrid>
      <w:tr>
        <w:tblPrEx>
          <w:tblCellMar>
            <w:top w:w="0" w:type="dxa"/>
            <w:left w:w="108" w:type="dxa"/>
            <w:bottom w:w="0" w:type="dxa"/>
            <w:right w:w="108" w:type="dxa"/>
          </w:tblCellMar>
        </w:tblPrEx>
        <w:trPr>
          <w:trHeight w:val="1010" w:hRule="atLeast"/>
          <w:jc w:val="center"/>
        </w:trPr>
        <w:tc>
          <w:tcPr>
            <w:tcW w:w="854" w:type="dxa"/>
            <w:tcBorders>
              <w:top w:val="single" w:color="000000" w:sz="4" w:space="0"/>
              <w:left w:val="single" w:color="000000" w:sz="4" w:space="0"/>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序号</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投标人名称</w:t>
            </w:r>
          </w:p>
        </w:tc>
        <w:tc>
          <w:tcPr>
            <w:tcW w:w="854" w:type="dxa"/>
            <w:tcBorders>
              <w:top w:val="single" w:color="000000" w:sz="4" w:space="0"/>
              <w:left w:val="nil"/>
              <w:bottom w:val="single" w:color="000000" w:sz="4" w:space="0"/>
              <w:right w:val="single" w:color="auto"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投标文件递交情况</w:t>
            </w:r>
          </w:p>
        </w:tc>
        <w:tc>
          <w:tcPr>
            <w:tcW w:w="855" w:type="dxa"/>
            <w:tcBorders>
              <w:top w:val="single" w:color="000000" w:sz="4" w:space="0"/>
              <w:left w:val="single" w:color="auto" w:sz="4" w:space="0"/>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投标文件解密情况</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投标文件密封性</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投标保证金</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投标报价</w:t>
            </w:r>
          </w:p>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（元）</w:t>
            </w:r>
          </w:p>
        </w:tc>
        <w:tc>
          <w:tcPr>
            <w:tcW w:w="855" w:type="dxa"/>
            <w:tcBorders>
              <w:top w:val="single" w:color="000000" w:sz="4" w:space="0"/>
              <w:left w:val="single" w:color="auto" w:sz="4" w:space="0"/>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项目负责人</w:t>
            </w:r>
          </w:p>
        </w:tc>
        <w:tc>
          <w:tcPr>
            <w:tcW w:w="854" w:type="dxa"/>
            <w:tcBorders>
              <w:top w:val="single" w:color="000000" w:sz="4" w:space="0"/>
              <w:left w:val="nil"/>
              <w:bottom w:val="single" w:color="000000" w:sz="4" w:space="0"/>
              <w:right w:val="single" w:color="000000" w:sz="4" w:space="0"/>
            </w:tcBorders>
            <w:vAlign w:val="center"/>
          </w:tcPr>
          <w:p>
            <w:pPr>
              <w:jc w:val="center"/>
              <w:rPr>
                <w:rFonts w:ascii="宋体" w:hAnsi="宋体" w:cs="宋体"/>
                <w:b/>
                <w:color w:val="auto"/>
                <w:sz w:val="18"/>
                <w:szCs w:val="18"/>
                <w:highlight w:val="none"/>
              </w:rPr>
            </w:pPr>
            <w:r>
              <w:rPr>
                <w:rFonts w:hint="eastAsia" w:ascii="宋体" w:hAnsi="宋体" w:cs="宋体"/>
                <w:b/>
                <w:color w:val="auto"/>
                <w:sz w:val="18"/>
                <w:szCs w:val="18"/>
                <w:highlight w:val="none"/>
              </w:rPr>
              <w:t>代建服务期限</w:t>
            </w:r>
          </w:p>
        </w:tc>
        <w:tc>
          <w:tcPr>
            <w:tcW w:w="854"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备注</w:t>
            </w:r>
          </w:p>
        </w:tc>
        <w:tc>
          <w:tcPr>
            <w:tcW w:w="855" w:type="dxa"/>
            <w:tcBorders>
              <w:top w:val="single" w:color="000000" w:sz="4" w:space="0"/>
              <w:left w:val="nil"/>
              <w:bottom w:val="single" w:color="000000" w:sz="4" w:space="0"/>
              <w:right w:val="single" w:color="000000" w:sz="4" w:space="0"/>
            </w:tcBorders>
            <w:vAlign w:val="center"/>
          </w:tcPr>
          <w:p>
            <w:pPr>
              <w:ind w:right="-20"/>
              <w:jc w:val="center"/>
              <w:rPr>
                <w:rFonts w:ascii="宋体" w:hAnsi="宋体" w:cs="宋体"/>
                <w:b/>
                <w:color w:val="auto"/>
                <w:sz w:val="18"/>
                <w:szCs w:val="18"/>
                <w:highlight w:val="none"/>
              </w:rPr>
            </w:pPr>
            <w:r>
              <w:rPr>
                <w:rFonts w:hint="eastAsia" w:ascii="宋体" w:hAnsi="宋体" w:cs="宋体"/>
                <w:b/>
                <w:color w:val="auto"/>
                <w:sz w:val="18"/>
                <w:szCs w:val="18"/>
                <w:highlight w:val="none"/>
              </w:rPr>
              <w:t>投标人代表签名</w:t>
            </w: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11"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r>
        <w:tblPrEx>
          <w:tblCellMar>
            <w:top w:w="0" w:type="dxa"/>
            <w:left w:w="108" w:type="dxa"/>
            <w:bottom w:w="0" w:type="dxa"/>
            <w:right w:w="108" w:type="dxa"/>
          </w:tblCellMar>
        </w:tblPrEx>
        <w:trPr>
          <w:trHeight w:val="509" w:hRule="atLeast"/>
          <w:jc w:val="center"/>
        </w:trPr>
        <w:tc>
          <w:tcPr>
            <w:tcW w:w="854" w:type="dxa"/>
            <w:tcBorders>
              <w:top w:val="single" w:color="000000" w:sz="4" w:space="0"/>
              <w:left w:val="single" w:color="000000"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auto"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single" w:color="auto" w:sz="4" w:space="0"/>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4"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c>
          <w:tcPr>
            <w:tcW w:w="855" w:type="dxa"/>
            <w:tcBorders>
              <w:top w:val="single" w:color="000000" w:sz="4" w:space="0"/>
              <w:left w:val="nil"/>
              <w:bottom w:val="single" w:color="000000" w:sz="4" w:space="0"/>
              <w:right w:val="single" w:color="000000" w:sz="4" w:space="0"/>
            </w:tcBorders>
          </w:tcPr>
          <w:p>
            <w:pPr>
              <w:jc w:val="left"/>
              <w:rPr>
                <w:rFonts w:ascii="宋体" w:hAnsi="宋体" w:cs="宋体"/>
                <w:color w:val="auto"/>
                <w:highlight w:val="none"/>
              </w:rPr>
            </w:pPr>
          </w:p>
        </w:tc>
      </w:tr>
    </w:tbl>
    <w:p>
      <w:pPr>
        <w:spacing w:line="200" w:lineRule="exact"/>
        <w:jc w:val="left"/>
        <w:rPr>
          <w:rFonts w:ascii="宋体" w:hAnsi="宋体" w:cs="宋体"/>
          <w:color w:val="auto"/>
          <w:sz w:val="28"/>
          <w:szCs w:val="28"/>
          <w:highlight w:val="none"/>
        </w:rPr>
      </w:pPr>
    </w:p>
    <w:p>
      <w:pPr>
        <w:spacing w:line="271" w:lineRule="exact"/>
        <w:ind w:left="220" w:right="-20"/>
        <w:jc w:val="left"/>
        <w:rPr>
          <w:rFonts w:ascii="宋体" w:hAnsi="宋体" w:cs="宋体"/>
          <w:color w:val="auto"/>
          <w:highlight w:val="none"/>
        </w:rPr>
      </w:pPr>
      <w:r>
        <w:rPr>
          <w:rFonts w:hint="eastAsia" w:ascii="宋体" w:hAnsi="宋体" w:cs="宋体"/>
          <w:color w:val="auto"/>
          <w:highlight w:val="none"/>
        </w:rPr>
        <w:t>招标人代表：</w:t>
      </w:r>
      <w:r>
        <w:rPr>
          <w:rFonts w:hint="eastAsia" w:ascii="宋体" w:hAnsi="宋体" w:cs="宋体"/>
          <w:color w:val="auto"/>
          <w:highlight w:val="none"/>
          <w:u w:val="single"/>
        </w:rPr>
        <w:tab/>
      </w:r>
      <w:r>
        <w:rPr>
          <w:rFonts w:hint="eastAsia" w:ascii="宋体" w:hAnsi="宋体" w:cs="宋体"/>
          <w:color w:val="auto"/>
          <w:highlight w:val="none"/>
        </w:rPr>
        <w:tab/>
      </w:r>
      <w:r>
        <w:rPr>
          <w:rFonts w:hint="eastAsia" w:ascii="宋体" w:hAnsi="宋体" w:cs="宋体"/>
          <w:color w:val="auto"/>
          <w:highlight w:val="none"/>
        </w:rPr>
        <w:t>记录人：</w:t>
      </w:r>
      <w:r>
        <w:rPr>
          <w:rFonts w:hint="eastAsia" w:ascii="宋体" w:hAnsi="宋体" w:cs="宋体"/>
          <w:color w:val="auto"/>
          <w:highlight w:val="none"/>
          <w:u w:val="single"/>
        </w:rPr>
        <w:tab/>
      </w:r>
      <w:r>
        <w:rPr>
          <w:rFonts w:hint="eastAsia" w:ascii="宋体" w:hAnsi="宋体" w:cs="宋体"/>
          <w:color w:val="auto"/>
          <w:highlight w:val="none"/>
        </w:rPr>
        <w:tab/>
      </w:r>
      <w:r>
        <w:rPr>
          <w:rFonts w:hint="eastAsia" w:ascii="宋体" w:hAnsi="宋体" w:cs="宋体"/>
          <w:color w:val="auto"/>
          <w:highlight w:val="none"/>
        </w:rPr>
        <w:t>监标人：</w:t>
      </w:r>
      <w:r>
        <w:rPr>
          <w:rFonts w:hint="eastAsia" w:ascii="宋体" w:hAnsi="宋体" w:cs="宋体"/>
          <w:color w:val="auto"/>
          <w:highlight w:val="none"/>
          <w:u w:val="single"/>
        </w:rPr>
        <w:tab/>
      </w:r>
    </w:p>
    <w:p>
      <w:pPr>
        <w:spacing w:line="150" w:lineRule="exact"/>
        <w:jc w:val="left"/>
        <w:rPr>
          <w:rFonts w:ascii="宋体" w:hAnsi="宋体" w:cs="宋体"/>
          <w:color w:val="auto"/>
          <w:sz w:val="15"/>
          <w:szCs w:val="15"/>
          <w:highlight w:val="none"/>
        </w:rPr>
      </w:pPr>
    </w:p>
    <w:p>
      <w:pPr>
        <w:spacing w:line="200" w:lineRule="exact"/>
        <w:jc w:val="left"/>
        <w:rPr>
          <w:rFonts w:ascii="宋体" w:hAnsi="宋体" w:cs="宋体"/>
          <w:color w:val="auto"/>
          <w:sz w:val="20"/>
          <w:szCs w:val="20"/>
          <w:highlight w:val="none"/>
        </w:rPr>
      </w:pPr>
    </w:p>
    <w:p>
      <w:pPr>
        <w:spacing w:line="295" w:lineRule="exact"/>
        <w:ind w:right="96"/>
        <w:jc w:val="right"/>
        <w:rPr>
          <w:rFonts w:ascii="宋体" w:hAnsi="宋体" w:cs="宋体"/>
          <w:color w:val="auto"/>
          <w:highlight w:val="none"/>
        </w:rPr>
      </w:pPr>
      <w:r>
        <w:rPr>
          <w:rFonts w:hint="eastAsia" w:ascii="宋体" w:hAnsi="宋体" w:cs="宋体"/>
          <w:color w:val="auto"/>
          <w:highlight w:val="none"/>
          <w:u w:val="single"/>
        </w:rPr>
        <w:tab/>
      </w:r>
      <w:r>
        <w:rPr>
          <w:rFonts w:hint="eastAsia" w:ascii="宋体" w:hAnsi="宋体" w:cs="宋体"/>
          <w:color w:val="auto"/>
          <w:highlight w:val="none"/>
        </w:rPr>
        <w:t>年</w:t>
      </w:r>
      <w:r>
        <w:rPr>
          <w:rFonts w:hint="eastAsia" w:ascii="宋体" w:hAnsi="宋体" w:cs="宋体"/>
          <w:color w:val="auto"/>
          <w:highlight w:val="none"/>
          <w:u w:val="single"/>
        </w:rPr>
        <w:tab/>
      </w:r>
      <w:r>
        <w:rPr>
          <w:rFonts w:hint="eastAsia" w:ascii="宋体" w:hAnsi="宋体" w:cs="宋体"/>
          <w:color w:val="auto"/>
          <w:highlight w:val="none"/>
        </w:rPr>
        <w:t>月</w:t>
      </w:r>
      <w:r>
        <w:rPr>
          <w:rFonts w:hint="eastAsia" w:ascii="宋体" w:hAnsi="宋体" w:cs="宋体"/>
          <w:color w:val="auto"/>
          <w:highlight w:val="none"/>
          <w:u w:val="single"/>
        </w:rPr>
        <w:tab/>
      </w:r>
      <w:r>
        <w:rPr>
          <w:rFonts w:hint="eastAsia" w:ascii="宋体" w:hAnsi="宋体" w:cs="宋体"/>
          <w:color w:val="auto"/>
          <w:highlight w:val="none"/>
        </w:rPr>
        <w:t>日</w:t>
      </w:r>
    </w:p>
    <w:p>
      <w:pPr>
        <w:pStyle w:val="5"/>
        <w:rPr>
          <w:rFonts w:ascii="宋体" w:hAnsi="宋体" w:cs="宋体"/>
          <w:color w:val="auto"/>
          <w:highlight w:val="none"/>
        </w:rPr>
      </w:pPr>
      <w:r>
        <w:rPr>
          <w:rFonts w:hint="eastAsia" w:ascii="宋体" w:hAnsi="宋体" w:cs="宋体"/>
          <w:color w:val="auto"/>
          <w:highlight w:val="none"/>
        </w:rPr>
        <w:br w:type="page"/>
      </w:r>
      <w:bookmarkStart w:id="38" w:name="_Toc132272650"/>
      <w:r>
        <w:rPr>
          <w:rFonts w:hint="eastAsia" w:ascii="宋体" w:hAnsi="宋体" w:cs="宋体"/>
          <w:color w:val="auto"/>
          <w:highlight w:val="none"/>
        </w:rPr>
        <w:t>附件二：问题澄清通知</w:t>
      </w:r>
      <w:bookmarkEnd w:id="38"/>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4"/>
          <w:szCs w:val="24"/>
          <w:highlight w:val="none"/>
        </w:rPr>
      </w:pPr>
    </w:p>
    <w:p>
      <w:pPr>
        <w:spacing w:line="480" w:lineRule="auto"/>
        <w:ind w:right="-20"/>
        <w:jc w:val="center"/>
        <w:rPr>
          <w:rFonts w:ascii="宋体" w:hAnsi="宋体" w:cs="宋体"/>
          <w:color w:val="auto"/>
          <w:sz w:val="32"/>
          <w:szCs w:val="32"/>
          <w:highlight w:val="none"/>
        </w:rPr>
      </w:pPr>
      <w:r>
        <w:rPr>
          <w:rFonts w:hint="eastAsia" w:ascii="宋体" w:hAnsi="宋体" w:cs="宋体"/>
          <w:color w:val="auto"/>
          <w:sz w:val="32"/>
          <w:szCs w:val="32"/>
          <w:highlight w:val="none"/>
        </w:rPr>
        <w:t>问题澄</w:t>
      </w:r>
      <w:r>
        <w:rPr>
          <w:rFonts w:hint="eastAsia" w:ascii="宋体" w:hAnsi="宋体" w:cs="宋体"/>
          <w:color w:val="auto"/>
          <w:spacing w:val="-3"/>
          <w:sz w:val="32"/>
          <w:szCs w:val="32"/>
          <w:highlight w:val="none"/>
        </w:rPr>
        <w:t>清</w:t>
      </w:r>
      <w:r>
        <w:rPr>
          <w:rFonts w:hint="eastAsia" w:ascii="宋体" w:hAnsi="宋体" w:cs="宋体"/>
          <w:color w:val="auto"/>
          <w:sz w:val="32"/>
          <w:szCs w:val="32"/>
          <w:highlight w:val="none"/>
        </w:rPr>
        <w:t>通知</w:t>
      </w:r>
    </w:p>
    <w:p>
      <w:pPr>
        <w:tabs>
          <w:tab w:val="left" w:pos="5740"/>
        </w:tabs>
        <w:spacing w:before="62" w:line="480" w:lineRule="auto"/>
        <w:ind w:left="2808" w:right="2811"/>
        <w:jc w:val="center"/>
        <w:rPr>
          <w:rFonts w:ascii="宋体" w:hAnsi="宋体" w:cs="宋体"/>
          <w:color w:val="auto"/>
          <w:position w:val="-4"/>
          <w:highlight w:val="none"/>
        </w:rPr>
      </w:pPr>
      <w:r>
        <w:rPr>
          <w:rFonts w:hint="eastAsia" w:ascii="宋体" w:hAnsi="宋体" w:cs="宋体"/>
          <w:color w:val="auto"/>
          <w:position w:val="-4"/>
          <w:highlight w:val="none"/>
        </w:rPr>
        <w:t>（编</w:t>
      </w:r>
      <w:r>
        <w:rPr>
          <w:rFonts w:hint="eastAsia" w:ascii="宋体" w:hAnsi="宋体" w:cs="宋体"/>
          <w:color w:val="auto"/>
          <w:spacing w:val="-2"/>
          <w:position w:val="-4"/>
          <w:highlight w:val="none"/>
        </w:rPr>
        <w:t>号</w:t>
      </w:r>
      <w:r>
        <w:rPr>
          <w:rFonts w:hint="eastAsia" w:ascii="宋体" w:hAnsi="宋体" w:cs="宋体"/>
          <w:color w:val="auto"/>
          <w:position w:val="-4"/>
          <w:highlight w:val="none"/>
        </w:rPr>
        <w:t>：</w:t>
      </w:r>
      <w:r>
        <w:rPr>
          <w:rFonts w:hint="eastAsia" w:ascii="宋体" w:hAnsi="宋体" w:cs="宋体"/>
          <w:color w:val="auto"/>
          <w:position w:val="-4"/>
          <w:highlight w:val="none"/>
          <w:u w:val="single"/>
        </w:rPr>
        <w:tab/>
      </w:r>
      <w:r>
        <w:rPr>
          <w:rFonts w:hint="eastAsia" w:ascii="宋体" w:hAnsi="宋体" w:cs="宋体"/>
          <w:color w:val="auto"/>
          <w:position w:val="-4"/>
          <w:highlight w:val="none"/>
        </w:rPr>
        <w:t>）</w:t>
      </w:r>
    </w:p>
    <w:p>
      <w:pPr>
        <w:tabs>
          <w:tab w:val="left" w:pos="2300"/>
        </w:tabs>
        <w:spacing w:line="480" w:lineRule="auto"/>
        <w:ind w:left="100" w:right="-20"/>
        <w:rPr>
          <w:rFonts w:ascii="宋体" w:hAnsi="宋体" w:cs="宋体"/>
          <w:color w:val="auto"/>
          <w:highlight w:val="none"/>
        </w:rPr>
      </w:pPr>
      <w:r>
        <w:rPr>
          <w:rFonts w:hint="eastAsia" w:ascii="宋体" w:hAnsi="宋体" w:cs="宋体"/>
          <w:color w:val="auto"/>
          <w:position w:val="-2"/>
          <w:highlight w:val="none"/>
          <w:u w:val="single"/>
        </w:rPr>
        <w:tab/>
      </w:r>
      <w:r>
        <w:rPr>
          <w:rFonts w:hint="eastAsia" w:ascii="宋体" w:hAnsi="宋体" w:cs="宋体"/>
          <w:color w:val="auto"/>
          <w:spacing w:val="-2"/>
          <w:position w:val="-2"/>
          <w:highlight w:val="none"/>
        </w:rPr>
        <w:t>（</w:t>
      </w:r>
      <w:r>
        <w:rPr>
          <w:rFonts w:hint="eastAsia" w:ascii="宋体" w:hAnsi="宋体" w:cs="宋体"/>
          <w:color w:val="auto"/>
          <w:position w:val="-2"/>
          <w:highlight w:val="none"/>
        </w:rPr>
        <w:t>投标</w:t>
      </w:r>
      <w:r>
        <w:rPr>
          <w:rFonts w:hint="eastAsia" w:ascii="宋体" w:hAnsi="宋体" w:cs="宋体"/>
          <w:color w:val="auto"/>
          <w:spacing w:val="-2"/>
          <w:position w:val="-2"/>
          <w:highlight w:val="none"/>
        </w:rPr>
        <w:t>人</w:t>
      </w:r>
      <w:r>
        <w:rPr>
          <w:rFonts w:hint="eastAsia" w:ascii="宋体" w:hAnsi="宋体" w:cs="宋体"/>
          <w:color w:val="auto"/>
          <w:position w:val="-2"/>
          <w:highlight w:val="none"/>
        </w:rPr>
        <w:t>名</w:t>
      </w:r>
      <w:r>
        <w:rPr>
          <w:rFonts w:hint="eastAsia" w:ascii="宋体" w:hAnsi="宋体" w:cs="宋体"/>
          <w:color w:val="auto"/>
          <w:spacing w:val="-2"/>
          <w:position w:val="-2"/>
          <w:highlight w:val="none"/>
        </w:rPr>
        <w:t>称</w:t>
      </w:r>
      <w:r>
        <w:rPr>
          <w:rFonts w:hint="eastAsia" w:ascii="宋体" w:hAnsi="宋体" w:cs="宋体"/>
          <w:color w:val="auto"/>
          <w:spacing w:val="-106"/>
          <w:position w:val="-2"/>
          <w:highlight w:val="none"/>
        </w:rPr>
        <w:t>）</w:t>
      </w:r>
      <w:r>
        <w:rPr>
          <w:rFonts w:hint="eastAsia" w:ascii="宋体" w:hAnsi="宋体" w:cs="宋体"/>
          <w:color w:val="auto"/>
          <w:position w:val="-2"/>
          <w:highlight w:val="none"/>
        </w:rPr>
        <w:t>：</w:t>
      </w:r>
    </w:p>
    <w:p>
      <w:pPr>
        <w:spacing w:line="480" w:lineRule="auto"/>
        <w:ind w:left="523" w:right="-20"/>
        <w:rPr>
          <w:rFonts w:ascii="宋体" w:hAnsi="宋体" w:cs="宋体"/>
          <w:color w:val="auto"/>
          <w:highlight w:val="none"/>
        </w:rPr>
      </w:pPr>
      <w:r>
        <w:rPr>
          <w:rFonts w:hint="eastAsia" w:ascii="宋体" w:hAnsi="宋体" w:cs="宋体"/>
          <w:color w:val="auto"/>
          <w:position w:val="-1"/>
          <w:highlight w:val="none"/>
        </w:rPr>
        <w:t>评标委员会</w:t>
      </w:r>
      <w:r>
        <w:rPr>
          <w:rFonts w:hint="eastAsia" w:ascii="宋体" w:hAnsi="宋体" w:cs="宋体"/>
          <w:color w:val="auto"/>
          <w:spacing w:val="-2"/>
          <w:position w:val="-1"/>
          <w:highlight w:val="none"/>
        </w:rPr>
        <w:t>对</w:t>
      </w:r>
      <w:r>
        <w:rPr>
          <w:rFonts w:hint="eastAsia" w:ascii="宋体" w:hAnsi="宋体" w:cs="宋体"/>
          <w:color w:val="auto"/>
          <w:position w:val="-1"/>
          <w:highlight w:val="none"/>
        </w:rPr>
        <w:t>你方</w:t>
      </w:r>
      <w:r>
        <w:rPr>
          <w:rFonts w:hint="eastAsia" w:ascii="宋体" w:hAnsi="宋体" w:cs="宋体"/>
          <w:color w:val="auto"/>
          <w:spacing w:val="-2"/>
          <w:position w:val="-1"/>
          <w:highlight w:val="none"/>
        </w:rPr>
        <w:t>的</w:t>
      </w:r>
      <w:r>
        <w:rPr>
          <w:rFonts w:hint="eastAsia" w:ascii="宋体" w:hAnsi="宋体" w:cs="宋体"/>
          <w:color w:val="auto"/>
          <w:position w:val="-1"/>
          <w:highlight w:val="none"/>
        </w:rPr>
        <w:t>投标文件进行了</w:t>
      </w:r>
      <w:r>
        <w:rPr>
          <w:rFonts w:hint="eastAsia" w:ascii="宋体" w:hAnsi="宋体" w:cs="宋体"/>
          <w:color w:val="auto"/>
          <w:spacing w:val="-2"/>
          <w:position w:val="-1"/>
          <w:highlight w:val="none"/>
        </w:rPr>
        <w:t>仔</w:t>
      </w:r>
      <w:r>
        <w:rPr>
          <w:rFonts w:hint="eastAsia" w:ascii="宋体" w:hAnsi="宋体" w:cs="宋体"/>
          <w:color w:val="auto"/>
          <w:position w:val="-1"/>
          <w:highlight w:val="none"/>
        </w:rPr>
        <w:t>细的</w:t>
      </w:r>
      <w:r>
        <w:rPr>
          <w:rFonts w:hint="eastAsia" w:ascii="宋体" w:hAnsi="宋体" w:cs="宋体"/>
          <w:color w:val="auto"/>
          <w:spacing w:val="-2"/>
          <w:position w:val="-1"/>
          <w:highlight w:val="none"/>
        </w:rPr>
        <w:t>审</w:t>
      </w:r>
      <w:r>
        <w:rPr>
          <w:rFonts w:hint="eastAsia" w:ascii="宋体" w:hAnsi="宋体" w:cs="宋体"/>
          <w:color w:val="auto"/>
          <w:position w:val="-1"/>
          <w:highlight w:val="none"/>
        </w:rPr>
        <w:t>查，现需你方对</w:t>
      </w:r>
      <w:r>
        <w:rPr>
          <w:rFonts w:hint="eastAsia" w:ascii="宋体" w:hAnsi="宋体" w:cs="宋体"/>
          <w:color w:val="auto"/>
          <w:spacing w:val="-2"/>
          <w:position w:val="-1"/>
          <w:highlight w:val="none"/>
        </w:rPr>
        <w:t>下</w:t>
      </w:r>
      <w:r>
        <w:rPr>
          <w:rFonts w:hint="eastAsia" w:ascii="宋体" w:hAnsi="宋体" w:cs="宋体"/>
          <w:color w:val="auto"/>
          <w:position w:val="-1"/>
          <w:highlight w:val="none"/>
        </w:rPr>
        <w:t>列问</w:t>
      </w:r>
      <w:r>
        <w:rPr>
          <w:rFonts w:hint="eastAsia" w:ascii="宋体" w:hAnsi="宋体" w:cs="宋体"/>
          <w:color w:val="auto"/>
          <w:spacing w:val="-2"/>
          <w:position w:val="-1"/>
          <w:highlight w:val="none"/>
        </w:rPr>
        <w:t>题</w:t>
      </w:r>
      <w:r>
        <w:rPr>
          <w:rFonts w:hint="eastAsia" w:ascii="宋体" w:hAnsi="宋体" w:cs="宋体"/>
          <w:color w:val="auto"/>
          <w:position w:val="-1"/>
          <w:highlight w:val="none"/>
        </w:rPr>
        <w:t>以书面形式予</w:t>
      </w:r>
      <w:r>
        <w:rPr>
          <w:rFonts w:hint="eastAsia" w:ascii="宋体" w:hAnsi="宋体" w:cs="宋体"/>
          <w:color w:val="auto"/>
          <w:spacing w:val="-2"/>
          <w:position w:val="-1"/>
          <w:highlight w:val="none"/>
        </w:rPr>
        <w:t>以</w:t>
      </w:r>
      <w:r>
        <w:rPr>
          <w:rFonts w:hint="eastAsia" w:ascii="宋体" w:hAnsi="宋体" w:cs="宋体"/>
          <w:color w:val="auto"/>
          <w:position w:val="-1"/>
          <w:highlight w:val="none"/>
        </w:rPr>
        <w:t>澄</w:t>
      </w:r>
      <w:r>
        <w:rPr>
          <w:rFonts w:hint="eastAsia" w:ascii="宋体" w:hAnsi="宋体" w:cs="宋体"/>
          <w:color w:val="auto"/>
          <w:highlight w:val="none"/>
        </w:rPr>
        <w:t>清、</w:t>
      </w:r>
      <w:r>
        <w:rPr>
          <w:rFonts w:hint="eastAsia" w:ascii="宋体" w:hAnsi="宋体" w:cs="宋体"/>
          <w:color w:val="auto"/>
          <w:spacing w:val="-2"/>
          <w:highlight w:val="none"/>
        </w:rPr>
        <w:t>说</w:t>
      </w:r>
      <w:r>
        <w:rPr>
          <w:rFonts w:hint="eastAsia" w:ascii="宋体" w:hAnsi="宋体" w:cs="宋体"/>
          <w:color w:val="auto"/>
          <w:highlight w:val="none"/>
        </w:rPr>
        <w:t>明</w:t>
      </w:r>
      <w:r>
        <w:rPr>
          <w:rFonts w:hint="eastAsia" w:ascii="宋体" w:hAnsi="宋体" w:cs="宋体"/>
          <w:color w:val="auto"/>
          <w:spacing w:val="-2"/>
          <w:highlight w:val="none"/>
        </w:rPr>
        <w:t>或</w:t>
      </w:r>
      <w:r>
        <w:rPr>
          <w:rFonts w:hint="eastAsia" w:ascii="宋体" w:hAnsi="宋体" w:cs="宋体"/>
          <w:color w:val="auto"/>
          <w:highlight w:val="none"/>
        </w:rPr>
        <w:t>补</w:t>
      </w:r>
      <w:r>
        <w:rPr>
          <w:rFonts w:hint="eastAsia" w:ascii="宋体" w:hAnsi="宋体" w:cs="宋体"/>
          <w:color w:val="auto"/>
          <w:spacing w:val="-2"/>
          <w:highlight w:val="none"/>
        </w:rPr>
        <w:t>正</w:t>
      </w:r>
      <w:r>
        <w:rPr>
          <w:rFonts w:hint="eastAsia" w:ascii="宋体" w:hAnsi="宋体" w:cs="宋体"/>
          <w:color w:val="auto"/>
          <w:highlight w:val="none"/>
        </w:rPr>
        <w:t>：</w:t>
      </w:r>
    </w:p>
    <w:p>
      <w:pPr>
        <w:spacing w:line="480" w:lineRule="auto"/>
        <w:ind w:left="523" w:right="-20"/>
        <w:rPr>
          <w:rFonts w:ascii="宋体" w:hAnsi="宋体" w:cs="宋体"/>
          <w:color w:val="auto"/>
          <w:highlight w:val="none"/>
        </w:rPr>
      </w:pPr>
      <w:r>
        <w:rPr>
          <w:rFonts w:hint="eastAsia" w:ascii="宋体" w:hAnsi="宋体" w:cs="宋体"/>
          <w:color w:val="auto"/>
          <w:highlight w:val="none"/>
        </w:rPr>
        <w:t>1.</w:t>
      </w:r>
    </w:p>
    <w:p>
      <w:pPr>
        <w:spacing w:line="480" w:lineRule="auto"/>
        <w:ind w:left="523" w:right="-20"/>
        <w:rPr>
          <w:rFonts w:ascii="宋体" w:hAnsi="宋体" w:cs="宋体"/>
          <w:color w:val="auto"/>
          <w:highlight w:val="none"/>
        </w:rPr>
      </w:pPr>
      <w:r>
        <w:rPr>
          <w:rFonts w:hint="eastAsia" w:ascii="宋体" w:hAnsi="宋体" w:cs="宋体"/>
          <w:color w:val="auto"/>
          <w:highlight w:val="none"/>
        </w:rPr>
        <w:t>2.</w:t>
      </w:r>
    </w:p>
    <w:p>
      <w:pPr>
        <w:spacing w:line="480" w:lineRule="auto"/>
        <w:ind w:left="628" w:right="-2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spacing w:val="-2"/>
          <w:highlight w:val="none"/>
        </w:rPr>
        <w:t>.</w:t>
      </w:r>
      <w:r>
        <w:rPr>
          <w:rFonts w:hint="eastAsia" w:ascii="宋体" w:hAnsi="宋体" w:cs="宋体"/>
          <w:color w:val="auto"/>
          <w:highlight w:val="none"/>
        </w:rPr>
        <w:t>....</w:t>
      </w:r>
    </w:p>
    <w:p>
      <w:pPr>
        <w:tabs>
          <w:tab w:val="left" w:pos="4600"/>
          <w:tab w:val="left" w:pos="5540"/>
          <w:tab w:val="left" w:pos="6480"/>
          <w:tab w:val="left" w:pos="7420"/>
        </w:tabs>
        <w:spacing w:line="480" w:lineRule="auto"/>
        <w:ind w:left="506" w:right="-20"/>
        <w:rPr>
          <w:rFonts w:ascii="宋体" w:hAnsi="宋体" w:cs="宋体"/>
          <w:color w:val="auto"/>
          <w:highlight w:val="none"/>
        </w:rPr>
      </w:pPr>
      <w:r>
        <w:rPr>
          <w:rFonts w:hint="eastAsia" w:ascii="宋体" w:hAnsi="宋体" w:cs="宋体"/>
          <w:color w:val="auto"/>
          <w:position w:val="-4"/>
          <w:highlight w:val="none"/>
        </w:rPr>
        <w:t>请将</w:t>
      </w:r>
      <w:r>
        <w:rPr>
          <w:rFonts w:hint="eastAsia" w:ascii="宋体" w:hAnsi="宋体" w:cs="宋体"/>
          <w:color w:val="auto"/>
          <w:spacing w:val="-2"/>
          <w:position w:val="-4"/>
          <w:highlight w:val="none"/>
        </w:rPr>
        <w:t>上</w:t>
      </w:r>
      <w:r>
        <w:rPr>
          <w:rFonts w:hint="eastAsia" w:ascii="宋体" w:hAnsi="宋体" w:cs="宋体"/>
          <w:color w:val="auto"/>
          <w:position w:val="-4"/>
          <w:highlight w:val="none"/>
        </w:rPr>
        <w:t>述</w:t>
      </w:r>
      <w:r>
        <w:rPr>
          <w:rFonts w:hint="eastAsia" w:ascii="宋体" w:hAnsi="宋体" w:cs="宋体"/>
          <w:color w:val="auto"/>
          <w:spacing w:val="-2"/>
          <w:position w:val="-4"/>
          <w:highlight w:val="none"/>
        </w:rPr>
        <w:t>问</w:t>
      </w:r>
      <w:r>
        <w:rPr>
          <w:rFonts w:hint="eastAsia" w:ascii="宋体" w:hAnsi="宋体" w:cs="宋体"/>
          <w:color w:val="auto"/>
          <w:position w:val="-4"/>
          <w:highlight w:val="none"/>
        </w:rPr>
        <w:t>题</w:t>
      </w:r>
      <w:r>
        <w:rPr>
          <w:rFonts w:hint="eastAsia" w:ascii="宋体" w:hAnsi="宋体" w:cs="宋体"/>
          <w:color w:val="auto"/>
          <w:spacing w:val="-2"/>
          <w:position w:val="-4"/>
          <w:highlight w:val="none"/>
        </w:rPr>
        <w:t>的</w:t>
      </w:r>
      <w:r>
        <w:rPr>
          <w:rFonts w:hint="eastAsia" w:ascii="宋体" w:hAnsi="宋体" w:cs="宋体"/>
          <w:color w:val="auto"/>
          <w:position w:val="-4"/>
          <w:highlight w:val="none"/>
        </w:rPr>
        <w:t>澄</w:t>
      </w:r>
      <w:r>
        <w:rPr>
          <w:rFonts w:hint="eastAsia" w:ascii="宋体" w:hAnsi="宋体" w:cs="宋体"/>
          <w:color w:val="auto"/>
          <w:spacing w:val="-2"/>
          <w:position w:val="-4"/>
          <w:highlight w:val="none"/>
        </w:rPr>
        <w:t>清</w:t>
      </w:r>
      <w:r>
        <w:rPr>
          <w:rFonts w:hint="eastAsia" w:ascii="宋体" w:hAnsi="宋体" w:cs="宋体"/>
          <w:color w:val="auto"/>
          <w:position w:val="-4"/>
          <w:highlight w:val="none"/>
        </w:rPr>
        <w:t>、</w:t>
      </w:r>
      <w:r>
        <w:rPr>
          <w:rFonts w:hint="eastAsia" w:ascii="宋体" w:hAnsi="宋体" w:cs="宋体"/>
          <w:color w:val="auto"/>
          <w:spacing w:val="-2"/>
          <w:position w:val="-4"/>
          <w:highlight w:val="none"/>
        </w:rPr>
        <w:t>说</w:t>
      </w:r>
      <w:r>
        <w:rPr>
          <w:rFonts w:hint="eastAsia" w:ascii="宋体" w:hAnsi="宋体" w:cs="宋体"/>
          <w:color w:val="auto"/>
          <w:position w:val="-4"/>
          <w:highlight w:val="none"/>
        </w:rPr>
        <w:t>明或</w:t>
      </w:r>
      <w:r>
        <w:rPr>
          <w:rFonts w:hint="eastAsia" w:ascii="宋体" w:hAnsi="宋体" w:cs="宋体"/>
          <w:color w:val="auto"/>
          <w:spacing w:val="-2"/>
          <w:position w:val="-4"/>
          <w:highlight w:val="none"/>
        </w:rPr>
        <w:t>补</w:t>
      </w:r>
      <w:r>
        <w:rPr>
          <w:rFonts w:hint="eastAsia" w:ascii="宋体" w:hAnsi="宋体" w:cs="宋体"/>
          <w:color w:val="auto"/>
          <w:position w:val="-4"/>
          <w:highlight w:val="none"/>
        </w:rPr>
        <w:t>正</w:t>
      </w:r>
      <w:r>
        <w:rPr>
          <w:rFonts w:hint="eastAsia" w:ascii="宋体" w:hAnsi="宋体" w:cs="宋体"/>
          <w:color w:val="auto"/>
          <w:spacing w:val="-2"/>
          <w:position w:val="-4"/>
          <w:highlight w:val="none"/>
        </w:rPr>
        <w:t>于</w:t>
      </w:r>
      <w:r>
        <w:rPr>
          <w:rFonts w:hint="eastAsia" w:ascii="宋体" w:hAnsi="宋体" w:cs="宋体"/>
          <w:color w:val="auto"/>
          <w:position w:val="-4"/>
          <w:highlight w:val="none"/>
          <w:u w:val="single"/>
        </w:rPr>
        <w:tab/>
      </w:r>
      <w:r>
        <w:rPr>
          <w:rFonts w:hint="eastAsia" w:ascii="宋体" w:hAnsi="宋体" w:cs="宋体"/>
          <w:color w:val="auto"/>
          <w:position w:val="-4"/>
          <w:highlight w:val="none"/>
        </w:rPr>
        <w:t>年</w:t>
      </w:r>
      <w:r>
        <w:rPr>
          <w:rFonts w:hint="eastAsia" w:ascii="宋体" w:hAnsi="宋体" w:cs="宋体"/>
          <w:color w:val="auto"/>
          <w:position w:val="-4"/>
          <w:highlight w:val="none"/>
          <w:u w:val="single"/>
        </w:rPr>
        <w:tab/>
      </w:r>
      <w:r>
        <w:rPr>
          <w:rFonts w:hint="eastAsia" w:ascii="宋体" w:hAnsi="宋体" w:cs="宋体"/>
          <w:color w:val="auto"/>
          <w:position w:val="-4"/>
          <w:highlight w:val="none"/>
        </w:rPr>
        <w:t>月</w:t>
      </w:r>
      <w:r>
        <w:rPr>
          <w:rFonts w:hint="eastAsia" w:ascii="宋体" w:hAnsi="宋体" w:cs="宋体"/>
          <w:color w:val="auto"/>
          <w:position w:val="-4"/>
          <w:highlight w:val="none"/>
          <w:u w:val="single"/>
        </w:rPr>
        <w:tab/>
      </w:r>
      <w:r>
        <w:rPr>
          <w:rFonts w:hint="eastAsia" w:ascii="宋体" w:hAnsi="宋体" w:cs="宋体"/>
          <w:color w:val="auto"/>
          <w:spacing w:val="-2"/>
          <w:position w:val="-4"/>
          <w:highlight w:val="none"/>
        </w:rPr>
        <w:t>日</w:t>
      </w:r>
      <w:r>
        <w:rPr>
          <w:rFonts w:hint="eastAsia" w:ascii="宋体" w:hAnsi="宋体" w:cs="宋体"/>
          <w:color w:val="auto"/>
          <w:position w:val="-4"/>
          <w:highlight w:val="none"/>
          <w:u w:val="single"/>
        </w:rPr>
        <w:tab/>
      </w:r>
      <w:r>
        <w:rPr>
          <w:rFonts w:hint="eastAsia" w:ascii="宋体" w:hAnsi="宋体" w:cs="宋体"/>
          <w:color w:val="auto"/>
          <w:spacing w:val="-2"/>
          <w:position w:val="-4"/>
          <w:highlight w:val="none"/>
        </w:rPr>
        <w:t>时</w:t>
      </w:r>
      <w:r>
        <w:rPr>
          <w:rFonts w:hint="eastAsia" w:ascii="宋体" w:hAnsi="宋体" w:cs="宋体"/>
          <w:color w:val="auto"/>
          <w:position w:val="-4"/>
          <w:highlight w:val="none"/>
        </w:rPr>
        <w:t>前递</w:t>
      </w:r>
      <w:r>
        <w:rPr>
          <w:rFonts w:hint="eastAsia" w:ascii="宋体" w:hAnsi="宋体" w:cs="宋体"/>
          <w:color w:val="auto"/>
          <w:spacing w:val="-2"/>
          <w:position w:val="-4"/>
          <w:highlight w:val="none"/>
        </w:rPr>
        <w:t>交</w:t>
      </w:r>
      <w:r>
        <w:rPr>
          <w:rFonts w:hint="eastAsia" w:ascii="宋体" w:hAnsi="宋体" w:cs="宋体"/>
          <w:color w:val="auto"/>
          <w:position w:val="-4"/>
          <w:highlight w:val="none"/>
        </w:rPr>
        <w:t>至</w:t>
      </w:r>
    </w:p>
    <w:p>
      <w:pPr>
        <w:tabs>
          <w:tab w:val="left" w:pos="3040"/>
          <w:tab w:val="left" w:pos="7320"/>
        </w:tabs>
        <w:spacing w:line="480" w:lineRule="auto"/>
        <w:ind w:left="100" w:right="-20"/>
        <w:rPr>
          <w:rFonts w:ascii="宋体" w:hAnsi="宋体" w:cs="宋体"/>
          <w:color w:val="auto"/>
          <w:highlight w:val="none"/>
        </w:rPr>
      </w:pPr>
      <w:r>
        <w:rPr>
          <w:rFonts w:hint="eastAsia" w:ascii="宋体" w:hAnsi="宋体" w:cs="宋体"/>
          <w:color w:val="auto"/>
          <w:position w:val="-2"/>
          <w:highlight w:val="none"/>
          <w:u w:val="single"/>
        </w:rPr>
        <w:tab/>
      </w:r>
      <w:r>
        <w:rPr>
          <w:rFonts w:hint="eastAsia" w:ascii="宋体" w:hAnsi="宋体" w:cs="宋体"/>
          <w:color w:val="auto"/>
          <w:position w:val="-2"/>
          <w:highlight w:val="none"/>
        </w:rPr>
        <w:t>（</w:t>
      </w:r>
      <w:r>
        <w:rPr>
          <w:rFonts w:hint="eastAsia" w:ascii="宋体" w:hAnsi="宋体" w:cs="宋体"/>
          <w:color w:val="auto"/>
          <w:spacing w:val="-2"/>
          <w:position w:val="-2"/>
          <w:highlight w:val="none"/>
        </w:rPr>
        <w:t>详</w:t>
      </w:r>
      <w:r>
        <w:rPr>
          <w:rFonts w:hint="eastAsia" w:ascii="宋体" w:hAnsi="宋体" w:cs="宋体"/>
          <w:color w:val="auto"/>
          <w:position w:val="-2"/>
          <w:highlight w:val="none"/>
        </w:rPr>
        <w:t>细</w:t>
      </w:r>
      <w:r>
        <w:rPr>
          <w:rFonts w:hint="eastAsia" w:ascii="宋体" w:hAnsi="宋体" w:cs="宋体"/>
          <w:color w:val="auto"/>
          <w:spacing w:val="-2"/>
          <w:position w:val="-2"/>
          <w:highlight w:val="none"/>
        </w:rPr>
        <w:t>地址</w:t>
      </w:r>
      <w:r>
        <w:rPr>
          <w:rFonts w:hint="eastAsia" w:ascii="宋体" w:hAnsi="宋体" w:cs="宋体"/>
          <w:color w:val="auto"/>
          <w:spacing w:val="-24"/>
          <w:position w:val="-2"/>
          <w:highlight w:val="none"/>
        </w:rPr>
        <w:t>）</w:t>
      </w:r>
      <w:r>
        <w:rPr>
          <w:rFonts w:hint="eastAsia" w:ascii="宋体" w:hAnsi="宋体" w:cs="宋体"/>
          <w:color w:val="auto"/>
          <w:spacing w:val="-2"/>
          <w:position w:val="-2"/>
          <w:highlight w:val="none"/>
        </w:rPr>
        <w:t>或</w:t>
      </w:r>
      <w:r>
        <w:rPr>
          <w:rFonts w:hint="eastAsia" w:ascii="宋体" w:hAnsi="宋体" w:cs="宋体"/>
          <w:color w:val="auto"/>
          <w:position w:val="-2"/>
          <w:highlight w:val="none"/>
        </w:rPr>
        <w:t>传</w:t>
      </w:r>
      <w:r>
        <w:rPr>
          <w:rFonts w:hint="eastAsia" w:ascii="宋体" w:hAnsi="宋体" w:cs="宋体"/>
          <w:color w:val="auto"/>
          <w:spacing w:val="-2"/>
          <w:position w:val="-2"/>
          <w:highlight w:val="none"/>
        </w:rPr>
        <w:t>真</w:t>
      </w:r>
      <w:r>
        <w:rPr>
          <w:rFonts w:hint="eastAsia" w:ascii="宋体" w:hAnsi="宋体" w:cs="宋体"/>
          <w:color w:val="auto"/>
          <w:position w:val="-2"/>
          <w:highlight w:val="none"/>
        </w:rPr>
        <w:t>至</w:t>
      </w:r>
      <w:r>
        <w:rPr>
          <w:rFonts w:hint="eastAsia" w:ascii="宋体" w:hAnsi="宋体" w:cs="宋体"/>
          <w:color w:val="auto"/>
          <w:position w:val="-2"/>
          <w:highlight w:val="none"/>
          <w:u w:val="single"/>
        </w:rPr>
        <w:tab/>
      </w:r>
      <w:r>
        <w:rPr>
          <w:rFonts w:hint="eastAsia" w:ascii="宋体" w:hAnsi="宋体" w:cs="宋体"/>
          <w:color w:val="auto"/>
          <w:position w:val="-2"/>
          <w:highlight w:val="none"/>
        </w:rPr>
        <w:t>（</w:t>
      </w:r>
      <w:r>
        <w:rPr>
          <w:rFonts w:hint="eastAsia" w:ascii="宋体" w:hAnsi="宋体" w:cs="宋体"/>
          <w:color w:val="auto"/>
          <w:spacing w:val="-2"/>
          <w:position w:val="-2"/>
          <w:highlight w:val="none"/>
        </w:rPr>
        <w:t>传</w:t>
      </w:r>
      <w:r>
        <w:rPr>
          <w:rFonts w:hint="eastAsia" w:ascii="宋体" w:hAnsi="宋体" w:cs="宋体"/>
          <w:color w:val="auto"/>
          <w:position w:val="-2"/>
          <w:highlight w:val="none"/>
        </w:rPr>
        <w:t>真</w:t>
      </w:r>
      <w:r>
        <w:rPr>
          <w:rFonts w:hint="eastAsia" w:ascii="宋体" w:hAnsi="宋体" w:cs="宋体"/>
          <w:color w:val="auto"/>
          <w:spacing w:val="-2"/>
          <w:position w:val="-2"/>
          <w:highlight w:val="none"/>
        </w:rPr>
        <w:t>号码</w:t>
      </w:r>
      <w:r>
        <w:rPr>
          <w:rFonts w:hint="eastAsia" w:ascii="宋体" w:hAnsi="宋体" w:cs="宋体"/>
          <w:color w:val="auto"/>
          <w:spacing w:val="-24"/>
          <w:position w:val="-2"/>
          <w:highlight w:val="none"/>
        </w:rPr>
        <w:t>）</w:t>
      </w:r>
      <w:r>
        <w:rPr>
          <w:rFonts w:hint="eastAsia" w:ascii="宋体" w:hAnsi="宋体" w:cs="宋体"/>
          <w:color w:val="auto"/>
          <w:position w:val="-2"/>
          <w:highlight w:val="none"/>
        </w:rPr>
        <w:t>或通过</w:t>
      </w:r>
      <w:r>
        <w:rPr>
          <w:rFonts w:hint="eastAsia" w:ascii="宋体" w:hAnsi="宋体" w:cs="宋体"/>
          <w:color w:val="auto"/>
          <w:spacing w:val="-2"/>
          <w:position w:val="-2"/>
          <w:highlight w:val="none"/>
        </w:rPr>
        <w:t>下</w:t>
      </w:r>
      <w:r>
        <w:rPr>
          <w:rFonts w:hint="eastAsia" w:ascii="宋体" w:hAnsi="宋体" w:cs="宋体"/>
          <w:color w:val="auto"/>
          <w:position w:val="-2"/>
          <w:highlight w:val="none"/>
        </w:rPr>
        <w:t>载</w:t>
      </w:r>
      <w:r>
        <w:rPr>
          <w:rFonts w:hint="eastAsia" w:ascii="宋体" w:hAnsi="宋体" w:cs="宋体"/>
          <w:color w:val="auto"/>
          <w:spacing w:val="-2"/>
          <w:position w:val="-2"/>
          <w:highlight w:val="none"/>
        </w:rPr>
        <w:t>招</w:t>
      </w:r>
      <w:r>
        <w:rPr>
          <w:rFonts w:hint="eastAsia" w:ascii="宋体" w:hAnsi="宋体" w:cs="宋体"/>
          <w:color w:val="auto"/>
          <w:position w:val="-2"/>
          <w:highlight w:val="none"/>
        </w:rPr>
        <w:t>标</w:t>
      </w:r>
      <w:r>
        <w:rPr>
          <w:rFonts w:hint="eastAsia" w:ascii="宋体" w:hAnsi="宋体" w:cs="宋体"/>
          <w:color w:val="auto"/>
          <w:spacing w:val="-2"/>
          <w:position w:val="-2"/>
          <w:highlight w:val="none"/>
        </w:rPr>
        <w:t>文</w:t>
      </w:r>
      <w:r>
        <w:rPr>
          <w:rFonts w:hint="eastAsia" w:ascii="宋体" w:hAnsi="宋体" w:cs="宋体"/>
          <w:color w:val="auto"/>
          <w:position w:val="-2"/>
          <w:highlight w:val="none"/>
        </w:rPr>
        <w:t>件</w:t>
      </w:r>
      <w:r>
        <w:rPr>
          <w:rFonts w:hint="eastAsia" w:ascii="宋体" w:hAnsi="宋体" w:cs="宋体"/>
          <w:color w:val="auto"/>
          <w:spacing w:val="-2"/>
          <w:position w:val="-2"/>
          <w:highlight w:val="none"/>
        </w:rPr>
        <w:t>的</w:t>
      </w:r>
      <w:r>
        <w:rPr>
          <w:rFonts w:hint="eastAsia" w:ascii="宋体" w:hAnsi="宋体" w:cs="宋体"/>
          <w:color w:val="auto"/>
          <w:position w:val="-2"/>
          <w:highlight w:val="none"/>
        </w:rPr>
        <w:t>电</w:t>
      </w:r>
      <w:r>
        <w:rPr>
          <w:rFonts w:hint="eastAsia" w:ascii="宋体" w:hAnsi="宋体" w:cs="宋体"/>
          <w:color w:val="auto"/>
          <w:spacing w:val="-2"/>
          <w:position w:val="-2"/>
          <w:highlight w:val="none"/>
        </w:rPr>
        <w:t>子</w:t>
      </w:r>
      <w:r>
        <w:rPr>
          <w:rFonts w:hint="eastAsia" w:ascii="宋体" w:hAnsi="宋体" w:cs="宋体"/>
          <w:color w:val="auto"/>
          <w:position w:val="-2"/>
          <w:highlight w:val="none"/>
        </w:rPr>
        <w:t>招标</w:t>
      </w:r>
      <w:r>
        <w:rPr>
          <w:rFonts w:hint="eastAsia" w:ascii="宋体" w:hAnsi="宋体" w:cs="宋体"/>
          <w:color w:val="auto"/>
          <w:spacing w:val="-2"/>
          <w:position w:val="-2"/>
          <w:highlight w:val="none"/>
        </w:rPr>
        <w:t>交</w:t>
      </w:r>
      <w:r>
        <w:rPr>
          <w:rFonts w:hint="eastAsia" w:ascii="宋体" w:hAnsi="宋体" w:cs="宋体"/>
          <w:color w:val="auto"/>
          <w:position w:val="-2"/>
          <w:highlight w:val="none"/>
        </w:rPr>
        <w:t>易</w:t>
      </w:r>
      <w:r>
        <w:rPr>
          <w:rFonts w:hint="eastAsia" w:ascii="宋体" w:hAnsi="宋体" w:cs="宋体"/>
          <w:color w:val="auto"/>
          <w:spacing w:val="-2"/>
          <w:position w:val="-2"/>
          <w:highlight w:val="none"/>
        </w:rPr>
        <w:t>平</w:t>
      </w:r>
      <w:r>
        <w:rPr>
          <w:rFonts w:hint="eastAsia" w:ascii="宋体" w:hAnsi="宋体" w:cs="宋体"/>
          <w:color w:val="auto"/>
          <w:position w:val="-2"/>
          <w:highlight w:val="none"/>
        </w:rPr>
        <w:t>台</w:t>
      </w:r>
      <w:r>
        <w:rPr>
          <w:rFonts w:hint="eastAsia" w:ascii="宋体" w:hAnsi="宋体" w:cs="宋体"/>
          <w:color w:val="auto"/>
          <w:spacing w:val="-2"/>
          <w:position w:val="-2"/>
          <w:highlight w:val="none"/>
        </w:rPr>
        <w:t>上</w:t>
      </w:r>
      <w:r>
        <w:rPr>
          <w:rFonts w:hint="eastAsia" w:ascii="宋体" w:hAnsi="宋体" w:cs="宋体"/>
          <w:color w:val="auto"/>
          <w:position w:val="-2"/>
          <w:highlight w:val="none"/>
        </w:rPr>
        <w:t>传</w:t>
      </w:r>
      <w:r>
        <w:rPr>
          <w:rFonts w:hint="eastAsia" w:ascii="宋体" w:hAnsi="宋体" w:cs="宋体"/>
          <w:color w:val="auto"/>
          <w:spacing w:val="-2"/>
          <w:position w:val="-2"/>
          <w:highlight w:val="none"/>
        </w:rPr>
        <w:t>。</w:t>
      </w:r>
      <w:r>
        <w:rPr>
          <w:rFonts w:hint="eastAsia" w:ascii="宋体" w:hAnsi="宋体" w:cs="宋体"/>
          <w:color w:val="auto"/>
          <w:position w:val="-2"/>
          <w:highlight w:val="none"/>
        </w:rPr>
        <w:t>采</w:t>
      </w:r>
      <w:r>
        <w:rPr>
          <w:rFonts w:hint="eastAsia" w:ascii="宋体" w:hAnsi="宋体" w:cs="宋体"/>
          <w:color w:val="auto"/>
          <w:spacing w:val="-2"/>
          <w:position w:val="-2"/>
          <w:highlight w:val="none"/>
        </w:rPr>
        <w:t>用</w:t>
      </w:r>
      <w:r>
        <w:rPr>
          <w:rFonts w:hint="eastAsia" w:ascii="宋体" w:hAnsi="宋体" w:cs="宋体"/>
          <w:color w:val="auto"/>
          <w:position w:val="-2"/>
          <w:highlight w:val="none"/>
        </w:rPr>
        <w:t>传真</w:t>
      </w:r>
      <w:r>
        <w:rPr>
          <w:rFonts w:hint="eastAsia" w:ascii="宋体" w:hAnsi="宋体" w:cs="宋体"/>
          <w:color w:val="auto"/>
          <w:spacing w:val="-2"/>
          <w:position w:val="-2"/>
          <w:highlight w:val="none"/>
        </w:rPr>
        <w:t>方</w:t>
      </w:r>
      <w:r>
        <w:rPr>
          <w:rFonts w:hint="eastAsia" w:ascii="宋体" w:hAnsi="宋体" w:cs="宋体"/>
          <w:color w:val="auto"/>
          <w:position w:val="-2"/>
          <w:highlight w:val="none"/>
        </w:rPr>
        <w:t>式</w:t>
      </w:r>
      <w:r>
        <w:rPr>
          <w:rFonts w:hint="eastAsia" w:ascii="宋体" w:hAnsi="宋体" w:cs="宋体"/>
          <w:color w:val="auto"/>
          <w:spacing w:val="-2"/>
          <w:position w:val="-2"/>
          <w:highlight w:val="none"/>
        </w:rPr>
        <w:t>的</w:t>
      </w:r>
      <w:r>
        <w:rPr>
          <w:rFonts w:hint="eastAsia" w:ascii="宋体" w:hAnsi="宋体" w:cs="宋体"/>
          <w:color w:val="auto"/>
          <w:position w:val="-2"/>
          <w:highlight w:val="none"/>
        </w:rPr>
        <w:t>，</w:t>
      </w:r>
      <w:r>
        <w:rPr>
          <w:rFonts w:hint="eastAsia" w:ascii="宋体" w:hAnsi="宋体" w:cs="宋体"/>
          <w:color w:val="auto"/>
          <w:spacing w:val="-2"/>
          <w:position w:val="-2"/>
          <w:highlight w:val="none"/>
        </w:rPr>
        <w:t>应</w:t>
      </w:r>
      <w:r>
        <w:rPr>
          <w:rFonts w:hint="eastAsia" w:ascii="宋体" w:hAnsi="宋体" w:cs="宋体"/>
          <w:color w:val="auto"/>
          <w:position w:val="-2"/>
          <w:highlight w:val="none"/>
        </w:rPr>
        <w:t>在</w:t>
      </w:r>
      <w:r>
        <w:rPr>
          <w:rFonts w:hint="eastAsia" w:ascii="宋体" w:hAnsi="宋体" w:cs="宋体"/>
          <w:color w:val="auto"/>
          <w:position w:val="-2"/>
          <w:highlight w:val="none"/>
          <w:u w:val="single"/>
        </w:rPr>
        <w:tab/>
      </w:r>
      <w:r>
        <w:rPr>
          <w:rFonts w:hint="eastAsia" w:ascii="宋体" w:hAnsi="宋体" w:cs="宋体"/>
          <w:color w:val="auto"/>
          <w:position w:val="-2"/>
          <w:highlight w:val="none"/>
        </w:rPr>
        <w:t>年月日</w:t>
      </w:r>
      <w:r>
        <w:rPr>
          <w:rFonts w:hint="eastAsia" w:ascii="宋体" w:hAnsi="宋体" w:cs="宋体"/>
          <w:color w:val="auto"/>
          <w:spacing w:val="-2"/>
          <w:position w:val="-2"/>
          <w:highlight w:val="none"/>
        </w:rPr>
        <w:t>时</w:t>
      </w:r>
      <w:r>
        <w:rPr>
          <w:rFonts w:hint="eastAsia" w:ascii="宋体" w:hAnsi="宋体" w:cs="宋体"/>
          <w:color w:val="auto"/>
          <w:position w:val="-2"/>
          <w:highlight w:val="none"/>
        </w:rPr>
        <w:t>前</w:t>
      </w:r>
      <w:r>
        <w:rPr>
          <w:rFonts w:hint="eastAsia" w:ascii="宋体" w:hAnsi="宋体" w:cs="宋体"/>
          <w:color w:val="auto"/>
          <w:spacing w:val="-2"/>
          <w:position w:val="-2"/>
          <w:highlight w:val="none"/>
        </w:rPr>
        <w:t>将</w:t>
      </w:r>
      <w:r>
        <w:rPr>
          <w:rFonts w:hint="eastAsia" w:ascii="宋体" w:hAnsi="宋体" w:cs="宋体"/>
          <w:color w:val="auto"/>
          <w:position w:val="-2"/>
          <w:highlight w:val="none"/>
        </w:rPr>
        <w:t>原件</w:t>
      </w:r>
      <w:r>
        <w:rPr>
          <w:rFonts w:hint="eastAsia" w:ascii="宋体" w:hAnsi="宋体" w:cs="宋体"/>
          <w:color w:val="auto"/>
          <w:spacing w:val="-2"/>
          <w:position w:val="-2"/>
          <w:highlight w:val="none"/>
        </w:rPr>
        <w:t>递</w:t>
      </w:r>
      <w:r>
        <w:rPr>
          <w:rFonts w:hint="eastAsia" w:ascii="宋体" w:hAnsi="宋体" w:cs="宋体"/>
          <w:color w:val="auto"/>
          <w:position w:val="-2"/>
          <w:highlight w:val="none"/>
        </w:rPr>
        <w:t>交</w:t>
      </w:r>
      <w:r>
        <w:rPr>
          <w:rFonts w:hint="eastAsia" w:ascii="宋体" w:hAnsi="宋体" w:cs="宋体"/>
          <w:color w:val="auto"/>
          <w:spacing w:val="-2"/>
          <w:position w:val="-2"/>
          <w:highlight w:val="none"/>
        </w:rPr>
        <w:t>至</w:t>
      </w:r>
      <w:r>
        <w:rPr>
          <w:rFonts w:hint="eastAsia" w:ascii="宋体" w:hAnsi="宋体" w:cs="宋体"/>
          <w:color w:val="auto"/>
          <w:position w:val="-2"/>
          <w:highlight w:val="none"/>
          <w:u w:val="single"/>
        </w:rPr>
        <w:tab/>
      </w:r>
      <w:r>
        <w:rPr>
          <w:rFonts w:hint="eastAsia" w:ascii="宋体" w:hAnsi="宋体" w:cs="宋体"/>
          <w:color w:val="auto"/>
          <w:spacing w:val="-2"/>
          <w:position w:val="-2"/>
          <w:highlight w:val="none"/>
        </w:rPr>
        <w:t>（</w:t>
      </w:r>
      <w:r>
        <w:rPr>
          <w:rFonts w:hint="eastAsia" w:ascii="宋体" w:hAnsi="宋体" w:cs="宋体"/>
          <w:color w:val="auto"/>
          <w:position w:val="-2"/>
          <w:highlight w:val="none"/>
        </w:rPr>
        <w:t>详</w:t>
      </w:r>
      <w:r>
        <w:rPr>
          <w:rFonts w:hint="eastAsia" w:ascii="宋体" w:hAnsi="宋体" w:cs="宋体"/>
          <w:color w:val="auto"/>
          <w:spacing w:val="-2"/>
          <w:position w:val="-2"/>
          <w:highlight w:val="none"/>
        </w:rPr>
        <w:t>细</w:t>
      </w:r>
      <w:r>
        <w:rPr>
          <w:rFonts w:hint="eastAsia" w:ascii="宋体" w:hAnsi="宋体" w:cs="宋体"/>
          <w:color w:val="auto"/>
          <w:position w:val="-2"/>
          <w:highlight w:val="none"/>
        </w:rPr>
        <w:t>地</w:t>
      </w:r>
      <w:r>
        <w:rPr>
          <w:rFonts w:hint="eastAsia" w:ascii="宋体" w:hAnsi="宋体" w:cs="宋体"/>
          <w:color w:val="auto"/>
          <w:spacing w:val="-2"/>
          <w:position w:val="-2"/>
          <w:highlight w:val="none"/>
        </w:rPr>
        <w:t>址</w:t>
      </w:r>
      <w:r>
        <w:rPr>
          <w:rFonts w:hint="eastAsia" w:ascii="宋体" w:hAnsi="宋体" w:cs="宋体"/>
          <w:color w:val="auto"/>
          <w:spacing w:val="-106"/>
          <w:position w:val="-2"/>
          <w:highlight w:val="none"/>
        </w:rPr>
        <w:t>）。</w:t>
      </w:r>
    </w:p>
    <w:p>
      <w:pPr>
        <w:spacing w:before="9" w:line="480" w:lineRule="auto"/>
        <w:rPr>
          <w:rFonts w:ascii="宋体" w:hAnsi="宋体" w:cs="宋体"/>
          <w:color w:val="auto"/>
          <w:highlight w:val="none"/>
        </w:rPr>
      </w:pPr>
    </w:p>
    <w:p>
      <w:pPr>
        <w:spacing w:before="9" w:line="480" w:lineRule="auto"/>
        <w:rPr>
          <w:rFonts w:ascii="宋体" w:hAnsi="宋体" w:cs="宋体"/>
          <w:color w:val="auto"/>
          <w:highlight w:val="none"/>
        </w:rPr>
      </w:pPr>
    </w:p>
    <w:p>
      <w:pPr>
        <w:tabs>
          <w:tab w:val="left" w:pos="7020"/>
        </w:tabs>
        <w:spacing w:line="480" w:lineRule="auto"/>
        <w:ind w:right="-20" w:firstLine="1890" w:firstLineChars="900"/>
        <w:rPr>
          <w:rFonts w:ascii="宋体" w:hAnsi="宋体" w:cs="宋体"/>
          <w:color w:val="auto"/>
          <w:position w:val="-2"/>
          <w:highlight w:val="none"/>
        </w:rPr>
      </w:pPr>
      <w:r>
        <w:rPr>
          <w:rFonts w:hint="eastAsia" w:ascii="宋体" w:hAnsi="宋体" w:cs="宋体"/>
          <w:color w:val="auto"/>
          <w:position w:val="-2"/>
          <w:highlight w:val="none"/>
        </w:rPr>
        <w:t>评标</w:t>
      </w:r>
      <w:r>
        <w:rPr>
          <w:rFonts w:hint="eastAsia" w:ascii="宋体" w:hAnsi="宋体" w:cs="宋体"/>
          <w:color w:val="auto"/>
          <w:spacing w:val="-2"/>
          <w:position w:val="-2"/>
          <w:highlight w:val="none"/>
        </w:rPr>
        <w:t>委</w:t>
      </w:r>
      <w:r>
        <w:rPr>
          <w:rFonts w:hint="eastAsia" w:ascii="宋体" w:hAnsi="宋体" w:cs="宋体"/>
          <w:color w:val="auto"/>
          <w:position w:val="-2"/>
          <w:highlight w:val="none"/>
        </w:rPr>
        <w:t>员</w:t>
      </w:r>
      <w:r>
        <w:rPr>
          <w:rFonts w:hint="eastAsia" w:ascii="宋体" w:hAnsi="宋体" w:cs="宋体"/>
          <w:color w:val="auto"/>
          <w:spacing w:val="-2"/>
          <w:position w:val="-2"/>
          <w:highlight w:val="none"/>
        </w:rPr>
        <w:t>会</w:t>
      </w:r>
      <w:r>
        <w:rPr>
          <w:rFonts w:hint="eastAsia" w:ascii="宋体" w:hAnsi="宋体" w:cs="宋体"/>
          <w:color w:val="auto"/>
          <w:position w:val="-2"/>
          <w:highlight w:val="none"/>
        </w:rPr>
        <w:t>授</w:t>
      </w:r>
      <w:r>
        <w:rPr>
          <w:rFonts w:hint="eastAsia" w:ascii="宋体" w:hAnsi="宋体" w:cs="宋体"/>
          <w:color w:val="auto"/>
          <w:spacing w:val="-2"/>
          <w:position w:val="-2"/>
          <w:highlight w:val="none"/>
        </w:rPr>
        <w:t>权</w:t>
      </w:r>
      <w:r>
        <w:rPr>
          <w:rFonts w:hint="eastAsia" w:ascii="宋体" w:hAnsi="宋体" w:cs="宋体"/>
          <w:color w:val="auto"/>
          <w:position w:val="-2"/>
          <w:highlight w:val="none"/>
        </w:rPr>
        <w:t>的</w:t>
      </w:r>
      <w:r>
        <w:rPr>
          <w:rFonts w:hint="eastAsia" w:ascii="宋体" w:hAnsi="宋体" w:cs="宋体"/>
          <w:color w:val="auto"/>
          <w:spacing w:val="-2"/>
          <w:position w:val="-2"/>
          <w:highlight w:val="none"/>
        </w:rPr>
        <w:t>招</w:t>
      </w:r>
      <w:r>
        <w:rPr>
          <w:rFonts w:hint="eastAsia" w:ascii="宋体" w:hAnsi="宋体" w:cs="宋体"/>
          <w:color w:val="auto"/>
          <w:position w:val="-2"/>
          <w:highlight w:val="none"/>
        </w:rPr>
        <w:t>标</w:t>
      </w:r>
      <w:r>
        <w:rPr>
          <w:rFonts w:hint="eastAsia" w:ascii="宋体" w:hAnsi="宋体" w:cs="宋体"/>
          <w:color w:val="auto"/>
          <w:spacing w:val="-2"/>
          <w:position w:val="-2"/>
          <w:highlight w:val="none"/>
        </w:rPr>
        <w:t>人</w:t>
      </w:r>
      <w:r>
        <w:rPr>
          <w:rFonts w:hint="eastAsia" w:ascii="宋体" w:hAnsi="宋体" w:cs="宋体"/>
          <w:color w:val="auto"/>
          <w:position w:val="-2"/>
          <w:highlight w:val="none"/>
        </w:rPr>
        <w:t>或招</w:t>
      </w:r>
      <w:r>
        <w:rPr>
          <w:rFonts w:hint="eastAsia" w:ascii="宋体" w:hAnsi="宋体" w:cs="宋体"/>
          <w:color w:val="auto"/>
          <w:spacing w:val="-2"/>
          <w:position w:val="-2"/>
          <w:highlight w:val="none"/>
        </w:rPr>
        <w:t>标</w:t>
      </w:r>
      <w:r>
        <w:rPr>
          <w:rFonts w:hint="eastAsia" w:ascii="宋体" w:hAnsi="宋体" w:cs="宋体"/>
          <w:color w:val="auto"/>
          <w:position w:val="-2"/>
          <w:highlight w:val="none"/>
        </w:rPr>
        <w:t>代</w:t>
      </w:r>
      <w:r>
        <w:rPr>
          <w:rFonts w:hint="eastAsia" w:ascii="宋体" w:hAnsi="宋体" w:cs="宋体"/>
          <w:color w:val="auto"/>
          <w:spacing w:val="-2"/>
          <w:position w:val="-2"/>
          <w:highlight w:val="none"/>
        </w:rPr>
        <w:t>理</w:t>
      </w:r>
      <w:r>
        <w:rPr>
          <w:rFonts w:hint="eastAsia" w:ascii="宋体" w:hAnsi="宋体" w:cs="宋体"/>
          <w:color w:val="auto"/>
          <w:position w:val="-2"/>
          <w:highlight w:val="none"/>
        </w:rPr>
        <w:t>机</w:t>
      </w:r>
      <w:r>
        <w:rPr>
          <w:rFonts w:hint="eastAsia" w:ascii="宋体" w:hAnsi="宋体" w:cs="宋体"/>
          <w:color w:val="auto"/>
          <w:spacing w:val="-2"/>
          <w:position w:val="-2"/>
          <w:highlight w:val="none"/>
        </w:rPr>
        <w:t>构</w:t>
      </w:r>
      <w:r>
        <w:rPr>
          <w:rFonts w:hint="eastAsia" w:ascii="宋体" w:hAnsi="宋体" w:cs="宋体"/>
          <w:color w:val="auto"/>
          <w:position w:val="-2"/>
          <w:highlight w:val="none"/>
        </w:rPr>
        <w:t>：（签</w:t>
      </w:r>
      <w:r>
        <w:rPr>
          <w:rFonts w:hint="eastAsia" w:ascii="宋体" w:hAnsi="宋体" w:cs="宋体"/>
          <w:color w:val="auto"/>
          <w:spacing w:val="-2"/>
          <w:position w:val="-2"/>
          <w:highlight w:val="none"/>
        </w:rPr>
        <w:t>字</w:t>
      </w:r>
      <w:r>
        <w:rPr>
          <w:rFonts w:hint="eastAsia" w:ascii="宋体" w:hAnsi="宋体" w:cs="宋体"/>
          <w:color w:val="auto"/>
          <w:position w:val="-2"/>
          <w:highlight w:val="none"/>
        </w:rPr>
        <w:t>或</w:t>
      </w:r>
      <w:r>
        <w:rPr>
          <w:rFonts w:hint="eastAsia" w:ascii="宋体" w:hAnsi="宋体" w:cs="宋体"/>
          <w:color w:val="auto"/>
          <w:spacing w:val="-2"/>
          <w:position w:val="-2"/>
          <w:highlight w:val="none"/>
        </w:rPr>
        <w:t>盖</w:t>
      </w:r>
      <w:r>
        <w:rPr>
          <w:rFonts w:hint="eastAsia" w:ascii="宋体" w:hAnsi="宋体" w:cs="宋体"/>
          <w:color w:val="auto"/>
          <w:position w:val="-2"/>
          <w:highlight w:val="none"/>
        </w:rPr>
        <w:t>章）</w:t>
      </w:r>
    </w:p>
    <w:p>
      <w:pPr>
        <w:tabs>
          <w:tab w:val="left" w:pos="7020"/>
        </w:tabs>
        <w:spacing w:line="480" w:lineRule="auto"/>
        <w:ind w:right="-20" w:firstLine="1890" w:firstLineChars="900"/>
        <w:rPr>
          <w:rFonts w:ascii="宋体" w:hAnsi="宋体" w:cs="宋体"/>
          <w:color w:val="auto"/>
          <w:highlight w:val="none"/>
          <w:u w:val="single"/>
        </w:rPr>
      </w:pPr>
      <w:r>
        <w:rPr>
          <w:rFonts w:hint="eastAsia" w:ascii="宋体" w:hAnsi="宋体" w:cs="宋体"/>
          <w:color w:val="auto"/>
          <w:position w:val="-2"/>
          <w:highlight w:val="none"/>
        </w:rPr>
        <w:t>日期：年月日</w:t>
      </w:r>
    </w:p>
    <w:p>
      <w:pPr>
        <w:spacing w:line="383" w:lineRule="exact"/>
        <w:ind w:left="237" w:right="-20"/>
        <w:rPr>
          <w:rFonts w:ascii="宋体" w:hAnsi="宋体" w:cs="宋体"/>
          <w:color w:val="auto"/>
          <w:position w:val="-4"/>
          <w:sz w:val="32"/>
          <w:szCs w:val="24"/>
          <w:highlight w:val="none"/>
        </w:rPr>
      </w:pPr>
    </w:p>
    <w:p>
      <w:pPr>
        <w:spacing w:line="383" w:lineRule="exact"/>
        <w:ind w:left="237" w:right="-20"/>
        <w:rPr>
          <w:rFonts w:ascii="宋体" w:hAnsi="宋体" w:cs="宋体"/>
          <w:color w:val="auto"/>
          <w:position w:val="-4"/>
          <w:sz w:val="32"/>
          <w:szCs w:val="24"/>
          <w:highlight w:val="none"/>
        </w:rPr>
      </w:pPr>
    </w:p>
    <w:p>
      <w:pPr>
        <w:spacing w:line="383" w:lineRule="exact"/>
        <w:ind w:left="237" w:right="-20"/>
        <w:rPr>
          <w:rFonts w:ascii="宋体" w:hAnsi="宋体" w:cs="宋体"/>
          <w:color w:val="auto"/>
          <w:position w:val="-4"/>
          <w:sz w:val="32"/>
          <w:szCs w:val="24"/>
          <w:highlight w:val="none"/>
        </w:rPr>
      </w:pPr>
    </w:p>
    <w:p>
      <w:pPr>
        <w:spacing w:line="383" w:lineRule="exact"/>
        <w:ind w:left="237" w:right="-20"/>
        <w:rPr>
          <w:rFonts w:ascii="宋体" w:hAnsi="宋体" w:cs="宋体"/>
          <w:color w:val="auto"/>
          <w:position w:val="-4"/>
          <w:sz w:val="32"/>
          <w:szCs w:val="24"/>
          <w:highlight w:val="none"/>
        </w:rPr>
      </w:pPr>
    </w:p>
    <w:p>
      <w:pPr>
        <w:widowControl/>
        <w:jc w:val="left"/>
        <w:rPr>
          <w:rFonts w:ascii="宋体" w:hAnsi="宋体" w:cs="宋体"/>
          <w:color w:val="auto"/>
          <w:position w:val="-4"/>
          <w:sz w:val="32"/>
          <w:szCs w:val="24"/>
          <w:highlight w:val="none"/>
        </w:rPr>
      </w:pPr>
      <w:r>
        <w:rPr>
          <w:rFonts w:ascii="宋体" w:hAnsi="宋体" w:cs="宋体"/>
          <w:color w:val="auto"/>
          <w:position w:val="-4"/>
          <w:sz w:val="32"/>
          <w:szCs w:val="24"/>
          <w:highlight w:val="none"/>
        </w:rPr>
        <w:br w:type="page"/>
      </w:r>
    </w:p>
    <w:p>
      <w:pPr>
        <w:pStyle w:val="5"/>
        <w:rPr>
          <w:rFonts w:ascii="宋体" w:hAnsi="宋体" w:cs="宋体"/>
          <w:color w:val="auto"/>
          <w:highlight w:val="none"/>
        </w:rPr>
      </w:pPr>
      <w:bookmarkStart w:id="39" w:name="_Toc132272651"/>
      <w:r>
        <w:rPr>
          <w:rFonts w:hint="eastAsia" w:ascii="宋体" w:hAnsi="宋体" w:cs="宋体"/>
          <w:color w:val="auto"/>
          <w:highlight w:val="none"/>
        </w:rPr>
        <w:t>附件三：问题的澄清</w:t>
      </w:r>
      <w:bookmarkEnd w:id="39"/>
    </w:p>
    <w:p>
      <w:pPr>
        <w:spacing w:before="9" w:line="170" w:lineRule="exact"/>
        <w:jc w:val="left"/>
        <w:rPr>
          <w:rFonts w:ascii="宋体" w:hAnsi="宋体" w:cs="宋体"/>
          <w:color w:val="auto"/>
          <w:sz w:val="20"/>
          <w:szCs w:val="20"/>
          <w:highlight w:val="none"/>
        </w:rPr>
      </w:pPr>
    </w:p>
    <w:p>
      <w:pPr>
        <w:spacing w:line="480" w:lineRule="auto"/>
        <w:ind w:right="-35"/>
        <w:jc w:val="center"/>
        <w:rPr>
          <w:rFonts w:ascii="宋体" w:hAnsi="宋体" w:cs="宋体"/>
          <w:color w:val="auto"/>
          <w:sz w:val="32"/>
          <w:szCs w:val="32"/>
          <w:highlight w:val="none"/>
        </w:rPr>
      </w:pPr>
      <w:bookmarkStart w:id="40" w:name="_Toc10286"/>
      <w:bookmarkEnd w:id="40"/>
      <w:bookmarkStart w:id="41" w:name="_Toc393961876"/>
      <w:bookmarkEnd w:id="41"/>
      <w:bookmarkStart w:id="42" w:name="_Toc15544"/>
      <w:bookmarkEnd w:id="42"/>
      <w:bookmarkStart w:id="43" w:name="_Toc514170131"/>
      <w:bookmarkEnd w:id="43"/>
      <w:bookmarkStart w:id="44" w:name="_Toc19513"/>
      <w:bookmarkEnd w:id="44"/>
      <w:bookmarkStart w:id="45" w:name="_Toc27162"/>
      <w:bookmarkEnd w:id="45"/>
      <w:bookmarkStart w:id="46" w:name="_Toc10780"/>
      <w:bookmarkEnd w:id="46"/>
      <w:bookmarkStart w:id="47" w:name="_Toc16484"/>
      <w:bookmarkEnd w:id="47"/>
      <w:bookmarkStart w:id="48" w:name="_Toc179"/>
      <w:r>
        <w:rPr>
          <w:rFonts w:hint="eastAsia" w:ascii="宋体" w:hAnsi="宋体" w:cs="宋体"/>
          <w:color w:val="auto"/>
          <w:sz w:val="32"/>
          <w:szCs w:val="32"/>
          <w:highlight w:val="none"/>
        </w:rPr>
        <w:t>问题的</w:t>
      </w:r>
      <w:r>
        <w:rPr>
          <w:rFonts w:hint="eastAsia" w:ascii="宋体" w:hAnsi="宋体" w:cs="宋体"/>
          <w:color w:val="auto"/>
          <w:spacing w:val="-3"/>
          <w:sz w:val="32"/>
          <w:szCs w:val="32"/>
          <w:highlight w:val="none"/>
        </w:rPr>
        <w:t>澄</w:t>
      </w:r>
      <w:r>
        <w:rPr>
          <w:rFonts w:hint="eastAsia" w:ascii="宋体" w:hAnsi="宋体" w:cs="宋体"/>
          <w:color w:val="auto"/>
          <w:sz w:val="32"/>
          <w:szCs w:val="32"/>
          <w:highlight w:val="none"/>
        </w:rPr>
        <w:t>清</w:t>
      </w:r>
    </w:p>
    <w:p>
      <w:pPr>
        <w:tabs>
          <w:tab w:val="left" w:pos="5940"/>
        </w:tabs>
        <w:spacing w:before="19" w:line="480" w:lineRule="auto"/>
        <w:ind w:left="3567" w:right="-20"/>
        <w:rPr>
          <w:rFonts w:ascii="宋体" w:hAnsi="宋体" w:cs="宋体"/>
          <w:color w:val="auto"/>
          <w:position w:val="-4"/>
          <w:highlight w:val="none"/>
        </w:rPr>
      </w:pPr>
      <w:r>
        <w:rPr>
          <w:rFonts w:hint="eastAsia" w:ascii="宋体" w:hAnsi="宋体" w:cs="宋体"/>
          <w:color w:val="auto"/>
          <w:position w:val="-4"/>
          <w:highlight w:val="none"/>
        </w:rPr>
        <w:t>（编</w:t>
      </w:r>
      <w:r>
        <w:rPr>
          <w:rFonts w:hint="eastAsia" w:ascii="宋体" w:hAnsi="宋体" w:cs="宋体"/>
          <w:color w:val="auto"/>
          <w:spacing w:val="-2"/>
          <w:position w:val="-4"/>
          <w:highlight w:val="none"/>
        </w:rPr>
        <w:t>号</w:t>
      </w:r>
      <w:r>
        <w:rPr>
          <w:rFonts w:hint="eastAsia" w:ascii="宋体" w:hAnsi="宋体" w:cs="宋体"/>
          <w:color w:val="auto"/>
          <w:position w:val="-4"/>
          <w:highlight w:val="none"/>
        </w:rPr>
        <w:t>：</w:t>
      </w:r>
      <w:r>
        <w:rPr>
          <w:rFonts w:hint="eastAsia" w:ascii="宋体" w:hAnsi="宋体" w:cs="宋体"/>
          <w:color w:val="auto"/>
          <w:position w:val="-4"/>
          <w:highlight w:val="none"/>
          <w:u w:val="single"/>
        </w:rPr>
        <w:tab/>
      </w:r>
      <w:r>
        <w:rPr>
          <w:rFonts w:hint="eastAsia" w:ascii="宋体" w:hAnsi="宋体" w:cs="宋体"/>
          <w:color w:val="auto"/>
          <w:position w:val="-4"/>
          <w:highlight w:val="none"/>
        </w:rPr>
        <w:t>）</w:t>
      </w:r>
    </w:p>
    <w:p>
      <w:pPr>
        <w:tabs>
          <w:tab w:val="left" w:pos="5940"/>
        </w:tabs>
        <w:spacing w:before="19" w:line="480" w:lineRule="auto"/>
        <w:ind w:left="3567" w:right="-20"/>
        <w:rPr>
          <w:rFonts w:ascii="宋体" w:hAnsi="宋体" w:cs="宋体"/>
          <w:color w:val="auto"/>
          <w:highlight w:val="none"/>
        </w:rPr>
      </w:pPr>
    </w:p>
    <w:p>
      <w:pPr>
        <w:spacing w:line="480" w:lineRule="auto"/>
        <w:ind w:left="100" w:right="-20"/>
        <w:rPr>
          <w:rFonts w:ascii="宋体" w:hAnsi="宋体" w:cs="宋体"/>
          <w:color w:val="auto"/>
          <w:highlight w:val="none"/>
        </w:rPr>
      </w:pPr>
      <w:r>
        <w:rPr>
          <w:rFonts w:hint="eastAsia" w:ascii="宋体" w:hAnsi="宋体" w:cs="宋体"/>
          <w:color w:val="auto"/>
          <w:position w:val="-1"/>
          <w:highlight w:val="none"/>
        </w:rPr>
        <w:t>评标</w:t>
      </w:r>
      <w:r>
        <w:rPr>
          <w:rFonts w:hint="eastAsia" w:ascii="宋体" w:hAnsi="宋体" w:cs="宋体"/>
          <w:color w:val="auto"/>
          <w:spacing w:val="-2"/>
          <w:position w:val="-1"/>
          <w:highlight w:val="none"/>
        </w:rPr>
        <w:t>委</w:t>
      </w:r>
      <w:r>
        <w:rPr>
          <w:rFonts w:hint="eastAsia" w:ascii="宋体" w:hAnsi="宋体" w:cs="宋体"/>
          <w:color w:val="auto"/>
          <w:position w:val="-1"/>
          <w:highlight w:val="none"/>
        </w:rPr>
        <w:t>员</w:t>
      </w:r>
      <w:r>
        <w:rPr>
          <w:rFonts w:hint="eastAsia" w:ascii="宋体" w:hAnsi="宋体" w:cs="宋体"/>
          <w:color w:val="auto"/>
          <w:spacing w:val="-3"/>
          <w:position w:val="-1"/>
          <w:highlight w:val="none"/>
        </w:rPr>
        <w:t>会</w:t>
      </w:r>
      <w:r>
        <w:rPr>
          <w:rFonts w:hint="eastAsia" w:ascii="宋体" w:hAnsi="宋体" w:cs="宋体"/>
          <w:color w:val="auto"/>
          <w:position w:val="-1"/>
          <w:highlight w:val="none"/>
        </w:rPr>
        <w:t>：</w:t>
      </w:r>
    </w:p>
    <w:p>
      <w:pPr>
        <w:tabs>
          <w:tab w:val="left" w:pos="3460"/>
        </w:tabs>
        <w:spacing w:line="480" w:lineRule="auto"/>
        <w:ind w:left="523" w:right="-20"/>
        <w:rPr>
          <w:rFonts w:ascii="宋体" w:hAnsi="宋体" w:cs="宋体"/>
          <w:color w:val="auto"/>
          <w:highlight w:val="none"/>
        </w:rPr>
      </w:pPr>
      <w:r>
        <w:rPr>
          <w:rFonts w:hint="eastAsia" w:ascii="宋体" w:hAnsi="宋体" w:cs="宋体"/>
          <w:color w:val="auto"/>
          <w:spacing w:val="-2"/>
          <w:position w:val="-4"/>
          <w:highlight w:val="none"/>
        </w:rPr>
        <w:t>问</w:t>
      </w:r>
      <w:r>
        <w:rPr>
          <w:rFonts w:hint="eastAsia" w:ascii="宋体" w:hAnsi="宋体" w:cs="宋体"/>
          <w:color w:val="auto"/>
          <w:position w:val="-4"/>
          <w:highlight w:val="none"/>
        </w:rPr>
        <w:t>题</w:t>
      </w:r>
      <w:r>
        <w:rPr>
          <w:rFonts w:hint="eastAsia" w:ascii="宋体" w:hAnsi="宋体" w:cs="宋体"/>
          <w:color w:val="auto"/>
          <w:spacing w:val="-2"/>
          <w:position w:val="-4"/>
          <w:highlight w:val="none"/>
        </w:rPr>
        <w:t>澄</w:t>
      </w:r>
      <w:r>
        <w:rPr>
          <w:rFonts w:hint="eastAsia" w:ascii="宋体" w:hAnsi="宋体" w:cs="宋体"/>
          <w:color w:val="auto"/>
          <w:position w:val="-4"/>
          <w:highlight w:val="none"/>
        </w:rPr>
        <w:t>清</w:t>
      </w:r>
      <w:r>
        <w:rPr>
          <w:rFonts w:hint="eastAsia" w:ascii="宋体" w:hAnsi="宋体" w:cs="宋体"/>
          <w:color w:val="auto"/>
          <w:spacing w:val="-2"/>
          <w:position w:val="-4"/>
          <w:highlight w:val="none"/>
        </w:rPr>
        <w:t>通</w:t>
      </w:r>
      <w:r>
        <w:rPr>
          <w:rFonts w:hint="eastAsia" w:ascii="宋体" w:hAnsi="宋体" w:cs="宋体"/>
          <w:color w:val="auto"/>
          <w:position w:val="-4"/>
          <w:highlight w:val="none"/>
        </w:rPr>
        <w:t>知</w:t>
      </w:r>
      <w:r>
        <w:rPr>
          <w:rFonts w:hint="eastAsia" w:ascii="宋体" w:hAnsi="宋体" w:cs="宋体"/>
          <w:color w:val="auto"/>
          <w:spacing w:val="-2"/>
          <w:position w:val="-4"/>
          <w:highlight w:val="none"/>
        </w:rPr>
        <w:t>（</w:t>
      </w:r>
      <w:r>
        <w:rPr>
          <w:rFonts w:hint="eastAsia" w:ascii="宋体" w:hAnsi="宋体" w:cs="宋体"/>
          <w:color w:val="auto"/>
          <w:position w:val="-4"/>
          <w:highlight w:val="none"/>
        </w:rPr>
        <w:t>编</w:t>
      </w:r>
      <w:r>
        <w:rPr>
          <w:rFonts w:hint="eastAsia" w:ascii="宋体" w:hAnsi="宋体" w:cs="宋体"/>
          <w:color w:val="auto"/>
          <w:spacing w:val="-2"/>
          <w:position w:val="-4"/>
          <w:highlight w:val="none"/>
        </w:rPr>
        <w:t>号</w:t>
      </w:r>
      <w:r>
        <w:rPr>
          <w:rFonts w:hint="eastAsia" w:ascii="宋体" w:hAnsi="宋体" w:cs="宋体"/>
          <w:color w:val="auto"/>
          <w:position w:val="-4"/>
          <w:highlight w:val="none"/>
        </w:rPr>
        <w:t>：</w:t>
      </w:r>
      <w:r>
        <w:rPr>
          <w:rFonts w:hint="eastAsia" w:ascii="宋体" w:hAnsi="宋体" w:cs="宋体"/>
          <w:color w:val="auto"/>
          <w:position w:val="-4"/>
          <w:highlight w:val="none"/>
          <w:u w:val="single"/>
        </w:rPr>
        <w:tab/>
      </w:r>
      <w:r>
        <w:rPr>
          <w:rFonts w:hint="eastAsia" w:ascii="宋体" w:hAnsi="宋体" w:cs="宋体"/>
          <w:color w:val="auto"/>
          <w:position w:val="-4"/>
          <w:highlight w:val="none"/>
        </w:rPr>
        <w:t>）已收</w:t>
      </w:r>
      <w:r>
        <w:rPr>
          <w:rFonts w:hint="eastAsia" w:ascii="宋体" w:hAnsi="宋体" w:cs="宋体"/>
          <w:color w:val="auto"/>
          <w:spacing w:val="-2"/>
          <w:position w:val="-4"/>
          <w:highlight w:val="none"/>
        </w:rPr>
        <w:t>悉</w:t>
      </w:r>
      <w:r>
        <w:rPr>
          <w:rFonts w:hint="eastAsia" w:ascii="宋体" w:hAnsi="宋体" w:cs="宋体"/>
          <w:color w:val="auto"/>
          <w:position w:val="-4"/>
          <w:highlight w:val="none"/>
        </w:rPr>
        <w:t>，</w:t>
      </w:r>
      <w:r>
        <w:rPr>
          <w:rFonts w:hint="eastAsia" w:ascii="宋体" w:hAnsi="宋体" w:cs="宋体"/>
          <w:color w:val="auto"/>
          <w:spacing w:val="-2"/>
          <w:position w:val="-4"/>
          <w:highlight w:val="none"/>
        </w:rPr>
        <w:t>现</w:t>
      </w:r>
      <w:r>
        <w:rPr>
          <w:rFonts w:hint="eastAsia" w:ascii="宋体" w:hAnsi="宋体" w:cs="宋体"/>
          <w:color w:val="auto"/>
          <w:position w:val="-4"/>
          <w:highlight w:val="none"/>
        </w:rPr>
        <w:t>澄清</w:t>
      </w:r>
      <w:r>
        <w:rPr>
          <w:rFonts w:hint="eastAsia" w:ascii="宋体" w:hAnsi="宋体" w:cs="宋体"/>
          <w:color w:val="auto"/>
          <w:spacing w:val="-2"/>
          <w:position w:val="-4"/>
          <w:highlight w:val="none"/>
        </w:rPr>
        <w:t>、</w:t>
      </w:r>
      <w:r>
        <w:rPr>
          <w:rFonts w:hint="eastAsia" w:ascii="宋体" w:hAnsi="宋体" w:cs="宋体"/>
          <w:color w:val="auto"/>
          <w:position w:val="-4"/>
          <w:highlight w:val="none"/>
        </w:rPr>
        <w:t>说</w:t>
      </w:r>
      <w:r>
        <w:rPr>
          <w:rFonts w:hint="eastAsia" w:ascii="宋体" w:hAnsi="宋体" w:cs="宋体"/>
          <w:color w:val="auto"/>
          <w:spacing w:val="-2"/>
          <w:position w:val="-4"/>
          <w:highlight w:val="none"/>
        </w:rPr>
        <w:t>明</w:t>
      </w:r>
      <w:r>
        <w:rPr>
          <w:rFonts w:hint="eastAsia" w:ascii="宋体" w:hAnsi="宋体" w:cs="宋体"/>
          <w:color w:val="auto"/>
          <w:position w:val="-4"/>
          <w:highlight w:val="none"/>
        </w:rPr>
        <w:t>或</w:t>
      </w:r>
      <w:r>
        <w:rPr>
          <w:rFonts w:hint="eastAsia" w:ascii="宋体" w:hAnsi="宋体" w:cs="宋体"/>
          <w:color w:val="auto"/>
          <w:spacing w:val="-2"/>
          <w:position w:val="-4"/>
          <w:highlight w:val="none"/>
        </w:rPr>
        <w:t>补</w:t>
      </w:r>
      <w:r>
        <w:rPr>
          <w:rFonts w:hint="eastAsia" w:ascii="宋体" w:hAnsi="宋体" w:cs="宋体"/>
          <w:color w:val="auto"/>
          <w:position w:val="-4"/>
          <w:highlight w:val="none"/>
        </w:rPr>
        <w:t>正</w:t>
      </w:r>
      <w:r>
        <w:rPr>
          <w:rFonts w:hint="eastAsia" w:ascii="宋体" w:hAnsi="宋体" w:cs="宋体"/>
          <w:color w:val="auto"/>
          <w:spacing w:val="-2"/>
          <w:position w:val="-4"/>
          <w:highlight w:val="none"/>
        </w:rPr>
        <w:t>如</w:t>
      </w:r>
      <w:r>
        <w:rPr>
          <w:rFonts w:hint="eastAsia" w:ascii="宋体" w:hAnsi="宋体" w:cs="宋体"/>
          <w:color w:val="auto"/>
          <w:position w:val="-4"/>
          <w:highlight w:val="none"/>
        </w:rPr>
        <w:t>下：</w:t>
      </w:r>
    </w:p>
    <w:p>
      <w:pPr>
        <w:spacing w:line="480" w:lineRule="auto"/>
        <w:ind w:left="523" w:right="-20"/>
        <w:rPr>
          <w:rFonts w:ascii="宋体" w:hAnsi="宋体" w:cs="宋体"/>
          <w:color w:val="auto"/>
          <w:highlight w:val="none"/>
        </w:rPr>
      </w:pPr>
      <w:r>
        <w:rPr>
          <w:rFonts w:hint="eastAsia" w:ascii="宋体" w:hAnsi="宋体" w:cs="宋体"/>
          <w:color w:val="auto"/>
          <w:highlight w:val="none"/>
        </w:rPr>
        <w:t>1.</w:t>
      </w:r>
    </w:p>
    <w:p>
      <w:pPr>
        <w:spacing w:line="480" w:lineRule="auto"/>
        <w:ind w:left="523" w:right="-20"/>
        <w:rPr>
          <w:rFonts w:ascii="宋体" w:hAnsi="宋体" w:cs="宋体"/>
          <w:color w:val="auto"/>
          <w:highlight w:val="none"/>
        </w:rPr>
      </w:pPr>
      <w:r>
        <w:rPr>
          <w:rFonts w:hint="eastAsia" w:ascii="宋体" w:hAnsi="宋体" w:cs="宋体"/>
          <w:color w:val="auto"/>
          <w:highlight w:val="none"/>
        </w:rPr>
        <w:t>2.</w:t>
      </w:r>
    </w:p>
    <w:p>
      <w:pPr>
        <w:spacing w:line="480" w:lineRule="auto"/>
        <w:ind w:left="628" w:right="-2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spacing w:val="-2"/>
          <w:highlight w:val="none"/>
        </w:rPr>
        <w:t>.</w:t>
      </w:r>
      <w:r>
        <w:rPr>
          <w:rFonts w:hint="eastAsia" w:ascii="宋体" w:hAnsi="宋体" w:cs="宋体"/>
          <w:color w:val="auto"/>
          <w:highlight w:val="none"/>
        </w:rPr>
        <w:t>....</w:t>
      </w:r>
    </w:p>
    <w:p>
      <w:pPr>
        <w:spacing w:line="480" w:lineRule="auto"/>
        <w:ind w:left="100" w:right="43" w:firstLine="420"/>
        <w:rPr>
          <w:rFonts w:ascii="宋体" w:hAnsi="宋体" w:cs="宋体"/>
          <w:color w:val="auto"/>
          <w:highlight w:val="none"/>
        </w:rPr>
      </w:pPr>
      <w:r>
        <w:rPr>
          <w:rFonts w:hint="eastAsia" w:ascii="宋体" w:hAnsi="宋体" w:cs="宋体"/>
          <w:color w:val="auto"/>
          <w:highlight w:val="none"/>
        </w:rPr>
        <w:t>上述问题澄清、说</w:t>
      </w:r>
      <w:r>
        <w:rPr>
          <w:rFonts w:hint="eastAsia" w:ascii="宋体" w:hAnsi="宋体" w:cs="宋体"/>
          <w:color w:val="auto"/>
          <w:spacing w:val="-2"/>
          <w:highlight w:val="none"/>
        </w:rPr>
        <w:t>明</w:t>
      </w:r>
      <w:r>
        <w:rPr>
          <w:rFonts w:hint="eastAsia" w:ascii="宋体" w:hAnsi="宋体" w:cs="宋体"/>
          <w:color w:val="auto"/>
          <w:highlight w:val="none"/>
        </w:rPr>
        <w:t>或</w:t>
      </w:r>
      <w:r>
        <w:rPr>
          <w:rFonts w:hint="eastAsia" w:ascii="宋体" w:hAnsi="宋体" w:cs="宋体"/>
          <w:color w:val="auto"/>
          <w:spacing w:val="-2"/>
          <w:highlight w:val="none"/>
        </w:rPr>
        <w:t>补</w:t>
      </w:r>
      <w:r>
        <w:rPr>
          <w:rFonts w:hint="eastAsia" w:ascii="宋体" w:hAnsi="宋体" w:cs="宋体"/>
          <w:color w:val="auto"/>
          <w:highlight w:val="none"/>
        </w:rPr>
        <w:t>正，不改变我方投</w:t>
      </w:r>
      <w:r>
        <w:rPr>
          <w:rFonts w:hint="eastAsia" w:ascii="宋体" w:hAnsi="宋体" w:cs="宋体"/>
          <w:color w:val="auto"/>
          <w:spacing w:val="-2"/>
          <w:highlight w:val="none"/>
        </w:rPr>
        <w:t>标</w:t>
      </w:r>
      <w:r>
        <w:rPr>
          <w:rFonts w:hint="eastAsia" w:ascii="宋体" w:hAnsi="宋体" w:cs="宋体"/>
          <w:color w:val="auto"/>
          <w:highlight w:val="none"/>
        </w:rPr>
        <w:t>文</w:t>
      </w:r>
      <w:r>
        <w:rPr>
          <w:rFonts w:hint="eastAsia" w:ascii="宋体" w:hAnsi="宋体" w:cs="宋体"/>
          <w:color w:val="auto"/>
          <w:spacing w:val="-2"/>
          <w:highlight w:val="none"/>
        </w:rPr>
        <w:t>件</w:t>
      </w:r>
      <w:r>
        <w:rPr>
          <w:rFonts w:hint="eastAsia" w:ascii="宋体" w:hAnsi="宋体" w:cs="宋体"/>
          <w:color w:val="auto"/>
          <w:highlight w:val="none"/>
        </w:rPr>
        <w:t>的实质性内容，构</w:t>
      </w:r>
      <w:r>
        <w:rPr>
          <w:rFonts w:hint="eastAsia" w:ascii="宋体" w:hAnsi="宋体" w:cs="宋体"/>
          <w:color w:val="auto"/>
          <w:spacing w:val="-2"/>
          <w:highlight w:val="none"/>
        </w:rPr>
        <w:t>成</w:t>
      </w:r>
      <w:r>
        <w:rPr>
          <w:rFonts w:hint="eastAsia" w:ascii="宋体" w:hAnsi="宋体" w:cs="宋体"/>
          <w:color w:val="auto"/>
          <w:highlight w:val="none"/>
        </w:rPr>
        <w:t>我</w:t>
      </w:r>
      <w:r>
        <w:rPr>
          <w:rFonts w:hint="eastAsia" w:ascii="宋体" w:hAnsi="宋体" w:cs="宋体"/>
          <w:color w:val="auto"/>
          <w:spacing w:val="-2"/>
          <w:highlight w:val="none"/>
        </w:rPr>
        <w:t>方</w:t>
      </w:r>
      <w:r>
        <w:rPr>
          <w:rFonts w:hint="eastAsia" w:ascii="宋体" w:hAnsi="宋体" w:cs="宋体"/>
          <w:color w:val="auto"/>
          <w:highlight w:val="none"/>
        </w:rPr>
        <w:t>投标文件的组成部</w:t>
      </w:r>
      <w:r>
        <w:rPr>
          <w:rFonts w:hint="eastAsia" w:ascii="宋体" w:hAnsi="宋体" w:cs="宋体"/>
          <w:color w:val="auto"/>
          <w:spacing w:val="-2"/>
          <w:highlight w:val="none"/>
        </w:rPr>
        <w:t>分</w:t>
      </w:r>
      <w:r>
        <w:rPr>
          <w:rFonts w:hint="eastAsia" w:ascii="宋体" w:hAnsi="宋体" w:cs="宋体"/>
          <w:color w:val="auto"/>
          <w:highlight w:val="none"/>
        </w:rPr>
        <w:t>。</w:t>
      </w:r>
    </w:p>
    <w:p>
      <w:pPr>
        <w:spacing w:line="480" w:lineRule="auto"/>
        <w:rPr>
          <w:rFonts w:ascii="宋体" w:hAnsi="宋体" w:cs="宋体"/>
          <w:color w:val="auto"/>
          <w:highlight w:val="none"/>
        </w:rPr>
      </w:pPr>
    </w:p>
    <w:p>
      <w:pPr>
        <w:spacing w:line="480" w:lineRule="auto"/>
        <w:rPr>
          <w:rFonts w:ascii="宋体" w:hAnsi="宋体" w:cs="宋体"/>
          <w:color w:val="auto"/>
          <w:highlight w:val="none"/>
        </w:rPr>
      </w:pPr>
    </w:p>
    <w:p>
      <w:pPr>
        <w:spacing w:line="480" w:lineRule="auto"/>
        <w:rPr>
          <w:rFonts w:ascii="宋体" w:hAnsi="宋体" w:cs="宋体"/>
          <w:color w:val="auto"/>
          <w:highlight w:val="none"/>
        </w:rPr>
      </w:pPr>
    </w:p>
    <w:p>
      <w:pPr>
        <w:tabs>
          <w:tab w:val="left" w:pos="7140"/>
        </w:tabs>
        <w:spacing w:line="480" w:lineRule="auto"/>
        <w:ind w:left="3043" w:right="-20"/>
        <w:rPr>
          <w:rFonts w:ascii="宋体" w:hAnsi="宋体" w:cs="宋体"/>
          <w:color w:val="auto"/>
          <w:highlight w:val="none"/>
        </w:rPr>
      </w:pPr>
      <w:r>
        <w:rPr>
          <w:rFonts w:hint="eastAsia" w:ascii="宋体" w:hAnsi="宋体" w:cs="宋体"/>
          <w:color w:val="auto"/>
          <w:position w:val="-4"/>
          <w:highlight w:val="none"/>
        </w:rPr>
        <w:t>投</w:t>
      </w:r>
      <w:r>
        <w:rPr>
          <w:rFonts w:hint="eastAsia" w:ascii="宋体" w:hAnsi="宋体" w:cs="宋体"/>
          <w:color w:val="auto"/>
          <w:spacing w:val="-2"/>
          <w:position w:val="-4"/>
          <w:highlight w:val="none"/>
        </w:rPr>
        <w:t>标</w:t>
      </w:r>
      <w:r>
        <w:rPr>
          <w:rFonts w:hint="eastAsia" w:ascii="宋体" w:hAnsi="宋体" w:cs="宋体"/>
          <w:color w:val="auto"/>
          <w:position w:val="-4"/>
          <w:highlight w:val="none"/>
        </w:rPr>
        <w:t>人：</w:t>
      </w:r>
      <w:r>
        <w:rPr>
          <w:rFonts w:hint="eastAsia" w:ascii="宋体" w:hAnsi="宋体" w:cs="宋体"/>
          <w:color w:val="auto"/>
          <w:position w:val="-4"/>
          <w:highlight w:val="none"/>
          <w:u w:val="single"/>
        </w:rPr>
        <w:tab/>
      </w:r>
      <w:r>
        <w:rPr>
          <w:rFonts w:hint="eastAsia" w:ascii="宋体" w:hAnsi="宋体" w:cs="宋体"/>
          <w:color w:val="auto"/>
          <w:position w:val="-4"/>
          <w:highlight w:val="none"/>
        </w:rPr>
        <w:t>（盖</w:t>
      </w:r>
      <w:r>
        <w:rPr>
          <w:rFonts w:hint="eastAsia" w:ascii="宋体" w:hAnsi="宋体" w:cs="宋体"/>
          <w:color w:val="auto"/>
          <w:spacing w:val="-2"/>
          <w:position w:val="-4"/>
          <w:highlight w:val="none"/>
        </w:rPr>
        <w:t>单</w:t>
      </w:r>
      <w:r>
        <w:rPr>
          <w:rFonts w:hint="eastAsia" w:ascii="宋体" w:hAnsi="宋体" w:cs="宋体"/>
          <w:color w:val="auto"/>
          <w:position w:val="-4"/>
          <w:highlight w:val="none"/>
        </w:rPr>
        <w:t>位</w:t>
      </w:r>
      <w:r>
        <w:rPr>
          <w:rFonts w:hint="eastAsia" w:ascii="宋体" w:hAnsi="宋体" w:cs="宋体"/>
          <w:color w:val="auto"/>
          <w:spacing w:val="-2"/>
          <w:position w:val="-4"/>
          <w:highlight w:val="none"/>
        </w:rPr>
        <w:t>章</w:t>
      </w:r>
      <w:r>
        <w:rPr>
          <w:rFonts w:hint="eastAsia" w:ascii="宋体" w:hAnsi="宋体" w:cs="宋体"/>
          <w:color w:val="auto"/>
          <w:position w:val="-4"/>
          <w:highlight w:val="none"/>
        </w:rPr>
        <w:t>）</w:t>
      </w:r>
    </w:p>
    <w:p>
      <w:pPr>
        <w:tabs>
          <w:tab w:val="left" w:pos="6600"/>
        </w:tabs>
        <w:spacing w:line="480" w:lineRule="auto"/>
        <w:ind w:left="3041" w:right="-20"/>
        <w:rPr>
          <w:rFonts w:ascii="宋体" w:hAnsi="宋体" w:cs="宋体"/>
          <w:color w:val="auto"/>
          <w:highlight w:val="none"/>
        </w:rPr>
      </w:pPr>
      <w:r>
        <w:rPr>
          <w:rFonts w:hint="eastAsia" w:ascii="宋体" w:hAnsi="宋体" w:cs="宋体"/>
          <w:color w:val="auto"/>
          <w:position w:val="-2"/>
          <w:highlight w:val="none"/>
        </w:rPr>
        <w:t>法</w:t>
      </w:r>
      <w:r>
        <w:rPr>
          <w:rFonts w:hint="eastAsia" w:ascii="宋体" w:hAnsi="宋体" w:cs="宋体"/>
          <w:color w:val="auto"/>
          <w:spacing w:val="-2"/>
          <w:position w:val="-2"/>
          <w:highlight w:val="none"/>
        </w:rPr>
        <w:t>定</w:t>
      </w:r>
      <w:r>
        <w:rPr>
          <w:rFonts w:hint="eastAsia" w:ascii="宋体" w:hAnsi="宋体" w:cs="宋体"/>
          <w:color w:val="auto"/>
          <w:position w:val="-2"/>
          <w:highlight w:val="none"/>
        </w:rPr>
        <w:t>代</w:t>
      </w:r>
      <w:r>
        <w:rPr>
          <w:rFonts w:hint="eastAsia" w:ascii="宋体" w:hAnsi="宋体" w:cs="宋体"/>
          <w:color w:val="auto"/>
          <w:spacing w:val="-2"/>
          <w:position w:val="-2"/>
          <w:highlight w:val="none"/>
        </w:rPr>
        <w:t>表</w:t>
      </w:r>
      <w:r>
        <w:rPr>
          <w:rFonts w:hint="eastAsia" w:ascii="宋体" w:hAnsi="宋体" w:cs="宋体"/>
          <w:color w:val="auto"/>
          <w:position w:val="-2"/>
          <w:highlight w:val="none"/>
        </w:rPr>
        <w:t>人</w:t>
      </w:r>
      <w:r>
        <w:rPr>
          <w:rFonts w:hint="eastAsia" w:ascii="宋体" w:hAnsi="宋体" w:cs="宋体"/>
          <w:color w:val="auto"/>
          <w:spacing w:val="-2"/>
          <w:position w:val="-2"/>
          <w:highlight w:val="none"/>
        </w:rPr>
        <w:t>或</w:t>
      </w:r>
      <w:r>
        <w:rPr>
          <w:rFonts w:hint="eastAsia" w:ascii="宋体" w:hAnsi="宋体" w:cs="宋体"/>
          <w:color w:val="auto"/>
          <w:position w:val="-2"/>
          <w:highlight w:val="none"/>
        </w:rPr>
        <w:t>其</w:t>
      </w:r>
      <w:r>
        <w:rPr>
          <w:rFonts w:hint="eastAsia" w:ascii="宋体" w:hAnsi="宋体" w:cs="宋体"/>
          <w:color w:val="auto"/>
          <w:spacing w:val="-2"/>
          <w:position w:val="-2"/>
          <w:highlight w:val="none"/>
        </w:rPr>
        <w:t>委</w:t>
      </w:r>
      <w:r>
        <w:rPr>
          <w:rFonts w:hint="eastAsia" w:ascii="宋体" w:hAnsi="宋体" w:cs="宋体"/>
          <w:color w:val="auto"/>
          <w:position w:val="-2"/>
          <w:highlight w:val="none"/>
        </w:rPr>
        <w:t>托</w:t>
      </w:r>
      <w:r>
        <w:rPr>
          <w:rFonts w:hint="eastAsia" w:ascii="宋体" w:hAnsi="宋体" w:cs="宋体"/>
          <w:color w:val="auto"/>
          <w:spacing w:val="-2"/>
          <w:position w:val="-2"/>
          <w:highlight w:val="none"/>
        </w:rPr>
        <w:t>代理</w:t>
      </w:r>
      <w:r>
        <w:rPr>
          <w:rFonts w:hint="eastAsia" w:ascii="宋体" w:hAnsi="宋体" w:cs="宋体"/>
          <w:color w:val="auto"/>
          <w:position w:val="-2"/>
          <w:highlight w:val="none"/>
        </w:rPr>
        <w:t>人：</w:t>
      </w:r>
      <w:r>
        <w:rPr>
          <w:rFonts w:hint="eastAsia" w:ascii="宋体" w:hAnsi="宋体" w:cs="宋体"/>
          <w:color w:val="auto"/>
          <w:position w:val="-2"/>
          <w:highlight w:val="none"/>
          <w:u w:val="single"/>
        </w:rPr>
        <w:tab/>
      </w:r>
      <w:r>
        <w:rPr>
          <w:rFonts w:hint="eastAsia" w:ascii="宋体" w:hAnsi="宋体" w:cs="宋体"/>
          <w:color w:val="auto"/>
          <w:spacing w:val="-2"/>
          <w:position w:val="-2"/>
          <w:highlight w:val="none"/>
        </w:rPr>
        <w:t>（</w:t>
      </w:r>
      <w:r>
        <w:rPr>
          <w:rFonts w:hint="eastAsia" w:ascii="宋体" w:hAnsi="宋体" w:cs="宋体"/>
          <w:color w:val="auto"/>
          <w:position w:val="-2"/>
          <w:highlight w:val="none"/>
        </w:rPr>
        <w:t>签</w:t>
      </w:r>
      <w:r>
        <w:rPr>
          <w:rFonts w:hint="eastAsia" w:ascii="宋体" w:hAnsi="宋体" w:cs="宋体"/>
          <w:color w:val="auto"/>
          <w:spacing w:val="-2"/>
          <w:position w:val="-2"/>
          <w:highlight w:val="none"/>
        </w:rPr>
        <w:t>字</w:t>
      </w:r>
      <w:r>
        <w:rPr>
          <w:rFonts w:hint="eastAsia" w:ascii="宋体" w:hAnsi="宋体" w:cs="宋体"/>
          <w:color w:val="auto"/>
          <w:position w:val="-2"/>
          <w:highlight w:val="none"/>
        </w:rPr>
        <w:t>）</w:t>
      </w:r>
    </w:p>
    <w:p>
      <w:pPr>
        <w:tabs>
          <w:tab w:val="left" w:pos="7020"/>
        </w:tabs>
        <w:spacing w:line="480" w:lineRule="auto"/>
        <w:ind w:right="-20" w:firstLine="3045" w:firstLineChars="1450"/>
        <w:rPr>
          <w:rFonts w:ascii="宋体" w:hAnsi="宋体" w:cs="宋体"/>
          <w:color w:val="auto"/>
          <w:position w:val="-2"/>
          <w:highlight w:val="none"/>
        </w:rPr>
      </w:pPr>
      <w:r>
        <w:rPr>
          <w:rFonts w:hint="eastAsia" w:ascii="宋体" w:hAnsi="宋体" w:cs="宋体"/>
          <w:color w:val="auto"/>
          <w:position w:val="-2"/>
          <w:highlight w:val="none"/>
        </w:rPr>
        <w:t>日期：年月日</w:t>
      </w:r>
    </w:p>
    <w:p>
      <w:pPr>
        <w:tabs>
          <w:tab w:val="left" w:pos="7020"/>
        </w:tabs>
        <w:spacing w:line="480" w:lineRule="auto"/>
        <w:ind w:right="-20" w:firstLine="2880" w:firstLineChars="1200"/>
        <w:rPr>
          <w:rFonts w:ascii="宋体" w:hAnsi="宋体" w:cs="宋体"/>
          <w:color w:val="auto"/>
          <w:position w:val="-2"/>
          <w:sz w:val="24"/>
          <w:szCs w:val="24"/>
          <w:highlight w:val="none"/>
        </w:rPr>
      </w:pPr>
    </w:p>
    <w:p>
      <w:pPr>
        <w:pStyle w:val="24"/>
        <w:rPr>
          <w:rFonts w:ascii="宋体" w:hAnsi="宋体" w:cs="宋体"/>
          <w:color w:val="auto"/>
          <w:position w:val="-2"/>
          <w:sz w:val="24"/>
          <w:szCs w:val="24"/>
          <w:highlight w:val="none"/>
        </w:rPr>
      </w:pPr>
    </w:p>
    <w:p>
      <w:pPr>
        <w:rPr>
          <w:rFonts w:ascii="宋体" w:hAnsi="宋体" w:cs="宋体"/>
          <w:color w:val="auto"/>
          <w:highlight w:val="none"/>
        </w:rPr>
      </w:pPr>
    </w:p>
    <w:p>
      <w:pPr>
        <w:pStyle w:val="3"/>
        <w:rPr>
          <w:color w:val="auto"/>
          <w:highlight w:val="none"/>
        </w:rPr>
        <w:sectPr>
          <w:headerReference r:id="rId9" w:type="first"/>
          <w:footerReference r:id="rId10" w:type="even"/>
          <w:pgSz w:w="11906" w:h="16838"/>
          <w:pgMar w:top="1440" w:right="1080" w:bottom="1440" w:left="1080" w:header="709" w:footer="709" w:gutter="0"/>
          <w:cols w:space="720" w:num="1"/>
          <w:titlePg/>
          <w:docGrid w:type="lines" w:linePitch="312" w:charSpace="0"/>
        </w:sectPr>
      </w:pPr>
    </w:p>
    <w:p>
      <w:pPr>
        <w:rPr>
          <w:rFonts w:ascii="宋体" w:hAnsi="宋体" w:cs="宋体"/>
          <w:color w:val="auto"/>
          <w:highlight w:val="none"/>
        </w:rPr>
      </w:pPr>
      <w:r>
        <w:rPr>
          <w:rFonts w:hint="eastAsia" w:ascii="宋体" w:hAnsi="宋体" w:cs="宋体"/>
          <w:color w:val="auto"/>
          <w:highlight w:val="none"/>
        </w:rPr>
        <w:br w:type="page"/>
      </w:r>
    </w:p>
    <w:p>
      <w:pPr>
        <w:pStyle w:val="3"/>
        <w:rPr>
          <w:color w:val="auto"/>
          <w:highlight w:val="none"/>
        </w:rPr>
      </w:pPr>
      <w:bookmarkStart w:id="49" w:name="_Toc132272652"/>
      <w:r>
        <w:rPr>
          <w:rFonts w:hint="eastAsia"/>
          <w:color w:val="auto"/>
          <w:highlight w:val="none"/>
        </w:rPr>
        <w:t>第三章 评标办法（综合评估法）</w:t>
      </w:r>
      <w:bookmarkEnd w:id="48"/>
      <w:bookmarkEnd w:id="49"/>
    </w:p>
    <w:p>
      <w:pPr>
        <w:pStyle w:val="4"/>
        <w:rPr>
          <w:rFonts w:cs="宋体"/>
          <w:color w:val="auto"/>
          <w:highlight w:val="none"/>
        </w:rPr>
      </w:pPr>
      <w:bookmarkStart w:id="50" w:name="_Toc32266"/>
      <w:bookmarkEnd w:id="50"/>
      <w:bookmarkStart w:id="51" w:name="_Toc393961877"/>
      <w:bookmarkEnd w:id="51"/>
      <w:bookmarkStart w:id="52" w:name="_Toc28666"/>
      <w:bookmarkEnd w:id="52"/>
      <w:bookmarkStart w:id="53" w:name="_Toc24228"/>
      <w:bookmarkEnd w:id="53"/>
      <w:bookmarkStart w:id="54" w:name="_Toc248"/>
      <w:bookmarkEnd w:id="54"/>
      <w:bookmarkStart w:id="55" w:name="_Toc16683"/>
      <w:bookmarkEnd w:id="55"/>
      <w:bookmarkStart w:id="56" w:name="_Toc514170132"/>
      <w:bookmarkEnd w:id="56"/>
      <w:bookmarkStart w:id="57" w:name="_Toc132272653"/>
      <w:bookmarkStart w:id="58" w:name="_Toc5818"/>
      <w:bookmarkStart w:id="59" w:name="_Toc535501281"/>
      <w:r>
        <w:rPr>
          <w:rFonts w:hint="eastAsia" w:cs="宋体"/>
          <w:color w:val="auto"/>
          <w:highlight w:val="none"/>
        </w:rPr>
        <w:t>评标办法前附表</w:t>
      </w:r>
      <w:bookmarkEnd w:id="57"/>
    </w:p>
    <w:tbl>
      <w:tblPr>
        <w:tblStyle w:val="30"/>
        <w:tblW w:w="9796" w:type="dxa"/>
        <w:jc w:val="center"/>
        <w:tblLayout w:type="fixed"/>
        <w:tblCellMar>
          <w:top w:w="0" w:type="dxa"/>
          <w:left w:w="0" w:type="dxa"/>
          <w:bottom w:w="0" w:type="dxa"/>
          <w:right w:w="0" w:type="dxa"/>
        </w:tblCellMar>
      </w:tblPr>
      <w:tblGrid>
        <w:gridCol w:w="808"/>
        <w:gridCol w:w="829"/>
        <w:gridCol w:w="1619"/>
        <w:gridCol w:w="6540"/>
      </w:tblGrid>
      <w:tr>
        <w:trPr>
          <w:tblHeader/>
          <w:jc w:val="center"/>
        </w:trPr>
        <w:tc>
          <w:tcPr>
            <w:tcW w:w="1637" w:type="dxa"/>
            <w:gridSpan w:val="2"/>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jc w:val="center"/>
              <w:rPr>
                <w:rFonts w:ascii="宋体" w:hAnsi="宋体" w:cs="宋体"/>
                <w:b/>
                <w:color w:val="auto"/>
                <w:highlight w:val="none"/>
              </w:rPr>
            </w:pPr>
            <w:r>
              <w:rPr>
                <w:rFonts w:hint="eastAsia" w:ascii="宋体" w:hAnsi="宋体" w:cs="宋体"/>
                <w:b/>
                <w:color w:val="auto"/>
                <w:highlight w:val="none"/>
              </w:rPr>
              <w:t>条款号</w:t>
            </w:r>
          </w:p>
        </w:tc>
        <w:tc>
          <w:tcPr>
            <w:tcW w:w="1619" w:type="dxa"/>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right="-20"/>
              <w:jc w:val="center"/>
              <w:rPr>
                <w:rFonts w:ascii="宋体" w:hAnsi="宋体" w:cs="宋体"/>
                <w:b/>
                <w:color w:val="auto"/>
                <w:highlight w:val="none"/>
              </w:rPr>
            </w:pPr>
            <w:r>
              <w:rPr>
                <w:rFonts w:hint="eastAsia" w:ascii="宋体" w:hAnsi="宋体" w:cs="宋体"/>
                <w:b/>
                <w:color w:val="auto"/>
                <w:highlight w:val="none"/>
              </w:rPr>
              <w:t>评审因素</w:t>
            </w:r>
          </w:p>
        </w:tc>
        <w:tc>
          <w:tcPr>
            <w:tcW w:w="6540" w:type="dxa"/>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jc w:val="center"/>
              <w:rPr>
                <w:rFonts w:ascii="宋体" w:hAnsi="宋体" w:cs="宋体"/>
                <w:b/>
                <w:color w:val="auto"/>
                <w:highlight w:val="none"/>
              </w:rPr>
            </w:pPr>
            <w:r>
              <w:rPr>
                <w:rFonts w:hint="eastAsia" w:ascii="宋体" w:hAnsi="宋体" w:cs="宋体"/>
                <w:b/>
                <w:color w:val="auto"/>
                <w:highlight w:val="none"/>
              </w:rPr>
              <w:t xml:space="preserve">             评审标准</w:t>
            </w:r>
          </w:p>
        </w:tc>
      </w:tr>
      <w:tr>
        <w:trPr>
          <w:jc w:val="center"/>
        </w:trPr>
        <w:tc>
          <w:tcPr>
            <w:tcW w:w="808"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1</w:t>
            </w:r>
          </w:p>
        </w:tc>
        <w:tc>
          <w:tcPr>
            <w:tcW w:w="8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7"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评标</w:t>
            </w:r>
            <w:r>
              <w:rPr>
                <w:rFonts w:hint="eastAsia" w:ascii="宋体" w:hAnsi="宋体" w:cs="宋体"/>
                <w:color w:val="auto"/>
                <w:spacing w:val="-2"/>
                <w:highlight w:val="none"/>
              </w:rPr>
              <w:t>方</w:t>
            </w:r>
            <w:r>
              <w:rPr>
                <w:rFonts w:hint="eastAsia" w:ascii="宋体" w:hAnsi="宋体" w:cs="宋体"/>
                <w:color w:val="auto"/>
                <w:highlight w:val="none"/>
              </w:rPr>
              <w:t>法</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77" w:line="360" w:lineRule="auto"/>
              <w:ind w:left="-6" w:right="-20"/>
              <w:jc w:val="center"/>
              <w:rPr>
                <w:rFonts w:ascii="宋体" w:hAnsi="宋体" w:cs="宋体"/>
                <w:color w:val="auto"/>
                <w:highlight w:val="none"/>
              </w:rPr>
            </w:pPr>
            <w:r>
              <w:rPr>
                <w:rFonts w:hint="eastAsia" w:ascii="宋体" w:hAnsi="宋体" w:cs="宋体"/>
                <w:color w:val="auto"/>
                <w:highlight w:val="none"/>
              </w:rPr>
              <w:t>中标</w:t>
            </w:r>
            <w:r>
              <w:rPr>
                <w:rFonts w:hint="eastAsia" w:ascii="宋体" w:hAnsi="宋体" w:cs="宋体"/>
                <w:color w:val="auto"/>
                <w:spacing w:val="-2"/>
                <w:highlight w:val="none"/>
              </w:rPr>
              <w:t>候</w:t>
            </w:r>
            <w:r>
              <w:rPr>
                <w:rFonts w:hint="eastAsia" w:ascii="宋体" w:hAnsi="宋体" w:cs="宋体"/>
                <w:color w:val="auto"/>
                <w:highlight w:val="none"/>
              </w:rPr>
              <w:t>选</w:t>
            </w:r>
            <w:r>
              <w:rPr>
                <w:rFonts w:hint="eastAsia" w:ascii="宋体" w:hAnsi="宋体" w:cs="宋体"/>
                <w:color w:val="auto"/>
                <w:spacing w:val="-2"/>
                <w:highlight w:val="none"/>
              </w:rPr>
              <w:t>人</w:t>
            </w:r>
            <w:r>
              <w:rPr>
                <w:rFonts w:hint="eastAsia" w:ascii="宋体" w:hAnsi="宋体" w:cs="宋体"/>
                <w:color w:val="auto"/>
                <w:highlight w:val="none"/>
              </w:rPr>
              <w:t>排</w:t>
            </w:r>
            <w:r>
              <w:rPr>
                <w:rFonts w:hint="eastAsia" w:ascii="宋体" w:hAnsi="宋体" w:cs="宋体"/>
                <w:color w:val="auto"/>
                <w:spacing w:val="-2"/>
                <w:highlight w:val="none"/>
              </w:rPr>
              <w:t>序</w:t>
            </w:r>
            <w:r>
              <w:rPr>
                <w:rFonts w:hint="eastAsia" w:ascii="宋体" w:hAnsi="宋体" w:cs="宋体"/>
                <w:color w:val="auto"/>
                <w:highlight w:val="none"/>
              </w:rPr>
              <w:t>方法</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highlight w:val="none"/>
              </w:rPr>
            </w:pPr>
            <w:r>
              <w:rPr>
                <w:rFonts w:hint="eastAsia" w:ascii="宋体" w:hAnsi="宋体"/>
                <w:color w:val="000000"/>
                <w:highlight w:val="none"/>
              </w:rPr>
              <w:t>本次评标采用综合评估法。评标委员会对满足招标文件实质性要求的投标文件，按照本章第2.2</w:t>
            </w:r>
            <w:r>
              <w:rPr>
                <w:rFonts w:hint="eastAsia" w:ascii="宋体" w:hAnsi="宋体"/>
                <w:color w:val="000000"/>
                <w:highlight w:val="none"/>
                <w:lang w:eastAsia="zh-CN"/>
              </w:rPr>
              <w:t>条</w:t>
            </w:r>
            <w:r>
              <w:rPr>
                <w:rFonts w:hint="eastAsia" w:ascii="宋体" w:hAnsi="宋体"/>
                <w:color w:val="000000"/>
                <w:highlight w:val="none"/>
              </w:rPr>
              <w:t>规定的评分标准进行打分，</w:t>
            </w:r>
            <w:r>
              <w:rPr>
                <w:rFonts w:hint="eastAsia" w:ascii="宋体" w:hAnsi="宋体" w:cs="宋体"/>
                <w:highlight w:val="none"/>
              </w:rPr>
              <w:t>并按得分由高到低顺序推荐前三名做为中标候选人，综合评分相等的，以投标报价低的优先；投标报价也相等的，以代建服务方案得分高的优先；如果代建服务方案得分也相等，由评标委员会采用记名投票方式，以得票多的优先。</w:t>
            </w:r>
          </w:p>
        </w:tc>
      </w:tr>
      <w:tr>
        <w:tblPrEx>
          <w:tblCellMar>
            <w:top w:w="0" w:type="dxa"/>
            <w:left w:w="0" w:type="dxa"/>
            <w:bottom w:w="0" w:type="dxa"/>
            <w:right w:w="0" w:type="dxa"/>
          </w:tblCellMar>
        </w:tblPrEx>
        <w:trPr>
          <w:jc w:val="center"/>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2.1.1</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形式</w:t>
            </w:r>
            <w:r>
              <w:rPr>
                <w:rFonts w:hint="eastAsia" w:ascii="宋体" w:hAnsi="宋体" w:cs="宋体"/>
                <w:color w:val="auto"/>
                <w:spacing w:val="-2"/>
                <w:highlight w:val="none"/>
              </w:rPr>
              <w:t>评</w:t>
            </w:r>
            <w:r>
              <w:rPr>
                <w:rFonts w:hint="eastAsia" w:ascii="宋体" w:hAnsi="宋体" w:cs="宋体"/>
                <w:color w:val="auto"/>
                <w:highlight w:val="none"/>
              </w:rPr>
              <w:t>审标准</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人</w:t>
            </w:r>
            <w:r>
              <w:rPr>
                <w:rFonts w:hint="eastAsia" w:ascii="宋体" w:hAnsi="宋体" w:cs="宋体"/>
                <w:color w:val="auto"/>
                <w:highlight w:val="none"/>
              </w:rPr>
              <w:t>名称</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与营</w:t>
            </w:r>
            <w:r>
              <w:rPr>
                <w:rFonts w:hint="eastAsia" w:ascii="宋体" w:hAnsi="宋体" w:cs="宋体"/>
                <w:color w:val="auto"/>
                <w:spacing w:val="-2"/>
                <w:highlight w:val="none"/>
              </w:rPr>
              <w:t>业</w:t>
            </w:r>
            <w:r>
              <w:rPr>
                <w:rFonts w:hint="eastAsia" w:ascii="宋体" w:hAnsi="宋体" w:cs="宋体"/>
                <w:color w:val="auto"/>
                <w:highlight w:val="none"/>
              </w:rPr>
              <w:t>执</w:t>
            </w:r>
            <w:r>
              <w:rPr>
                <w:rFonts w:hint="eastAsia" w:ascii="宋体" w:hAnsi="宋体" w:cs="宋体"/>
                <w:color w:val="auto"/>
                <w:spacing w:val="-2"/>
                <w:highlight w:val="none"/>
              </w:rPr>
              <w:t>照一</w:t>
            </w:r>
            <w:r>
              <w:rPr>
                <w:rFonts w:hint="eastAsia" w:ascii="宋体" w:hAnsi="宋体" w:cs="宋体"/>
                <w:color w:val="auto"/>
                <w:highlight w:val="none"/>
              </w:rPr>
              <w:t>致</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jc w:val="center"/>
              <w:rPr>
                <w:rFonts w:ascii="宋体" w:hAnsi="宋体" w:cs="宋体"/>
                <w:color w:val="auto"/>
                <w:highlight w:val="none"/>
              </w:rPr>
            </w:pPr>
            <w:r>
              <w:rPr>
                <w:rFonts w:hint="eastAsia" w:ascii="宋体" w:hAnsi="宋体"/>
                <w:color w:val="auto"/>
                <w:highlight w:val="none"/>
              </w:rPr>
              <w:t>投标函及投标函附录</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highlight w:val="none"/>
              </w:rPr>
            </w:pPr>
            <w:r>
              <w:rPr>
                <w:rFonts w:hint="eastAsia" w:ascii="宋体" w:hAnsi="宋体"/>
                <w:color w:val="auto"/>
                <w:highlight w:val="none"/>
              </w:rPr>
              <w:t>投标函及投标函附录</w:t>
            </w:r>
            <w:r>
              <w:rPr>
                <w:rFonts w:hint="eastAsia" w:ascii="宋体" w:hAnsi="宋体" w:cs="宋体"/>
                <w:color w:val="auto"/>
                <w:highlight w:val="none"/>
              </w:rPr>
              <w:t>格式及签字盖章符合招标文件要求</w:t>
            </w:r>
            <w:r>
              <w:rPr>
                <w:rFonts w:hint="eastAsia" w:ascii="宋体" w:hAnsi="宋体" w:cs="宋体"/>
                <w:color w:val="auto"/>
                <w:spacing w:val="2"/>
                <w:highlight w:val="none"/>
              </w:rPr>
              <w:t>。由</w:t>
            </w:r>
            <w:r>
              <w:rPr>
                <w:rFonts w:hint="eastAsia" w:ascii="宋体" w:hAnsi="宋体" w:cs="宋体"/>
                <w:color w:val="auto"/>
                <w:highlight w:val="none"/>
              </w:rPr>
              <w:t>法</w:t>
            </w:r>
            <w:r>
              <w:rPr>
                <w:rFonts w:hint="eastAsia" w:ascii="宋体" w:hAnsi="宋体" w:cs="宋体"/>
                <w:color w:val="auto"/>
                <w:spacing w:val="2"/>
                <w:highlight w:val="none"/>
              </w:rPr>
              <w:t>定</w:t>
            </w:r>
            <w:r>
              <w:rPr>
                <w:rFonts w:hint="eastAsia" w:ascii="宋体" w:hAnsi="宋体" w:cs="宋体"/>
                <w:color w:val="auto"/>
                <w:highlight w:val="none"/>
              </w:rPr>
              <w:t>代</w:t>
            </w:r>
            <w:r>
              <w:rPr>
                <w:rFonts w:hint="eastAsia" w:ascii="宋体" w:hAnsi="宋体" w:cs="宋体"/>
                <w:color w:val="auto"/>
                <w:spacing w:val="2"/>
                <w:highlight w:val="none"/>
              </w:rPr>
              <w:t>表人</w:t>
            </w:r>
            <w:r>
              <w:rPr>
                <w:rFonts w:hint="eastAsia" w:ascii="宋体" w:hAnsi="宋体" w:cs="宋体"/>
                <w:color w:val="auto"/>
                <w:highlight w:val="none"/>
              </w:rPr>
              <w:t>签</w:t>
            </w:r>
            <w:r>
              <w:rPr>
                <w:rFonts w:hint="eastAsia" w:ascii="宋体" w:hAnsi="宋体" w:cs="宋体"/>
                <w:color w:val="auto"/>
                <w:spacing w:val="2"/>
                <w:highlight w:val="none"/>
              </w:rPr>
              <w:t>字</w:t>
            </w:r>
            <w:r>
              <w:rPr>
                <w:rFonts w:hint="eastAsia" w:ascii="宋体" w:hAnsi="宋体" w:cs="宋体"/>
                <w:color w:val="auto"/>
                <w:highlight w:val="none"/>
              </w:rPr>
              <w:t>的</w:t>
            </w:r>
            <w:r>
              <w:rPr>
                <w:rFonts w:hint="eastAsia" w:ascii="宋体" w:hAnsi="宋体" w:cs="宋体"/>
                <w:color w:val="auto"/>
                <w:spacing w:val="2"/>
                <w:highlight w:val="none"/>
              </w:rPr>
              <w:t>，应附</w:t>
            </w:r>
            <w:r>
              <w:rPr>
                <w:rFonts w:hint="eastAsia" w:ascii="宋体" w:hAnsi="宋体" w:cs="宋体"/>
                <w:color w:val="auto"/>
                <w:highlight w:val="none"/>
              </w:rPr>
              <w:t>法</w:t>
            </w:r>
            <w:r>
              <w:rPr>
                <w:rFonts w:hint="eastAsia" w:ascii="宋体" w:hAnsi="宋体" w:cs="宋体"/>
                <w:color w:val="auto"/>
                <w:spacing w:val="2"/>
                <w:highlight w:val="none"/>
              </w:rPr>
              <w:t>定</w:t>
            </w:r>
            <w:r>
              <w:rPr>
                <w:rFonts w:hint="eastAsia" w:ascii="宋体" w:hAnsi="宋体" w:cs="宋体"/>
                <w:color w:val="auto"/>
                <w:highlight w:val="none"/>
              </w:rPr>
              <w:t>代</w:t>
            </w:r>
            <w:r>
              <w:rPr>
                <w:rFonts w:hint="eastAsia" w:ascii="宋体" w:hAnsi="宋体" w:cs="宋体"/>
                <w:color w:val="auto"/>
                <w:spacing w:val="2"/>
                <w:highlight w:val="none"/>
              </w:rPr>
              <w:t>表人</w:t>
            </w:r>
            <w:r>
              <w:rPr>
                <w:rFonts w:hint="eastAsia" w:ascii="宋体" w:hAnsi="宋体" w:cs="宋体"/>
                <w:color w:val="auto"/>
                <w:highlight w:val="none"/>
              </w:rPr>
              <w:t>身份</w:t>
            </w:r>
            <w:r>
              <w:rPr>
                <w:rFonts w:hint="eastAsia" w:ascii="宋体" w:hAnsi="宋体" w:cs="宋体"/>
                <w:color w:val="auto"/>
                <w:spacing w:val="2"/>
                <w:highlight w:val="none"/>
              </w:rPr>
              <w:t>证明，</w:t>
            </w:r>
            <w:r>
              <w:rPr>
                <w:rFonts w:hint="eastAsia" w:ascii="宋体" w:hAnsi="宋体" w:cs="宋体"/>
                <w:color w:val="auto"/>
                <w:highlight w:val="none"/>
              </w:rPr>
              <w:t>由</w:t>
            </w:r>
            <w:r>
              <w:rPr>
                <w:rFonts w:hint="eastAsia" w:ascii="宋体" w:hAnsi="宋体" w:cs="宋体"/>
                <w:color w:val="auto"/>
                <w:spacing w:val="2"/>
                <w:highlight w:val="none"/>
              </w:rPr>
              <w:t>代</w:t>
            </w:r>
            <w:r>
              <w:rPr>
                <w:rFonts w:hint="eastAsia" w:ascii="宋体" w:hAnsi="宋体" w:cs="宋体"/>
                <w:color w:val="auto"/>
                <w:highlight w:val="none"/>
              </w:rPr>
              <w:t>理</w:t>
            </w:r>
            <w:r>
              <w:rPr>
                <w:rFonts w:hint="eastAsia" w:ascii="宋体" w:hAnsi="宋体" w:cs="宋体"/>
                <w:color w:val="auto"/>
                <w:spacing w:val="2"/>
                <w:highlight w:val="none"/>
              </w:rPr>
              <w:t>人签</w:t>
            </w:r>
            <w:r>
              <w:rPr>
                <w:rFonts w:hint="eastAsia" w:ascii="宋体" w:hAnsi="宋体" w:cs="宋体"/>
                <w:color w:val="auto"/>
                <w:highlight w:val="none"/>
              </w:rPr>
              <w:t>字</w:t>
            </w:r>
            <w:r>
              <w:rPr>
                <w:rFonts w:hint="eastAsia" w:ascii="宋体" w:hAnsi="宋体" w:cs="宋体"/>
                <w:color w:val="auto"/>
                <w:spacing w:val="2"/>
                <w:highlight w:val="none"/>
              </w:rPr>
              <w:t>的</w:t>
            </w:r>
            <w:r>
              <w:rPr>
                <w:rFonts w:hint="eastAsia" w:ascii="宋体" w:hAnsi="宋体" w:cs="宋体"/>
                <w:color w:val="auto"/>
                <w:highlight w:val="none"/>
              </w:rPr>
              <w:t>，</w:t>
            </w:r>
            <w:r>
              <w:rPr>
                <w:rFonts w:hint="eastAsia" w:ascii="宋体" w:hAnsi="宋体" w:cs="宋体"/>
                <w:color w:val="auto"/>
                <w:spacing w:val="2"/>
                <w:highlight w:val="none"/>
              </w:rPr>
              <w:t>应附授</w:t>
            </w:r>
            <w:r>
              <w:rPr>
                <w:rFonts w:hint="eastAsia" w:ascii="宋体" w:hAnsi="宋体" w:cs="宋体"/>
                <w:color w:val="auto"/>
                <w:highlight w:val="none"/>
              </w:rPr>
              <w:t>权</w:t>
            </w:r>
            <w:r>
              <w:rPr>
                <w:rFonts w:hint="eastAsia" w:ascii="宋体" w:hAnsi="宋体" w:cs="宋体"/>
                <w:color w:val="auto"/>
                <w:spacing w:val="2"/>
                <w:highlight w:val="none"/>
              </w:rPr>
              <w:t>委</w:t>
            </w:r>
            <w:r>
              <w:rPr>
                <w:rFonts w:hint="eastAsia" w:ascii="宋体" w:hAnsi="宋体" w:cs="宋体"/>
                <w:color w:val="auto"/>
                <w:highlight w:val="none"/>
              </w:rPr>
              <w:t>托</w:t>
            </w:r>
            <w:r>
              <w:rPr>
                <w:rFonts w:hint="eastAsia" w:ascii="宋体" w:hAnsi="宋体" w:cs="宋体"/>
                <w:color w:val="auto"/>
                <w:spacing w:val="2"/>
                <w:highlight w:val="none"/>
              </w:rPr>
              <w:t>书，</w:t>
            </w:r>
            <w:r>
              <w:rPr>
                <w:rFonts w:hint="eastAsia" w:ascii="宋体" w:hAnsi="宋体" w:cs="宋体"/>
                <w:color w:val="auto"/>
                <w:highlight w:val="none"/>
              </w:rPr>
              <w:t>身份</w:t>
            </w:r>
            <w:r>
              <w:rPr>
                <w:rFonts w:hint="eastAsia" w:ascii="宋体" w:hAnsi="宋体" w:cs="宋体"/>
                <w:color w:val="auto"/>
                <w:spacing w:val="2"/>
                <w:highlight w:val="none"/>
              </w:rPr>
              <w:t>证明或授权委托书应</w:t>
            </w:r>
            <w:r>
              <w:rPr>
                <w:rFonts w:hint="eastAsia" w:ascii="宋体" w:hAnsi="宋体" w:cs="宋体"/>
                <w:color w:val="auto"/>
                <w:spacing w:val="5"/>
                <w:highlight w:val="none"/>
              </w:rPr>
              <w:t>符</w:t>
            </w:r>
            <w:r>
              <w:rPr>
                <w:rFonts w:hint="eastAsia" w:ascii="宋体" w:hAnsi="宋体" w:cs="宋体"/>
                <w:color w:val="auto"/>
                <w:spacing w:val="2"/>
                <w:highlight w:val="none"/>
              </w:rPr>
              <w:t>合第六</w:t>
            </w:r>
            <w:r>
              <w:rPr>
                <w:rFonts w:hint="eastAsia" w:ascii="宋体" w:hAnsi="宋体" w:cs="宋体"/>
                <w:color w:val="auto"/>
                <w:spacing w:val="5"/>
                <w:highlight w:val="none"/>
              </w:rPr>
              <w:t>章</w:t>
            </w:r>
            <w:r>
              <w:rPr>
                <w:rFonts w:hint="eastAsia" w:ascii="宋体" w:hAnsi="宋体" w:cs="宋体"/>
                <w:color w:val="auto"/>
                <w:spacing w:val="2"/>
                <w:highlight w:val="none"/>
              </w:rPr>
              <w:t>“投标文件格</w:t>
            </w:r>
            <w:r>
              <w:rPr>
                <w:rFonts w:hint="eastAsia" w:ascii="宋体" w:hAnsi="宋体" w:cs="宋体"/>
                <w:color w:val="auto"/>
                <w:spacing w:val="5"/>
                <w:highlight w:val="none"/>
              </w:rPr>
              <w:t>式</w:t>
            </w:r>
            <w:r>
              <w:rPr>
                <w:rFonts w:hint="eastAsia" w:ascii="宋体" w:hAnsi="宋体" w:cs="宋体"/>
                <w:color w:val="auto"/>
                <w:highlight w:val="none"/>
              </w:rPr>
              <w:t>”的规定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17"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17"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6" w:right="-20"/>
              <w:jc w:val="center"/>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文</w:t>
            </w:r>
            <w:r>
              <w:rPr>
                <w:rFonts w:hint="eastAsia" w:ascii="宋体" w:hAnsi="宋体" w:cs="宋体"/>
                <w:color w:val="auto"/>
                <w:highlight w:val="none"/>
              </w:rPr>
              <w:t>件</w:t>
            </w:r>
            <w:r>
              <w:rPr>
                <w:rFonts w:hint="eastAsia" w:ascii="宋体" w:hAnsi="宋体" w:cs="宋体"/>
                <w:color w:val="auto"/>
                <w:spacing w:val="-2"/>
                <w:highlight w:val="none"/>
              </w:rPr>
              <w:t>格</w:t>
            </w:r>
            <w:r>
              <w:rPr>
                <w:rFonts w:hint="eastAsia" w:ascii="宋体" w:hAnsi="宋体" w:cs="宋体"/>
                <w:color w:val="auto"/>
                <w:highlight w:val="none"/>
              </w:rPr>
              <w:t>式</w:t>
            </w:r>
          </w:p>
        </w:tc>
        <w:tc>
          <w:tcPr>
            <w:tcW w:w="65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auto"/>
              <w:ind w:left="105" w:leftChars="50" w:right="105" w:rightChars="50" w:firstLine="120"/>
              <w:rPr>
                <w:rFonts w:ascii="宋体" w:hAnsi="宋体" w:cs="宋体"/>
                <w:color w:val="auto"/>
                <w:highlight w:val="none"/>
              </w:rPr>
            </w:pPr>
            <w:r>
              <w:rPr>
                <w:rFonts w:hint="eastAsia" w:ascii="宋体" w:hAnsi="宋体" w:cs="宋体"/>
                <w:color w:val="auto"/>
                <w:highlight w:val="none"/>
              </w:rPr>
              <w:t>《投标申请人声明》符合第六章“投标文件格式”的规定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6" w:right="-20"/>
              <w:jc w:val="center"/>
              <w:rPr>
                <w:rFonts w:ascii="宋体" w:hAnsi="宋体" w:cs="宋体"/>
                <w:color w:val="auto"/>
                <w:highlight w:val="none"/>
              </w:rPr>
            </w:pPr>
            <w:r>
              <w:rPr>
                <w:rFonts w:hint="eastAsia" w:ascii="宋体" w:hAnsi="宋体" w:cs="宋体"/>
                <w:color w:val="auto"/>
                <w:highlight w:val="none"/>
              </w:rPr>
              <w:t>联合</w:t>
            </w:r>
            <w:r>
              <w:rPr>
                <w:rFonts w:hint="eastAsia" w:ascii="宋体" w:hAnsi="宋体" w:cs="宋体"/>
                <w:color w:val="auto"/>
                <w:spacing w:val="-2"/>
                <w:highlight w:val="none"/>
              </w:rPr>
              <w:t>体</w:t>
            </w:r>
            <w:r>
              <w:rPr>
                <w:rFonts w:hint="eastAsia" w:ascii="宋体" w:hAnsi="宋体" w:cs="宋体"/>
                <w:color w:val="auto"/>
                <w:highlight w:val="none"/>
              </w:rPr>
              <w:t>投</w:t>
            </w:r>
            <w:r>
              <w:rPr>
                <w:rFonts w:hint="eastAsia" w:ascii="宋体" w:hAnsi="宋体" w:cs="宋体"/>
                <w:color w:val="auto"/>
                <w:spacing w:val="-2"/>
                <w:highlight w:val="none"/>
              </w:rPr>
              <w:t>标</w:t>
            </w:r>
            <w:r>
              <w:rPr>
                <w:rFonts w:hint="eastAsia" w:ascii="宋体" w:hAnsi="宋体" w:cs="宋体"/>
                <w:color w:val="auto"/>
                <w:highlight w:val="none"/>
              </w:rPr>
              <w:t>人</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highlight w:val="none"/>
              </w:rPr>
            </w:pPr>
            <w:r>
              <w:rPr>
                <w:rFonts w:hint="eastAsia" w:ascii="宋体" w:hAnsi="宋体" w:cs="宋体"/>
                <w:color w:val="auto"/>
                <w:spacing w:val="2"/>
                <w:highlight w:val="none"/>
              </w:rPr>
              <w:t>不接受联合体投标</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6" w:right="-20"/>
              <w:jc w:val="center"/>
              <w:rPr>
                <w:rFonts w:ascii="宋体" w:hAnsi="宋体" w:cs="宋体"/>
                <w:color w:val="auto"/>
                <w:highlight w:val="none"/>
              </w:rPr>
            </w:pPr>
            <w:r>
              <w:rPr>
                <w:rFonts w:hint="eastAsia" w:ascii="宋体" w:hAnsi="宋体" w:cs="宋体"/>
                <w:color w:val="auto"/>
                <w:highlight w:val="none"/>
              </w:rPr>
              <w:t>投标人机器码</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spacing w:val="2"/>
                <w:highlight w:val="none"/>
              </w:rPr>
            </w:pPr>
            <w:r>
              <w:rPr>
                <w:rFonts w:hint="eastAsia" w:ascii="宋体" w:hAnsi="宋体" w:cs="宋体"/>
                <w:color w:val="auto"/>
                <w:highlight w:val="none"/>
              </w:rPr>
              <w:t>投标人与本项目其他投标人加密打包投标文件电脑机器特征码不一致(以广州公共资源交易中心交易平台评标系统的检索信息为准)</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80"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80"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20"/>
              <w:jc w:val="center"/>
              <w:rPr>
                <w:rFonts w:ascii="宋体" w:hAnsi="宋体" w:cs="宋体"/>
                <w:color w:val="auto"/>
                <w:highlight w:val="none"/>
              </w:rPr>
            </w:pPr>
            <w:r>
              <w:rPr>
                <w:rFonts w:hint="eastAsia" w:ascii="宋体" w:hAnsi="宋体" w:cs="宋体"/>
                <w:color w:val="auto"/>
                <w:highlight w:val="none"/>
              </w:rPr>
              <w:t>备选</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方</w:t>
            </w:r>
            <w:r>
              <w:rPr>
                <w:rFonts w:hint="eastAsia" w:ascii="宋体" w:hAnsi="宋体" w:cs="宋体"/>
                <w:color w:val="auto"/>
                <w:highlight w:val="none"/>
              </w:rPr>
              <w:t>案</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rPr>
                <w:rFonts w:ascii="宋体" w:hAnsi="宋体" w:cs="宋体"/>
                <w:color w:val="auto"/>
                <w:highlight w:val="none"/>
              </w:rPr>
            </w:pPr>
            <w:r>
              <w:rPr>
                <w:rFonts w:hint="eastAsia" w:ascii="宋体" w:hAnsi="宋体" w:cs="宋体"/>
                <w:color w:val="auto"/>
                <w:spacing w:val="2"/>
                <w:highlight w:val="none"/>
              </w:rPr>
              <w:t>不允许提交备选投标方案</w:t>
            </w:r>
          </w:p>
        </w:tc>
      </w:tr>
      <w:tr>
        <w:trPr>
          <w:jc w:val="center"/>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2.1.2</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资格</w:t>
            </w:r>
            <w:r>
              <w:rPr>
                <w:rFonts w:hint="eastAsia" w:ascii="宋体" w:hAnsi="宋体" w:cs="宋体"/>
                <w:color w:val="auto"/>
                <w:spacing w:val="-2"/>
                <w:highlight w:val="none"/>
              </w:rPr>
              <w:t>评</w:t>
            </w:r>
            <w:r>
              <w:rPr>
                <w:rFonts w:hint="eastAsia" w:ascii="宋体" w:hAnsi="宋体" w:cs="宋体"/>
                <w:color w:val="auto"/>
                <w:highlight w:val="none"/>
              </w:rPr>
              <w:t>审标准</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20"/>
              <w:jc w:val="center"/>
              <w:rPr>
                <w:rFonts w:ascii="宋体" w:hAnsi="宋体" w:cs="宋体"/>
                <w:color w:val="auto"/>
                <w:highlight w:val="none"/>
              </w:rPr>
            </w:pPr>
            <w:r>
              <w:rPr>
                <w:rFonts w:hint="eastAsia" w:ascii="宋体" w:hAnsi="宋体" w:cs="宋体"/>
                <w:color w:val="auto"/>
                <w:highlight w:val="none"/>
              </w:rPr>
              <w:t>营业执照</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应附投标人营业执照扫描件。</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20"/>
              <w:jc w:val="center"/>
              <w:rPr>
                <w:rFonts w:ascii="宋体" w:hAnsi="宋体" w:cs="宋体"/>
                <w:color w:val="auto"/>
                <w:highlight w:val="none"/>
              </w:rPr>
            </w:pPr>
            <w:r>
              <w:rPr>
                <w:rFonts w:hint="eastAsia" w:ascii="宋体" w:hAnsi="宋体" w:cs="宋体"/>
                <w:color w:val="auto"/>
                <w:highlight w:val="none"/>
              </w:rPr>
              <w:t>资质要求</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符合第二章“投标人须知”第1.4.1项规定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right="-20"/>
              <w:jc w:val="center"/>
              <w:rPr>
                <w:rFonts w:ascii="宋体" w:hAnsi="宋体" w:cs="宋体"/>
                <w:color w:val="auto"/>
                <w:highlight w:val="none"/>
              </w:rPr>
            </w:pPr>
            <w:r>
              <w:rPr>
                <w:rFonts w:hint="eastAsia" w:ascii="宋体" w:hAnsi="宋体" w:cs="宋体"/>
                <w:color w:val="auto"/>
                <w:highlight w:val="none"/>
              </w:rPr>
              <w:t>项目负责人</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符合第二章“投标人须知”第1.4.1项规定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其他要求</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符合第二章“投标人须知”第1.4.1项规定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联合体投标人</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符合第二章“投标人须知”第1.4.2项规定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color w:val="auto"/>
                <w:highlight w:val="none"/>
              </w:rPr>
            </w:pPr>
            <w:r>
              <w:rPr>
                <w:rFonts w:hint="eastAsia" w:ascii="宋体" w:hAnsi="宋体" w:cs="宋体"/>
                <w:color w:val="auto"/>
                <w:highlight w:val="none"/>
              </w:rPr>
              <w:t>不存在禁止投标的情形</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不存在第二章“投标人须知”第1.4.3项规定的任何一种情形（以《投标申请人声明》为准）。</w:t>
            </w:r>
          </w:p>
        </w:tc>
      </w:tr>
      <w:tr>
        <w:trPr>
          <w:jc w:val="center"/>
        </w:trPr>
        <w:tc>
          <w:tcPr>
            <w:tcW w:w="808"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2.1.3</w:t>
            </w:r>
          </w:p>
        </w:tc>
        <w:tc>
          <w:tcPr>
            <w:tcW w:w="82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响应</w:t>
            </w:r>
            <w:r>
              <w:rPr>
                <w:rFonts w:hint="eastAsia" w:ascii="宋体" w:hAnsi="宋体" w:cs="宋体"/>
                <w:color w:val="auto"/>
                <w:spacing w:val="-2"/>
                <w:highlight w:val="none"/>
              </w:rPr>
              <w:t>性</w:t>
            </w:r>
            <w:r>
              <w:rPr>
                <w:rFonts w:hint="eastAsia" w:ascii="宋体" w:hAnsi="宋体" w:cs="宋体"/>
                <w:color w:val="auto"/>
                <w:highlight w:val="none"/>
              </w:rPr>
              <w:t>评审标准</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4" w:leftChars="-2" w:right="-20"/>
              <w:jc w:val="center"/>
              <w:rPr>
                <w:rFonts w:ascii="宋体" w:hAnsi="宋体" w:cs="宋体"/>
                <w:color w:val="auto"/>
                <w:highlight w:val="none"/>
              </w:rPr>
            </w:pPr>
            <w:r>
              <w:rPr>
                <w:rFonts w:hint="eastAsia" w:ascii="宋体" w:hAnsi="宋体" w:cs="宋体"/>
                <w:color w:val="auto"/>
                <w:highlight w:val="none"/>
              </w:rPr>
              <w:t>投标文件</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highlight w:val="none"/>
              </w:rPr>
            </w:pPr>
            <w:r>
              <w:rPr>
                <w:rFonts w:hint="eastAsia" w:ascii="宋体" w:hAnsi="宋体" w:cs="宋体"/>
                <w:color w:val="auto"/>
                <w:highlight w:val="none"/>
              </w:rPr>
              <w:t>投标文件所列投标人名称与投标登记时一致；</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4" w:leftChars="-2" w:right="-20"/>
              <w:jc w:val="center"/>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报</w:t>
            </w:r>
            <w:r>
              <w:rPr>
                <w:rFonts w:hint="eastAsia" w:ascii="宋体" w:hAnsi="宋体" w:cs="宋体"/>
                <w:color w:val="auto"/>
                <w:highlight w:val="none"/>
              </w:rPr>
              <w:t>价</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highlight w:val="none"/>
              </w:rPr>
            </w:pPr>
            <w:r>
              <w:rPr>
                <w:rFonts w:hint="eastAsia" w:ascii="宋体" w:hAnsi="宋体" w:cs="宋体"/>
                <w:color w:val="auto"/>
                <w:highlight w:val="none"/>
              </w:rPr>
              <w:t>符合</w:t>
            </w:r>
            <w:r>
              <w:rPr>
                <w:rFonts w:hint="eastAsia" w:ascii="宋体" w:hAnsi="宋体" w:cs="宋体"/>
                <w:color w:val="auto"/>
                <w:spacing w:val="-2"/>
                <w:highlight w:val="none"/>
              </w:rPr>
              <w:t>第</w:t>
            </w:r>
            <w:r>
              <w:rPr>
                <w:rFonts w:hint="eastAsia" w:ascii="宋体" w:hAnsi="宋体" w:cs="宋体"/>
                <w:color w:val="auto"/>
                <w:highlight w:val="none"/>
              </w:rPr>
              <w:t>二</w:t>
            </w:r>
            <w:r>
              <w:rPr>
                <w:rFonts w:hint="eastAsia" w:ascii="宋体" w:hAnsi="宋体" w:cs="宋体"/>
                <w:color w:val="auto"/>
                <w:spacing w:val="-2"/>
                <w:highlight w:val="none"/>
              </w:rPr>
              <w:t>章</w:t>
            </w:r>
            <w:r>
              <w:rPr>
                <w:rFonts w:hint="eastAsia" w:ascii="宋体" w:hAnsi="宋体" w:cs="宋体"/>
                <w:color w:val="auto"/>
                <w:highlight w:val="none"/>
              </w:rPr>
              <w:t>“</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w:t>
            </w:r>
            <w:r>
              <w:rPr>
                <w:rFonts w:hint="eastAsia" w:ascii="宋体" w:hAnsi="宋体" w:cs="宋体"/>
                <w:color w:val="auto"/>
                <w:highlight w:val="none"/>
              </w:rPr>
              <w:t>须知</w:t>
            </w:r>
            <w:r>
              <w:rPr>
                <w:rFonts w:hint="eastAsia" w:ascii="宋体" w:hAnsi="宋体" w:cs="宋体"/>
                <w:color w:val="auto"/>
                <w:spacing w:val="-3"/>
                <w:highlight w:val="none"/>
              </w:rPr>
              <w:t>”</w:t>
            </w:r>
            <w:r>
              <w:rPr>
                <w:rFonts w:hint="eastAsia" w:ascii="宋体" w:hAnsi="宋体" w:cs="宋体"/>
                <w:color w:val="auto"/>
                <w:highlight w:val="none"/>
              </w:rPr>
              <w:t>第 3.2款</w:t>
            </w:r>
            <w:r>
              <w:rPr>
                <w:rFonts w:hint="eastAsia" w:ascii="宋体" w:hAnsi="宋体" w:cs="宋体"/>
                <w:color w:val="auto"/>
                <w:spacing w:val="-2"/>
                <w:highlight w:val="none"/>
              </w:rPr>
              <w:t>规</w:t>
            </w:r>
            <w:r>
              <w:rPr>
                <w:rFonts w:hint="eastAsia" w:ascii="宋体" w:hAnsi="宋体" w:cs="宋体"/>
                <w:color w:val="auto"/>
                <w:highlight w:val="none"/>
              </w:rPr>
              <w:t>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内</w:t>
            </w:r>
            <w:r>
              <w:rPr>
                <w:rFonts w:hint="eastAsia" w:ascii="宋体" w:hAnsi="宋体" w:cs="宋体"/>
                <w:color w:val="auto"/>
                <w:highlight w:val="none"/>
              </w:rPr>
              <w:t>容</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highlight w:val="none"/>
              </w:rPr>
            </w:pPr>
            <w:r>
              <w:rPr>
                <w:rFonts w:hint="eastAsia" w:ascii="宋体" w:hAnsi="宋体" w:cs="宋体"/>
                <w:color w:val="auto"/>
                <w:highlight w:val="none"/>
              </w:rPr>
              <w:t>符合</w:t>
            </w:r>
            <w:r>
              <w:rPr>
                <w:rFonts w:hint="eastAsia" w:ascii="宋体" w:hAnsi="宋体" w:cs="宋体"/>
                <w:color w:val="auto"/>
                <w:spacing w:val="-2"/>
                <w:highlight w:val="none"/>
              </w:rPr>
              <w:t>第</w:t>
            </w:r>
            <w:r>
              <w:rPr>
                <w:rFonts w:hint="eastAsia" w:ascii="宋体" w:hAnsi="宋体" w:cs="宋体"/>
                <w:color w:val="auto"/>
                <w:highlight w:val="none"/>
              </w:rPr>
              <w:t>二</w:t>
            </w:r>
            <w:r>
              <w:rPr>
                <w:rFonts w:hint="eastAsia" w:ascii="宋体" w:hAnsi="宋体" w:cs="宋体"/>
                <w:color w:val="auto"/>
                <w:spacing w:val="-2"/>
                <w:highlight w:val="none"/>
              </w:rPr>
              <w:t>章</w:t>
            </w:r>
            <w:r>
              <w:rPr>
                <w:rFonts w:hint="eastAsia" w:ascii="宋体" w:hAnsi="宋体" w:cs="宋体"/>
                <w:color w:val="auto"/>
                <w:highlight w:val="none"/>
              </w:rPr>
              <w:t>“</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w:t>
            </w:r>
            <w:r>
              <w:rPr>
                <w:rFonts w:hint="eastAsia" w:ascii="宋体" w:hAnsi="宋体" w:cs="宋体"/>
                <w:color w:val="auto"/>
                <w:highlight w:val="none"/>
              </w:rPr>
              <w:t>须知</w:t>
            </w:r>
            <w:r>
              <w:rPr>
                <w:rFonts w:hint="eastAsia" w:ascii="宋体" w:hAnsi="宋体" w:cs="宋体"/>
                <w:color w:val="auto"/>
                <w:spacing w:val="-3"/>
                <w:highlight w:val="none"/>
              </w:rPr>
              <w:t>”</w:t>
            </w:r>
            <w:r>
              <w:rPr>
                <w:rFonts w:hint="eastAsia" w:ascii="宋体" w:hAnsi="宋体" w:cs="宋体"/>
                <w:color w:val="auto"/>
                <w:highlight w:val="none"/>
              </w:rPr>
              <w:t>第 1.3</w:t>
            </w:r>
            <w:r>
              <w:rPr>
                <w:rFonts w:hint="eastAsia" w:ascii="宋体" w:hAnsi="宋体" w:cs="宋体"/>
                <w:color w:val="auto"/>
                <w:spacing w:val="-2"/>
                <w:highlight w:val="none"/>
              </w:rPr>
              <w:t>.</w:t>
            </w:r>
            <w:r>
              <w:rPr>
                <w:rFonts w:hint="eastAsia" w:ascii="宋体" w:hAnsi="宋体" w:cs="宋体"/>
                <w:color w:val="auto"/>
                <w:highlight w:val="none"/>
              </w:rPr>
              <w:t xml:space="preserve">1 </w:t>
            </w:r>
            <w:r>
              <w:rPr>
                <w:rFonts w:hint="eastAsia" w:ascii="宋体" w:hAnsi="宋体" w:cs="宋体"/>
                <w:color w:val="auto"/>
                <w:spacing w:val="-2"/>
                <w:highlight w:val="none"/>
              </w:rPr>
              <w:t>项</w:t>
            </w:r>
            <w:r>
              <w:rPr>
                <w:rFonts w:hint="eastAsia" w:ascii="宋体" w:hAnsi="宋体" w:cs="宋体"/>
                <w:color w:val="auto"/>
                <w:highlight w:val="none"/>
              </w:rPr>
              <w:t>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highlight w:val="none"/>
              </w:rPr>
            </w:pPr>
            <w:r>
              <w:rPr>
                <w:rFonts w:hint="eastAsia" w:ascii="宋体" w:hAnsi="宋体" w:cs="宋体"/>
                <w:color w:val="auto"/>
                <w:highlight w:val="none"/>
              </w:rPr>
              <w:t>代建服务期限</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highlight w:val="none"/>
              </w:rPr>
            </w:pPr>
            <w:r>
              <w:rPr>
                <w:rFonts w:hint="eastAsia" w:ascii="宋体" w:hAnsi="宋体" w:cs="宋体"/>
                <w:color w:val="auto"/>
                <w:highlight w:val="none"/>
              </w:rPr>
              <w:t>符合</w:t>
            </w:r>
            <w:r>
              <w:rPr>
                <w:rFonts w:hint="eastAsia" w:ascii="宋体" w:hAnsi="宋体" w:cs="宋体"/>
                <w:color w:val="auto"/>
                <w:spacing w:val="-2"/>
                <w:highlight w:val="none"/>
              </w:rPr>
              <w:t>第</w:t>
            </w:r>
            <w:r>
              <w:rPr>
                <w:rFonts w:hint="eastAsia" w:ascii="宋体" w:hAnsi="宋体" w:cs="宋体"/>
                <w:color w:val="auto"/>
                <w:highlight w:val="none"/>
              </w:rPr>
              <w:t>二</w:t>
            </w:r>
            <w:r>
              <w:rPr>
                <w:rFonts w:hint="eastAsia" w:ascii="宋体" w:hAnsi="宋体" w:cs="宋体"/>
                <w:color w:val="auto"/>
                <w:spacing w:val="-2"/>
                <w:highlight w:val="none"/>
              </w:rPr>
              <w:t>章</w:t>
            </w:r>
            <w:r>
              <w:rPr>
                <w:rFonts w:hint="eastAsia" w:ascii="宋体" w:hAnsi="宋体" w:cs="宋体"/>
                <w:color w:val="auto"/>
                <w:highlight w:val="none"/>
              </w:rPr>
              <w:t>“</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w:t>
            </w:r>
            <w:r>
              <w:rPr>
                <w:rFonts w:hint="eastAsia" w:ascii="宋体" w:hAnsi="宋体" w:cs="宋体"/>
                <w:color w:val="auto"/>
                <w:highlight w:val="none"/>
              </w:rPr>
              <w:t>须知</w:t>
            </w:r>
            <w:r>
              <w:rPr>
                <w:rFonts w:hint="eastAsia" w:ascii="宋体" w:hAnsi="宋体" w:cs="宋体"/>
                <w:color w:val="auto"/>
                <w:spacing w:val="-3"/>
                <w:highlight w:val="none"/>
              </w:rPr>
              <w:t>”</w:t>
            </w:r>
            <w:r>
              <w:rPr>
                <w:rFonts w:hint="eastAsia" w:ascii="宋体" w:hAnsi="宋体" w:cs="宋体"/>
                <w:color w:val="auto"/>
                <w:highlight w:val="none"/>
              </w:rPr>
              <w:t>第 1.3</w:t>
            </w:r>
            <w:r>
              <w:rPr>
                <w:rFonts w:hint="eastAsia" w:ascii="宋体" w:hAnsi="宋体" w:cs="宋体"/>
                <w:color w:val="auto"/>
                <w:spacing w:val="-2"/>
                <w:highlight w:val="none"/>
              </w:rPr>
              <w:t>.</w:t>
            </w:r>
            <w:r>
              <w:rPr>
                <w:rFonts w:hint="eastAsia" w:ascii="宋体" w:hAnsi="宋体" w:cs="宋体"/>
                <w:color w:val="auto"/>
                <w:highlight w:val="none"/>
              </w:rPr>
              <w:t xml:space="preserve">2 </w:t>
            </w:r>
            <w:r>
              <w:rPr>
                <w:rFonts w:hint="eastAsia" w:ascii="宋体" w:hAnsi="宋体" w:cs="宋体"/>
                <w:color w:val="auto"/>
                <w:spacing w:val="-2"/>
                <w:highlight w:val="none"/>
              </w:rPr>
              <w:t>项</w:t>
            </w:r>
            <w:r>
              <w:rPr>
                <w:rFonts w:hint="eastAsia" w:ascii="宋体" w:hAnsi="宋体" w:cs="宋体"/>
                <w:color w:val="auto"/>
                <w:highlight w:val="none"/>
              </w:rPr>
              <w:t>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highlight w:val="none"/>
              </w:rPr>
            </w:pPr>
            <w:r>
              <w:rPr>
                <w:rFonts w:hint="eastAsia" w:ascii="宋体" w:hAnsi="宋体" w:cs="宋体"/>
                <w:color w:val="auto"/>
                <w:highlight w:val="none"/>
              </w:rPr>
              <w:t>质量标准</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highlight w:val="none"/>
              </w:rPr>
            </w:pPr>
            <w:r>
              <w:rPr>
                <w:rFonts w:hint="eastAsia" w:ascii="宋体" w:hAnsi="宋体" w:cs="宋体"/>
                <w:color w:val="auto"/>
                <w:highlight w:val="none"/>
              </w:rPr>
              <w:t>符合</w:t>
            </w:r>
            <w:r>
              <w:rPr>
                <w:rFonts w:hint="eastAsia" w:ascii="宋体" w:hAnsi="宋体" w:cs="宋体"/>
                <w:color w:val="auto"/>
                <w:spacing w:val="-2"/>
                <w:highlight w:val="none"/>
              </w:rPr>
              <w:t>第</w:t>
            </w:r>
            <w:r>
              <w:rPr>
                <w:rFonts w:hint="eastAsia" w:ascii="宋体" w:hAnsi="宋体" w:cs="宋体"/>
                <w:color w:val="auto"/>
                <w:highlight w:val="none"/>
              </w:rPr>
              <w:t>二</w:t>
            </w:r>
            <w:r>
              <w:rPr>
                <w:rFonts w:hint="eastAsia" w:ascii="宋体" w:hAnsi="宋体" w:cs="宋体"/>
                <w:color w:val="auto"/>
                <w:spacing w:val="-2"/>
                <w:highlight w:val="none"/>
              </w:rPr>
              <w:t>章</w:t>
            </w:r>
            <w:r>
              <w:rPr>
                <w:rFonts w:hint="eastAsia" w:ascii="宋体" w:hAnsi="宋体" w:cs="宋体"/>
                <w:color w:val="auto"/>
                <w:highlight w:val="none"/>
              </w:rPr>
              <w:t>“</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w:t>
            </w:r>
            <w:r>
              <w:rPr>
                <w:rFonts w:hint="eastAsia" w:ascii="宋体" w:hAnsi="宋体" w:cs="宋体"/>
                <w:color w:val="auto"/>
                <w:highlight w:val="none"/>
              </w:rPr>
              <w:t>须知</w:t>
            </w:r>
            <w:r>
              <w:rPr>
                <w:rFonts w:hint="eastAsia" w:ascii="宋体" w:hAnsi="宋体" w:cs="宋体"/>
                <w:color w:val="auto"/>
                <w:spacing w:val="-3"/>
                <w:highlight w:val="none"/>
              </w:rPr>
              <w:t>”</w:t>
            </w:r>
            <w:r>
              <w:rPr>
                <w:rFonts w:hint="eastAsia" w:ascii="宋体" w:hAnsi="宋体" w:cs="宋体"/>
                <w:color w:val="auto"/>
                <w:highlight w:val="none"/>
              </w:rPr>
              <w:t>第 1.3</w:t>
            </w:r>
            <w:r>
              <w:rPr>
                <w:rFonts w:hint="eastAsia" w:ascii="宋体" w:hAnsi="宋体" w:cs="宋体"/>
                <w:color w:val="auto"/>
                <w:spacing w:val="-2"/>
                <w:highlight w:val="none"/>
              </w:rPr>
              <w:t>.</w:t>
            </w:r>
            <w:r>
              <w:rPr>
                <w:rFonts w:hint="eastAsia" w:ascii="宋体" w:hAnsi="宋体" w:cs="宋体"/>
                <w:color w:val="auto"/>
                <w:highlight w:val="none"/>
              </w:rPr>
              <w:t xml:space="preserve">3 </w:t>
            </w:r>
            <w:r>
              <w:rPr>
                <w:rFonts w:hint="eastAsia" w:ascii="宋体" w:hAnsi="宋体" w:cs="宋体"/>
                <w:color w:val="auto"/>
                <w:spacing w:val="-2"/>
                <w:highlight w:val="none"/>
              </w:rPr>
              <w:t>项</w:t>
            </w:r>
            <w:r>
              <w:rPr>
                <w:rFonts w:hint="eastAsia" w:ascii="宋体" w:hAnsi="宋体" w:cs="宋体"/>
                <w:color w:val="auto"/>
                <w:highlight w:val="none"/>
              </w:rPr>
              <w:t>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6"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4" w:leftChars="-2" w:right="-20"/>
              <w:jc w:val="center"/>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有</w:t>
            </w:r>
            <w:r>
              <w:rPr>
                <w:rFonts w:hint="eastAsia" w:ascii="宋体" w:hAnsi="宋体" w:cs="宋体"/>
                <w:color w:val="auto"/>
                <w:highlight w:val="none"/>
              </w:rPr>
              <w:t>效期</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highlight w:val="none"/>
              </w:rPr>
            </w:pPr>
            <w:r>
              <w:rPr>
                <w:rFonts w:hint="eastAsia" w:ascii="宋体" w:hAnsi="宋体" w:cs="宋体"/>
                <w:color w:val="auto"/>
                <w:highlight w:val="none"/>
              </w:rPr>
              <w:t>符合</w:t>
            </w:r>
            <w:r>
              <w:rPr>
                <w:rFonts w:hint="eastAsia" w:ascii="宋体" w:hAnsi="宋体" w:cs="宋体"/>
                <w:color w:val="auto"/>
                <w:spacing w:val="-2"/>
                <w:highlight w:val="none"/>
              </w:rPr>
              <w:t>第</w:t>
            </w:r>
            <w:r>
              <w:rPr>
                <w:rFonts w:hint="eastAsia" w:ascii="宋体" w:hAnsi="宋体" w:cs="宋体"/>
                <w:color w:val="auto"/>
                <w:highlight w:val="none"/>
              </w:rPr>
              <w:t>二</w:t>
            </w:r>
            <w:r>
              <w:rPr>
                <w:rFonts w:hint="eastAsia" w:ascii="宋体" w:hAnsi="宋体" w:cs="宋体"/>
                <w:color w:val="auto"/>
                <w:spacing w:val="-2"/>
                <w:highlight w:val="none"/>
              </w:rPr>
              <w:t>章</w:t>
            </w:r>
            <w:r>
              <w:rPr>
                <w:rFonts w:hint="eastAsia" w:ascii="宋体" w:hAnsi="宋体" w:cs="宋体"/>
                <w:color w:val="auto"/>
                <w:highlight w:val="none"/>
              </w:rPr>
              <w:t>“</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w:t>
            </w:r>
            <w:r>
              <w:rPr>
                <w:rFonts w:hint="eastAsia" w:ascii="宋体" w:hAnsi="宋体" w:cs="宋体"/>
                <w:color w:val="auto"/>
                <w:highlight w:val="none"/>
              </w:rPr>
              <w:t>须知</w:t>
            </w:r>
            <w:r>
              <w:rPr>
                <w:rFonts w:hint="eastAsia" w:ascii="宋体" w:hAnsi="宋体" w:cs="宋体"/>
                <w:color w:val="auto"/>
                <w:spacing w:val="-3"/>
                <w:highlight w:val="none"/>
              </w:rPr>
              <w:t>”</w:t>
            </w:r>
            <w:r>
              <w:rPr>
                <w:rFonts w:hint="eastAsia" w:ascii="宋体" w:hAnsi="宋体" w:cs="宋体"/>
                <w:color w:val="auto"/>
                <w:highlight w:val="none"/>
              </w:rPr>
              <w:t>第 3.3</w:t>
            </w:r>
            <w:r>
              <w:rPr>
                <w:rFonts w:hint="eastAsia" w:ascii="宋体" w:hAnsi="宋体" w:cs="宋体"/>
                <w:color w:val="auto"/>
                <w:spacing w:val="-2"/>
                <w:highlight w:val="none"/>
              </w:rPr>
              <w:t>.</w:t>
            </w:r>
            <w:r>
              <w:rPr>
                <w:rFonts w:hint="eastAsia" w:ascii="宋体" w:hAnsi="宋体" w:cs="宋体"/>
                <w:color w:val="auto"/>
                <w:highlight w:val="none"/>
              </w:rPr>
              <w:t xml:space="preserve">1 </w:t>
            </w:r>
            <w:r>
              <w:rPr>
                <w:rFonts w:hint="eastAsia" w:ascii="宋体" w:hAnsi="宋体" w:cs="宋体"/>
                <w:color w:val="auto"/>
                <w:spacing w:val="-2"/>
                <w:highlight w:val="none"/>
              </w:rPr>
              <w:t>项</w:t>
            </w:r>
            <w:r>
              <w:rPr>
                <w:rFonts w:hint="eastAsia" w:ascii="宋体" w:hAnsi="宋体" w:cs="宋体"/>
                <w:color w:val="auto"/>
                <w:highlight w:val="none"/>
              </w:rPr>
              <w:t>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保</w:t>
            </w:r>
            <w:r>
              <w:rPr>
                <w:rFonts w:hint="eastAsia" w:ascii="宋体" w:hAnsi="宋体" w:cs="宋体"/>
                <w:color w:val="auto"/>
                <w:highlight w:val="none"/>
              </w:rPr>
              <w:t>证金</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highlight w:val="none"/>
              </w:rPr>
            </w:pPr>
            <w:r>
              <w:rPr>
                <w:rFonts w:hint="eastAsia" w:ascii="宋体" w:hAnsi="宋体" w:cs="宋体"/>
                <w:color w:val="auto"/>
                <w:highlight w:val="none"/>
              </w:rPr>
              <w:t>符合</w:t>
            </w:r>
            <w:r>
              <w:rPr>
                <w:rFonts w:hint="eastAsia" w:ascii="宋体" w:hAnsi="宋体" w:cs="宋体"/>
                <w:color w:val="auto"/>
                <w:spacing w:val="-2"/>
                <w:highlight w:val="none"/>
              </w:rPr>
              <w:t>第</w:t>
            </w:r>
            <w:r>
              <w:rPr>
                <w:rFonts w:hint="eastAsia" w:ascii="宋体" w:hAnsi="宋体" w:cs="宋体"/>
                <w:color w:val="auto"/>
                <w:highlight w:val="none"/>
              </w:rPr>
              <w:t>二</w:t>
            </w:r>
            <w:r>
              <w:rPr>
                <w:rFonts w:hint="eastAsia" w:ascii="宋体" w:hAnsi="宋体" w:cs="宋体"/>
                <w:color w:val="auto"/>
                <w:spacing w:val="-2"/>
                <w:highlight w:val="none"/>
              </w:rPr>
              <w:t>章</w:t>
            </w:r>
            <w:r>
              <w:rPr>
                <w:rFonts w:hint="eastAsia" w:ascii="宋体" w:hAnsi="宋体" w:cs="宋体"/>
                <w:color w:val="auto"/>
                <w:highlight w:val="none"/>
              </w:rPr>
              <w:t>“</w:t>
            </w:r>
            <w:r>
              <w:rPr>
                <w:rFonts w:hint="eastAsia" w:ascii="宋体" w:hAnsi="宋体" w:cs="宋体"/>
                <w:color w:val="auto"/>
                <w:spacing w:val="-2"/>
                <w:highlight w:val="none"/>
              </w:rPr>
              <w:t>投</w:t>
            </w:r>
            <w:r>
              <w:rPr>
                <w:rFonts w:hint="eastAsia" w:ascii="宋体" w:hAnsi="宋体" w:cs="宋体"/>
                <w:color w:val="auto"/>
                <w:highlight w:val="none"/>
              </w:rPr>
              <w:t>标</w:t>
            </w:r>
            <w:r>
              <w:rPr>
                <w:rFonts w:hint="eastAsia" w:ascii="宋体" w:hAnsi="宋体" w:cs="宋体"/>
                <w:color w:val="auto"/>
                <w:spacing w:val="-2"/>
                <w:highlight w:val="none"/>
              </w:rPr>
              <w:t>人</w:t>
            </w:r>
            <w:r>
              <w:rPr>
                <w:rFonts w:hint="eastAsia" w:ascii="宋体" w:hAnsi="宋体" w:cs="宋体"/>
                <w:color w:val="auto"/>
                <w:highlight w:val="none"/>
              </w:rPr>
              <w:t>须知</w:t>
            </w:r>
            <w:r>
              <w:rPr>
                <w:rFonts w:hint="eastAsia" w:ascii="宋体" w:hAnsi="宋体" w:cs="宋体"/>
                <w:color w:val="auto"/>
                <w:spacing w:val="-3"/>
                <w:highlight w:val="none"/>
              </w:rPr>
              <w:t>”</w:t>
            </w:r>
            <w:r>
              <w:rPr>
                <w:rFonts w:hint="eastAsia" w:ascii="宋体" w:hAnsi="宋体" w:cs="宋体"/>
                <w:color w:val="auto"/>
                <w:highlight w:val="none"/>
              </w:rPr>
              <w:t>第 3.4</w:t>
            </w:r>
            <w:r>
              <w:rPr>
                <w:rFonts w:hint="eastAsia" w:ascii="宋体" w:hAnsi="宋体" w:cs="宋体"/>
                <w:color w:val="auto"/>
                <w:spacing w:val="-2"/>
                <w:highlight w:val="none"/>
              </w:rPr>
              <w:t>.</w:t>
            </w:r>
            <w:r>
              <w:rPr>
                <w:rFonts w:hint="eastAsia" w:ascii="宋体" w:hAnsi="宋体" w:cs="宋体"/>
                <w:color w:val="auto"/>
                <w:highlight w:val="none"/>
              </w:rPr>
              <w:t xml:space="preserve">1 </w:t>
            </w:r>
            <w:r>
              <w:rPr>
                <w:rFonts w:hint="eastAsia" w:ascii="宋体" w:hAnsi="宋体" w:cs="宋体"/>
                <w:color w:val="auto"/>
                <w:spacing w:val="-2"/>
                <w:highlight w:val="none"/>
              </w:rPr>
              <w:t>项</w:t>
            </w:r>
            <w:r>
              <w:rPr>
                <w:rFonts w:hint="eastAsia" w:ascii="宋体" w:hAnsi="宋体" w:cs="宋体"/>
                <w:color w:val="auto"/>
                <w:highlight w:val="none"/>
              </w:rPr>
              <w:t>规定；</w:t>
            </w:r>
          </w:p>
        </w:tc>
      </w:tr>
      <w:tr>
        <w:trPr>
          <w:jc w:val="center"/>
        </w:trPr>
        <w:tc>
          <w:tcPr>
            <w:tcW w:w="808"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82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spacing w:before="44" w:line="360" w:lineRule="auto"/>
              <w:ind w:left="105" w:leftChars="50" w:right="105" w:rightChars="50"/>
              <w:rPr>
                <w:rFonts w:ascii="宋体" w:hAnsi="宋体" w:cs="宋体"/>
                <w:color w:val="auto"/>
                <w:highlight w:val="none"/>
              </w:rPr>
            </w:pP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6" w:line="360" w:lineRule="auto"/>
              <w:ind w:left="-4" w:leftChars="-2" w:right="-20"/>
              <w:jc w:val="center"/>
              <w:rPr>
                <w:rFonts w:ascii="宋体" w:hAnsi="宋体" w:cs="宋体"/>
                <w:color w:val="auto"/>
                <w:highlight w:val="none"/>
              </w:rPr>
            </w:pPr>
            <w:r>
              <w:rPr>
                <w:rFonts w:hint="eastAsia" w:ascii="宋体" w:hAnsi="宋体" w:cs="宋体"/>
                <w:color w:val="auto"/>
                <w:highlight w:val="none"/>
              </w:rPr>
              <w:t>串通投标情形</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105" w:leftChars="50" w:right="105" w:rightChars="50"/>
              <w:jc w:val="left"/>
              <w:rPr>
                <w:rFonts w:ascii="宋体" w:hAnsi="宋体" w:cs="宋体"/>
                <w:color w:val="auto"/>
                <w:highlight w:val="none"/>
              </w:rPr>
            </w:pPr>
            <w:r>
              <w:rPr>
                <w:rFonts w:hint="eastAsia" w:ascii="宋体" w:hAnsi="宋体" w:cs="宋体"/>
                <w:color w:val="auto"/>
                <w:highlight w:val="none"/>
              </w:rPr>
              <w:t>不存在串通投标情形（串通投标情形以《中华人民共和国招标投标法实施条例》的规定为准）；</w:t>
            </w:r>
          </w:p>
        </w:tc>
      </w:tr>
      <w:tr>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2.2.1</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line="360" w:lineRule="auto"/>
              <w:jc w:val="center"/>
              <w:rPr>
                <w:rFonts w:ascii="宋体" w:hAnsi="宋体" w:cs="宋体"/>
                <w:color w:val="auto"/>
                <w:highlight w:val="none"/>
              </w:rPr>
            </w:pPr>
            <w:r>
              <w:rPr>
                <w:rFonts w:hint="eastAsia" w:ascii="宋体" w:hAnsi="宋体" w:cs="宋体"/>
                <w:color w:val="auto"/>
                <w:highlight w:val="none"/>
              </w:rPr>
              <w:t>分值</w:t>
            </w:r>
            <w:r>
              <w:rPr>
                <w:rFonts w:hint="eastAsia" w:ascii="宋体" w:hAnsi="宋体" w:cs="宋体"/>
                <w:color w:val="auto"/>
                <w:spacing w:val="-2"/>
                <w:highlight w:val="none"/>
              </w:rPr>
              <w:t>构</w:t>
            </w:r>
            <w:r>
              <w:rPr>
                <w:rFonts w:hint="eastAsia" w:ascii="宋体" w:hAnsi="宋体" w:cs="宋体"/>
                <w:color w:val="auto"/>
                <w:highlight w:val="none"/>
              </w:rPr>
              <w:t>成</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商务部分（A）：</w:t>
            </w:r>
            <w:r>
              <w:rPr>
                <w:rFonts w:ascii="宋体" w:hAnsi="宋体" w:cs="宋体"/>
                <w:color w:val="auto"/>
                <w:highlight w:val="none"/>
              </w:rPr>
              <w:t>60</w:t>
            </w:r>
            <w:r>
              <w:rPr>
                <w:rFonts w:hint="eastAsia" w:ascii="宋体" w:hAnsi="宋体" w:cs="宋体"/>
                <w:color w:val="auto"/>
                <w:highlight w:val="none"/>
              </w:rPr>
              <w:t>分</w:t>
            </w:r>
          </w:p>
          <w:p>
            <w:pPr>
              <w:autoSpaceDE w:val="0"/>
              <w:autoSpaceDN w:val="0"/>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代建方案部分（B）：3</w:t>
            </w:r>
            <w:r>
              <w:rPr>
                <w:rFonts w:ascii="宋体" w:hAnsi="宋体" w:cs="宋体"/>
                <w:color w:val="auto"/>
                <w:highlight w:val="none"/>
              </w:rPr>
              <w:t>0</w:t>
            </w:r>
            <w:r>
              <w:rPr>
                <w:rFonts w:hint="eastAsia" w:ascii="宋体" w:hAnsi="宋体" w:cs="宋体"/>
                <w:color w:val="auto"/>
                <w:highlight w:val="none"/>
              </w:rPr>
              <w:t>分</w:t>
            </w:r>
          </w:p>
          <w:p>
            <w:pPr>
              <w:autoSpaceDE w:val="0"/>
              <w:autoSpaceDN w:val="0"/>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投标报价（C）</w:t>
            </w:r>
            <w:r>
              <w:rPr>
                <w:rFonts w:hint="eastAsia" w:ascii="宋体" w:hAnsi="宋体" w:cs="宋体"/>
                <w:color w:val="auto"/>
                <w:spacing w:val="-2"/>
                <w:highlight w:val="none"/>
              </w:rPr>
              <w:t>：</w:t>
            </w:r>
            <w:r>
              <w:rPr>
                <w:rFonts w:hint="eastAsia" w:ascii="宋体" w:hAnsi="宋体" w:cs="宋体"/>
                <w:color w:val="auto"/>
                <w:highlight w:val="none"/>
              </w:rPr>
              <w:t>10分</w:t>
            </w:r>
          </w:p>
          <w:p>
            <w:pPr>
              <w:autoSpaceDE w:val="0"/>
              <w:autoSpaceDN w:val="0"/>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投标人总得分 =商务部分得分（A）+代建服务方案部分得分（B）+投标报价得分（C）；</w:t>
            </w:r>
          </w:p>
        </w:tc>
      </w:tr>
      <w:tr>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2.2.2</w:t>
            </w:r>
          </w:p>
        </w:tc>
        <w:tc>
          <w:tcPr>
            <w:tcW w:w="16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before="44" w:line="360" w:lineRule="auto"/>
              <w:ind w:left="-6" w:right="-20"/>
              <w:jc w:val="center"/>
              <w:rPr>
                <w:rFonts w:ascii="宋体" w:hAnsi="宋体" w:cs="宋体"/>
                <w:color w:val="auto"/>
                <w:highlight w:val="none"/>
              </w:rPr>
            </w:pPr>
            <w:r>
              <w:rPr>
                <w:rFonts w:hint="eastAsia" w:ascii="宋体" w:hAnsi="宋体" w:cs="宋体"/>
                <w:color w:val="auto"/>
                <w:highlight w:val="none"/>
              </w:rPr>
              <w:t>评标</w:t>
            </w:r>
            <w:r>
              <w:rPr>
                <w:rFonts w:hint="eastAsia" w:ascii="宋体" w:hAnsi="宋体" w:cs="宋体"/>
                <w:color w:val="auto"/>
                <w:spacing w:val="-2"/>
                <w:highlight w:val="none"/>
              </w:rPr>
              <w:t>参考价</w:t>
            </w:r>
            <w:r>
              <w:rPr>
                <w:rFonts w:hint="eastAsia" w:ascii="宋体" w:hAnsi="宋体" w:cs="宋体"/>
                <w:color w:val="auto"/>
                <w:highlight w:val="none"/>
              </w:rPr>
              <w:t>计</w:t>
            </w:r>
            <w:r>
              <w:rPr>
                <w:rFonts w:hint="eastAsia" w:ascii="宋体" w:hAnsi="宋体" w:cs="宋体"/>
                <w:color w:val="auto"/>
                <w:spacing w:val="-2"/>
                <w:highlight w:val="none"/>
              </w:rPr>
              <w:t>算</w:t>
            </w:r>
            <w:r>
              <w:rPr>
                <w:rFonts w:hint="eastAsia" w:ascii="宋体" w:hAnsi="宋体" w:cs="宋体"/>
                <w:color w:val="auto"/>
                <w:highlight w:val="none"/>
              </w:rPr>
              <w:t>方法</w:t>
            </w:r>
          </w:p>
        </w:tc>
        <w:tc>
          <w:tcPr>
            <w:tcW w:w="654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当通过初步评审在位于[最高投标限价×90%，最高投标限价]区间的投标价中的投标人大于或等于5名时，所有入围的有效投标价中去掉一个最高价和一个最低价，取余下有效投标价的算术平均值的作为评标基准价。当通过初步评审在位于[最高投标限价×90%，最高投标限价]区间的投标价中的投标人小于5名时，取所有入围的有效投标价的算术平均值的作为评标基准价。若当通过初步评审没有投标价位于[最高投标限价×90%，最高投标限价]区间的投标人，所有投标人的报价得分为0分。</w:t>
            </w:r>
          </w:p>
        </w:tc>
      </w:tr>
      <w:tr>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2.2.3</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12" w:line="360" w:lineRule="auto"/>
              <w:ind w:left="-6"/>
              <w:jc w:val="center"/>
              <w:rPr>
                <w:rFonts w:ascii="宋体" w:hAnsi="宋体" w:cs="宋体"/>
                <w:color w:val="auto"/>
                <w:highlight w:val="none"/>
              </w:rPr>
            </w:pPr>
            <w:r>
              <w:rPr>
                <w:rFonts w:hint="eastAsia" w:ascii="宋体" w:hAnsi="宋体" w:cs="宋体"/>
                <w:color w:val="auto"/>
                <w:highlight w:val="none"/>
              </w:rPr>
              <w:t>投标</w:t>
            </w:r>
            <w:r>
              <w:rPr>
                <w:rFonts w:hint="eastAsia" w:ascii="宋体" w:hAnsi="宋体" w:cs="宋体"/>
                <w:color w:val="auto"/>
                <w:spacing w:val="-2"/>
                <w:highlight w:val="none"/>
              </w:rPr>
              <w:t>报</w:t>
            </w:r>
            <w:r>
              <w:rPr>
                <w:rFonts w:hint="eastAsia" w:ascii="宋体" w:hAnsi="宋体" w:cs="宋体"/>
                <w:color w:val="auto"/>
                <w:highlight w:val="none"/>
              </w:rPr>
              <w:t>价</w:t>
            </w:r>
            <w:r>
              <w:rPr>
                <w:rFonts w:hint="eastAsia" w:ascii="宋体" w:hAnsi="宋体" w:cs="宋体"/>
                <w:color w:val="auto"/>
                <w:spacing w:val="-2"/>
                <w:highlight w:val="none"/>
              </w:rPr>
              <w:t>的</w:t>
            </w:r>
            <w:r>
              <w:rPr>
                <w:rFonts w:hint="eastAsia" w:ascii="宋体" w:hAnsi="宋体" w:cs="宋体"/>
                <w:color w:val="auto"/>
                <w:highlight w:val="none"/>
              </w:rPr>
              <w:t>偏</w:t>
            </w:r>
            <w:r>
              <w:rPr>
                <w:rFonts w:hint="eastAsia" w:ascii="宋体" w:hAnsi="宋体" w:cs="宋体"/>
                <w:color w:val="auto"/>
                <w:spacing w:val="-2"/>
                <w:highlight w:val="none"/>
              </w:rPr>
              <w:t>差</w:t>
            </w:r>
            <w:r>
              <w:rPr>
                <w:rFonts w:hint="eastAsia" w:ascii="宋体" w:hAnsi="宋体" w:cs="宋体"/>
                <w:color w:val="auto"/>
                <w:highlight w:val="none"/>
              </w:rPr>
              <w:t>率计算</w:t>
            </w:r>
            <w:r>
              <w:rPr>
                <w:rFonts w:hint="eastAsia" w:ascii="宋体" w:hAnsi="宋体" w:cs="宋体"/>
                <w:color w:val="auto"/>
                <w:spacing w:val="-2"/>
                <w:highlight w:val="none"/>
              </w:rPr>
              <w:t>公</w:t>
            </w:r>
            <w:r>
              <w:rPr>
                <w:rFonts w:hint="eastAsia" w:ascii="宋体" w:hAnsi="宋体" w:cs="宋体"/>
                <w:color w:val="auto"/>
                <w:highlight w:val="none"/>
              </w:rPr>
              <w:t>式</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投标报价的偏差率=（投标报价-评标基准价）/评标基准价×100%（偏差率出现小数点时，保留小数点后2位，第三位小数四舍五入。）</w:t>
            </w:r>
          </w:p>
        </w:tc>
      </w:tr>
      <w:tr>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hint="eastAsia" w:ascii="宋体" w:hAnsi="宋体" w:cs="宋体"/>
                <w:color w:val="auto"/>
                <w:highlight w:val="none"/>
              </w:rPr>
              <w:t>2.2.4</w:t>
            </w:r>
            <w:r>
              <w:rPr>
                <w:rFonts w:ascii="宋体" w:hAnsi="宋体" w:cs="宋体"/>
                <w:color w:val="auto"/>
                <w:highlight w:val="none"/>
              </w:rPr>
              <w:t>(1)</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12" w:line="360" w:lineRule="auto"/>
              <w:ind w:left="-6"/>
              <w:jc w:val="center"/>
              <w:rPr>
                <w:rFonts w:ascii="宋体" w:hAnsi="宋体" w:cs="宋体"/>
                <w:color w:val="auto"/>
                <w:highlight w:val="none"/>
              </w:rPr>
            </w:pPr>
            <w:r>
              <w:rPr>
                <w:rFonts w:hint="eastAsia" w:ascii="宋体" w:hAnsi="宋体" w:cs="宋体"/>
                <w:color w:val="auto"/>
                <w:highlight w:val="none"/>
              </w:rPr>
              <w:t>商务部分</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详见综合评分表</w:t>
            </w:r>
          </w:p>
        </w:tc>
      </w:tr>
      <w:tr>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ascii="宋体" w:hAnsi="宋体" w:cs="宋体"/>
                <w:color w:val="auto"/>
                <w:highlight w:val="none"/>
              </w:rPr>
              <w:t>2.2.4(2)</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12" w:line="360" w:lineRule="auto"/>
              <w:ind w:left="-6"/>
              <w:jc w:val="center"/>
              <w:rPr>
                <w:rFonts w:ascii="宋体" w:hAnsi="宋体" w:cs="宋体"/>
                <w:color w:val="auto"/>
                <w:highlight w:val="none"/>
              </w:rPr>
            </w:pPr>
            <w:r>
              <w:rPr>
                <w:rFonts w:hint="eastAsia" w:ascii="宋体" w:hAnsi="宋体" w:cs="宋体"/>
                <w:color w:val="auto"/>
                <w:highlight w:val="none"/>
              </w:rPr>
              <w:t>代建服务方案</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详见综合评分表</w:t>
            </w:r>
          </w:p>
        </w:tc>
      </w:tr>
      <w:tr>
        <w:trPr>
          <w:jc w:val="center"/>
        </w:trPr>
        <w:tc>
          <w:tcPr>
            <w:tcW w:w="1637"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auto"/>
              <w:ind w:left="105" w:leftChars="50" w:right="105" w:rightChars="50"/>
              <w:jc w:val="center"/>
              <w:rPr>
                <w:rFonts w:ascii="宋体" w:hAnsi="宋体" w:cs="宋体"/>
                <w:color w:val="auto"/>
                <w:highlight w:val="none"/>
              </w:rPr>
            </w:pPr>
            <w:r>
              <w:rPr>
                <w:rFonts w:ascii="宋体" w:hAnsi="宋体" w:cs="宋体"/>
                <w:color w:val="auto"/>
                <w:highlight w:val="none"/>
              </w:rPr>
              <w:t>2.2.4(3)</w:t>
            </w:r>
          </w:p>
        </w:tc>
        <w:tc>
          <w:tcPr>
            <w:tcW w:w="1619" w:type="dxa"/>
            <w:tcBorders>
              <w:top w:val="single" w:color="000000" w:sz="4" w:space="0"/>
              <w:left w:val="single" w:color="000000" w:sz="4" w:space="0"/>
              <w:bottom w:val="single" w:color="000000" w:sz="4" w:space="0"/>
              <w:right w:val="single" w:color="000000" w:sz="4" w:space="0"/>
            </w:tcBorders>
            <w:vAlign w:val="center"/>
          </w:tcPr>
          <w:p>
            <w:pPr>
              <w:tabs>
                <w:tab w:val="left" w:pos="2403"/>
              </w:tabs>
              <w:autoSpaceDE w:val="0"/>
              <w:autoSpaceDN w:val="0"/>
              <w:spacing w:before="12" w:line="360" w:lineRule="auto"/>
              <w:ind w:left="-6"/>
              <w:jc w:val="center"/>
              <w:rPr>
                <w:rFonts w:ascii="宋体" w:hAnsi="宋体" w:cs="宋体"/>
                <w:color w:val="auto"/>
                <w:highlight w:val="none"/>
              </w:rPr>
            </w:pPr>
            <w:r>
              <w:rPr>
                <w:rFonts w:hint="eastAsia" w:ascii="宋体" w:hAnsi="宋体" w:cs="宋体"/>
                <w:color w:val="auto"/>
                <w:highlight w:val="none"/>
              </w:rPr>
              <w:t>投标报价</w:t>
            </w:r>
          </w:p>
        </w:tc>
        <w:tc>
          <w:tcPr>
            <w:tcW w:w="654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105" w:leftChars="50" w:right="105" w:rightChars="50"/>
              <w:rPr>
                <w:rFonts w:ascii="宋体" w:hAnsi="宋体" w:cs="宋体"/>
                <w:color w:val="auto"/>
                <w:highlight w:val="none"/>
              </w:rPr>
            </w:pPr>
            <w:r>
              <w:rPr>
                <w:rFonts w:hint="eastAsia" w:ascii="宋体" w:hAnsi="宋体" w:cs="宋体"/>
                <w:color w:val="auto"/>
                <w:highlight w:val="none"/>
              </w:rPr>
              <w:t>详见综合评分表</w:t>
            </w:r>
          </w:p>
        </w:tc>
      </w:tr>
    </w:tbl>
    <w:p>
      <w:pPr>
        <w:snapToGrid w:val="0"/>
        <w:spacing w:line="273" w:lineRule="auto"/>
        <w:ind w:firstLine="643" w:firstLineChars="200"/>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ind w:right="240"/>
        <w:jc w:val="center"/>
        <w:rPr>
          <w:rFonts w:ascii="宋体" w:hAnsi="宋体" w:cs="宋体"/>
          <w:b/>
          <w:bCs/>
          <w:color w:val="auto"/>
          <w:sz w:val="32"/>
          <w:szCs w:val="32"/>
          <w:highlight w:val="none"/>
        </w:rPr>
        <w:sectPr>
          <w:headerReference r:id="rId11" w:type="first"/>
          <w:footerReference r:id="rId12" w:type="even"/>
          <w:type w:val="continuous"/>
          <w:pgSz w:w="11906" w:h="16838"/>
          <w:pgMar w:top="1440" w:right="1080" w:bottom="1440" w:left="1080" w:header="709" w:footer="709" w:gutter="0"/>
          <w:cols w:space="720" w:num="1"/>
          <w:titlePg/>
          <w:docGrid w:type="lines" w:linePitch="312" w:charSpace="0"/>
        </w:sectPr>
      </w:pPr>
    </w:p>
    <w:p>
      <w:pPr>
        <w:spacing w:line="480" w:lineRule="auto"/>
        <w:ind w:left="100" w:right="-20"/>
        <w:jc w:val="left"/>
        <w:rPr>
          <w:rFonts w:ascii="宋体" w:hAnsi="宋体" w:cs="宋体"/>
          <w:b/>
          <w:color w:val="auto"/>
          <w:highlight w:val="none"/>
        </w:rPr>
      </w:pPr>
      <w:r>
        <w:rPr>
          <w:rFonts w:hint="eastAsia" w:ascii="宋体" w:hAnsi="宋体" w:cs="宋体"/>
          <w:b/>
          <w:bCs/>
          <w:color w:val="auto"/>
          <w:highlight w:val="none"/>
        </w:rPr>
        <w:t xml:space="preserve">1. </w:t>
      </w:r>
      <w:r>
        <w:rPr>
          <w:rFonts w:hint="eastAsia" w:ascii="宋体" w:hAnsi="宋体" w:cs="宋体"/>
          <w:b/>
          <w:color w:val="auto"/>
          <w:highlight w:val="none"/>
        </w:rPr>
        <w:t>评标方法</w:t>
      </w:r>
    </w:p>
    <w:p>
      <w:pPr>
        <w:autoSpaceDE w:val="0"/>
        <w:spacing w:line="480" w:lineRule="auto"/>
        <w:ind w:firstLine="420" w:firstLineChars="200"/>
        <w:jc w:val="left"/>
        <w:rPr>
          <w:rFonts w:ascii="宋体" w:hAnsi="宋体" w:cs="宋体"/>
          <w:color w:val="auto"/>
          <w:highlight w:val="none"/>
          <w:u w:val="single"/>
        </w:rPr>
      </w:pPr>
      <w:r>
        <w:rPr>
          <w:rFonts w:hint="eastAsia" w:ascii="宋体" w:hAnsi="宋体" w:cs="宋体"/>
          <w:highlight w:val="none"/>
          <w:u w:val="single"/>
        </w:rPr>
        <w:t>本次评标采用综合评估法。评标委员会对满足招标文件实质性要求的投标文件，按照本章第2.2条规定的评分标准进行打分，并按得分由高到低顺序推荐前三名做为中标候选人，综合评分相等的，以投标报价低的优先；投标报价也相等的，以项代建服务方案得分高的优先；如果代建服务方案得分也相等，由评标委员会采用记名投票方式，以得票多的优先</w:t>
      </w:r>
      <w:r>
        <w:rPr>
          <w:rFonts w:hint="eastAsia" w:ascii="宋体" w:hAnsi="宋体" w:cs="宋体"/>
          <w:color w:val="auto"/>
          <w:highlight w:val="none"/>
          <w:u w:val="single"/>
        </w:rPr>
        <w:t>。</w:t>
      </w:r>
      <w:bookmarkStart w:id="60" w:name="_Toc514170140"/>
      <w:bookmarkEnd w:id="60"/>
      <w:bookmarkStart w:id="61" w:name="_Toc32612"/>
      <w:bookmarkEnd w:id="61"/>
      <w:bookmarkStart w:id="62" w:name="_Toc18043"/>
      <w:bookmarkEnd w:id="62"/>
      <w:bookmarkStart w:id="63" w:name="_Toc28976"/>
      <w:bookmarkEnd w:id="63"/>
      <w:bookmarkStart w:id="64" w:name="_Toc12136"/>
      <w:bookmarkEnd w:id="64"/>
      <w:bookmarkStart w:id="65" w:name="_Toc31636"/>
      <w:bookmarkEnd w:id="65"/>
      <w:bookmarkStart w:id="66" w:name="_Toc28648"/>
      <w:bookmarkEnd w:id="66"/>
      <w:bookmarkStart w:id="67" w:name="_Toc16396"/>
      <w:bookmarkEnd w:id="67"/>
      <w:bookmarkStart w:id="68" w:name="_Toc32367"/>
      <w:bookmarkEnd w:id="68"/>
      <w:bookmarkStart w:id="69" w:name="_Toc12619"/>
      <w:bookmarkEnd w:id="69"/>
      <w:bookmarkStart w:id="70" w:name="_Toc32030"/>
      <w:bookmarkEnd w:id="70"/>
      <w:bookmarkStart w:id="71" w:name="_Toc514170143"/>
      <w:bookmarkEnd w:id="71"/>
      <w:bookmarkStart w:id="72" w:name="_Toc32471"/>
      <w:bookmarkEnd w:id="72"/>
      <w:bookmarkStart w:id="73" w:name="_Toc2044"/>
      <w:bookmarkEnd w:id="73"/>
    </w:p>
    <w:p>
      <w:pPr>
        <w:spacing w:before="19" w:line="480" w:lineRule="auto"/>
        <w:jc w:val="left"/>
        <w:rPr>
          <w:rFonts w:ascii="宋体" w:hAnsi="宋体" w:cs="宋体"/>
          <w:b/>
          <w:color w:val="auto"/>
          <w:highlight w:val="none"/>
        </w:rPr>
      </w:pPr>
      <w:r>
        <w:rPr>
          <w:rFonts w:hint="eastAsia" w:ascii="宋体" w:hAnsi="宋体" w:cs="宋体"/>
          <w:b/>
          <w:bCs/>
          <w:color w:val="auto"/>
          <w:highlight w:val="none"/>
        </w:rPr>
        <w:t xml:space="preserve">2. </w:t>
      </w:r>
      <w:r>
        <w:rPr>
          <w:rFonts w:hint="eastAsia" w:ascii="宋体" w:hAnsi="宋体" w:cs="宋体"/>
          <w:b/>
          <w:color w:val="auto"/>
          <w:highlight w:val="none"/>
        </w:rPr>
        <w:t>评审标准</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2.1 初步评审标准</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2.1.1 形式评审标准：见评标办法前附表。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2.1.2 资格评审标准：见评标办法前附表。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2.1.3 响应性评审标准：见评标办法前附表。</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2.2 分值构成与评分标准</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2.2.1 分值构成</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（1）商务部分：见评标办法前附表；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（2）代建服务方案部分：见评标办法前附表；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（3）投标报价：见评标办法前附表；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strike/>
          <w:color w:val="auto"/>
          <w:highlight w:val="none"/>
        </w:rPr>
        <w:t>（4）其他评分因素：见评标办法前附表。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2.2.2 评标参考价计算</w:t>
      </w:r>
    </w:p>
    <w:p>
      <w:pPr>
        <w:autoSpaceDE w:val="0"/>
        <w:spacing w:line="480" w:lineRule="auto"/>
        <w:ind w:firstLine="630" w:firstLineChars="300"/>
        <w:jc w:val="left"/>
        <w:rPr>
          <w:rFonts w:ascii="宋体" w:hAnsi="宋体" w:cs="宋体"/>
          <w:color w:val="auto"/>
          <w:highlight w:val="none"/>
        </w:rPr>
      </w:pPr>
      <w:r>
        <w:rPr>
          <w:rFonts w:hint="eastAsia" w:ascii="宋体" w:hAnsi="宋体" w:cs="宋体"/>
          <w:color w:val="auto"/>
          <w:highlight w:val="none"/>
        </w:rPr>
        <w:t>评标参考价计算方法：见评标办法前附表。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2.2.3 投标报价的偏差率计算 </w:t>
      </w:r>
    </w:p>
    <w:p>
      <w:pPr>
        <w:autoSpaceDE w:val="0"/>
        <w:spacing w:line="480" w:lineRule="auto"/>
        <w:ind w:firstLine="630" w:firstLineChars="300"/>
        <w:jc w:val="left"/>
        <w:rPr>
          <w:rFonts w:ascii="宋体" w:hAnsi="宋体" w:cs="宋体"/>
          <w:color w:val="auto"/>
          <w:highlight w:val="none"/>
        </w:rPr>
      </w:pPr>
      <w:r>
        <w:rPr>
          <w:rFonts w:hint="eastAsia" w:ascii="宋体" w:hAnsi="宋体" w:cs="宋体"/>
          <w:color w:val="auto"/>
          <w:highlight w:val="none"/>
        </w:rPr>
        <w:t>投标报价的偏差率计算公式：见评标办法前附表。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2.2.4 评分标准</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（1）商务部分：见综合评分表；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（2）代建服务方案部分：见综合评分表；</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（3）投标报价评分标准：见综合评分表；</w:t>
      </w:r>
    </w:p>
    <w:p>
      <w:pPr>
        <w:autoSpaceDE w:val="0"/>
        <w:spacing w:line="480" w:lineRule="auto"/>
        <w:ind w:firstLine="420" w:firstLineChars="200"/>
        <w:jc w:val="left"/>
        <w:rPr>
          <w:rFonts w:ascii="宋体" w:hAnsi="宋体" w:cs="宋体"/>
          <w:strike/>
          <w:color w:val="auto"/>
          <w:highlight w:val="none"/>
        </w:rPr>
      </w:pPr>
      <w:r>
        <w:rPr>
          <w:rFonts w:hint="eastAsia" w:ascii="宋体" w:hAnsi="宋体" w:cs="宋体"/>
          <w:strike/>
          <w:color w:val="auto"/>
          <w:highlight w:val="none"/>
        </w:rPr>
        <w:t>（4）其他因素评分标准：见综合评分表。</w:t>
      </w:r>
    </w:p>
    <w:p>
      <w:pPr>
        <w:spacing w:line="480" w:lineRule="auto"/>
        <w:ind w:left="100" w:right="-20"/>
        <w:jc w:val="left"/>
        <w:rPr>
          <w:rFonts w:ascii="宋体" w:hAnsi="宋体" w:cs="宋体"/>
          <w:b/>
          <w:color w:val="auto"/>
          <w:highlight w:val="none"/>
        </w:rPr>
      </w:pPr>
      <w:r>
        <w:rPr>
          <w:rFonts w:hint="eastAsia" w:ascii="宋体" w:hAnsi="宋体" w:cs="宋体"/>
          <w:b/>
          <w:bCs/>
          <w:color w:val="auto"/>
          <w:highlight w:val="none"/>
        </w:rPr>
        <w:t xml:space="preserve">3. </w:t>
      </w:r>
      <w:r>
        <w:rPr>
          <w:rFonts w:hint="eastAsia" w:ascii="宋体" w:hAnsi="宋体" w:cs="宋体"/>
          <w:b/>
          <w:color w:val="auto"/>
          <w:highlight w:val="none"/>
        </w:rPr>
        <w:t>评标程序</w:t>
      </w:r>
    </w:p>
    <w:p>
      <w:pPr>
        <w:spacing w:line="480" w:lineRule="auto"/>
        <w:ind w:left="237" w:right="-20"/>
        <w:jc w:val="left"/>
        <w:rPr>
          <w:rFonts w:ascii="宋体" w:hAnsi="宋体" w:cs="宋体"/>
          <w:color w:val="auto"/>
          <w:highlight w:val="none"/>
        </w:rPr>
      </w:pPr>
      <w:r>
        <w:rPr>
          <w:rFonts w:hint="eastAsia" w:ascii="宋体" w:hAnsi="宋体" w:cs="宋体"/>
          <w:color w:val="auto"/>
          <w:highlight w:val="none"/>
        </w:rPr>
        <w:t>3.1 初步评审</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3.1.2 投标人有以下情形之一的，评标委员会应当否决其投标：</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（1）投标文件没有对招标文件的实质性要求和条件作出响应，或者对招标文件的偏差超出招标文件规定的偏差范围或最高项数；</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（2）有串通投标、弄虚作假、行贿等违法行为。</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3.1.3 投标报价有算术错误及其他错误的，评标委员会按以下原则要求投标人对投标报价进行修正，并要求投标人书面澄清确认。投标人拒不澄清确认的，评标委员会应当否决其投标：</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（1）投标文件中的大写金额与小写金额不一致的，以大写金额为准；</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（2）总价金额与单价金额不一致的，以单价金额为准，但单价金额小数点有明显错误的除外。</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3.1.4 只有通过初步评审的投标人才能进入下一阶段详细评审。当通过初步评审的有效投标人不足三名时，招标人应当依法重新组织招标。</w:t>
      </w:r>
    </w:p>
    <w:p>
      <w:pPr>
        <w:spacing w:before="7" w:line="480" w:lineRule="auto"/>
        <w:jc w:val="left"/>
        <w:rPr>
          <w:rFonts w:ascii="宋体" w:hAnsi="宋体" w:cs="宋体"/>
          <w:color w:val="auto"/>
          <w:highlight w:val="none"/>
        </w:rPr>
      </w:pPr>
      <w:r>
        <w:rPr>
          <w:rFonts w:hint="eastAsia" w:ascii="宋体" w:hAnsi="宋体" w:cs="宋体"/>
          <w:color w:val="auto"/>
          <w:highlight w:val="none"/>
        </w:rPr>
        <w:t xml:space="preserve"> 3.2 详细评审 </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3.2.1 评标委员会按本章综合评分表的量化因素和分值进行打分，并计算出综合评估得分。</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（1）按本章综合评分表规定的评审因素和分值对商务部分计算出得分 A；</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（2）按本章综合评分表规定的评审因素和分值对代建服务方案部分计算出得分 B；</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（3）按本章综合评分表规定的评审因素和分值对投标报价计算出得分 C；</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3.2.2 评分分值计算保留小数点后两位，小数点后第三位“四舍五入”。</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3.2.3 投标人总得分= A+B+C。</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bookmarkEnd w:id="58"/>
    <w:bookmarkEnd w:id="59"/>
    <w:p>
      <w:pPr>
        <w:spacing w:before="5" w:line="480" w:lineRule="auto"/>
        <w:jc w:val="left"/>
        <w:rPr>
          <w:rFonts w:ascii="宋体" w:hAnsi="宋体" w:cs="宋体"/>
          <w:color w:val="auto"/>
          <w:highlight w:val="none"/>
        </w:rPr>
      </w:pPr>
      <w:bookmarkStart w:id="74" w:name="_Toc24248"/>
      <w:bookmarkEnd w:id="74"/>
      <w:bookmarkStart w:id="75" w:name="_Toc13470"/>
      <w:bookmarkEnd w:id="75"/>
      <w:bookmarkStart w:id="76" w:name="_Toc19290"/>
      <w:bookmarkEnd w:id="76"/>
      <w:bookmarkStart w:id="77" w:name="_Toc514170133"/>
      <w:bookmarkEnd w:id="77"/>
      <w:bookmarkStart w:id="78" w:name="_Toc22155"/>
      <w:bookmarkEnd w:id="78"/>
      <w:bookmarkStart w:id="79" w:name="_Toc12886"/>
      <w:bookmarkEnd w:id="79"/>
      <w:bookmarkStart w:id="80" w:name="_Toc184635089"/>
      <w:bookmarkEnd w:id="80"/>
      <w:r>
        <w:rPr>
          <w:rFonts w:hint="eastAsia" w:ascii="宋体" w:hAnsi="宋体" w:cs="宋体"/>
          <w:color w:val="auto"/>
          <w:highlight w:val="none"/>
        </w:rPr>
        <w:t>3.3 投标文件的澄清</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3.3.2 澄清、说明或补正不得超出投标文件的范围且不得改变投标文件的实质性内容，并构成投标文件的组成部分。</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3.3.3 评标委员会对投标人提交的澄清、说明或补正有疑问的，可以要求投标人进一步澄清、说明或补正，直至满足评标委员会的要求。</w:t>
      </w:r>
    </w:p>
    <w:p>
      <w:pPr>
        <w:spacing w:before="9" w:line="480" w:lineRule="auto"/>
        <w:jc w:val="left"/>
        <w:rPr>
          <w:rFonts w:ascii="宋体" w:hAnsi="宋体" w:cs="宋体"/>
          <w:color w:val="auto"/>
          <w:highlight w:val="none"/>
        </w:rPr>
      </w:pPr>
      <w:r>
        <w:rPr>
          <w:rFonts w:hint="eastAsia" w:ascii="宋体" w:hAnsi="宋体" w:cs="宋体"/>
          <w:color w:val="auto"/>
          <w:highlight w:val="none"/>
        </w:rPr>
        <w:t xml:space="preserve"> 3.4 评标结果</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3.4.1 除第二章“投标人须知”前附表授权直接确定中标人外，评标委员会按照得分由高到低的顺序推荐中标候选人，并标明排序。</w:t>
      </w:r>
    </w:p>
    <w:p>
      <w:pPr>
        <w:autoSpaceDE w:val="0"/>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3.4.2 评标委员会完成评标后，应当向招标人提交书面评标报告和中标候选人名单。</w:t>
      </w:r>
    </w:p>
    <w:p>
      <w:pPr>
        <w:autoSpaceDE w:val="0"/>
        <w:spacing w:line="360" w:lineRule="auto"/>
        <w:ind w:firstLine="480" w:firstLineChars="200"/>
        <w:jc w:val="left"/>
        <w:rPr>
          <w:rFonts w:ascii="宋体" w:hAnsi="宋体" w:cs="宋体"/>
          <w:color w:val="auto"/>
          <w:sz w:val="24"/>
          <w:szCs w:val="24"/>
          <w:highlight w:val="none"/>
        </w:rPr>
      </w:pPr>
    </w:p>
    <w:p>
      <w:pPr>
        <w:widowControl/>
        <w:jc w:val="left"/>
        <w:rPr>
          <w:rFonts w:ascii="宋体" w:hAnsi="宋体" w:cs="宋体"/>
          <w:color w:val="auto"/>
          <w:sz w:val="24"/>
          <w:szCs w:val="24"/>
          <w:highlight w:val="none"/>
        </w:rPr>
      </w:pPr>
      <w:r>
        <w:rPr>
          <w:rFonts w:ascii="宋体" w:hAnsi="宋体" w:cs="宋体"/>
          <w:color w:val="auto"/>
          <w:sz w:val="24"/>
          <w:szCs w:val="24"/>
          <w:highlight w:val="none"/>
        </w:rPr>
        <w:br w:type="page"/>
      </w:r>
    </w:p>
    <w:p>
      <w:pPr>
        <w:pStyle w:val="4"/>
        <w:rPr>
          <w:rFonts w:cs="宋体"/>
          <w:color w:val="auto"/>
          <w:highlight w:val="none"/>
        </w:rPr>
        <w:sectPr>
          <w:type w:val="continuous"/>
          <w:pgSz w:w="11906" w:h="16838"/>
          <w:pgMar w:top="1440" w:right="1080" w:bottom="1440" w:left="1080" w:header="709" w:footer="709" w:gutter="0"/>
          <w:cols w:space="720" w:num="1"/>
          <w:titlePg/>
          <w:docGrid w:type="lines" w:linePitch="318" w:charSpace="0"/>
        </w:sectPr>
      </w:pPr>
    </w:p>
    <w:p>
      <w:pPr>
        <w:pStyle w:val="5"/>
        <w:widowControl/>
        <w:rPr>
          <w:rFonts w:ascii="宋体" w:hAnsi="宋体"/>
          <w:color w:val="auto"/>
          <w:highlight w:val="none"/>
        </w:rPr>
      </w:pPr>
      <w:bookmarkStart w:id="81" w:name="_Toc10735"/>
      <w:bookmarkEnd w:id="81"/>
      <w:bookmarkStart w:id="82" w:name="_Toc28889"/>
      <w:bookmarkEnd w:id="82"/>
      <w:bookmarkStart w:id="83" w:name="_Toc132272654"/>
      <w:r>
        <w:rPr>
          <w:rFonts w:hint="eastAsia" w:ascii="宋体" w:hAnsi="宋体" w:cs="宋体"/>
          <w:color w:val="auto"/>
          <w:highlight w:val="none"/>
        </w:rPr>
        <w:t>附表：综合评分表</w:t>
      </w:r>
      <w:bookmarkEnd w:id="83"/>
    </w:p>
    <w:tbl>
      <w:tblPr>
        <w:tblStyle w:val="30"/>
        <w:tblW w:w="10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114"/>
        <w:gridCol w:w="587"/>
        <w:gridCol w:w="6520"/>
        <w:gridCol w:w="851"/>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34" w:type="dxa"/>
            <w:vMerge w:val="restart"/>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序号</w:t>
            </w:r>
          </w:p>
        </w:tc>
        <w:tc>
          <w:tcPr>
            <w:tcW w:w="1114" w:type="dxa"/>
            <w:vMerge w:val="restart"/>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评审内容</w:t>
            </w:r>
          </w:p>
        </w:tc>
        <w:tc>
          <w:tcPr>
            <w:tcW w:w="587" w:type="dxa"/>
            <w:vMerge w:val="restart"/>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分值</w:t>
            </w:r>
          </w:p>
        </w:tc>
        <w:tc>
          <w:tcPr>
            <w:tcW w:w="6520" w:type="dxa"/>
            <w:vMerge w:val="restart"/>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评分标准</w:t>
            </w:r>
          </w:p>
        </w:tc>
        <w:tc>
          <w:tcPr>
            <w:tcW w:w="1418" w:type="dxa"/>
            <w:gridSpan w:val="2"/>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Merge w:val="continue"/>
            <w:vAlign w:val="center"/>
          </w:tcPr>
          <w:p>
            <w:pPr>
              <w:widowControl/>
              <w:spacing w:line="360" w:lineRule="auto"/>
              <w:jc w:val="left"/>
              <w:rPr>
                <w:rFonts w:ascii="宋体" w:hAnsi="宋体" w:cs="宋体"/>
                <w:kern w:val="0"/>
                <w:sz w:val="18"/>
                <w:szCs w:val="18"/>
                <w:highlight w:val="none"/>
              </w:rPr>
            </w:pPr>
          </w:p>
        </w:tc>
        <w:tc>
          <w:tcPr>
            <w:tcW w:w="587" w:type="dxa"/>
            <w:vMerge w:val="continue"/>
            <w:vAlign w:val="center"/>
          </w:tcPr>
          <w:p>
            <w:pPr>
              <w:widowControl/>
              <w:spacing w:line="360" w:lineRule="auto"/>
              <w:jc w:val="center"/>
              <w:rPr>
                <w:rFonts w:ascii="宋体" w:hAnsi="宋体" w:cs="宋体"/>
                <w:kern w:val="0"/>
                <w:sz w:val="18"/>
                <w:szCs w:val="18"/>
                <w:highlight w:val="none"/>
              </w:rPr>
            </w:pPr>
          </w:p>
        </w:tc>
        <w:tc>
          <w:tcPr>
            <w:tcW w:w="6520" w:type="dxa"/>
            <w:vMerge w:val="continue"/>
            <w:vAlign w:val="center"/>
          </w:tcPr>
          <w:p>
            <w:pPr>
              <w:widowControl/>
              <w:spacing w:line="360" w:lineRule="auto"/>
              <w:jc w:val="left"/>
              <w:rPr>
                <w:rFonts w:ascii="宋体" w:hAnsi="宋体" w:cs="宋体"/>
                <w:kern w:val="0"/>
                <w:sz w:val="18"/>
                <w:szCs w:val="18"/>
                <w:highlight w:val="none"/>
              </w:rPr>
            </w:pPr>
          </w:p>
        </w:tc>
        <w:tc>
          <w:tcPr>
            <w:tcW w:w="851"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投标人</w:t>
            </w:r>
          </w:p>
        </w:tc>
        <w:tc>
          <w:tcPr>
            <w:tcW w:w="56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73" w:type="dxa"/>
            <w:gridSpan w:val="6"/>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A、商务部分（60分）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63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1</w:t>
            </w:r>
          </w:p>
        </w:tc>
        <w:tc>
          <w:tcPr>
            <w:tcW w:w="111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企业业绩</w:t>
            </w:r>
          </w:p>
        </w:tc>
        <w:tc>
          <w:tcPr>
            <w:tcW w:w="587"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投标人独立承接过的项目管理（代建）业绩：</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1、总投资额大于7000万元的，每一项得2分，最多得</w:t>
            </w:r>
            <w:r>
              <w:rPr>
                <w:rFonts w:ascii="宋体" w:hAnsi="宋体" w:cs="宋体"/>
                <w:kern w:val="0"/>
                <w:sz w:val="18"/>
                <w:szCs w:val="18"/>
                <w:highlight w:val="none"/>
              </w:rPr>
              <w:t>10</w:t>
            </w:r>
            <w:r>
              <w:rPr>
                <w:rFonts w:hint="eastAsia" w:ascii="宋体" w:hAnsi="宋体" w:cs="宋体"/>
                <w:kern w:val="0"/>
                <w:sz w:val="18"/>
                <w:szCs w:val="18"/>
                <w:highlight w:val="none"/>
              </w:rPr>
              <w:t>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2、总投资额1000万元以上-7000万元以下的，每一项得1分，最多得4分：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以上同一项目业绩不累计，本项最多得10分。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注：以上业绩需提供项目管理（代建）合同关键页扫描件，总投资额以合同金额为准，若合同中无法体现总投资金额、以业主证明材料为准。</w:t>
            </w:r>
          </w:p>
        </w:tc>
        <w:tc>
          <w:tcPr>
            <w:tcW w:w="851" w:type="dxa"/>
            <w:vAlign w:val="center"/>
          </w:tcPr>
          <w:p>
            <w:pPr>
              <w:widowControl/>
              <w:spacing w:line="360" w:lineRule="auto"/>
              <w:jc w:val="center"/>
              <w:rPr>
                <w:rFonts w:ascii="宋体" w:hAnsi="宋体" w:cs="宋体"/>
                <w:kern w:val="0"/>
                <w:sz w:val="18"/>
                <w:szCs w:val="18"/>
                <w:highlight w:val="none"/>
              </w:rPr>
            </w:pPr>
          </w:p>
        </w:tc>
        <w:tc>
          <w:tcPr>
            <w:tcW w:w="567" w:type="dxa"/>
            <w:vAlign w:val="center"/>
          </w:tcPr>
          <w:p>
            <w:pPr>
              <w:widowControl/>
              <w:spacing w:line="360" w:lineRule="auto"/>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63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2</w:t>
            </w:r>
          </w:p>
        </w:tc>
        <w:tc>
          <w:tcPr>
            <w:tcW w:w="111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企业</w:t>
            </w:r>
          </w:p>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获奖</w:t>
            </w:r>
          </w:p>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业绩</w:t>
            </w:r>
          </w:p>
        </w:tc>
        <w:tc>
          <w:tcPr>
            <w:tcW w:w="587"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投标人独立承接过的工程曾获得的奖项：</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w:t>
            </w:r>
            <w:r>
              <w:rPr>
                <w:rFonts w:hint="eastAsia" w:ascii="宋体" w:hAnsi="宋体" w:cs="宋体"/>
                <w:kern w:val="0"/>
                <w:sz w:val="18"/>
                <w:szCs w:val="18"/>
                <w:highlight w:val="none"/>
              </w:rPr>
              <w:t>、国家级奖项的每项得2.5分，最多得10分；</w:t>
            </w:r>
          </w:p>
          <w:p>
            <w:pPr>
              <w:widowControl/>
              <w:spacing w:line="360" w:lineRule="auto"/>
              <w:jc w:val="left"/>
              <w:rPr>
                <w:rFonts w:ascii="宋体" w:hAnsi="宋体" w:cs="宋体"/>
                <w:kern w:val="0"/>
                <w:sz w:val="18"/>
                <w:szCs w:val="18"/>
                <w:highlight w:val="none"/>
              </w:rPr>
            </w:pPr>
            <w:r>
              <w:rPr>
                <w:rFonts w:ascii="宋体" w:hAnsi="宋体" w:cs="宋体"/>
                <w:kern w:val="0"/>
                <w:sz w:val="18"/>
                <w:szCs w:val="18"/>
                <w:highlight w:val="none"/>
              </w:rPr>
              <w:t>2、省级奖项的每项得</w:t>
            </w:r>
            <w:r>
              <w:rPr>
                <w:rFonts w:hint="eastAsia" w:ascii="宋体" w:hAnsi="宋体" w:cs="宋体"/>
                <w:kern w:val="0"/>
                <w:sz w:val="18"/>
                <w:szCs w:val="18"/>
                <w:highlight w:val="none"/>
              </w:rPr>
              <w:t>1.5分，最多得4.5分；</w:t>
            </w:r>
          </w:p>
          <w:p>
            <w:pPr>
              <w:widowControl/>
              <w:spacing w:line="360" w:lineRule="auto"/>
              <w:jc w:val="left"/>
              <w:rPr>
                <w:rFonts w:ascii="宋体" w:hAnsi="宋体" w:cs="宋体"/>
                <w:kern w:val="0"/>
                <w:sz w:val="18"/>
                <w:szCs w:val="18"/>
                <w:highlight w:val="none"/>
              </w:rPr>
            </w:pPr>
            <w:r>
              <w:rPr>
                <w:rFonts w:ascii="宋体" w:hAnsi="宋体" w:cs="宋体"/>
                <w:kern w:val="0"/>
                <w:sz w:val="18"/>
                <w:szCs w:val="18"/>
                <w:highlight w:val="none"/>
              </w:rPr>
              <w:t>3、市级奖项的每项得</w:t>
            </w:r>
            <w:r>
              <w:rPr>
                <w:rFonts w:hint="eastAsia" w:ascii="宋体" w:hAnsi="宋体" w:cs="宋体"/>
                <w:kern w:val="0"/>
                <w:sz w:val="18"/>
                <w:szCs w:val="18"/>
                <w:highlight w:val="none"/>
              </w:rPr>
              <w:t>0.5分；最多得1分；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本项最高得10分。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备注：须提供获奖证书扫描件；国家级奖指鲁班奖、国家优质工程奖、市政金杯示范工程奖、詹天佑奖、国家优质工程金质奖（金奖）；省级或市级奖项是指由建设行政主管部门或行业协会颁发的工程质量类奖项；对同一工程奖项按最高奖项计取（以上颁奖单位为行业协会的须在民政部门备案，提供网站截图，否则不得分）。</w:t>
            </w:r>
          </w:p>
        </w:tc>
        <w:tc>
          <w:tcPr>
            <w:tcW w:w="851" w:type="dxa"/>
            <w:vAlign w:val="center"/>
          </w:tcPr>
          <w:p>
            <w:pPr>
              <w:widowControl/>
              <w:spacing w:line="360" w:lineRule="auto"/>
              <w:jc w:val="center"/>
              <w:rPr>
                <w:rFonts w:ascii="宋体" w:hAnsi="宋体" w:cs="宋体"/>
                <w:kern w:val="0"/>
                <w:sz w:val="18"/>
                <w:szCs w:val="18"/>
                <w:highlight w:val="none"/>
              </w:rPr>
            </w:pPr>
          </w:p>
        </w:tc>
        <w:tc>
          <w:tcPr>
            <w:tcW w:w="567" w:type="dxa"/>
            <w:vAlign w:val="center"/>
          </w:tcPr>
          <w:p>
            <w:pPr>
              <w:widowControl/>
              <w:spacing w:line="360" w:lineRule="auto"/>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634" w:type="dxa"/>
            <w:vMerge w:val="restart"/>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3</w:t>
            </w:r>
          </w:p>
        </w:tc>
        <w:tc>
          <w:tcPr>
            <w:tcW w:w="1114" w:type="dxa"/>
            <w:vMerge w:val="restart"/>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企业信誉</w:t>
            </w:r>
          </w:p>
        </w:tc>
        <w:tc>
          <w:tcPr>
            <w:tcW w:w="587"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投标人连续8年（须含2021年度）以上</w:t>
            </w:r>
            <w:r>
              <w:rPr>
                <w:rFonts w:hint="eastAsia" w:ascii="宋体" w:hAnsi="宋体" w:cs="宋体"/>
                <w:kern w:val="0"/>
                <w:sz w:val="18"/>
                <w:szCs w:val="18"/>
                <w:highlight w:val="none"/>
              </w:rPr>
              <w:t>(不含本数）</w:t>
            </w:r>
            <w:r>
              <w:rPr>
                <w:rFonts w:hint="eastAsia" w:ascii="宋体" w:hAnsi="宋体" w:cs="宋体"/>
                <w:kern w:val="0"/>
                <w:sz w:val="18"/>
                <w:szCs w:val="18"/>
                <w:highlight w:val="none"/>
              </w:rPr>
              <w:t>获得省级联合会或协会颁发的省级诚信示范企业（或企业诚信兴商）称号的得4分，连续3年-8年</w:t>
            </w:r>
            <w:r>
              <w:rPr>
                <w:rFonts w:hint="eastAsia" w:ascii="宋体" w:hAnsi="宋体" w:cs="宋体"/>
                <w:kern w:val="0"/>
                <w:sz w:val="18"/>
                <w:szCs w:val="18"/>
                <w:highlight w:val="none"/>
              </w:rPr>
              <w:t>(含本数）</w:t>
            </w:r>
            <w:r>
              <w:rPr>
                <w:rFonts w:hint="eastAsia" w:ascii="宋体" w:hAnsi="宋体" w:cs="宋体"/>
                <w:kern w:val="0"/>
                <w:sz w:val="18"/>
                <w:szCs w:val="18"/>
                <w:highlight w:val="none"/>
              </w:rPr>
              <w:t>的得2分；3年以下</w:t>
            </w:r>
            <w:r>
              <w:rPr>
                <w:rFonts w:hint="eastAsia" w:ascii="宋体" w:hAnsi="宋体" w:cs="宋体"/>
                <w:kern w:val="0"/>
                <w:sz w:val="18"/>
                <w:szCs w:val="18"/>
                <w:highlight w:val="none"/>
              </w:rPr>
              <w:t>(不含本数）</w:t>
            </w:r>
            <w:r>
              <w:rPr>
                <w:rFonts w:hint="eastAsia" w:ascii="宋体" w:hAnsi="宋体" w:cs="宋体"/>
                <w:kern w:val="0"/>
                <w:sz w:val="18"/>
                <w:szCs w:val="18"/>
                <w:highlight w:val="none"/>
              </w:rPr>
              <w:t>的得1分，没有的不得分。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注：须提供相关证明材料扫描件。</w:t>
            </w:r>
          </w:p>
        </w:tc>
        <w:tc>
          <w:tcPr>
            <w:tcW w:w="851" w:type="dxa"/>
            <w:vAlign w:val="center"/>
          </w:tcPr>
          <w:p>
            <w:pPr>
              <w:widowControl/>
              <w:spacing w:line="360" w:lineRule="auto"/>
              <w:jc w:val="center"/>
              <w:rPr>
                <w:rFonts w:ascii="宋体" w:hAnsi="宋体" w:cs="宋体"/>
                <w:kern w:val="0"/>
                <w:sz w:val="18"/>
                <w:szCs w:val="18"/>
                <w:highlight w:val="none"/>
              </w:rPr>
            </w:pPr>
          </w:p>
        </w:tc>
        <w:tc>
          <w:tcPr>
            <w:tcW w:w="567" w:type="dxa"/>
            <w:vAlign w:val="center"/>
          </w:tcPr>
          <w:p>
            <w:pPr>
              <w:widowControl/>
              <w:spacing w:line="360" w:lineRule="auto"/>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634" w:type="dxa"/>
            <w:vMerge w:val="continue"/>
            <w:vAlign w:val="center"/>
          </w:tcPr>
          <w:p>
            <w:pPr>
              <w:widowControl/>
              <w:spacing w:line="360" w:lineRule="auto"/>
              <w:jc w:val="center"/>
              <w:rPr>
                <w:rFonts w:ascii="宋体" w:hAnsi="宋体" w:cs="宋体"/>
                <w:kern w:val="0"/>
                <w:sz w:val="18"/>
                <w:szCs w:val="18"/>
                <w:highlight w:val="none"/>
              </w:rPr>
            </w:pPr>
          </w:p>
        </w:tc>
        <w:tc>
          <w:tcPr>
            <w:tcW w:w="1114" w:type="dxa"/>
            <w:vMerge w:val="continue"/>
            <w:vAlign w:val="center"/>
          </w:tcPr>
          <w:p>
            <w:pPr>
              <w:widowControl/>
              <w:spacing w:line="360" w:lineRule="auto"/>
              <w:jc w:val="center"/>
              <w:rPr>
                <w:rFonts w:ascii="宋体" w:hAnsi="宋体" w:cs="宋体"/>
                <w:kern w:val="0"/>
                <w:sz w:val="18"/>
                <w:szCs w:val="18"/>
                <w:highlight w:val="none"/>
              </w:rPr>
            </w:pPr>
          </w:p>
        </w:tc>
        <w:tc>
          <w:tcPr>
            <w:tcW w:w="587"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投标人获得质量管理体系认证证书、环境管理体系认证证书、职业健康安全管理体系认证证书、信息安全管理体系认证证书、诚信管理体系认证证书、售后服务认证证书，证书在有效期内的每个证书得1分，最高得6分。 没有证书的不得分。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说明：须提供相关证明材料扫描件。证书须在有效期内，提供全国认证认可信息公共服务平台（http://cx.cnca.cn/）网页截图。</w:t>
            </w:r>
          </w:p>
        </w:tc>
        <w:tc>
          <w:tcPr>
            <w:tcW w:w="851" w:type="dxa"/>
            <w:vAlign w:val="center"/>
          </w:tcPr>
          <w:p>
            <w:pPr>
              <w:widowControl/>
              <w:spacing w:line="360" w:lineRule="auto"/>
              <w:jc w:val="center"/>
              <w:rPr>
                <w:rFonts w:ascii="宋体" w:hAnsi="宋体" w:cs="宋体"/>
                <w:kern w:val="0"/>
                <w:sz w:val="18"/>
                <w:szCs w:val="18"/>
                <w:highlight w:val="none"/>
              </w:rPr>
            </w:pPr>
          </w:p>
        </w:tc>
        <w:tc>
          <w:tcPr>
            <w:tcW w:w="567" w:type="dxa"/>
            <w:vAlign w:val="center"/>
          </w:tcPr>
          <w:p>
            <w:pPr>
              <w:widowControl/>
              <w:spacing w:line="360" w:lineRule="auto"/>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4</w:t>
            </w:r>
          </w:p>
        </w:tc>
        <w:tc>
          <w:tcPr>
            <w:tcW w:w="111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项目管理团队及项目负责人综合素质</w:t>
            </w:r>
          </w:p>
        </w:tc>
        <w:tc>
          <w:tcPr>
            <w:tcW w:w="587"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20</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1、项目管理团队满足《人员配备要求表》要求的得10分，不满足不得分。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2、项目负责人综合素质：</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（1）具有咨询工程师（投资）资格且注册在投标单位的得3分，获得资格证书15年或以上的加2分，</w:t>
            </w:r>
            <w:r>
              <w:rPr>
                <w:rFonts w:hint="eastAsia" w:ascii="宋体" w:hAnsi="宋体" w:cs="宋体"/>
                <w:kern w:val="0"/>
                <w:sz w:val="18"/>
                <w:szCs w:val="18"/>
                <w:highlight w:val="none"/>
              </w:rPr>
              <w:t>10-14年的得1分，5-9年的加0.5分，1-4年的不加分</w:t>
            </w:r>
            <w:r>
              <w:rPr>
                <w:rFonts w:hint="eastAsia" w:ascii="宋体" w:hAnsi="宋体" w:cs="宋体"/>
                <w:kern w:val="0"/>
                <w:sz w:val="18"/>
                <w:szCs w:val="18"/>
                <w:highlight w:val="none"/>
              </w:rPr>
              <w:t>（时间以资格证书签发日期为准），本项最多得5分。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（2）具有注册监理工程师资格且注册在投标单位的得2分，获得资格证书15年或以上的得1分，</w:t>
            </w:r>
            <w:r>
              <w:rPr>
                <w:rFonts w:hint="eastAsia" w:ascii="宋体" w:hAnsi="宋体" w:cs="宋体"/>
                <w:kern w:val="0"/>
                <w:sz w:val="18"/>
                <w:szCs w:val="18"/>
                <w:highlight w:val="none"/>
              </w:rPr>
              <w:t>10-14年的得0.5分，5-9年的加0.2分，1-4年的不加分</w:t>
            </w:r>
            <w:r>
              <w:rPr>
                <w:rFonts w:hint="eastAsia" w:ascii="宋体" w:hAnsi="宋体" w:cs="宋体"/>
                <w:kern w:val="0"/>
                <w:sz w:val="18"/>
                <w:szCs w:val="18"/>
                <w:highlight w:val="none"/>
              </w:rPr>
              <w:t>（时间以资格证书签发日期为准），本项最多得3分。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（3）具有丰富的工作经验为30年以上的得2分， 工作经验为20年以上～30年的得1分，工作经验为10年以上～20年的得0.5分，其它不得分。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注：工作经验以提供年限最长的毕业证书日期计起；提供职称证书、学历证书、资格证书、注册证书扫描件及2023年6月的社保证明材料。</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注:以上累计最多得20分。</w:t>
            </w:r>
          </w:p>
        </w:tc>
        <w:tc>
          <w:tcPr>
            <w:tcW w:w="851" w:type="dxa"/>
            <w:vAlign w:val="center"/>
          </w:tcPr>
          <w:p>
            <w:pPr>
              <w:widowControl/>
              <w:spacing w:line="360" w:lineRule="auto"/>
              <w:jc w:val="center"/>
              <w:rPr>
                <w:rFonts w:ascii="宋体" w:hAnsi="宋体" w:cs="宋体"/>
                <w:kern w:val="0"/>
                <w:sz w:val="18"/>
                <w:szCs w:val="18"/>
                <w:highlight w:val="none"/>
              </w:rPr>
            </w:pPr>
          </w:p>
        </w:tc>
        <w:tc>
          <w:tcPr>
            <w:tcW w:w="567" w:type="dxa"/>
            <w:vAlign w:val="center"/>
          </w:tcPr>
          <w:p>
            <w:pPr>
              <w:widowControl/>
              <w:spacing w:line="360" w:lineRule="auto"/>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111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企业工程管理经验</w:t>
            </w:r>
          </w:p>
        </w:tc>
        <w:tc>
          <w:tcPr>
            <w:tcW w:w="587"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投标人在“全国投资项目在线审批监管平台”完成了工程咨询单位备案手续，开始从事工程咨询业务时间至今15年或以上得5分，10年至14年得</w:t>
            </w:r>
            <w:r>
              <w:rPr>
                <w:rFonts w:ascii="宋体" w:hAnsi="宋体" w:cs="宋体"/>
                <w:kern w:val="0"/>
                <w:sz w:val="18"/>
                <w:szCs w:val="18"/>
                <w:highlight w:val="none"/>
              </w:rPr>
              <w:t>3</w:t>
            </w:r>
            <w:r>
              <w:rPr>
                <w:rFonts w:hint="eastAsia" w:ascii="宋体" w:hAnsi="宋体" w:cs="宋体"/>
                <w:kern w:val="0"/>
                <w:sz w:val="18"/>
                <w:szCs w:val="18"/>
                <w:highlight w:val="none"/>
              </w:rPr>
              <w:t>分</w:t>
            </w:r>
            <w:r>
              <w:rPr>
                <w:rFonts w:hint="eastAsia" w:ascii="宋体" w:hAnsi="宋体" w:cs="宋体"/>
                <w:kern w:val="0"/>
                <w:sz w:val="18"/>
                <w:szCs w:val="18"/>
                <w:highlight w:val="none"/>
              </w:rPr>
              <w:t>，9年或以下得1分。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注：需提供全国投资项目在线审批监管平台http://new.tzxm.gov.cn//tzpt/statics/html/consult/1.shtml网页截图。</w:t>
            </w:r>
          </w:p>
        </w:tc>
        <w:tc>
          <w:tcPr>
            <w:tcW w:w="851" w:type="dxa"/>
            <w:vAlign w:val="center"/>
          </w:tcPr>
          <w:p>
            <w:pPr>
              <w:widowControl/>
              <w:spacing w:line="360" w:lineRule="auto"/>
              <w:jc w:val="center"/>
              <w:rPr>
                <w:rFonts w:ascii="宋体" w:hAnsi="宋体" w:cs="宋体"/>
                <w:kern w:val="0"/>
                <w:sz w:val="18"/>
                <w:szCs w:val="18"/>
                <w:highlight w:val="none"/>
              </w:rPr>
            </w:pPr>
          </w:p>
        </w:tc>
        <w:tc>
          <w:tcPr>
            <w:tcW w:w="567" w:type="dxa"/>
            <w:vAlign w:val="center"/>
          </w:tcPr>
          <w:p>
            <w:pPr>
              <w:widowControl/>
              <w:spacing w:line="360" w:lineRule="auto"/>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111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设备配置</w:t>
            </w:r>
          </w:p>
          <w:p>
            <w:pPr>
              <w:widowControl/>
              <w:spacing w:line="360" w:lineRule="auto"/>
              <w:jc w:val="center"/>
              <w:rPr>
                <w:rFonts w:ascii="宋体" w:hAnsi="宋体" w:cs="宋体"/>
                <w:kern w:val="0"/>
                <w:sz w:val="18"/>
                <w:szCs w:val="18"/>
                <w:highlight w:val="none"/>
              </w:rPr>
            </w:pPr>
          </w:p>
        </w:tc>
        <w:tc>
          <w:tcPr>
            <w:tcW w:w="587"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5</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拟投入的设备配置满足本招标文件第五章委托人要求中关于设备配置要求的得5分，不满足不得分。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注：须提供购买设备的发票扫描件或租凭合同扫描件；提供租赁合同扫描件的应同时提供设备发票扫描件，否则不得分</w:t>
            </w:r>
          </w:p>
        </w:tc>
        <w:tc>
          <w:tcPr>
            <w:tcW w:w="851" w:type="dxa"/>
            <w:vAlign w:val="center"/>
          </w:tcPr>
          <w:p>
            <w:pPr>
              <w:widowControl/>
              <w:spacing w:line="360" w:lineRule="auto"/>
              <w:jc w:val="center"/>
              <w:rPr>
                <w:rFonts w:ascii="宋体" w:hAnsi="宋体" w:cs="宋体"/>
                <w:kern w:val="0"/>
                <w:sz w:val="18"/>
                <w:szCs w:val="18"/>
                <w:highlight w:val="none"/>
              </w:rPr>
            </w:pPr>
          </w:p>
        </w:tc>
        <w:tc>
          <w:tcPr>
            <w:tcW w:w="567" w:type="dxa"/>
            <w:vAlign w:val="center"/>
          </w:tcPr>
          <w:p>
            <w:pPr>
              <w:widowControl/>
              <w:spacing w:line="360" w:lineRule="auto"/>
              <w:jc w:val="center"/>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73" w:type="dxa"/>
            <w:gridSpan w:val="6"/>
            <w:vAlign w:val="center"/>
          </w:tcPr>
          <w:p>
            <w:pPr>
              <w:widowControl/>
              <w:spacing w:line="360" w:lineRule="auto"/>
              <w:rPr>
                <w:rFonts w:ascii="宋体" w:hAnsi="宋体" w:cs="宋体"/>
                <w:kern w:val="0"/>
                <w:sz w:val="18"/>
                <w:szCs w:val="18"/>
                <w:highlight w:val="none"/>
              </w:rPr>
            </w:pPr>
            <w:r>
              <w:rPr>
                <w:rFonts w:hint="eastAsia" w:ascii="宋体" w:hAnsi="宋体" w:cs="宋体"/>
                <w:kern w:val="0"/>
                <w:sz w:val="18"/>
                <w:szCs w:val="18"/>
                <w:highlight w:val="none"/>
              </w:rPr>
              <w:t>B、代建服务方案（3</w:t>
            </w:r>
            <w:r>
              <w:rPr>
                <w:rFonts w:ascii="宋体" w:hAnsi="宋体" w:cs="宋体"/>
                <w:kern w:val="0"/>
                <w:sz w:val="18"/>
                <w:szCs w:val="18"/>
                <w:highlight w:val="none"/>
              </w:rPr>
              <w:t>0</w:t>
            </w:r>
            <w:r>
              <w:rPr>
                <w:rFonts w:hint="eastAsia" w:ascii="宋体" w:hAnsi="宋体" w:cs="宋体"/>
                <w:kern w:val="0"/>
                <w:sz w:val="18"/>
                <w:szCs w:val="1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restart"/>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代建服务方案</w:t>
            </w: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项目管理方案总体框架、思路</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1、总体框架、思路清晰、目标明确，对项目管理的各项工作和要求理解到位，符合本项目管理的要求得2分；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2、总体框架、思路较清晰、目标较明确，基本理解项目管理的各项工作，基本符合本项目管理的要求得1分；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3、能提出基本的框架思路，但不清晰，对项目管理的各项工作理解不够到位的得0.5分；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对本项目特点的认识和理解，制定前期工作方案和措施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1、针对本项目建设特点具有全面客观的认识，有全面认识和理解，方案和措施清晰明确、切实可行得2分；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2、针对本项目建设特点有基本认识和理解，方案和措施较明确、可行得1分；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3、针对本项目建设特点，对本项目特点的认识不够，分析不清楚。管理方案和措施可行性差的得0.5分；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项目管理的工作程序和工作制度</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1、制定相关的工作程序及工作制度，工作程序符合建设程序且合理、可行，工作制度全面、合理得3分；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2、制定相关的工作程序及工作制度，工作程序符合建设程序且基本合理，工作制度较全面得2分；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3、能提出本项目管理过程的工作程序和工作制度，工作程序不完全符合建设程序的要求，工作制度不全面的得1分。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项目管理重点难点分析、合理化建议及应对不定性因素的措施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1、对本项目管理中重点难点分析到位，合理化建议切实可行，应对不定性因素措施可靠得3分；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2、对本项目管理中重点难点分析较到位，合理化建议有一定的可行性，应对不定性因素措施一般得2分；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3、对本项目管理中重点难点有基本认识，无合理化建议或建议不可行，应对不定性因素措施不可靠的得1分。</w:t>
            </w:r>
            <w:bookmarkStart w:id="121" w:name="_GoBack"/>
            <w:bookmarkEnd w:id="121"/>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项目管理过程中与有关部门的协调能力</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1、协调能力强，有全面具体的措施，措施得力，方法合理得2分；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 xml:space="preserve">2、协调能力一般，有措施，措施一般得1分； </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3、协调能力差，无措施或措施不可行的得0.5分。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设计工作管理方案及设计优化措施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1、设计工作管理及优化措施能在充分理解、满足业主要求的基础上，管理方案表述清晰完整、合理可行，措施、具体、有效得3分；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2、设计工作管理及优化能基本理解、满足业主的要求，管理方案表述较完整可行，措施一般得2分；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3、设计工作管理不能完全理解、满足业主的要求，设计概算不能控制在项目总投资限额内，管理方案表述不清晰，措施不具体的得1分。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项目质量管理方案和措施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1、质量管理方案内容全面，质量目标明确，质量管理体系和组织措施完善可靠，竣工验收与移交管理措施具体可行得3分；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2、质量管理方案内容较全面，质量目标较明确，质量管理体系和组织措施基本完善可靠，竣工验收与移交管理措施较具体可行得2分；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3、质量管理方案内容不够全面，质量目标不明确，预控和动态控制管理措施不够具体，各项措施可行性差的得1分。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项目进度管理方案和措施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1、对项目进度管理有科学认识，对本项目管理过程中的各种问题有切实可行的应对，计划的柔性好，按时完工可靠性高；管理方案表述清晰完整、严谨合理得3分；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2、对项目进度管理有科学认识，对本项目管理过程中的各种问题有一定的应对案，基本能满足本项目工期要求；合理得2分；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3、对项目进度管理有科学认识，对本项目管理过程中的各种问题没有应对方案，按时完工的可靠性差；管理方案表述不清晰的得1分。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项目投资管理方案和措施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1、投资管理目标明确，投资控制方案可行、可靠、合理，针对性强，措施具体、成熟、完善，各阶段的概算、预算、结算能很好地控制在预定的限额内得3分；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2、投资管理目标较明确，投资控制方案较可行、合理，针对性较好，措施一般，各阶段的概算、预算、结算能控制在预定的限额内得2分；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3、投资控制方案可行性、针对性差，措施不具体，各阶段的概算、预算、结算不能控制在预定的限额内的得1分。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项目合同、档案及信息管理方案和措施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1、项目合同、档案管理方案符合档案管理要求，管理措施完善、可行、合理，操作性强得2分；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2、项目合同、档案管理方案基本符合档案管理要求，管理措施较完善、可行，操作性较好得1分；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3、项目档案管理方案管理措施不完善、不可行，操作性差的得0.2分。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项目安全文明施工管理方案和措施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1、文明施工及安全保证措施明确、具体可行、各项措施落实的得2分；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2、文明施工及安全保证措施较明确、具体、措施落实一般的得1分；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3、方案及措施不明确、不具体的得0.5分。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34" w:type="dxa"/>
            <w:vMerge w:val="continue"/>
            <w:vAlign w:val="center"/>
          </w:tcPr>
          <w:p>
            <w:pPr>
              <w:widowControl/>
              <w:spacing w:line="360" w:lineRule="auto"/>
              <w:jc w:val="left"/>
              <w:rPr>
                <w:rFonts w:ascii="宋体" w:hAnsi="宋体" w:cs="宋体"/>
                <w:kern w:val="0"/>
                <w:sz w:val="18"/>
                <w:szCs w:val="18"/>
                <w:highlight w:val="none"/>
              </w:rPr>
            </w:pPr>
          </w:p>
        </w:tc>
        <w:tc>
          <w:tcPr>
            <w:tcW w:w="1114"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对设计、监理、施工和设备材料供应等单位的管理方案和措施</w:t>
            </w:r>
          </w:p>
        </w:tc>
        <w:tc>
          <w:tcPr>
            <w:tcW w:w="58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w:t>
            </w:r>
          </w:p>
        </w:tc>
        <w:tc>
          <w:tcPr>
            <w:tcW w:w="6520"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1、有管理方案措施比较到位、切实可行，对各单位的管理责任明确得2分；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2、有管理方案措施到位、可行，对各单位的管理责任较明确得1分；</w:t>
            </w:r>
          </w:p>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3、有管理方案措施不到位，对各单位的管理较混乱的得0.5分。</w:t>
            </w:r>
          </w:p>
        </w:tc>
        <w:tc>
          <w:tcPr>
            <w:tcW w:w="851" w:type="dxa"/>
            <w:vAlign w:val="center"/>
          </w:tcPr>
          <w:p>
            <w:pPr>
              <w:widowControl/>
              <w:spacing w:line="360" w:lineRule="auto"/>
              <w:jc w:val="left"/>
              <w:rPr>
                <w:rFonts w:ascii="宋体" w:hAnsi="宋体"/>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273" w:type="dxa"/>
            <w:gridSpan w:val="6"/>
            <w:vAlign w:val="center"/>
          </w:tcPr>
          <w:p>
            <w:pPr>
              <w:widowControl/>
              <w:spacing w:line="360" w:lineRule="auto"/>
              <w:rPr>
                <w:rFonts w:ascii="宋体" w:hAnsi="宋体" w:cs="宋体"/>
                <w:kern w:val="0"/>
                <w:sz w:val="18"/>
                <w:szCs w:val="18"/>
                <w:highlight w:val="none"/>
              </w:rPr>
            </w:pPr>
            <w:r>
              <w:rPr>
                <w:rFonts w:hint="eastAsia" w:ascii="宋体" w:hAnsi="宋体" w:cs="宋体"/>
                <w:kern w:val="0"/>
                <w:sz w:val="18"/>
                <w:szCs w:val="18"/>
                <w:highlight w:val="none"/>
              </w:rPr>
              <w:t>C、投标报价部分（10分）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3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6</w:t>
            </w:r>
          </w:p>
        </w:tc>
        <w:tc>
          <w:tcPr>
            <w:tcW w:w="1114"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投标报价</w:t>
            </w:r>
          </w:p>
        </w:tc>
        <w:tc>
          <w:tcPr>
            <w:tcW w:w="587" w:type="dxa"/>
            <w:vAlign w:val="center"/>
          </w:tcPr>
          <w:p>
            <w:pPr>
              <w:widowControl/>
              <w:spacing w:line="360" w:lineRule="auto"/>
              <w:jc w:val="center"/>
              <w:rPr>
                <w:rFonts w:ascii="宋体" w:hAnsi="宋体" w:cs="宋体"/>
                <w:kern w:val="0"/>
                <w:sz w:val="18"/>
                <w:szCs w:val="18"/>
                <w:highlight w:val="none"/>
              </w:rPr>
            </w:pPr>
            <w:r>
              <w:rPr>
                <w:rFonts w:hint="eastAsia" w:ascii="宋体" w:hAnsi="宋体" w:cs="宋体"/>
                <w:kern w:val="0"/>
                <w:sz w:val="18"/>
                <w:szCs w:val="18"/>
                <w:highlight w:val="none"/>
              </w:rPr>
              <w:t>1</w:t>
            </w:r>
            <w:r>
              <w:rPr>
                <w:rFonts w:ascii="宋体" w:hAnsi="宋体" w:cs="宋体"/>
                <w:kern w:val="0"/>
                <w:sz w:val="18"/>
                <w:szCs w:val="18"/>
                <w:highlight w:val="none"/>
              </w:rPr>
              <w:t>0</w:t>
            </w:r>
          </w:p>
        </w:tc>
        <w:tc>
          <w:tcPr>
            <w:tcW w:w="6520" w:type="dxa"/>
            <w:vAlign w:val="center"/>
          </w:tcPr>
          <w:p>
            <w:pPr>
              <w:widowControl/>
              <w:spacing w:line="360" w:lineRule="auto"/>
              <w:rPr>
                <w:rFonts w:ascii="宋体" w:hAnsi="宋体" w:cs="宋体"/>
                <w:kern w:val="0"/>
                <w:sz w:val="18"/>
                <w:szCs w:val="18"/>
                <w:highlight w:val="none"/>
              </w:rPr>
            </w:pPr>
            <w:r>
              <w:rPr>
                <w:rFonts w:hint="eastAsia" w:ascii="宋体" w:hAnsi="宋体" w:cs="宋体"/>
                <w:kern w:val="0"/>
                <w:sz w:val="18"/>
                <w:szCs w:val="18"/>
                <w:highlight w:val="none"/>
              </w:rPr>
              <w:t>投标人代建服务费的投标报价以评标基准价作为计算各投标报价得分的基础，当投标报价等于评标基准值时得10分；投标报价与评标基准价相比，每上偏1%扣</w:t>
            </w:r>
            <w:r>
              <w:rPr>
                <w:rFonts w:ascii="宋体" w:hAnsi="宋体" w:cs="宋体"/>
                <w:kern w:val="0"/>
                <w:sz w:val="18"/>
                <w:szCs w:val="18"/>
                <w:highlight w:val="none"/>
              </w:rPr>
              <w:t>0.5</w:t>
            </w:r>
            <w:r>
              <w:rPr>
                <w:rFonts w:hint="eastAsia" w:ascii="宋体" w:hAnsi="宋体" w:cs="宋体"/>
                <w:kern w:val="0"/>
                <w:sz w:val="18"/>
                <w:szCs w:val="18"/>
                <w:highlight w:val="none"/>
              </w:rPr>
              <w:t>分，每下偏1%扣</w:t>
            </w:r>
            <w:r>
              <w:rPr>
                <w:rFonts w:ascii="宋体" w:hAnsi="宋体" w:cs="宋体"/>
                <w:kern w:val="0"/>
                <w:sz w:val="18"/>
                <w:szCs w:val="18"/>
                <w:highlight w:val="none"/>
              </w:rPr>
              <w:t>0.</w:t>
            </w:r>
            <w:r>
              <w:rPr>
                <w:rFonts w:hint="eastAsia" w:ascii="宋体" w:hAnsi="宋体" w:cs="宋体"/>
                <w:kern w:val="0"/>
                <w:sz w:val="18"/>
                <w:szCs w:val="18"/>
                <w:highlight w:val="none"/>
              </w:rPr>
              <w:t>3分</w:t>
            </w:r>
            <w:r>
              <w:rPr>
                <w:rFonts w:hint="eastAsia" w:ascii="宋体" w:hAnsi="宋体" w:cs="宋体"/>
                <w:kern w:val="0"/>
                <w:sz w:val="18"/>
                <w:szCs w:val="18"/>
                <w:highlight w:val="none"/>
              </w:rPr>
              <w:t>；扣至0分为止。</w:t>
            </w:r>
          </w:p>
        </w:tc>
        <w:tc>
          <w:tcPr>
            <w:tcW w:w="851" w:type="dxa"/>
            <w:vAlign w:val="center"/>
          </w:tcPr>
          <w:p>
            <w:pPr>
              <w:widowControl/>
              <w:spacing w:line="360" w:lineRule="auto"/>
              <w:jc w:val="center"/>
              <w:rPr>
                <w:rFonts w:ascii="宋体" w:hAnsi="宋体" w:cs="宋体"/>
                <w:kern w:val="0"/>
                <w:sz w:val="18"/>
                <w:szCs w:val="18"/>
                <w:highlight w:val="none"/>
              </w:rPr>
            </w:pPr>
          </w:p>
          <w:p>
            <w:pPr>
              <w:widowControl/>
              <w:spacing w:line="360" w:lineRule="auto"/>
              <w:jc w:val="left"/>
              <w:rPr>
                <w:rFonts w:ascii="宋体" w:hAnsi="宋体" w:cs="宋体"/>
                <w:kern w:val="0"/>
                <w:sz w:val="18"/>
                <w:szCs w:val="18"/>
                <w:highlight w:val="none"/>
              </w:rPr>
            </w:pPr>
          </w:p>
        </w:tc>
        <w:tc>
          <w:tcPr>
            <w:tcW w:w="567" w:type="dxa"/>
            <w:vAlign w:val="center"/>
          </w:tcPr>
          <w:p>
            <w:pPr>
              <w:widowControl/>
              <w:spacing w:line="360" w:lineRule="auto"/>
              <w:jc w:val="left"/>
              <w:rPr>
                <w:rFonts w:ascii="宋体" w:hAnsi="宋体" w:cs="宋体"/>
                <w:kern w:val="0"/>
                <w:sz w:val="18"/>
                <w:szCs w:val="18"/>
                <w:highlight w:val="none"/>
              </w:rPr>
            </w:pPr>
            <w:r>
              <w:rPr>
                <w:rFonts w:hint="eastAsia" w:ascii="宋体" w:hAnsi="宋体" w:cs="宋体"/>
                <w:kern w:val="0"/>
                <w:sz w:val="18"/>
                <w:szCs w:val="18"/>
                <w:highlight w:val="none"/>
              </w:rPr>
              <w:t>　</w:t>
            </w:r>
          </w:p>
        </w:tc>
      </w:tr>
    </w:tbl>
    <w:p>
      <w:pPr>
        <w:snapToGrid w:val="0"/>
        <w:ind w:firstLine="360" w:firstLineChars="200"/>
        <w:rPr>
          <w:rFonts w:ascii="宋体" w:hAnsi="宋体"/>
          <w:color w:val="000000"/>
          <w:highlight w:val="none"/>
        </w:rPr>
      </w:pPr>
      <w:r>
        <w:rPr>
          <w:rFonts w:hint="eastAsia" w:ascii="宋体" w:hAnsi="宋体" w:cs="宋体"/>
          <w:color w:val="auto"/>
          <w:sz w:val="18"/>
          <w:szCs w:val="18"/>
          <w:highlight w:val="none"/>
        </w:rPr>
        <w:t>注：</w:t>
      </w:r>
    </w:p>
    <w:p>
      <w:pPr>
        <w:spacing w:line="360" w:lineRule="auto"/>
        <w:rPr>
          <w:rFonts w:ascii="宋体" w:hAnsi="宋体" w:cs="宋体"/>
          <w:sz w:val="18"/>
          <w:szCs w:val="18"/>
          <w:highlight w:val="none"/>
        </w:rPr>
      </w:pPr>
      <w:bookmarkStart w:id="84" w:name="_Toc8500"/>
      <w:r>
        <w:rPr>
          <w:rFonts w:hint="eastAsia" w:ascii="宋体" w:hAnsi="宋体" w:cs="宋体"/>
          <w:sz w:val="18"/>
          <w:szCs w:val="18"/>
          <w:highlight w:val="none"/>
        </w:rPr>
        <w:t>注：1、投标人的得分为各评委的算术平均分。评分分数出现小数点时，保留小数点后二位，第三位小数四舍五入。</w:t>
      </w:r>
    </w:p>
    <w:p>
      <w:pPr>
        <w:spacing w:line="276" w:lineRule="auto"/>
        <w:ind w:firstLine="363" w:firstLineChars="202"/>
        <w:rPr>
          <w:rFonts w:ascii="宋体" w:hAnsi="宋体" w:cs="宋体"/>
          <w:sz w:val="18"/>
          <w:szCs w:val="18"/>
          <w:highlight w:val="none"/>
        </w:rPr>
      </w:pPr>
      <w:r>
        <w:rPr>
          <w:rFonts w:hint="eastAsia" w:ascii="宋体" w:hAnsi="宋体" w:cs="宋体"/>
          <w:sz w:val="18"/>
          <w:szCs w:val="18"/>
          <w:highlight w:val="none"/>
        </w:rPr>
        <w:t>2、当通过初步评审在位于[最高投标限价×90%，最高投标限价]区间的投标价中的投标人大于或等于5名时，所有入围的有效投标价中去掉一个最高价和一个最低价，取余下有效投标价的算术平均值的作为评标基准价。当通过初步评审在位于[最高投标限价×90%，最高投标限价]区间的投标价中的投标人小于5名时，取所有入围的有效投标价的算术平均值的作为评标基准价。若当通过初步评审没有投标价位于[最高投标限价×90%，最高投标限价]区间的投标人，所有投标人的报价得分为0分。</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widowControl/>
        <w:jc w:val="left"/>
        <w:rPr>
          <w:rFonts w:ascii="宋体" w:hAnsi="宋体" w:cs="宋体"/>
          <w:color w:val="auto"/>
          <w:highlight w:val="none"/>
        </w:rPr>
      </w:pPr>
    </w:p>
    <w:p>
      <w:pPr>
        <w:pStyle w:val="3"/>
        <w:numPr>
          <w:ilvl w:val="0"/>
          <w:numId w:val="1"/>
        </w:numPr>
        <w:rPr>
          <w:color w:val="auto"/>
          <w:highlight w:val="none"/>
        </w:rPr>
      </w:pPr>
      <w:bookmarkStart w:id="85" w:name="_Toc132272655"/>
      <w:r>
        <w:rPr>
          <w:rFonts w:hint="eastAsia"/>
          <w:color w:val="auto"/>
          <w:highlight w:val="none"/>
        </w:rPr>
        <w:t>合同条款及格式</w:t>
      </w:r>
      <w:bookmarkEnd w:id="84"/>
      <w:bookmarkEnd w:id="85"/>
    </w:p>
    <w:p>
      <w:pPr>
        <w:spacing w:line="460" w:lineRule="exact"/>
        <w:ind w:firstLine="420" w:firstLineChars="200"/>
        <w:jc w:val="center"/>
        <w:rPr>
          <w:rFonts w:ascii="宋体" w:hAnsi="宋体"/>
          <w:color w:val="auto"/>
          <w:highlight w:val="none"/>
        </w:rPr>
      </w:pPr>
      <w:r>
        <w:rPr>
          <w:rFonts w:hint="eastAsia" w:ascii="宋体" w:hAnsi="宋体"/>
          <w:color w:val="auto"/>
          <w:highlight w:val="none"/>
        </w:rPr>
        <w:t>（另册）</w:t>
      </w:r>
    </w:p>
    <w:p>
      <w:pPr>
        <w:spacing w:line="460" w:lineRule="exact"/>
        <w:ind w:firstLine="420" w:firstLineChars="200"/>
        <w:jc w:val="left"/>
        <w:rPr>
          <w:rFonts w:ascii="宋体" w:hAnsi="宋体"/>
          <w:color w:val="auto"/>
          <w:highlight w:val="none"/>
        </w:rPr>
      </w:pPr>
    </w:p>
    <w:p>
      <w:pPr>
        <w:spacing w:line="460" w:lineRule="exact"/>
        <w:ind w:firstLine="420" w:firstLineChars="200"/>
        <w:jc w:val="left"/>
        <w:rPr>
          <w:rFonts w:ascii="宋体" w:hAnsi="宋体"/>
          <w:color w:val="auto"/>
          <w:highlight w:val="none"/>
        </w:rPr>
      </w:pPr>
      <w:r>
        <w:rPr>
          <w:rFonts w:ascii="宋体" w:hAnsi="宋体"/>
          <w:color w:val="auto"/>
          <w:highlight w:val="none"/>
        </w:rPr>
        <w:br w:type="page"/>
      </w:r>
    </w:p>
    <w:p>
      <w:pPr>
        <w:pStyle w:val="3"/>
        <w:rPr>
          <w:color w:val="auto"/>
          <w:highlight w:val="none"/>
        </w:rPr>
      </w:pPr>
      <w:bookmarkStart w:id="86" w:name="_Toc19059"/>
      <w:bookmarkEnd w:id="86"/>
      <w:bookmarkStart w:id="87" w:name="_Toc8835"/>
      <w:bookmarkEnd w:id="87"/>
      <w:bookmarkStart w:id="88" w:name="_Toc1562"/>
      <w:bookmarkEnd w:id="88"/>
      <w:bookmarkStart w:id="89" w:name="_Toc132272674"/>
      <w:r>
        <w:rPr>
          <w:rFonts w:hint="eastAsia"/>
          <w:color w:val="auto"/>
          <w:highlight w:val="none"/>
        </w:rPr>
        <w:t>第五章 委托人要求</w:t>
      </w:r>
      <w:bookmarkEnd w:id="89"/>
    </w:p>
    <w:p>
      <w:pPr>
        <w:spacing w:line="460" w:lineRule="exact"/>
        <w:ind w:firstLine="422" w:firstLineChars="200"/>
        <w:jc w:val="left"/>
        <w:rPr>
          <w:rFonts w:ascii="宋体" w:hAnsi="宋体" w:cs="宋体"/>
          <w:b/>
          <w:bCs/>
          <w:color w:val="auto"/>
          <w:highlight w:val="none"/>
        </w:rPr>
      </w:pPr>
      <w:bookmarkStart w:id="90" w:name="_Toc393961883"/>
      <w:bookmarkEnd w:id="90"/>
      <w:bookmarkStart w:id="91" w:name="_Toc9576"/>
      <w:bookmarkEnd w:id="91"/>
      <w:bookmarkStart w:id="92" w:name="_Toc28731"/>
      <w:bookmarkEnd w:id="92"/>
      <w:r>
        <w:rPr>
          <w:rFonts w:hint="eastAsia" w:ascii="宋体" w:hAnsi="宋体" w:cs="宋体"/>
          <w:b/>
          <w:bCs/>
          <w:color w:val="auto"/>
          <w:highlight w:val="none"/>
        </w:rPr>
        <w:t>一、项目概况</w:t>
      </w:r>
    </w:p>
    <w:p>
      <w:pPr>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详见招标公告。</w:t>
      </w:r>
    </w:p>
    <w:p>
      <w:pPr>
        <w:spacing w:line="460" w:lineRule="exact"/>
        <w:ind w:firstLine="422" w:firstLineChars="200"/>
        <w:jc w:val="left"/>
        <w:rPr>
          <w:rFonts w:ascii="宋体" w:hAnsi="宋体" w:cs="黑体"/>
          <w:b/>
          <w:color w:val="auto"/>
          <w:highlight w:val="none"/>
        </w:rPr>
      </w:pPr>
      <w:r>
        <w:rPr>
          <w:rFonts w:hint="eastAsia" w:ascii="宋体" w:hAnsi="宋体" w:cs="黑体"/>
          <w:b/>
          <w:color w:val="auto"/>
          <w:highlight w:val="none"/>
        </w:rPr>
        <w:t>二、项目相关要求</w:t>
      </w:r>
    </w:p>
    <w:p>
      <w:pPr>
        <w:spacing w:line="46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（一）管理目标要求：</w:t>
      </w:r>
    </w:p>
    <w:p>
      <w:pPr>
        <w:spacing w:line="460" w:lineRule="exact"/>
        <w:ind w:firstLine="850" w:firstLineChars="403"/>
        <w:jc w:val="left"/>
        <w:rPr>
          <w:rFonts w:ascii="宋体" w:hAnsi="宋体" w:cs="宋体"/>
          <w:color w:val="auto"/>
          <w:highlight w:val="none"/>
        </w:rPr>
      </w:pPr>
      <w:r>
        <w:rPr>
          <w:rFonts w:ascii="宋体" w:hAnsi="宋体" w:cs="宋体"/>
          <w:b/>
          <w:bCs/>
          <w:color w:val="auto"/>
          <w:highlight w:val="none"/>
        </w:rPr>
        <w:t>1.</w:t>
      </w:r>
      <w:r>
        <w:rPr>
          <w:rFonts w:hint="eastAsia" w:ascii="宋体" w:hAnsi="宋体" w:cs="宋体"/>
          <w:b/>
          <w:bCs/>
          <w:color w:val="auto"/>
          <w:highlight w:val="none"/>
        </w:rPr>
        <w:t>工程质量目标：</w:t>
      </w:r>
      <w:r>
        <w:rPr>
          <w:rFonts w:hint="eastAsia" w:ascii="宋体" w:hAnsi="宋体" w:cs="宋体"/>
          <w:color w:val="auto"/>
          <w:highlight w:val="none"/>
        </w:rPr>
        <w:t>竣工验收达到合格或以上标准。</w:t>
      </w:r>
    </w:p>
    <w:p>
      <w:pPr>
        <w:spacing w:line="460" w:lineRule="exact"/>
        <w:ind w:firstLine="850" w:firstLineChars="403"/>
        <w:jc w:val="left"/>
        <w:rPr>
          <w:rFonts w:ascii="宋体" w:hAnsi="宋体" w:cs="宋体"/>
          <w:color w:val="auto"/>
          <w:highlight w:val="none"/>
        </w:rPr>
      </w:pPr>
      <w:r>
        <w:rPr>
          <w:rFonts w:ascii="宋体" w:hAnsi="宋体" w:cs="宋体"/>
          <w:b/>
          <w:bCs/>
          <w:color w:val="auto"/>
          <w:highlight w:val="none"/>
        </w:rPr>
        <w:t>2.</w:t>
      </w:r>
      <w:r>
        <w:rPr>
          <w:rFonts w:hint="eastAsia" w:ascii="宋体" w:hAnsi="宋体" w:cs="宋体"/>
          <w:b/>
          <w:bCs/>
          <w:color w:val="auto"/>
          <w:highlight w:val="none"/>
        </w:rPr>
        <w:t>投资控制目标：</w:t>
      </w:r>
      <w:r>
        <w:rPr>
          <w:rFonts w:hint="eastAsia" w:ascii="宋体" w:hAnsi="宋体" w:cs="宋体"/>
          <w:color w:val="auto"/>
          <w:highlight w:val="none"/>
        </w:rPr>
        <w:t>确保本项目最终总投资不突破上级相关部门批复的概算。</w:t>
      </w:r>
    </w:p>
    <w:p>
      <w:pPr>
        <w:spacing w:line="460" w:lineRule="exact"/>
        <w:ind w:firstLine="850" w:firstLineChars="403"/>
        <w:jc w:val="left"/>
        <w:rPr>
          <w:rFonts w:ascii="宋体" w:hAnsi="宋体" w:cs="宋体"/>
          <w:color w:val="auto"/>
          <w:highlight w:val="none"/>
        </w:rPr>
      </w:pPr>
      <w:r>
        <w:rPr>
          <w:rFonts w:ascii="宋体" w:hAnsi="宋体" w:cs="宋体"/>
          <w:b/>
          <w:bCs/>
          <w:color w:val="auto"/>
          <w:highlight w:val="none"/>
        </w:rPr>
        <w:t>3.</w:t>
      </w:r>
      <w:r>
        <w:rPr>
          <w:rFonts w:hint="eastAsia" w:ascii="宋体" w:hAnsi="宋体" w:cs="宋体"/>
          <w:b/>
          <w:bCs/>
          <w:color w:val="auto"/>
          <w:highlight w:val="none"/>
        </w:rPr>
        <w:t>工期管理目标：</w:t>
      </w:r>
      <w:r>
        <w:rPr>
          <w:rFonts w:hint="eastAsia" w:ascii="宋体" w:hAnsi="宋体"/>
          <w:color w:val="auto"/>
          <w:highlight w:val="none"/>
        </w:rPr>
        <w:t>和合同保持一致，从签订本项目代建服务合同之日起至本项目完成工程结算并保修期结束之日止。</w:t>
      </w:r>
    </w:p>
    <w:p>
      <w:pPr>
        <w:spacing w:line="460" w:lineRule="exact"/>
        <w:ind w:firstLine="850" w:firstLineChars="403"/>
        <w:jc w:val="left"/>
        <w:rPr>
          <w:rFonts w:ascii="宋体" w:hAnsi="宋体" w:cs="宋体"/>
          <w:color w:val="auto"/>
          <w:highlight w:val="none"/>
        </w:rPr>
      </w:pPr>
      <w:r>
        <w:rPr>
          <w:rFonts w:ascii="宋体" w:hAnsi="宋体" w:cs="宋体"/>
          <w:b/>
          <w:bCs/>
          <w:color w:val="auto"/>
          <w:highlight w:val="none"/>
        </w:rPr>
        <w:t>4.</w:t>
      </w:r>
      <w:r>
        <w:rPr>
          <w:rFonts w:hint="eastAsia" w:ascii="宋体" w:hAnsi="宋体" w:cs="宋体"/>
          <w:b/>
          <w:bCs/>
          <w:color w:val="auto"/>
          <w:highlight w:val="none"/>
        </w:rPr>
        <w:t>安全管理目标：</w:t>
      </w:r>
      <w:r>
        <w:rPr>
          <w:rFonts w:hint="eastAsia" w:ascii="宋体" w:hAnsi="宋体" w:cs="宋体"/>
          <w:color w:val="auto"/>
          <w:highlight w:val="none"/>
        </w:rPr>
        <w:t>确保工程无重大安全事故。</w:t>
      </w:r>
    </w:p>
    <w:p>
      <w:pPr>
        <w:spacing w:line="46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（二）服务团队人员要求</w:t>
      </w:r>
    </w:p>
    <w:p>
      <w:pPr>
        <w:spacing w:line="460" w:lineRule="exact"/>
        <w:ind w:firstLine="420" w:firstLineChars="200"/>
        <w:jc w:val="left"/>
        <w:rPr>
          <w:rFonts w:ascii="宋体" w:hAnsi="宋体" w:cs="宋体"/>
          <w:highlight w:val="none"/>
        </w:rPr>
      </w:pPr>
      <w:r>
        <w:rPr>
          <w:rFonts w:hint="eastAsia" w:ascii="宋体" w:hAnsi="宋体" w:cs="宋体"/>
          <w:color w:val="auto"/>
          <w:highlight w:val="none"/>
        </w:rPr>
        <w:t>投标单位可根据实际工作需要及时投入人员，满足项目各阶段的人员需求，所有人员均须身体健康，项目人员必须为投标单位正式员工。</w:t>
      </w:r>
      <w:r>
        <w:rPr>
          <w:rFonts w:hint="eastAsia" w:ascii="宋体" w:hAnsi="宋体" w:cs="宋体"/>
          <w:highlight w:val="none"/>
        </w:rPr>
        <w:t>具体《项目管理服务团队投入要求》见下表。</w:t>
      </w:r>
    </w:p>
    <w:p>
      <w:pPr>
        <w:pStyle w:val="2"/>
        <w:ind w:firstLine="422"/>
        <w:jc w:val="center"/>
        <w:rPr>
          <w:highlight w:val="none"/>
        </w:rPr>
      </w:pPr>
      <w:bookmarkStart w:id="93" w:name="_Toc129719189"/>
      <w:r>
        <w:rPr>
          <w:rFonts w:hint="eastAsia" w:ascii="宋体" w:hAnsi="宋体" w:eastAsia="宋体" w:cs="宋体"/>
          <w:b/>
          <w:bCs/>
          <w:szCs w:val="21"/>
          <w:highlight w:val="none"/>
        </w:rPr>
        <w:t>项目管理服务团队投入要求表</w:t>
      </w:r>
      <w:bookmarkEnd w:id="93"/>
    </w:p>
    <w:tbl>
      <w:tblPr>
        <w:tblStyle w:val="30"/>
        <w:tblW w:w="47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769"/>
        <w:gridCol w:w="4191"/>
        <w:gridCol w:w="1347"/>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5" w:type="pct"/>
            <w:vAlign w:val="center"/>
          </w:tcPr>
          <w:p>
            <w:pPr>
              <w:pStyle w:val="96"/>
              <w:rPr>
                <w:highlight w:val="none"/>
              </w:rPr>
            </w:pPr>
            <w:r>
              <w:rPr>
                <w:highlight w:val="none"/>
              </w:rPr>
              <w:t>序号</w:t>
            </w:r>
          </w:p>
        </w:tc>
        <w:tc>
          <w:tcPr>
            <w:tcW w:w="927" w:type="pct"/>
            <w:vAlign w:val="center"/>
          </w:tcPr>
          <w:p>
            <w:pPr>
              <w:pStyle w:val="96"/>
              <w:rPr>
                <w:highlight w:val="none"/>
              </w:rPr>
            </w:pPr>
            <w:r>
              <w:rPr>
                <w:highlight w:val="none"/>
              </w:rPr>
              <w:t>工作职责</w:t>
            </w:r>
          </w:p>
        </w:tc>
        <w:tc>
          <w:tcPr>
            <w:tcW w:w="2196" w:type="pct"/>
            <w:vAlign w:val="center"/>
          </w:tcPr>
          <w:p>
            <w:pPr>
              <w:pStyle w:val="96"/>
              <w:rPr>
                <w:highlight w:val="none"/>
              </w:rPr>
            </w:pPr>
            <w:r>
              <w:rPr>
                <w:highlight w:val="none"/>
              </w:rPr>
              <w:t>资格要求</w:t>
            </w:r>
          </w:p>
        </w:tc>
        <w:tc>
          <w:tcPr>
            <w:tcW w:w="706" w:type="pct"/>
            <w:vAlign w:val="center"/>
          </w:tcPr>
          <w:p>
            <w:pPr>
              <w:pStyle w:val="96"/>
              <w:rPr>
                <w:highlight w:val="none"/>
              </w:rPr>
            </w:pPr>
            <w:r>
              <w:rPr>
                <w:highlight w:val="none"/>
              </w:rPr>
              <w:t>最低投入人数要求</w:t>
            </w:r>
          </w:p>
        </w:tc>
        <w:tc>
          <w:tcPr>
            <w:tcW w:w="704" w:type="pct"/>
          </w:tcPr>
          <w:p>
            <w:pPr>
              <w:pStyle w:val="96"/>
              <w:rPr>
                <w:highlight w:val="none"/>
              </w:rPr>
            </w:pPr>
            <w:r>
              <w:rPr>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5" w:type="pct"/>
            <w:vAlign w:val="center"/>
          </w:tcPr>
          <w:p>
            <w:pPr>
              <w:pStyle w:val="96"/>
              <w:rPr>
                <w:highlight w:val="none"/>
              </w:rPr>
            </w:pPr>
            <w:r>
              <w:rPr>
                <w:highlight w:val="none"/>
              </w:rPr>
              <w:t>1</w:t>
            </w:r>
          </w:p>
        </w:tc>
        <w:tc>
          <w:tcPr>
            <w:tcW w:w="927" w:type="pct"/>
            <w:vAlign w:val="center"/>
          </w:tcPr>
          <w:p>
            <w:pPr>
              <w:pStyle w:val="96"/>
              <w:rPr>
                <w:highlight w:val="none"/>
              </w:rPr>
            </w:pPr>
            <w:r>
              <w:rPr>
                <w:highlight w:val="none"/>
              </w:rPr>
              <w:t>项目负责人</w:t>
            </w:r>
          </w:p>
        </w:tc>
        <w:tc>
          <w:tcPr>
            <w:tcW w:w="2196" w:type="pct"/>
            <w:vAlign w:val="center"/>
          </w:tcPr>
          <w:p>
            <w:pPr>
              <w:pStyle w:val="96"/>
              <w:rPr>
                <w:highlight w:val="none"/>
              </w:rPr>
            </w:pPr>
            <w:r>
              <w:rPr>
                <w:highlight w:val="none"/>
              </w:rPr>
              <w:t>具备工程类专业高级职称</w:t>
            </w:r>
          </w:p>
        </w:tc>
        <w:tc>
          <w:tcPr>
            <w:tcW w:w="706" w:type="pct"/>
            <w:vAlign w:val="center"/>
          </w:tcPr>
          <w:p>
            <w:pPr>
              <w:pStyle w:val="96"/>
              <w:jc w:val="center"/>
              <w:rPr>
                <w:highlight w:val="none"/>
              </w:rPr>
            </w:pPr>
            <w:r>
              <w:rPr>
                <w:rFonts w:hint="eastAsia"/>
                <w:highlight w:val="none"/>
              </w:rPr>
              <w:t>1</w:t>
            </w:r>
          </w:p>
        </w:tc>
        <w:tc>
          <w:tcPr>
            <w:tcW w:w="704" w:type="pct"/>
          </w:tcPr>
          <w:p>
            <w:pPr>
              <w:pStyle w:val="96"/>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5" w:type="pct"/>
            <w:vAlign w:val="center"/>
          </w:tcPr>
          <w:p>
            <w:pPr>
              <w:pStyle w:val="96"/>
              <w:rPr>
                <w:highlight w:val="none"/>
              </w:rPr>
            </w:pPr>
            <w:r>
              <w:rPr>
                <w:rFonts w:hint="eastAsia"/>
                <w:highlight w:val="none"/>
              </w:rPr>
              <w:t>2</w:t>
            </w:r>
          </w:p>
        </w:tc>
        <w:tc>
          <w:tcPr>
            <w:tcW w:w="927" w:type="pct"/>
            <w:vAlign w:val="center"/>
          </w:tcPr>
          <w:p>
            <w:pPr>
              <w:pStyle w:val="96"/>
              <w:rPr>
                <w:highlight w:val="none"/>
              </w:rPr>
            </w:pPr>
            <w:r>
              <w:rPr>
                <w:highlight w:val="none"/>
              </w:rPr>
              <w:t>造价工程师</w:t>
            </w:r>
          </w:p>
        </w:tc>
        <w:tc>
          <w:tcPr>
            <w:tcW w:w="2196" w:type="pct"/>
            <w:vAlign w:val="center"/>
          </w:tcPr>
          <w:p>
            <w:pPr>
              <w:pStyle w:val="96"/>
              <w:rPr>
                <w:highlight w:val="none"/>
              </w:rPr>
            </w:pPr>
            <w:r>
              <w:rPr>
                <w:highlight w:val="none"/>
              </w:rPr>
              <w:t>具有住房和城乡建设部颁发的注册造价工程师或一级注册造价工程师证书</w:t>
            </w:r>
          </w:p>
        </w:tc>
        <w:tc>
          <w:tcPr>
            <w:tcW w:w="706" w:type="pct"/>
            <w:vAlign w:val="center"/>
          </w:tcPr>
          <w:p>
            <w:pPr>
              <w:pStyle w:val="96"/>
              <w:jc w:val="center"/>
              <w:rPr>
                <w:highlight w:val="none"/>
              </w:rPr>
            </w:pPr>
            <w:r>
              <w:rPr>
                <w:highlight w:val="none"/>
              </w:rPr>
              <w:t>1</w:t>
            </w:r>
          </w:p>
        </w:tc>
        <w:tc>
          <w:tcPr>
            <w:tcW w:w="704" w:type="pct"/>
            <w:vMerge w:val="restart"/>
          </w:tcPr>
          <w:p>
            <w:pPr>
              <w:pStyle w:val="96"/>
              <w:rPr>
                <w:highlight w:val="none"/>
              </w:rPr>
            </w:pPr>
          </w:p>
          <w:p>
            <w:pPr>
              <w:pStyle w:val="96"/>
              <w:rPr>
                <w:highlight w:val="none"/>
              </w:rPr>
            </w:pPr>
          </w:p>
          <w:p>
            <w:pPr>
              <w:pStyle w:val="96"/>
              <w:rPr>
                <w:highlight w:val="none"/>
              </w:rPr>
            </w:pPr>
          </w:p>
          <w:p>
            <w:pPr>
              <w:pStyle w:val="96"/>
              <w:rPr>
                <w:highlight w:val="none"/>
              </w:rPr>
            </w:pPr>
            <w:r>
              <w:rPr>
                <w:rFonts w:hint="eastAsia"/>
                <w:b/>
                <w:bCs/>
                <w:highlight w:val="none"/>
                <w:lang w:eastAsia="zh-CN"/>
              </w:rPr>
              <w:t>序号</w:t>
            </w:r>
            <w:r>
              <w:rPr>
                <w:rFonts w:hint="eastAsia"/>
                <w:b/>
                <w:bCs/>
                <w:highlight w:val="none"/>
                <w:lang w:val="en-US" w:eastAsia="zh-CN"/>
              </w:rPr>
              <w:t>2-7</w:t>
            </w:r>
            <w:r>
              <w:rPr>
                <w:b/>
                <w:bCs/>
                <w:highlight w:val="none"/>
              </w:rPr>
              <w:t>人员专业以毕业证书或职称证书为准</w:t>
            </w: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5" w:type="pct"/>
            <w:vAlign w:val="center"/>
          </w:tcPr>
          <w:p>
            <w:pPr>
              <w:pStyle w:val="96"/>
              <w:rPr>
                <w:highlight w:val="none"/>
              </w:rPr>
            </w:pPr>
            <w:r>
              <w:rPr>
                <w:rFonts w:hint="eastAsia"/>
                <w:highlight w:val="none"/>
              </w:rPr>
              <w:t>3</w:t>
            </w:r>
          </w:p>
        </w:tc>
        <w:tc>
          <w:tcPr>
            <w:tcW w:w="927" w:type="pct"/>
            <w:vAlign w:val="center"/>
          </w:tcPr>
          <w:p>
            <w:pPr>
              <w:pStyle w:val="96"/>
              <w:rPr>
                <w:highlight w:val="none"/>
              </w:rPr>
            </w:pPr>
            <w:r>
              <w:rPr>
                <w:highlight w:val="none"/>
              </w:rPr>
              <w:t>土木工程专业工程师</w:t>
            </w:r>
          </w:p>
        </w:tc>
        <w:tc>
          <w:tcPr>
            <w:tcW w:w="2196" w:type="pct"/>
            <w:vAlign w:val="center"/>
          </w:tcPr>
          <w:p>
            <w:pPr>
              <w:pStyle w:val="96"/>
              <w:rPr>
                <w:highlight w:val="none"/>
              </w:rPr>
            </w:pPr>
            <w:r>
              <w:rPr>
                <w:highlight w:val="none"/>
              </w:rPr>
              <w:t>具备工程类中级或以上职称</w:t>
            </w:r>
          </w:p>
        </w:tc>
        <w:tc>
          <w:tcPr>
            <w:tcW w:w="706" w:type="pct"/>
            <w:vAlign w:val="center"/>
          </w:tcPr>
          <w:p>
            <w:pPr>
              <w:pStyle w:val="96"/>
              <w:jc w:val="center"/>
              <w:rPr>
                <w:highlight w:val="none"/>
              </w:rPr>
            </w:pPr>
            <w:r>
              <w:rPr>
                <w:rFonts w:hint="eastAsia"/>
                <w:highlight w:val="none"/>
              </w:rPr>
              <w:t>1</w:t>
            </w:r>
          </w:p>
        </w:tc>
        <w:tc>
          <w:tcPr>
            <w:tcW w:w="704" w:type="pct"/>
            <w:vMerge w:val="continue"/>
          </w:tcPr>
          <w:p>
            <w:pPr>
              <w:pStyle w:val="96"/>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5" w:type="pct"/>
            <w:vAlign w:val="center"/>
          </w:tcPr>
          <w:p>
            <w:pPr>
              <w:pStyle w:val="96"/>
              <w:rPr>
                <w:highlight w:val="none"/>
              </w:rPr>
            </w:pPr>
            <w:r>
              <w:rPr>
                <w:rFonts w:hint="eastAsia"/>
                <w:highlight w:val="none"/>
              </w:rPr>
              <w:t>4</w:t>
            </w:r>
          </w:p>
        </w:tc>
        <w:tc>
          <w:tcPr>
            <w:tcW w:w="927" w:type="pct"/>
            <w:vAlign w:val="center"/>
          </w:tcPr>
          <w:p>
            <w:pPr>
              <w:pStyle w:val="96"/>
              <w:rPr>
                <w:highlight w:val="none"/>
              </w:rPr>
            </w:pPr>
            <w:r>
              <w:rPr>
                <w:highlight w:val="none"/>
              </w:rPr>
              <w:t>测量专业</w:t>
            </w:r>
            <w:r>
              <w:rPr>
                <w:rFonts w:hint="eastAsia"/>
                <w:highlight w:val="none"/>
              </w:rPr>
              <w:t>工</w:t>
            </w:r>
            <w:r>
              <w:rPr>
                <w:highlight w:val="none"/>
              </w:rPr>
              <w:t>程师</w:t>
            </w:r>
          </w:p>
        </w:tc>
        <w:tc>
          <w:tcPr>
            <w:tcW w:w="2196" w:type="pct"/>
            <w:vAlign w:val="center"/>
          </w:tcPr>
          <w:p>
            <w:pPr>
              <w:pStyle w:val="96"/>
              <w:rPr>
                <w:highlight w:val="none"/>
              </w:rPr>
            </w:pPr>
            <w:r>
              <w:rPr>
                <w:highlight w:val="none"/>
              </w:rPr>
              <w:t>具备工程类中级或以上职称</w:t>
            </w:r>
          </w:p>
        </w:tc>
        <w:tc>
          <w:tcPr>
            <w:tcW w:w="706" w:type="pct"/>
            <w:vAlign w:val="center"/>
          </w:tcPr>
          <w:p>
            <w:pPr>
              <w:pStyle w:val="96"/>
              <w:jc w:val="center"/>
              <w:rPr>
                <w:highlight w:val="none"/>
              </w:rPr>
            </w:pPr>
            <w:r>
              <w:rPr>
                <w:rFonts w:hint="eastAsia"/>
                <w:highlight w:val="none"/>
              </w:rPr>
              <w:t>1</w:t>
            </w:r>
          </w:p>
        </w:tc>
        <w:tc>
          <w:tcPr>
            <w:tcW w:w="704" w:type="pct"/>
            <w:vMerge w:val="continue"/>
          </w:tcPr>
          <w:p>
            <w:pPr>
              <w:pStyle w:val="96"/>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5" w:type="pct"/>
            <w:vAlign w:val="center"/>
          </w:tcPr>
          <w:p>
            <w:pPr>
              <w:pStyle w:val="96"/>
              <w:rPr>
                <w:highlight w:val="none"/>
              </w:rPr>
            </w:pPr>
            <w:r>
              <w:rPr>
                <w:rFonts w:hint="eastAsia"/>
                <w:highlight w:val="none"/>
              </w:rPr>
              <w:t>5</w:t>
            </w:r>
          </w:p>
        </w:tc>
        <w:tc>
          <w:tcPr>
            <w:tcW w:w="927" w:type="pct"/>
            <w:vAlign w:val="center"/>
          </w:tcPr>
          <w:p>
            <w:pPr>
              <w:pStyle w:val="96"/>
              <w:rPr>
                <w:highlight w:val="none"/>
              </w:rPr>
            </w:pPr>
            <w:r>
              <w:rPr>
                <w:highlight w:val="none"/>
              </w:rPr>
              <w:t>电气专业工程师</w:t>
            </w:r>
          </w:p>
        </w:tc>
        <w:tc>
          <w:tcPr>
            <w:tcW w:w="2196" w:type="pct"/>
            <w:vAlign w:val="center"/>
          </w:tcPr>
          <w:p>
            <w:pPr>
              <w:pStyle w:val="96"/>
              <w:rPr>
                <w:highlight w:val="none"/>
              </w:rPr>
            </w:pPr>
            <w:r>
              <w:rPr>
                <w:highlight w:val="none"/>
              </w:rPr>
              <w:t>具备工程类中级或以上职称</w:t>
            </w:r>
          </w:p>
        </w:tc>
        <w:tc>
          <w:tcPr>
            <w:tcW w:w="706" w:type="pct"/>
            <w:vAlign w:val="center"/>
          </w:tcPr>
          <w:p>
            <w:pPr>
              <w:pStyle w:val="96"/>
              <w:jc w:val="center"/>
              <w:rPr>
                <w:highlight w:val="none"/>
              </w:rPr>
            </w:pPr>
            <w:r>
              <w:rPr>
                <w:rFonts w:hint="eastAsia"/>
                <w:highlight w:val="none"/>
              </w:rPr>
              <w:t>1</w:t>
            </w:r>
          </w:p>
        </w:tc>
        <w:tc>
          <w:tcPr>
            <w:tcW w:w="704" w:type="pct"/>
            <w:vMerge w:val="continue"/>
          </w:tcPr>
          <w:p>
            <w:pPr>
              <w:pStyle w:val="96"/>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5" w:type="pct"/>
            <w:vAlign w:val="center"/>
          </w:tcPr>
          <w:p>
            <w:pPr>
              <w:pStyle w:val="96"/>
              <w:rPr>
                <w:highlight w:val="none"/>
              </w:rPr>
            </w:pPr>
            <w:r>
              <w:rPr>
                <w:rFonts w:hint="eastAsia"/>
                <w:highlight w:val="none"/>
              </w:rPr>
              <w:t>6</w:t>
            </w:r>
          </w:p>
        </w:tc>
        <w:tc>
          <w:tcPr>
            <w:tcW w:w="927" w:type="pct"/>
            <w:vAlign w:val="center"/>
          </w:tcPr>
          <w:p>
            <w:pPr>
              <w:pStyle w:val="96"/>
              <w:rPr>
                <w:highlight w:val="none"/>
              </w:rPr>
            </w:pPr>
            <w:r>
              <w:rPr>
                <w:highlight w:val="none"/>
              </w:rPr>
              <w:t>给排水专业</w:t>
            </w:r>
          </w:p>
          <w:p>
            <w:pPr>
              <w:pStyle w:val="96"/>
              <w:rPr>
                <w:highlight w:val="none"/>
              </w:rPr>
            </w:pPr>
            <w:r>
              <w:rPr>
                <w:highlight w:val="none"/>
              </w:rPr>
              <w:t>工程师</w:t>
            </w:r>
          </w:p>
        </w:tc>
        <w:tc>
          <w:tcPr>
            <w:tcW w:w="2196" w:type="pct"/>
            <w:vAlign w:val="center"/>
          </w:tcPr>
          <w:p>
            <w:pPr>
              <w:pStyle w:val="96"/>
              <w:rPr>
                <w:highlight w:val="none"/>
              </w:rPr>
            </w:pPr>
            <w:r>
              <w:rPr>
                <w:highlight w:val="none"/>
              </w:rPr>
              <w:t>具备工程类中级或以上职称</w:t>
            </w:r>
          </w:p>
        </w:tc>
        <w:tc>
          <w:tcPr>
            <w:tcW w:w="706" w:type="pct"/>
            <w:vAlign w:val="center"/>
          </w:tcPr>
          <w:p>
            <w:pPr>
              <w:pStyle w:val="96"/>
              <w:jc w:val="center"/>
              <w:rPr>
                <w:highlight w:val="none"/>
              </w:rPr>
            </w:pPr>
            <w:r>
              <w:rPr>
                <w:rFonts w:hint="eastAsia"/>
                <w:highlight w:val="none"/>
              </w:rPr>
              <w:t>1</w:t>
            </w:r>
          </w:p>
        </w:tc>
        <w:tc>
          <w:tcPr>
            <w:tcW w:w="704" w:type="pct"/>
            <w:vMerge w:val="continue"/>
          </w:tcPr>
          <w:p>
            <w:pPr>
              <w:pStyle w:val="96"/>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5" w:type="pct"/>
            <w:vAlign w:val="center"/>
          </w:tcPr>
          <w:p>
            <w:pPr>
              <w:pStyle w:val="96"/>
              <w:rPr>
                <w:highlight w:val="none"/>
              </w:rPr>
            </w:pPr>
            <w:r>
              <w:rPr>
                <w:rFonts w:hint="eastAsia"/>
                <w:highlight w:val="none"/>
              </w:rPr>
              <w:t>7</w:t>
            </w:r>
          </w:p>
        </w:tc>
        <w:tc>
          <w:tcPr>
            <w:tcW w:w="927" w:type="pct"/>
            <w:vAlign w:val="center"/>
          </w:tcPr>
          <w:p>
            <w:pPr>
              <w:pStyle w:val="96"/>
              <w:rPr>
                <w:highlight w:val="none"/>
              </w:rPr>
            </w:pPr>
            <w:r>
              <w:rPr>
                <w:highlight w:val="none"/>
              </w:rPr>
              <w:t>风景园林专业工程师</w:t>
            </w:r>
          </w:p>
        </w:tc>
        <w:tc>
          <w:tcPr>
            <w:tcW w:w="2196" w:type="pct"/>
            <w:vAlign w:val="center"/>
          </w:tcPr>
          <w:p>
            <w:pPr>
              <w:pStyle w:val="96"/>
              <w:rPr>
                <w:highlight w:val="none"/>
              </w:rPr>
            </w:pPr>
            <w:r>
              <w:rPr>
                <w:highlight w:val="none"/>
              </w:rPr>
              <w:t>具备工程类中级或以上职称</w:t>
            </w:r>
          </w:p>
        </w:tc>
        <w:tc>
          <w:tcPr>
            <w:tcW w:w="706" w:type="pct"/>
            <w:vAlign w:val="center"/>
          </w:tcPr>
          <w:p>
            <w:pPr>
              <w:pStyle w:val="96"/>
              <w:jc w:val="center"/>
              <w:rPr>
                <w:highlight w:val="none"/>
              </w:rPr>
            </w:pPr>
            <w:r>
              <w:rPr>
                <w:rFonts w:hint="eastAsia"/>
                <w:highlight w:val="none"/>
              </w:rPr>
              <w:t>1</w:t>
            </w:r>
          </w:p>
        </w:tc>
        <w:tc>
          <w:tcPr>
            <w:tcW w:w="704" w:type="pct"/>
            <w:vMerge w:val="continue"/>
          </w:tcPr>
          <w:p>
            <w:pPr>
              <w:pStyle w:val="96"/>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65" w:type="pct"/>
            <w:vAlign w:val="center"/>
          </w:tcPr>
          <w:p>
            <w:pPr>
              <w:pStyle w:val="96"/>
              <w:rPr>
                <w:highlight w:val="none"/>
              </w:rPr>
            </w:pPr>
            <w:r>
              <w:rPr>
                <w:rFonts w:hint="eastAsia"/>
                <w:highlight w:val="none"/>
              </w:rPr>
              <w:t>8</w:t>
            </w:r>
          </w:p>
        </w:tc>
        <w:tc>
          <w:tcPr>
            <w:tcW w:w="927" w:type="pct"/>
            <w:vAlign w:val="center"/>
          </w:tcPr>
          <w:p>
            <w:pPr>
              <w:pStyle w:val="96"/>
              <w:rPr>
                <w:highlight w:val="none"/>
              </w:rPr>
            </w:pPr>
            <w:r>
              <w:rPr>
                <w:highlight w:val="none"/>
              </w:rPr>
              <w:t>资料管理</w:t>
            </w:r>
          </w:p>
        </w:tc>
        <w:tc>
          <w:tcPr>
            <w:tcW w:w="2196" w:type="pct"/>
            <w:vAlign w:val="center"/>
          </w:tcPr>
          <w:p>
            <w:pPr>
              <w:pStyle w:val="96"/>
              <w:rPr>
                <w:highlight w:val="none"/>
              </w:rPr>
            </w:pPr>
            <w:r>
              <w:rPr>
                <w:highlight w:val="none"/>
              </w:rPr>
              <w:t>具备工程类助理级或以上职称</w:t>
            </w:r>
          </w:p>
        </w:tc>
        <w:tc>
          <w:tcPr>
            <w:tcW w:w="706" w:type="pct"/>
            <w:vAlign w:val="center"/>
          </w:tcPr>
          <w:p>
            <w:pPr>
              <w:pStyle w:val="96"/>
              <w:jc w:val="center"/>
              <w:rPr>
                <w:highlight w:val="none"/>
              </w:rPr>
            </w:pPr>
            <w:r>
              <w:rPr>
                <w:highlight w:val="none"/>
              </w:rPr>
              <w:t>1</w:t>
            </w:r>
          </w:p>
        </w:tc>
        <w:tc>
          <w:tcPr>
            <w:tcW w:w="704" w:type="pct"/>
          </w:tcPr>
          <w:p>
            <w:pPr>
              <w:pStyle w:val="96"/>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589" w:type="pct"/>
            <w:gridSpan w:val="3"/>
            <w:vAlign w:val="center"/>
          </w:tcPr>
          <w:p>
            <w:pPr>
              <w:pStyle w:val="96"/>
              <w:rPr>
                <w:highlight w:val="none"/>
              </w:rPr>
            </w:pPr>
            <w:r>
              <w:rPr>
                <w:highlight w:val="none"/>
              </w:rPr>
              <w:t>汇总</w:t>
            </w:r>
          </w:p>
        </w:tc>
        <w:tc>
          <w:tcPr>
            <w:tcW w:w="706" w:type="pct"/>
            <w:vAlign w:val="center"/>
          </w:tcPr>
          <w:p>
            <w:pPr>
              <w:pStyle w:val="96"/>
              <w:jc w:val="center"/>
              <w:rPr>
                <w:highlight w:val="none"/>
              </w:rPr>
            </w:pPr>
            <w:r>
              <w:rPr>
                <w:rFonts w:hint="eastAsia"/>
                <w:highlight w:val="none"/>
              </w:rPr>
              <w:t>8</w:t>
            </w:r>
          </w:p>
        </w:tc>
        <w:tc>
          <w:tcPr>
            <w:tcW w:w="704" w:type="pct"/>
          </w:tcPr>
          <w:p>
            <w:pPr>
              <w:pStyle w:val="96"/>
              <w:rPr>
                <w:highlight w:val="none"/>
              </w:rPr>
            </w:pPr>
          </w:p>
        </w:tc>
      </w:tr>
    </w:tbl>
    <w:p>
      <w:pPr>
        <w:pStyle w:val="2"/>
        <w:rPr>
          <w:highlight w:val="none"/>
        </w:rPr>
      </w:pPr>
    </w:p>
    <w:p>
      <w:pPr>
        <w:spacing w:line="460" w:lineRule="exact"/>
        <w:ind w:firstLine="420" w:firstLineChars="200"/>
        <w:jc w:val="left"/>
        <w:rPr>
          <w:rFonts w:hint="eastAsia" w:ascii="宋体" w:hAnsi="宋体" w:cs="宋体"/>
          <w:color w:val="auto"/>
          <w:highlight w:val="none"/>
        </w:rPr>
      </w:pPr>
    </w:p>
    <w:p>
      <w:pPr>
        <w:spacing w:line="46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（三）其他要求：</w:t>
      </w:r>
    </w:p>
    <w:p>
      <w:pPr>
        <w:spacing w:line="460" w:lineRule="exact"/>
        <w:ind w:firstLine="420" w:firstLineChars="200"/>
        <w:jc w:val="left"/>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代建服务单位不得以自身或其他名义承担本项目的设计、监理、施工、设备和材料供应等工作，不得与承接上述工程业务的单位发生经营性隶属及资产纽带关系，也不得是这些单位的合伙经营者。</w:t>
      </w:r>
    </w:p>
    <w:p>
      <w:pPr>
        <w:spacing w:line="460" w:lineRule="exact"/>
        <w:ind w:firstLine="420" w:firstLineChars="200"/>
        <w:jc w:val="left"/>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代建服务单位的项目负责人不得在政府机关和本项目设计、监理、施工、设备和材料供应单位任职。</w:t>
      </w:r>
    </w:p>
    <w:p>
      <w:pPr>
        <w:numPr>
          <w:ilvl w:val="0"/>
          <w:numId w:val="2"/>
        </w:numPr>
        <w:spacing w:line="460" w:lineRule="exact"/>
        <w:ind w:firstLine="422" w:firstLineChars="200"/>
        <w:jc w:val="left"/>
        <w:rPr>
          <w:rFonts w:ascii="宋体" w:hAnsi="宋体" w:cs="黑体"/>
          <w:b/>
          <w:color w:val="auto"/>
          <w:highlight w:val="none"/>
        </w:rPr>
      </w:pPr>
      <w:r>
        <w:rPr>
          <w:rFonts w:hint="eastAsia" w:ascii="宋体" w:hAnsi="宋体" w:cs="黑体"/>
          <w:b/>
          <w:color w:val="auto"/>
          <w:highlight w:val="none"/>
        </w:rPr>
        <w:t>报价方式</w:t>
      </w:r>
    </w:p>
    <w:p>
      <w:pPr>
        <w:spacing w:line="460" w:lineRule="exact"/>
        <w:ind w:firstLine="422" w:firstLineChars="200"/>
        <w:jc w:val="left"/>
        <w:rPr>
          <w:rFonts w:ascii="宋体" w:hAnsi="宋体" w:cs="宋体"/>
          <w:color w:val="auto"/>
          <w:highlight w:val="none"/>
        </w:rPr>
      </w:pPr>
      <w:r>
        <w:rPr>
          <w:rFonts w:hint="eastAsia" w:ascii="宋体" w:hAnsi="宋体" w:cs="宋体"/>
          <w:b/>
          <w:bCs/>
          <w:color w:val="auto"/>
          <w:highlight w:val="none"/>
        </w:rPr>
        <w:t>（一）本项目最高限价：</w:t>
      </w:r>
      <w:r>
        <w:rPr>
          <w:rFonts w:hint="eastAsia" w:ascii="宋体" w:hAnsi="宋体" w:cs="宋体"/>
          <w:color w:val="auto"/>
          <w:highlight w:val="none"/>
        </w:rPr>
        <w:t>人民</w:t>
      </w:r>
      <w:r>
        <w:rPr>
          <w:rFonts w:hint="eastAsia" w:ascii="宋体" w:hAnsi="宋体"/>
          <w:color w:val="auto"/>
          <w:highlight w:val="none"/>
        </w:rPr>
        <w:t>币</w:t>
      </w:r>
      <w:r>
        <w:rPr>
          <w:rFonts w:hint="eastAsia" w:ascii="宋体" w:hAnsi="宋体"/>
          <w:color w:val="auto"/>
          <w:highlight w:val="none"/>
          <w:lang w:eastAsia="zh-CN"/>
        </w:rPr>
        <w:t>109.</w:t>
      </w:r>
      <w:r>
        <w:rPr>
          <w:rFonts w:hint="eastAsia" w:ascii="宋体" w:hAnsi="宋体"/>
          <w:color w:val="auto"/>
          <w:highlight w:val="none"/>
          <w:lang w:val="en-US" w:eastAsia="zh-CN"/>
        </w:rPr>
        <w:t>87</w:t>
      </w:r>
      <w:r>
        <w:rPr>
          <w:rFonts w:hint="eastAsia" w:ascii="宋体" w:hAnsi="宋体"/>
          <w:color w:val="auto"/>
          <w:highlight w:val="none"/>
        </w:rPr>
        <w:t>万</w:t>
      </w:r>
      <w:r>
        <w:rPr>
          <w:rFonts w:hint="eastAsia" w:ascii="宋体" w:hAnsi="宋体" w:cs="宋体"/>
          <w:color w:val="auto"/>
          <w:highlight w:val="none"/>
        </w:rPr>
        <w:t>元（大写：壹佰玖拾柒万陆仟伍佰元整）</w:t>
      </w:r>
      <w:r>
        <w:rPr>
          <w:rFonts w:hint="eastAsia" w:ascii="宋体" w:hAnsi="宋体" w:cs="宋体"/>
          <w:color w:val="auto"/>
          <w:highlight w:val="none"/>
        </w:rPr>
        <w:t>。</w:t>
      </w:r>
    </w:p>
    <w:p>
      <w:pPr>
        <w:numPr>
          <w:ilvl w:val="255"/>
          <w:numId w:val="0"/>
        </w:numPr>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（二）</w:t>
      </w:r>
      <w:r>
        <w:rPr>
          <w:rFonts w:ascii="宋体" w:hAnsi="宋体"/>
          <w:color w:val="auto"/>
          <w:highlight w:val="none"/>
        </w:rPr>
        <w:t>投标人根据招标文件要求以及企业自身情况填报</w:t>
      </w:r>
      <w:r>
        <w:rPr>
          <w:rFonts w:hint="eastAsia" w:ascii="宋体" w:hAnsi="宋体"/>
          <w:color w:val="auto"/>
          <w:highlight w:val="none"/>
        </w:rPr>
        <w:t>投标报价及下浮率,下浮率=（最高投标限价-投标报价）/最高投标限价*100%，保留到小数位后2位，第三位小数四舍五入。（</w:t>
      </w:r>
      <w:r>
        <w:rPr>
          <w:rFonts w:ascii="宋体" w:hAnsi="宋体"/>
          <w:color w:val="auto"/>
          <w:highlight w:val="none"/>
        </w:rPr>
        <w:t>如下浮率报价和数值报价不一致时，以数值报价为准</w:t>
      </w:r>
      <w:r>
        <w:rPr>
          <w:rFonts w:hint="eastAsia" w:ascii="宋体" w:hAnsi="宋体"/>
          <w:color w:val="auto"/>
          <w:highlight w:val="none"/>
        </w:rPr>
        <w:t>）。</w:t>
      </w:r>
      <w:r>
        <w:rPr>
          <w:rFonts w:hint="eastAsia" w:ascii="宋体" w:hAnsi="宋体" w:cs="宋体"/>
          <w:color w:val="auto"/>
          <w:highlight w:val="none"/>
        </w:rPr>
        <w:t>本项目投标报价需包含开展代建服务工作的一切相关费用。</w:t>
      </w:r>
    </w:p>
    <w:p>
      <w:pPr>
        <w:spacing w:line="460" w:lineRule="exact"/>
        <w:ind w:firstLine="420" w:firstLineChars="200"/>
        <w:jc w:val="left"/>
        <w:rPr>
          <w:rFonts w:ascii="宋体" w:hAnsi="宋体" w:cs="宋体"/>
          <w:b/>
          <w:bCs/>
          <w:color w:val="auto"/>
          <w:highlight w:val="none"/>
        </w:rPr>
      </w:pPr>
      <w:r>
        <w:rPr>
          <w:rFonts w:hint="eastAsia" w:ascii="宋体" w:hAnsi="宋体" w:cs="黑体"/>
          <w:color w:val="auto"/>
          <w:highlight w:val="none"/>
        </w:rPr>
        <w:t>四、</w:t>
      </w:r>
      <w:r>
        <w:rPr>
          <w:rFonts w:hint="eastAsia" w:ascii="宋体" w:hAnsi="宋体" w:cs="宋体"/>
          <w:b/>
          <w:bCs/>
          <w:color w:val="auto"/>
          <w:highlight w:val="none"/>
        </w:rPr>
        <w:t>代建服务方式</w:t>
      </w:r>
    </w:p>
    <w:p>
      <w:pPr>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代建单位负责该项目建设全过程管理工作，在项目管理服务期限内接受业主授权，在代建服务合同约定的范围内行使项目建设管理权，并确保合同约定的各项管理目标的顺利实现。其中，人员服务职责如下：</w:t>
      </w:r>
    </w:p>
    <w:p>
      <w:pPr>
        <w:numPr>
          <w:ilvl w:val="0"/>
          <w:numId w:val="3"/>
        </w:numPr>
        <w:spacing w:line="460" w:lineRule="exact"/>
        <w:ind w:firstLine="422" w:firstLineChars="200"/>
        <w:rPr>
          <w:rFonts w:ascii="宋体" w:hAnsi="宋体" w:cs="宋体"/>
          <w:b/>
          <w:bCs/>
          <w:color w:val="auto"/>
          <w:highlight w:val="none"/>
        </w:rPr>
      </w:pPr>
      <w:r>
        <w:rPr>
          <w:rFonts w:hint="eastAsia" w:ascii="宋体" w:hAnsi="宋体" w:cs="宋体"/>
          <w:b/>
          <w:bCs/>
          <w:color w:val="auto"/>
          <w:highlight w:val="none"/>
        </w:rPr>
        <w:t>项目负责人。</w:t>
      </w:r>
    </w:p>
    <w:p>
      <w:pPr>
        <w:numPr>
          <w:ilvl w:val="0"/>
          <w:numId w:val="4"/>
        </w:numPr>
        <w:spacing w:line="460" w:lineRule="exact"/>
        <w:ind w:firstLine="420" w:firstLineChars="200"/>
        <w:rPr>
          <w:rFonts w:ascii="宋体" w:hAnsi="宋体" w:cs="宋体"/>
          <w:color w:val="auto"/>
          <w:highlight w:val="none"/>
        </w:rPr>
      </w:pPr>
      <w:r>
        <w:rPr>
          <w:rFonts w:hint="eastAsia" w:ascii="宋体" w:hAnsi="宋体" w:cs="宋体"/>
          <w:color w:val="auto"/>
          <w:highlight w:val="none"/>
        </w:rPr>
        <w:t>所有拟定的各类文件必须有项目负责人的签名确认并加盖单位公章后才能提交至业主使用；</w:t>
      </w:r>
    </w:p>
    <w:p>
      <w:pPr>
        <w:numPr>
          <w:ilvl w:val="0"/>
          <w:numId w:val="4"/>
        </w:numPr>
        <w:spacing w:line="460" w:lineRule="exact"/>
        <w:ind w:firstLine="420" w:firstLineChars="200"/>
        <w:rPr>
          <w:rFonts w:ascii="宋体" w:hAnsi="宋体" w:cs="宋体"/>
          <w:color w:val="auto"/>
          <w:highlight w:val="none"/>
        </w:rPr>
      </w:pPr>
      <w:r>
        <w:rPr>
          <w:rFonts w:hint="eastAsia" w:ascii="宋体" w:hAnsi="宋体" w:cs="宋体"/>
          <w:color w:val="auto"/>
          <w:highlight w:val="none"/>
        </w:rPr>
        <w:t>根据业主工作安排和需要，须参与各类重大会议及谈判工作；</w:t>
      </w:r>
    </w:p>
    <w:p>
      <w:pPr>
        <w:numPr>
          <w:ilvl w:val="0"/>
          <w:numId w:val="4"/>
        </w:numPr>
        <w:spacing w:line="460" w:lineRule="exact"/>
        <w:ind w:firstLine="420" w:firstLineChars="200"/>
        <w:rPr>
          <w:rFonts w:ascii="宋体" w:hAnsi="宋体" w:cs="宋体"/>
          <w:color w:val="auto"/>
          <w:highlight w:val="none"/>
        </w:rPr>
      </w:pPr>
      <w:r>
        <w:rPr>
          <w:rFonts w:hint="eastAsia" w:ascii="宋体" w:hAnsi="宋体" w:cs="宋体"/>
          <w:color w:val="auto"/>
          <w:highlight w:val="none"/>
        </w:rPr>
        <w:t>定期向业主进行各种形式的工作汇报，定期就项目推进情况向业主提供书面报告。</w:t>
      </w:r>
    </w:p>
    <w:p>
      <w:pPr>
        <w:numPr>
          <w:ilvl w:val="0"/>
          <w:numId w:val="3"/>
        </w:numPr>
        <w:spacing w:line="460" w:lineRule="exact"/>
        <w:ind w:firstLine="422" w:firstLineChars="200"/>
        <w:rPr>
          <w:rFonts w:ascii="宋体" w:hAnsi="宋体" w:cs="宋体"/>
          <w:b/>
          <w:bCs/>
          <w:color w:val="auto"/>
          <w:highlight w:val="none"/>
        </w:rPr>
      </w:pPr>
      <w:r>
        <w:rPr>
          <w:rFonts w:hint="eastAsia" w:ascii="宋体" w:hAnsi="宋体" w:cs="宋体"/>
          <w:b/>
          <w:bCs/>
          <w:color w:val="auto"/>
          <w:highlight w:val="none"/>
        </w:rPr>
        <w:t>项目组其他人员要求。</w:t>
      </w:r>
    </w:p>
    <w:p>
      <w:pPr>
        <w:numPr>
          <w:ilvl w:val="0"/>
          <w:numId w:val="5"/>
        </w:numPr>
        <w:spacing w:line="460" w:lineRule="exact"/>
        <w:ind w:firstLine="420" w:firstLineChars="200"/>
        <w:rPr>
          <w:rFonts w:ascii="宋体" w:hAnsi="宋体" w:cs="宋体"/>
          <w:color w:val="auto"/>
          <w:highlight w:val="none"/>
        </w:rPr>
      </w:pPr>
      <w:r>
        <w:rPr>
          <w:rFonts w:hint="eastAsia" w:ascii="宋体" w:hAnsi="宋体" w:cs="宋体"/>
          <w:color w:val="auto"/>
          <w:highlight w:val="none"/>
        </w:rPr>
        <w:t>根据业主需要派遣工作人员到业主单位驻点办公，根据业主工作需要和安排进行具体的日常工作，听从业主的统筹与调度；</w:t>
      </w:r>
    </w:p>
    <w:p>
      <w:pPr>
        <w:numPr>
          <w:ilvl w:val="0"/>
          <w:numId w:val="5"/>
        </w:numPr>
        <w:spacing w:line="460" w:lineRule="exact"/>
        <w:ind w:firstLine="420" w:firstLineChars="200"/>
        <w:rPr>
          <w:rFonts w:ascii="宋体" w:hAnsi="宋体" w:cs="宋体"/>
          <w:color w:val="auto"/>
          <w:highlight w:val="none"/>
        </w:rPr>
      </w:pPr>
      <w:r>
        <w:rPr>
          <w:rFonts w:hint="eastAsia" w:ascii="宋体" w:hAnsi="宋体" w:cs="宋体"/>
          <w:color w:val="auto"/>
          <w:highlight w:val="none"/>
        </w:rPr>
        <w:t>除现场处理业主安排的日常工作外，涉及书面文件处理的，必须与项目负责人进行沟通，并由业主方最终确定；</w:t>
      </w:r>
    </w:p>
    <w:p>
      <w:pPr>
        <w:numPr>
          <w:ilvl w:val="0"/>
          <w:numId w:val="5"/>
        </w:numPr>
        <w:spacing w:line="460" w:lineRule="exact"/>
        <w:ind w:firstLine="420" w:firstLineChars="200"/>
        <w:rPr>
          <w:rFonts w:ascii="宋体" w:hAnsi="宋体" w:cs="宋体"/>
          <w:color w:val="auto"/>
          <w:highlight w:val="none"/>
        </w:rPr>
      </w:pPr>
      <w:r>
        <w:rPr>
          <w:rFonts w:hint="eastAsia" w:ascii="宋体" w:hAnsi="宋体" w:cs="宋体"/>
          <w:color w:val="auto"/>
          <w:highlight w:val="none"/>
        </w:rPr>
        <w:t>对项目所形成的各类文书、合同等的编写和归档实行规范化管理；</w:t>
      </w:r>
    </w:p>
    <w:p>
      <w:pPr>
        <w:numPr>
          <w:ilvl w:val="0"/>
          <w:numId w:val="5"/>
        </w:numPr>
        <w:spacing w:line="460" w:lineRule="exact"/>
        <w:ind w:firstLine="420" w:firstLineChars="200"/>
        <w:rPr>
          <w:rFonts w:ascii="宋体" w:hAnsi="宋体" w:cs="宋体"/>
          <w:color w:val="auto"/>
          <w:highlight w:val="none"/>
        </w:rPr>
      </w:pPr>
      <w:r>
        <w:rPr>
          <w:rFonts w:hint="eastAsia" w:ascii="宋体" w:hAnsi="宋体" w:cs="宋体"/>
          <w:color w:val="auto"/>
          <w:highlight w:val="none"/>
        </w:rPr>
        <w:t>完成业主要求的其他工作内容。</w:t>
      </w:r>
    </w:p>
    <w:p>
      <w:pPr>
        <w:spacing w:line="46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五、代建服务期限</w:t>
      </w:r>
    </w:p>
    <w:p>
      <w:pPr>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代建服务期限从代建服务合同签订之日起，至项目通过竣工验收且保修责任期满、工程尾款支付完毕且建设项目完成竣工财务决算批复、代建服务合同约定的代建服务工作范围内的全部工作完成之日止。</w:t>
      </w:r>
    </w:p>
    <w:p>
      <w:pPr>
        <w:spacing w:line="46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六、代建服务的范围及内容（具体以代建服务合同约定的乙方职责为准）</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负责项目的全过程项目管理工作，严格控制项目投资、质量和工期，建立完整的工程档案资料，并按相关要求进行归档。</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负责管理现场签证和设计变更。</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做好代建项目信息沟通管理，将重要环节报告、项目管理台账、突发事件情况、相关部门处罚等重要信息及时报送采购人和相关主管部门。</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组织工程设备、材料采购等完成项目所需的招采工作。</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办理计划、规划、土地、拆迁、环保、消防、人防、卫生、防雷、水电、园林、绿化和市政等各项报批</w:t>
      </w:r>
      <w:r>
        <w:rPr>
          <w:rFonts w:hint="eastAsia" w:ascii="宋体" w:hAnsi="宋体"/>
          <w:bCs/>
          <w:color w:val="auto"/>
          <w:highlight w:val="none"/>
        </w:rPr>
        <w:t>报建</w:t>
      </w:r>
      <w:r>
        <w:rPr>
          <w:rFonts w:hint="eastAsia" w:ascii="宋体" w:hAnsi="宋体" w:cs="宋体"/>
          <w:color w:val="auto"/>
          <w:highlight w:val="none"/>
        </w:rPr>
        <w:t>手续，与政府有关部门进行有效的沟通、协调工作。</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负责协助甲方除工程设计、施工、监理以外的其他合同的洽谈和签订。代建服务单位未按上述要求执行，相关责任由代建服务单位承担。</w:t>
      </w:r>
    </w:p>
    <w:p>
      <w:pPr>
        <w:numPr>
          <w:ilvl w:val="0"/>
          <w:numId w:val="6"/>
        </w:numPr>
        <w:topLinePunct/>
        <w:spacing w:line="460" w:lineRule="exact"/>
        <w:ind w:firstLineChars="200"/>
        <w:jc w:val="left"/>
        <w:rPr>
          <w:rFonts w:ascii="宋体" w:hAnsi="宋体"/>
          <w:color w:val="auto"/>
          <w:highlight w:val="none"/>
        </w:rPr>
      </w:pPr>
      <w:r>
        <w:rPr>
          <w:rFonts w:hint="eastAsia" w:ascii="宋体" w:hAnsi="宋体" w:cs="宋体"/>
          <w:color w:val="auto"/>
          <w:highlight w:val="none"/>
        </w:rPr>
        <w:t>根据实际工作进度和资金需求，进行资金控制和进度控制，编制</w:t>
      </w:r>
      <w:r>
        <w:rPr>
          <w:rFonts w:hint="eastAsia" w:ascii="宋体" w:hAnsi="宋体"/>
          <w:color w:val="auto"/>
          <w:highlight w:val="none"/>
        </w:rPr>
        <w:t>项目投资控制管理方案和工程总进度计划方案；审核施工单位的资金拨付申请、按期推进项目建设。</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编制安全文明施工管理方案，定期进行安全生产巡查，并定期向业主报送安全文明施工情况。</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向管辖的建设行政主管等有关主管部门报告工程质量情况和安全情况。</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对项目进行风险管理，发现预期风险及时向业主和相关主管部门发出预警；建立项目投资、进度和质量预警机制，发现预期风险及时向采购人和相关主管部门发出预警。</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办理工程结算送审，并配合办理工程结算审核。</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组织工程中间验收和竣工验收，组织规划、环保、卫生、消防及人防等各专项验收及备案工作，并将验收结果报告招标人。</w:t>
      </w:r>
    </w:p>
    <w:p>
      <w:pPr>
        <w:numPr>
          <w:ilvl w:val="0"/>
          <w:numId w:val="6"/>
        </w:numPr>
        <w:topLinePunct/>
        <w:spacing w:line="460" w:lineRule="exact"/>
        <w:ind w:firstLineChars="200"/>
        <w:jc w:val="left"/>
        <w:rPr>
          <w:rFonts w:ascii="宋体" w:hAnsi="宋体" w:cs="宋体"/>
          <w:color w:val="auto"/>
          <w:highlight w:val="none"/>
        </w:rPr>
      </w:pPr>
      <w:r>
        <w:rPr>
          <w:rFonts w:hint="eastAsia" w:ascii="宋体" w:hAnsi="宋体" w:cs="宋体"/>
          <w:color w:val="auto"/>
          <w:highlight w:val="none"/>
        </w:rPr>
        <w:t>编制项目竣工财务决算报告，经招标人审查后报财政部门审批。将项目竣工及有关项目建设的技术档案资料完整地整理汇编移交。</w:t>
      </w:r>
    </w:p>
    <w:p>
      <w:pPr>
        <w:numPr>
          <w:ilvl w:val="255"/>
          <w:numId w:val="0"/>
        </w:numPr>
        <w:spacing w:line="460" w:lineRule="exact"/>
        <w:ind w:firstLine="422" w:firstLineChars="200"/>
        <w:jc w:val="left"/>
        <w:rPr>
          <w:rFonts w:ascii="宋体" w:hAnsi="宋体" w:cs="宋体"/>
          <w:b/>
          <w:bCs/>
          <w:color w:val="auto"/>
          <w:highlight w:val="none"/>
        </w:rPr>
      </w:pPr>
      <w:r>
        <w:rPr>
          <w:rFonts w:hint="eastAsia" w:ascii="宋体" w:hAnsi="宋体" w:cs="宋体"/>
          <w:b/>
          <w:bCs/>
          <w:color w:val="auto"/>
          <w:highlight w:val="none"/>
        </w:rPr>
        <w:t>七、对代建服务单位的其他要求</w:t>
      </w:r>
    </w:p>
    <w:p>
      <w:pPr>
        <w:numPr>
          <w:ilvl w:val="255"/>
          <w:numId w:val="0"/>
        </w:numPr>
        <w:topLinePunct/>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（一）需在本项目所在地办公或设置项目部。</w:t>
      </w:r>
    </w:p>
    <w:p>
      <w:pPr>
        <w:numPr>
          <w:ilvl w:val="255"/>
          <w:numId w:val="0"/>
        </w:numPr>
        <w:topLinePunct/>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（二）工作时间，项目团队需常驻项目，如遇特殊情况，需能够在</w:t>
      </w:r>
      <w:r>
        <w:rPr>
          <w:rFonts w:ascii="宋体" w:hAnsi="宋体" w:cs="宋体"/>
          <w:color w:val="auto"/>
          <w:highlight w:val="none"/>
        </w:rPr>
        <w:t>20</w:t>
      </w:r>
      <w:r>
        <w:rPr>
          <w:rFonts w:hint="eastAsia" w:ascii="宋体" w:hAnsi="宋体" w:cs="宋体"/>
          <w:color w:val="auto"/>
          <w:highlight w:val="none"/>
        </w:rPr>
        <w:t>分钟内到达现场。</w:t>
      </w:r>
    </w:p>
    <w:p>
      <w:pPr>
        <w:numPr>
          <w:ilvl w:val="255"/>
          <w:numId w:val="0"/>
        </w:numPr>
        <w:topLinePunct/>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（三）代建服务单位需成立常备的工作组，工作组需有专门负责项目招标、合同签订、报批报建、安全管理的人员各</w:t>
      </w:r>
      <w:r>
        <w:rPr>
          <w:rFonts w:ascii="宋体" w:hAnsi="宋体" w:cs="宋体"/>
          <w:color w:val="auto"/>
          <w:highlight w:val="none"/>
        </w:rPr>
        <w:t>1</w:t>
      </w:r>
      <w:r>
        <w:rPr>
          <w:rFonts w:hint="eastAsia" w:ascii="宋体" w:hAnsi="宋体" w:cs="宋体"/>
          <w:color w:val="auto"/>
          <w:highlight w:val="none"/>
        </w:rPr>
        <w:t>名。</w:t>
      </w:r>
    </w:p>
    <w:p>
      <w:pPr>
        <w:numPr>
          <w:ilvl w:val="255"/>
          <w:numId w:val="0"/>
        </w:numPr>
        <w:topLinePunct/>
        <w:spacing w:line="460" w:lineRule="exact"/>
        <w:ind w:firstLine="420" w:firstLineChars="200"/>
        <w:jc w:val="left"/>
        <w:rPr>
          <w:rFonts w:ascii="宋体" w:hAnsi="宋体" w:cs="宋体"/>
          <w:color w:val="auto"/>
          <w:highlight w:val="none"/>
        </w:rPr>
      </w:pPr>
      <w:r>
        <w:rPr>
          <w:rFonts w:hint="eastAsia" w:ascii="宋体" w:hAnsi="宋体" w:cs="宋体"/>
          <w:color w:val="auto"/>
          <w:highlight w:val="none"/>
        </w:rPr>
        <w:t>（四）不得将代建服务转包给其他单位。</w:t>
      </w:r>
    </w:p>
    <w:p>
      <w:pPr>
        <w:numPr>
          <w:ilvl w:val="255"/>
          <w:numId w:val="0"/>
        </w:numPr>
        <w:spacing w:line="460" w:lineRule="exact"/>
        <w:ind w:firstLine="422" w:firstLineChars="200"/>
        <w:jc w:val="left"/>
        <w:rPr>
          <w:rFonts w:hint="eastAsia" w:ascii="宋体" w:hAnsi="宋体" w:cs="宋体"/>
          <w:b/>
          <w:bCs/>
          <w:color w:val="auto"/>
          <w:highlight w:val="none"/>
          <w:lang w:eastAsia="zh-CN"/>
        </w:rPr>
      </w:pPr>
      <w:bookmarkStart w:id="94" w:name="_Toc530728914"/>
      <w:r>
        <w:rPr>
          <w:rFonts w:hint="eastAsia" w:ascii="宋体" w:hAnsi="宋体" w:cs="宋体"/>
          <w:b/>
          <w:bCs/>
          <w:color w:val="auto"/>
          <w:highlight w:val="none"/>
          <w:lang w:eastAsia="zh-CN"/>
        </w:rPr>
        <w:t>八：设备配置要求：</w:t>
      </w:r>
    </w:p>
    <w:p>
      <w:pPr>
        <w:numPr>
          <w:ilvl w:val="255"/>
          <w:numId w:val="0"/>
        </w:numPr>
        <w:spacing w:line="460" w:lineRule="exact"/>
        <w:ind w:firstLine="422" w:firstLineChars="200"/>
        <w:jc w:val="left"/>
        <w:rPr>
          <w:rFonts w:hint="eastAsia" w:ascii="宋体" w:hAnsi="宋体" w:cs="宋体"/>
          <w:b/>
          <w:bCs/>
          <w:color w:val="auto"/>
          <w:highlight w:val="none"/>
          <w:lang w:eastAsia="zh-CN"/>
        </w:rPr>
      </w:pPr>
      <w:r>
        <w:rPr>
          <w:rFonts w:hint="eastAsia" w:ascii="宋体" w:hAnsi="宋体" w:cs="宋体"/>
          <w:b/>
          <w:bCs/>
          <w:color w:val="auto"/>
          <w:highlight w:val="none"/>
          <w:lang w:eastAsia="zh-CN"/>
        </w:rPr>
        <w:t>本工程应具备工程常规应具有的检测设备（仪器）。至少应配置：水准仪1台、经纬仪1台、打印机1台、电脑1台、工程造价软件1套、砼回弹仪1台、工程车辆1台，设备须提供购买设备的发票扫描件或租凭合同扫描件，租凭合同需含设备发票。</w:t>
      </w: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pStyle w:val="2"/>
        <w:rPr>
          <w:rFonts w:hint="eastAsia" w:ascii="宋体" w:hAnsi="宋体" w:cs="宋体"/>
          <w:b/>
          <w:bCs/>
          <w:color w:val="auto"/>
          <w:highlight w:val="none"/>
          <w:lang w:eastAsia="zh-CN"/>
        </w:rPr>
      </w:pPr>
    </w:p>
    <w:p>
      <w:pPr>
        <w:rPr>
          <w:rFonts w:ascii="宋体" w:hAnsi="宋体"/>
          <w:color w:val="auto"/>
          <w:highlight w:val="none"/>
        </w:rPr>
      </w:pPr>
    </w:p>
    <w:p>
      <w:pPr>
        <w:pStyle w:val="3"/>
        <w:rPr>
          <w:color w:val="auto"/>
          <w:sz w:val="20"/>
          <w:szCs w:val="20"/>
          <w:highlight w:val="none"/>
        </w:rPr>
      </w:pPr>
      <w:bookmarkStart w:id="95" w:name="_Toc132272675"/>
      <w:r>
        <w:rPr>
          <w:rFonts w:hint="eastAsia"/>
          <w:color w:val="auto"/>
          <w:highlight w:val="none"/>
        </w:rPr>
        <w:t xml:space="preserve">第六章 </w:t>
      </w:r>
      <w:bookmarkEnd w:id="94"/>
      <w:r>
        <w:rPr>
          <w:rFonts w:hint="eastAsia"/>
          <w:color w:val="auto"/>
          <w:highlight w:val="none"/>
        </w:rPr>
        <w:t>投标文件格式</w:t>
      </w:r>
      <w:bookmarkEnd w:id="95"/>
    </w:p>
    <w:p>
      <w:pPr>
        <w:spacing w:line="341" w:lineRule="exact"/>
        <w:ind w:right="-20"/>
        <w:jc w:val="center"/>
        <w:rPr>
          <w:rFonts w:ascii="宋体" w:hAnsi="宋体" w:cs="宋体"/>
          <w:b/>
          <w:bCs/>
          <w:color w:val="auto"/>
          <w:sz w:val="32"/>
          <w:szCs w:val="32"/>
          <w:highlight w:val="none"/>
        </w:rPr>
      </w:pPr>
    </w:p>
    <w:p>
      <w:pPr>
        <w:widowControl/>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widowControl/>
        <w:jc w:val="left"/>
        <w:rPr>
          <w:rFonts w:ascii="宋体" w:hAnsi="宋体" w:cs="宋体"/>
          <w:b/>
          <w:bCs/>
          <w:color w:val="auto"/>
          <w:sz w:val="32"/>
          <w:szCs w:val="32"/>
          <w:highlight w:val="none"/>
        </w:rPr>
      </w:pPr>
    </w:p>
    <w:p>
      <w:pPr>
        <w:spacing w:line="341" w:lineRule="exact"/>
        <w:ind w:right="-20"/>
        <w:jc w:val="center"/>
        <w:rPr>
          <w:rFonts w:ascii="宋体" w:hAnsi="宋体" w:cs="宋体"/>
          <w:b/>
          <w:bCs/>
          <w:color w:val="auto"/>
          <w:sz w:val="32"/>
          <w:szCs w:val="32"/>
          <w:highlight w:val="none"/>
        </w:rPr>
      </w:pPr>
    </w:p>
    <w:p>
      <w:pPr>
        <w:spacing w:line="360" w:lineRule="auto"/>
        <w:ind w:right="-20"/>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xx项目代建服务</w:t>
      </w:r>
    </w:p>
    <w:p>
      <w:pPr>
        <w:spacing w:before="7" w:line="360" w:lineRule="auto"/>
        <w:jc w:val="left"/>
        <w:rPr>
          <w:rFonts w:ascii="宋体" w:hAnsi="宋体" w:cs="宋体"/>
          <w:color w:val="auto"/>
          <w:sz w:val="48"/>
          <w:szCs w:val="48"/>
          <w:highlight w:val="none"/>
        </w:rPr>
      </w:pPr>
    </w:p>
    <w:p>
      <w:pPr>
        <w:spacing w:line="360" w:lineRule="auto"/>
        <w:jc w:val="left"/>
        <w:rPr>
          <w:rFonts w:ascii="宋体" w:hAnsi="宋体" w:cs="宋体"/>
          <w:color w:val="auto"/>
          <w:sz w:val="48"/>
          <w:szCs w:val="48"/>
          <w:highlight w:val="none"/>
        </w:rPr>
      </w:pPr>
    </w:p>
    <w:p>
      <w:pPr>
        <w:spacing w:line="360" w:lineRule="auto"/>
        <w:jc w:val="left"/>
        <w:rPr>
          <w:rFonts w:ascii="宋体" w:hAnsi="宋体" w:cs="宋体"/>
          <w:color w:val="auto"/>
          <w:sz w:val="48"/>
          <w:szCs w:val="48"/>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center"/>
        <w:rPr>
          <w:rFonts w:ascii="宋体" w:hAnsi="宋体" w:cs="宋体"/>
          <w:b/>
          <w:color w:val="auto"/>
          <w:sz w:val="52"/>
          <w:szCs w:val="52"/>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投</w:t>
      </w:r>
      <w:r>
        <w:rPr>
          <w:rFonts w:hint="eastAsia" w:ascii="宋体" w:hAnsi="宋体" w:cs="宋体"/>
          <w:b/>
          <w:color w:val="auto"/>
          <w:sz w:val="72"/>
          <w:szCs w:val="72"/>
          <w:highlight w:val="none"/>
        </w:rPr>
        <w:tab/>
      </w:r>
      <w:r>
        <w:rPr>
          <w:rFonts w:hint="eastAsia" w:ascii="宋体" w:hAnsi="宋体" w:cs="宋体"/>
          <w:b/>
          <w:color w:val="auto"/>
          <w:sz w:val="72"/>
          <w:szCs w:val="72"/>
          <w:highlight w:val="none"/>
        </w:rPr>
        <w:t xml:space="preserve"> 标</w:t>
      </w:r>
      <w:r>
        <w:rPr>
          <w:rFonts w:hint="eastAsia" w:ascii="宋体" w:hAnsi="宋体" w:cs="宋体"/>
          <w:b/>
          <w:color w:val="auto"/>
          <w:sz w:val="72"/>
          <w:szCs w:val="72"/>
          <w:highlight w:val="none"/>
        </w:rPr>
        <w:tab/>
      </w:r>
      <w:r>
        <w:rPr>
          <w:rFonts w:hint="eastAsia" w:ascii="宋体" w:hAnsi="宋体" w:cs="宋体"/>
          <w:b/>
          <w:color w:val="auto"/>
          <w:sz w:val="72"/>
          <w:szCs w:val="72"/>
          <w:highlight w:val="none"/>
        </w:rPr>
        <w:t xml:space="preserve"> 文 </w:t>
      </w:r>
      <w:r>
        <w:rPr>
          <w:rFonts w:hint="eastAsia" w:ascii="宋体" w:hAnsi="宋体" w:cs="宋体"/>
          <w:b/>
          <w:color w:val="auto"/>
          <w:sz w:val="72"/>
          <w:szCs w:val="72"/>
          <w:highlight w:val="none"/>
        </w:rPr>
        <w:tab/>
      </w:r>
      <w:r>
        <w:rPr>
          <w:rFonts w:hint="eastAsia" w:ascii="宋体" w:hAnsi="宋体" w:cs="宋体"/>
          <w:b/>
          <w:color w:val="auto"/>
          <w:sz w:val="72"/>
          <w:szCs w:val="72"/>
          <w:highlight w:val="none"/>
        </w:rPr>
        <w:t>件</w:t>
      </w:r>
    </w:p>
    <w:p>
      <w:pPr>
        <w:spacing w:line="200" w:lineRule="exact"/>
        <w:jc w:val="center"/>
        <w:rPr>
          <w:rFonts w:ascii="宋体" w:hAnsi="宋体" w:cs="宋体"/>
          <w:b/>
          <w:color w:val="auto"/>
          <w:sz w:val="72"/>
          <w:szCs w:val="72"/>
          <w:highlight w:val="none"/>
        </w:rPr>
      </w:pPr>
    </w:p>
    <w:p>
      <w:pPr>
        <w:spacing w:line="200" w:lineRule="exact"/>
        <w:jc w:val="center"/>
        <w:rPr>
          <w:rFonts w:ascii="宋体" w:hAnsi="宋体" w:cs="宋体"/>
          <w:b/>
          <w:color w:val="auto"/>
          <w:sz w:val="52"/>
          <w:szCs w:val="52"/>
          <w:highlight w:val="none"/>
        </w:rPr>
      </w:pPr>
    </w:p>
    <w:p>
      <w:pPr>
        <w:spacing w:line="200" w:lineRule="exact"/>
        <w:jc w:val="center"/>
        <w:rPr>
          <w:rFonts w:ascii="宋体" w:hAnsi="宋体" w:cs="宋体"/>
          <w:b/>
          <w:color w:val="auto"/>
          <w:sz w:val="52"/>
          <w:szCs w:val="52"/>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line="200" w:lineRule="exact"/>
        <w:jc w:val="left"/>
        <w:rPr>
          <w:rFonts w:ascii="宋体" w:hAnsi="宋体" w:cs="宋体"/>
          <w:color w:val="auto"/>
          <w:sz w:val="20"/>
          <w:szCs w:val="20"/>
          <w:highlight w:val="none"/>
        </w:rPr>
      </w:pPr>
    </w:p>
    <w:p>
      <w:pPr>
        <w:spacing w:before="17" w:line="240" w:lineRule="exact"/>
        <w:jc w:val="left"/>
        <w:rPr>
          <w:rFonts w:ascii="宋体" w:hAnsi="宋体" w:cs="宋体"/>
          <w:color w:val="auto"/>
          <w:sz w:val="24"/>
          <w:szCs w:val="24"/>
          <w:highlight w:val="none"/>
        </w:rPr>
      </w:pPr>
    </w:p>
    <w:p>
      <w:pPr>
        <w:spacing w:line="480" w:lineRule="auto"/>
        <w:ind w:left="1201" w:right="85" w:firstLine="320" w:firstLineChars="100"/>
        <w:rPr>
          <w:rFonts w:ascii="宋体" w:hAnsi="宋体" w:cs="宋体"/>
          <w:color w:val="auto"/>
          <w:sz w:val="32"/>
          <w:szCs w:val="32"/>
          <w:highlight w:val="none"/>
        </w:rPr>
      </w:pPr>
      <w:r>
        <w:rPr>
          <w:rFonts w:hint="eastAsia" w:ascii="宋体" w:hAnsi="宋体" w:cs="宋体"/>
          <w:color w:val="auto"/>
          <w:sz w:val="32"/>
          <w:szCs w:val="32"/>
          <w:highlight w:val="none"/>
        </w:rPr>
        <w:t>投标人：</w:t>
      </w:r>
      <w:r>
        <w:rPr>
          <w:rFonts w:hint="eastAsia" w:ascii="宋体" w:hAnsi="宋体" w:cs="宋体"/>
          <w:color w:val="auto"/>
          <w:sz w:val="32"/>
          <w:szCs w:val="32"/>
          <w:highlight w:val="none"/>
          <w:u w:val="single"/>
        </w:rPr>
        <w:tab/>
      </w:r>
      <w:r>
        <w:rPr>
          <w:rFonts w:hint="eastAsia" w:ascii="宋体" w:hAnsi="宋体" w:cs="宋体"/>
          <w:color w:val="auto"/>
          <w:sz w:val="32"/>
          <w:szCs w:val="32"/>
          <w:highlight w:val="none"/>
          <w:u w:val="single"/>
        </w:rPr>
        <w:tab/>
      </w:r>
      <w:r>
        <w:rPr>
          <w:rFonts w:hint="eastAsia" w:ascii="宋体" w:hAnsi="宋体" w:cs="宋体"/>
          <w:color w:val="auto"/>
          <w:sz w:val="32"/>
          <w:szCs w:val="32"/>
          <w:highlight w:val="none"/>
        </w:rPr>
        <w:t>（盖单位章）</w:t>
      </w:r>
    </w:p>
    <w:p>
      <w:pPr>
        <w:spacing w:line="480" w:lineRule="auto"/>
        <w:ind w:left="1201" w:right="85" w:firstLine="320" w:firstLineChars="100"/>
        <w:rPr>
          <w:rFonts w:ascii="宋体" w:hAnsi="宋体" w:cs="宋体"/>
          <w:color w:val="auto"/>
          <w:sz w:val="32"/>
          <w:szCs w:val="32"/>
          <w:highlight w:val="none"/>
        </w:rPr>
      </w:pPr>
      <w:r>
        <w:rPr>
          <w:rFonts w:hint="eastAsia" w:ascii="宋体" w:hAnsi="宋体" w:cs="宋体"/>
          <w:color w:val="auto"/>
          <w:sz w:val="32"/>
          <w:szCs w:val="32"/>
          <w:highlight w:val="none"/>
        </w:rPr>
        <w:t>法定代表人或其委托代理人：</w:t>
      </w:r>
      <w:r>
        <w:rPr>
          <w:rFonts w:hint="eastAsia" w:ascii="宋体" w:hAnsi="宋体" w:cs="宋体"/>
          <w:color w:val="auto"/>
          <w:sz w:val="32"/>
          <w:szCs w:val="32"/>
          <w:highlight w:val="none"/>
          <w:u w:val="single"/>
        </w:rPr>
        <w:tab/>
      </w:r>
      <w:r>
        <w:rPr>
          <w:rFonts w:hint="eastAsia" w:ascii="宋体" w:hAnsi="宋体" w:cs="宋体"/>
          <w:color w:val="auto"/>
          <w:sz w:val="32"/>
          <w:szCs w:val="32"/>
          <w:highlight w:val="none"/>
        </w:rPr>
        <w:t>（签字或盖章）</w:t>
      </w:r>
    </w:p>
    <w:p>
      <w:pPr>
        <w:spacing w:before="5" w:line="480" w:lineRule="auto"/>
        <w:ind w:firstLine="2560" w:firstLineChars="800"/>
        <w:rPr>
          <w:rFonts w:ascii="宋体" w:hAnsi="宋体" w:cs="宋体"/>
          <w:color w:val="auto"/>
          <w:sz w:val="32"/>
          <w:szCs w:val="32"/>
          <w:highlight w:val="none"/>
        </w:rPr>
      </w:pPr>
      <w:r>
        <w:rPr>
          <w:rFonts w:hint="eastAsia" w:ascii="宋体" w:hAnsi="宋体" w:cs="宋体"/>
          <w:color w:val="auto"/>
          <w:sz w:val="32"/>
          <w:szCs w:val="32"/>
          <w:highlight w:val="none"/>
          <w:u w:val="single"/>
        </w:rPr>
        <w:tab/>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ab/>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ab/>
      </w:r>
      <w:r>
        <w:rPr>
          <w:rFonts w:hint="eastAsia" w:ascii="宋体" w:hAnsi="宋体" w:cs="宋体"/>
          <w:color w:val="auto"/>
          <w:sz w:val="32"/>
          <w:szCs w:val="32"/>
          <w:highlight w:val="none"/>
        </w:rPr>
        <w:t>日</w:t>
      </w:r>
    </w:p>
    <w:p>
      <w:pPr>
        <w:spacing w:line="373" w:lineRule="exact"/>
        <w:ind w:left="2877" w:right="-20"/>
        <w:jc w:val="left"/>
        <w:rPr>
          <w:rFonts w:ascii="宋体" w:hAnsi="宋体" w:cs="宋体"/>
          <w:color w:val="auto"/>
          <w:sz w:val="32"/>
          <w:szCs w:val="32"/>
          <w:highlight w:val="none"/>
        </w:rPr>
      </w:pPr>
    </w:p>
    <w:p>
      <w:pPr>
        <w:widowControl/>
        <w:jc w:val="left"/>
        <w:rPr>
          <w:rFonts w:ascii="宋体" w:hAnsi="宋体" w:cs="宋体"/>
          <w:color w:val="auto"/>
          <w:sz w:val="32"/>
          <w:szCs w:val="32"/>
          <w:highlight w:val="none"/>
        </w:rPr>
      </w:pPr>
      <w:r>
        <w:rPr>
          <w:rFonts w:ascii="宋体" w:hAnsi="宋体" w:cs="宋体"/>
          <w:color w:val="auto"/>
          <w:sz w:val="32"/>
          <w:szCs w:val="32"/>
          <w:highlight w:val="none"/>
        </w:rPr>
        <w:br w:type="page"/>
      </w:r>
    </w:p>
    <w:p>
      <w:pPr>
        <w:widowControl/>
        <w:spacing w:beforeAutospacing="1" w:afterAutospacing="1"/>
        <w:jc w:val="left"/>
        <w:rPr>
          <w:rFonts w:ascii="宋体" w:hAnsi="宋体" w:cs="宋体"/>
          <w:color w:val="auto"/>
          <w:sz w:val="32"/>
          <w:szCs w:val="32"/>
          <w:highlight w:val="none"/>
        </w:rPr>
        <w:sectPr>
          <w:headerReference r:id="rId13" w:type="default"/>
          <w:footerReference r:id="rId14" w:type="default"/>
          <w:pgSz w:w="11907" w:h="16840"/>
          <w:pgMar w:top="1440" w:right="1080" w:bottom="1440" w:left="1080" w:header="709" w:footer="709" w:gutter="0"/>
          <w:cols w:space="720" w:num="1"/>
          <w:docGrid w:linePitch="286" w:charSpace="0"/>
        </w:sectPr>
      </w:pPr>
    </w:p>
    <w:p>
      <w:pPr>
        <w:pStyle w:val="5"/>
        <w:rPr>
          <w:rFonts w:ascii="宋体" w:hAnsi="宋体" w:cs="宋体"/>
          <w:color w:val="auto"/>
          <w:highlight w:val="none"/>
        </w:rPr>
      </w:pPr>
      <w:bookmarkStart w:id="96" w:name="_Toc59370657"/>
      <w:bookmarkStart w:id="97" w:name="_Toc319366795"/>
      <w:bookmarkStart w:id="98" w:name="_Toc132272676"/>
      <w:r>
        <w:rPr>
          <w:rFonts w:hint="eastAsia" w:ascii="宋体" w:hAnsi="宋体" w:cs="宋体"/>
          <w:color w:val="auto"/>
          <w:highlight w:val="none"/>
        </w:rPr>
        <w:t>格式1</w:t>
      </w:r>
      <w:bookmarkEnd w:id="96"/>
      <w:bookmarkEnd w:id="97"/>
      <w:bookmarkStart w:id="99" w:name="_Toc319366796"/>
      <w:bookmarkStart w:id="100" w:name="_Toc383441817"/>
      <w:r>
        <w:rPr>
          <w:rFonts w:hint="eastAsia" w:ascii="宋体" w:hAnsi="宋体" w:cs="宋体"/>
          <w:color w:val="auto"/>
          <w:highlight w:val="none"/>
        </w:rPr>
        <w:t>：投标报价表</w:t>
      </w:r>
      <w:bookmarkEnd w:id="98"/>
    </w:p>
    <w:p>
      <w:pPr>
        <w:spacing w:line="360" w:lineRule="auto"/>
        <w:jc w:val="center"/>
        <w:rPr>
          <w:rFonts w:ascii="宋体" w:hAnsi="宋体" w:cs="宋体"/>
          <w:b/>
          <w:bCs/>
          <w:color w:val="auto"/>
          <w:kern w:val="28"/>
          <w:sz w:val="28"/>
          <w:szCs w:val="32"/>
          <w:highlight w:val="none"/>
        </w:rPr>
      </w:pPr>
      <w:r>
        <w:rPr>
          <w:rFonts w:hint="eastAsia" w:ascii="宋体" w:hAnsi="宋体" w:cs="宋体"/>
          <w:b/>
          <w:bCs/>
          <w:color w:val="auto"/>
          <w:kern w:val="28"/>
          <w:sz w:val="28"/>
          <w:szCs w:val="32"/>
          <w:highlight w:val="none"/>
        </w:rPr>
        <w:t>投标报价表</w:t>
      </w:r>
    </w:p>
    <w:tbl>
      <w:tblPr>
        <w:tblStyle w:val="30"/>
        <w:tblW w:w="967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988"/>
        <w:gridCol w:w="3442"/>
        <w:gridCol w:w="269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20" w:hRule="atLeast"/>
        </w:trPr>
        <w:tc>
          <w:tcPr>
            <w:tcW w:w="988" w:type="dxa"/>
            <w:vAlign w:val="center"/>
          </w:tcPr>
          <w:p>
            <w:pPr>
              <w:spacing w:line="276" w:lineRule="auto"/>
              <w:jc w:val="center"/>
              <w:rPr>
                <w:rFonts w:ascii="宋体" w:hAnsi="宋体" w:cs="宋体"/>
                <w:color w:val="auto"/>
                <w:highlight w:val="none"/>
              </w:rPr>
            </w:pPr>
            <w:r>
              <w:rPr>
                <w:rFonts w:hint="eastAsia" w:ascii="宋体" w:hAnsi="宋体" w:cs="宋体"/>
                <w:color w:val="auto"/>
                <w:highlight w:val="none"/>
              </w:rPr>
              <w:t>序号</w:t>
            </w:r>
          </w:p>
        </w:tc>
        <w:tc>
          <w:tcPr>
            <w:tcW w:w="3442" w:type="dxa"/>
            <w:vAlign w:val="center"/>
          </w:tcPr>
          <w:p>
            <w:pPr>
              <w:spacing w:line="276" w:lineRule="auto"/>
              <w:jc w:val="center"/>
              <w:rPr>
                <w:rFonts w:ascii="宋体" w:hAnsi="宋体" w:cs="宋体"/>
                <w:color w:val="auto"/>
                <w:highlight w:val="none"/>
              </w:rPr>
            </w:pPr>
            <w:r>
              <w:rPr>
                <w:rFonts w:hint="eastAsia" w:ascii="宋体" w:hAnsi="宋体" w:cs="宋体"/>
                <w:color w:val="auto"/>
                <w:highlight w:val="none"/>
              </w:rPr>
              <w:t>内容</w:t>
            </w:r>
          </w:p>
        </w:tc>
        <w:tc>
          <w:tcPr>
            <w:tcW w:w="2693" w:type="dxa"/>
            <w:vAlign w:val="center"/>
          </w:tcPr>
          <w:p>
            <w:pPr>
              <w:spacing w:line="276" w:lineRule="auto"/>
              <w:jc w:val="center"/>
              <w:rPr>
                <w:rFonts w:ascii="宋体" w:hAnsi="宋体" w:cs="宋体"/>
                <w:color w:val="auto"/>
                <w:highlight w:val="none"/>
              </w:rPr>
            </w:pPr>
            <w:r>
              <w:rPr>
                <w:rFonts w:hint="eastAsia" w:ascii="宋体" w:hAnsi="宋体" w:cs="宋体"/>
                <w:color w:val="auto"/>
                <w:highlight w:val="none"/>
              </w:rPr>
              <w:t>投标人投标报价（万元）</w:t>
            </w:r>
          </w:p>
        </w:tc>
        <w:tc>
          <w:tcPr>
            <w:tcW w:w="2551" w:type="dxa"/>
            <w:vAlign w:val="center"/>
          </w:tcPr>
          <w:p>
            <w:pPr>
              <w:spacing w:line="276" w:lineRule="auto"/>
              <w:jc w:val="center"/>
              <w:rPr>
                <w:rFonts w:ascii="宋体" w:hAnsi="宋体" w:cs="宋体"/>
                <w:color w:val="auto"/>
                <w:highlight w:val="none"/>
              </w:rPr>
            </w:pPr>
            <w:r>
              <w:rPr>
                <w:rFonts w:hint="eastAsia" w:ascii="宋体" w:hAnsi="宋体" w:cs="宋体"/>
                <w:color w:val="auto"/>
                <w:highlight w:val="none"/>
              </w:rPr>
              <w:t>投标下浮率%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233" w:hRule="atLeast"/>
        </w:trPr>
        <w:tc>
          <w:tcPr>
            <w:tcW w:w="988" w:type="dxa"/>
            <w:vAlign w:val="center"/>
          </w:tcPr>
          <w:p>
            <w:pPr>
              <w:spacing w:line="276" w:lineRule="auto"/>
              <w:jc w:val="center"/>
              <w:rPr>
                <w:rFonts w:ascii="宋体" w:hAnsi="宋体" w:cs="宋体"/>
                <w:color w:val="auto"/>
                <w:highlight w:val="none"/>
              </w:rPr>
            </w:pPr>
            <w:r>
              <w:rPr>
                <w:rFonts w:hint="eastAsia" w:ascii="宋体" w:hAnsi="宋体" w:cs="宋体"/>
                <w:color w:val="auto"/>
                <w:highlight w:val="none"/>
              </w:rPr>
              <w:t>1</w:t>
            </w:r>
          </w:p>
        </w:tc>
        <w:tc>
          <w:tcPr>
            <w:tcW w:w="3442" w:type="dxa"/>
            <w:vAlign w:val="center"/>
          </w:tcPr>
          <w:p>
            <w:pPr>
              <w:spacing w:line="276" w:lineRule="auto"/>
              <w:jc w:val="center"/>
              <w:rPr>
                <w:rFonts w:ascii="宋体" w:hAnsi="宋体" w:cs="宋体"/>
                <w:color w:val="auto"/>
                <w:highlight w:val="none"/>
              </w:rPr>
            </w:pPr>
            <w:r>
              <w:rPr>
                <w:rFonts w:hint="eastAsia" w:ascii="宋体" w:hAnsi="宋体" w:cs="宋体"/>
                <w:color w:val="auto"/>
                <w:highlight w:val="none"/>
              </w:rPr>
              <w:t>xx项目代建服务服务费</w:t>
            </w:r>
          </w:p>
        </w:tc>
        <w:tc>
          <w:tcPr>
            <w:tcW w:w="2693" w:type="dxa"/>
            <w:vAlign w:val="center"/>
          </w:tcPr>
          <w:p>
            <w:pPr>
              <w:spacing w:line="276" w:lineRule="auto"/>
              <w:jc w:val="center"/>
              <w:rPr>
                <w:rFonts w:ascii="宋体" w:hAnsi="宋体"/>
                <w:color w:val="auto"/>
                <w:highlight w:val="none"/>
              </w:rPr>
            </w:pPr>
            <w:r>
              <w:rPr>
                <w:rFonts w:hint="eastAsia" w:ascii="宋体" w:hAnsi="宋体"/>
                <w:color w:val="auto"/>
                <w:highlight w:val="none"/>
              </w:rPr>
              <w:t>大写：</w:t>
            </w:r>
          </w:p>
          <w:p>
            <w:pPr>
              <w:spacing w:line="276" w:lineRule="auto"/>
              <w:jc w:val="center"/>
              <w:rPr>
                <w:rFonts w:ascii="宋体" w:hAnsi="宋体"/>
                <w:color w:val="auto"/>
                <w:highlight w:val="none"/>
              </w:rPr>
            </w:pPr>
            <w:r>
              <w:rPr>
                <w:rFonts w:hint="eastAsia" w:ascii="宋体" w:hAnsi="宋体"/>
                <w:color w:val="auto"/>
                <w:highlight w:val="none"/>
              </w:rPr>
              <w:t>小写：</w:t>
            </w:r>
          </w:p>
        </w:tc>
        <w:tc>
          <w:tcPr>
            <w:tcW w:w="2551" w:type="dxa"/>
            <w:vAlign w:val="center"/>
          </w:tcPr>
          <w:p>
            <w:pPr>
              <w:spacing w:line="276" w:lineRule="auto"/>
              <w:jc w:val="center"/>
              <w:rPr>
                <w:rFonts w:ascii="宋体" w:hAnsi="宋体" w:cs="宋体"/>
                <w:color w:val="auto"/>
                <w:highlight w:val="none"/>
              </w:rPr>
            </w:pPr>
          </w:p>
        </w:tc>
      </w:tr>
    </w:tbl>
    <w:p>
      <w:pPr>
        <w:spacing w:line="480" w:lineRule="auto"/>
        <w:ind w:firstLine="424" w:firstLineChars="202"/>
        <w:rPr>
          <w:rFonts w:ascii="宋体" w:hAnsi="宋体" w:cs="宋体"/>
          <w:color w:val="auto"/>
          <w:highlight w:val="none"/>
          <w:u w:val="single"/>
        </w:rPr>
      </w:pPr>
    </w:p>
    <w:p>
      <w:pPr>
        <w:spacing w:line="480"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注：1.投标人根据自身实力进行报价。代建服务报酬已包含执行和完成代建服务合同规定全部代建服务工作所需支付的费用、代建服务单位所考虑的风险和合理利润以及代建服务单位所应缴纳的一切税金。</w:t>
      </w:r>
    </w:p>
    <w:p>
      <w:pPr>
        <w:spacing w:line="276" w:lineRule="auto"/>
        <w:ind w:firstLine="424" w:firstLineChars="202"/>
        <w:rPr>
          <w:rFonts w:ascii="宋体" w:hAnsi="宋体" w:cs="宋体"/>
          <w:color w:val="auto"/>
          <w:highlight w:val="none"/>
          <w:u w:val="single"/>
        </w:rPr>
      </w:pPr>
      <w:r>
        <w:rPr>
          <w:rFonts w:hint="eastAsia" w:ascii="宋体" w:hAnsi="宋体" w:cs="宋体"/>
          <w:color w:val="auto"/>
          <w:highlight w:val="none"/>
          <w:u w:val="single"/>
        </w:rPr>
        <w:t>2.</w:t>
      </w:r>
      <w:r>
        <w:rPr>
          <w:rFonts w:hint="eastAsia" w:ascii="宋体" w:hAnsi="宋体"/>
          <w:color w:val="auto"/>
          <w:highlight w:val="none"/>
        </w:rPr>
        <w:t xml:space="preserve"> 下浮率=（最高投标限价-投标报价）/最高投标限价*100%，保留到小数位后2位，第三位小数四舍五入。</w:t>
      </w:r>
    </w:p>
    <w:p>
      <w:pPr>
        <w:pStyle w:val="17"/>
        <w:spacing w:line="360" w:lineRule="auto"/>
        <w:ind w:firstLine="0" w:firstLineChars="0"/>
        <w:rPr>
          <w:rFonts w:ascii="宋体" w:hAnsi="宋体" w:eastAsia="宋体" w:cs="宋体"/>
          <w:color w:val="auto"/>
          <w:highlight w:val="none"/>
        </w:rPr>
      </w:pPr>
    </w:p>
    <w:p>
      <w:pPr>
        <w:pStyle w:val="17"/>
        <w:tabs>
          <w:tab w:val="left" w:pos="3960"/>
        </w:tabs>
        <w:spacing w:line="480" w:lineRule="auto"/>
        <w:ind w:right="108" w:firstLine="849" w:firstLineChars="354"/>
        <w:jc w:val="left"/>
        <w:rPr>
          <w:rFonts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投标人（公章）：</w:t>
      </w:r>
    </w:p>
    <w:p>
      <w:pPr>
        <w:pStyle w:val="17"/>
        <w:tabs>
          <w:tab w:val="left" w:pos="3960"/>
        </w:tabs>
        <w:spacing w:line="480" w:lineRule="auto"/>
        <w:ind w:right="108" w:firstLine="849" w:firstLineChars="354"/>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法定代表人或授权代表（签字或盖章）：</w:t>
      </w:r>
    </w:p>
    <w:p>
      <w:pPr>
        <w:pStyle w:val="17"/>
        <w:tabs>
          <w:tab w:val="left" w:pos="3960"/>
        </w:tabs>
        <w:spacing w:line="480" w:lineRule="auto"/>
        <w:ind w:right="108" w:firstLine="849" w:firstLineChars="354"/>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日期： </w:t>
      </w:r>
    </w:p>
    <w:p>
      <w:pPr>
        <w:pStyle w:val="5"/>
        <w:rPr>
          <w:rFonts w:ascii="宋体" w:hAnsi="宋体" w:cs="宋体"/>
          <w:color w:val="auto"/>
          <w:highlight w:val="none"/>
        </w:rPr>
      </w:pPr>
      <w:r>
        <w:rPr>
          <w:rFonts w:hint="eastAsia" w:ascii="宋体" w:hAnsi="宋体" w:cs="宋体"/>
          <w:color w:val="auto"/>
          <w:highlight w:val="none"/>
        </w:rPr>
        <w:br w:type="page"/>
      </w:r>
      <w:bookmarkStart w:id="101" w:name="_Toc132272677"/>
      <w:r>
        <w:rPr>
          <w:rFonts w:hint="eastAsia" w:ascii="宋体" w:hAnsi="宋体" w:cs="宋体"/>
          <w:color w:val="auto"/>
          <w:highlight w:val="none"/>
        </w:rPr>
        <w:t>格式2：投标函及附录</w:t>
      </w:r>
      <w:bookmarkEnd w:id="101"/>
    </w:p>
    <w:bookmarkEnd w:id="99"/>
    <w:bookmarkEnd w:id="100"/>
    <w:p>
      <w:pPr>
        <w:spacing w:line="360" w:lineRule="auto"/>
        <w:jc w:val="center"/>
        <w:rPr>
          <w:rFonts w:ascii="宋体" w:hAnsi="宋体" w:cs="宋体"/>
          <w:b/>
          <w:bCs/>
          <w:color w:val="auto"/>
          <w:kern w:val="28"/>
          <w:sz w:val="28"/>
          <w:szCs w:val="32"/>
          <w:highlight w:val="none"/>
        </w:rPr>
      </w:pPr>
      <w:r>
        <w:rPr>
          <w:rFonts w:hint="eastAsia" w:ascii="宋体" w:hAnsi="宋体" w:cs="宋体"/>
          <w:b/>
          <w:bCs/>
          <w:color w:val="auto"/>
          <w:kern w:val="28"/>
          <w:sz w:val="28"/>
          <w:szCs w:val="32"/>
          <w:highlight w:val="none"/>
        </w:rPr>
        <w:t>（一）投标函</w:t>
      </w:r>
    </w:p>
    <w:p>
      <w:pPr>
        <w:autoSpaceDE w:val="0"/>
        <w:autoSpaceDN w:val="0"/>
        <w:adjustRightInd w:val="0"/>
        <w:snapToGrid w:val="0"/>
        <w:spacing w:line="480" w:lineRule="auto"/>
        <w:rPr>
          <w:rFonts w:ascii="宋体" w:hAnsi="宋体" w:cs="宋体"/>
          <w:color w:val="auto"/>
          <w:highlight w:val="none"/>
        </w:rPr>
      </w:pPr>
      <w:r>
        <w:rPr>
          <w:rFonts w:hint="eastAsia" w:ascii="宋体" w:hAnsi="宋体" w:cs="宋体"/>
          <w:color w:val="auto"/>
          <w:highlight w:val="none"/>
        </w:rPr>
        <w:t xml:space="preserve">致: </w:t>
      </w:r>
      <w:r>
        <w:rPr>
          <w:rFonts w:hint="eastAsia" w:ascii="宋体" w:hAnsi="宋体" w:cs="宋体"/>
          <w:sz w:val="21"/>
          <w:szCs w:val="21"/>
          <w:highlight w:val="none"/>
          <w:u w:val="single"/>
        </w:rPr>
        <w:t>广州市荔湾区人民政府站前街道办事处</w:t>
      </w:r>
    </w:p>
    <w:p>
      <w:pPr>
        <w:autoSpaceDE w:val="0"/>
        <w:autoSpaceDN w:val="0"/>
        <w:adjustRightInd w:val="0"/>
        <w:snapToGrid w:val="0"/>
        <w:spacing w:line="480" w:lineRule="auto"/>
        <w:ind w:firstLine="420" w:firstLineChars="200"/>
        <w:rPr>
          <w:rFonts w:ascii="宋体" w:hAnsi="宋体" w:cs="宋体"/>
          <w:color w:val="auto"/>
          <w:highlight w:val="none"/>
        </w:rPr>
      </w:pPr>
      <w:r>
        <w:rPr>
          <w:rFonts w:hint="eastAsia" w:ascii="宋体" w:hAnsi="宋体" w:cs="宋体"/>
          <w:color w:val="auto"/>
          <w:highlight w:val="none"/>
        </w:rPr>
        <w:t>我方确认收到贵方提供</w:t>
      </w:r>
      <w:r>
        <w:rPr>
          <w:rFonts w:hint="eastAsia" w:ascii="宋体" w:hAnsi="宋体" w:cs="宋体"/>
          <w:color w:val="auto"/>
          <w:highlight w:val="none"/>
          <w:u w:val="single"/>
        </w:rPr>
        <w:t>xx项目代建服务</w:t>
      </w:r>
      <w:r>
        <w:rPr>
          <w:rFonts w:hint="eastAsia" w:ascii="宋体" w:hAnsi="宋体" w:cs="宋体"/>
          <w:color w:val="auto"/>
          <w:highlight w:val="none"/>
        </w:rPr>
        <w:t>招标文件的全部内容，并对施工现场进行勘察，我方：（投标人名称）已理解招标文件的全部内容，我方作为投标人正式授权（授权代表全名，职务）代表我方进行有关本投标活动的一切事宜，考虑本企业自身的实力及特点，作出如下承诺。</w:t>
      </w:r>
    </w:p>
    <w:p>
      <w:pPr>
        <w:autoSpaceDE w:val="0"/>
        <w:autoSpaceDN w:val="0"/>
        <w:adjustRightInd w:val="0"/>
        <w:snapToGrid w:val="0"/>
        <w:spacing w:line="480" w:lineRule="auto"/>
        <w:ind w:firstLine="420" w:firstLineChars="200"/>
        <w:rPr>
          <w:rFonts w:ascii="宋体" w:hAnsi="宋体" w:cs="宋体"/>
          <w:color w:val="auto"/>
          <w:highlight w:val="none"/>
        </w:rPr>
      </w:pPr>
      <w:r>
        <w:rPr>
          <w:rFonts w:hint="eastAsia" w:ascii="宋体" w:hAnsi="宋体" w:cs="宋体"/>
          <w:color w:val="auto"/>
          <w:highlight w:val="none"/>
        </w:rPr>
        <w:t>1．代建服务费投标报价（详见投标报价表）。</w:t>
      </w:r>
    </w:p>
    <w:p>
      <w:pPr>
        <w:autoSpaceDE w:val="0"/>
        <w:autoSpaceDN w:val="0"/>
        <w:adjustRightInd w:val="0"/>
        <w:snapToGrid w:val="0"/>
        <w:spacing w:line="480" w:lineRule="auto"/>
        <w:ind w:firstLine="420" w:firstLineChars="200"/>
        <w:rPr>
          <w:rFonts w:ascii="宋体" w:hAnsi="宋体" w:cs="宋体"/>
          <w:bCs/>
          <w:color w:val="auto"/>
          <w:highlight w:val="none"/>
        </w:rPr>
      </w:pPr>
      <w:r>
        <w:rPr>
          <w:rFonts w:hint="eastAsia" w:ascii="宋体" w:hAnsi="宋体" w:cs="宋体"/>
          <w:color w:val="auto"/>
          <w:highlight w:val="none"/>
        </w:rPr>
        <w:t>2．</w:t>
      </w:r>
      <w:r>
        <w:rPr>
          <w:rFonts w:hint="eastAsia" w:ascii="宋体" w:hAnsi="宋体" w:cs="宋体"/>
          <w:bCs/>
          <w:color w:val="auto"/>
          <w:highlight w:val="none"/>
        </w:rPr>
        <w:t>我方保证本工程质量达到</w:t>
      </w:r>
      <w:r>
        <w:rPr>
          <w:rFonts w:hint="eastAsia" w:ascii="宋体" w:hAnsi="宋体" w:cs="宋体"/>
          <w:bCs/>
          <w:color w:val="auto"/>
          <w:highlight w:val="none"/>
          <w:u w:val="single"/>
        </w:rPr>
        <w:t>合格或以上标准</w:t>
      </w:r>
      <w:r>
        <w:rPr>
          <w:rFonts w:hint="eastAsia" w:ascii="宋体" w:hAnsi="宋体" w:cs="宋体"/>
          <w:bCs/>
          <w:color w:val="auto"/>
          <w:highlight w:val="none"/>
        </w:rPr>
        <w:t>。</w:t>
      </w:r>
    </w:p>
    <w:p>
      <w:pPr>
        <w:autoSpaceDE w:val="0"/>
        <w:autoSpaceDN w:val="0"/>
        <w:adjustRightInd w:val="0"/>
        <w:snapToGrid w:val="0"/>
        <w:spacing w:line="480" w:lineRule="auto"/>
        <w:ind w:firstLine="420" w:firstLineChars="200"/>
        <w:rPr>
          <w:rFonts w:ascii="宋体" w:hAnsi="宋体" w:cs="宋体"/>
          <w:color w:val="auto"/>
          <w:highlight w:val="none"/>
        </w:rPr>
      </w:pPr>
      <w:r>
        <w:rPr>
          <w:rFonts w:hint="eastAsia" w:ascii="宋体" w:hAnsi="宋体" w:cs="宋体"/>
          <w:color w:val="auto"/>
          <w:highlight w:val="none"/>
        </w:rPr>
        <w:t>3．我方已详细研究了招标文件的所有内容包括修正文（如果有）和所有已提供的参考资料以及代建合同和有关附件，并完全明白， 我方放弃在此方面提出含糊意见或误解的一切权力。</w:t>
      </w:r>
    </w:p>
    <w:p>
      <w:pPr>
        <w:autoSpaceDE w:val="0"/>
        <w:autoSpaceDN w:val="0"/>
        <w:adjustRightInd w:val="0"/>
        <w:snapToGrid w:val="0"/>
        <w:spacing w:line="480" w:lineRule="auto"/>
        <w:ind w:firstLine="420" w:firstLineChars="200"/>
        <w:rPr>
          <w:rFonts w:ascii="宋体" w:hAnsi="宋体" w:cs="宋体"/>
          <w:color w:val="auto"/>
          <w:highlight w:val="none"/>
        </w:rPr>
      </w:pPr>
      <w:r>
        <w:rPr>
          <w:rFonts w:hint="eastAsia" w:ascii="宋体" w:hAnsi="宋体" w:cs="宋体"/>
          <w:color w:val="auto"/>
          <w:highlight w:val="none"/>
        </w:rPr>
        <w:t>4．我方同意按照贵方可能提出的要求，提供与投标有关的任何其它数据或信息。</w:t>
      </w:r>
    </w:p>
    <w:p>
      <w:pPr>
        <w:autoSpaceDE w:val="0"/>
        <w:autoSpaceDN w:val="0"/>
        <w:adjustRightInd w:val="0"/>
        <w:snapToGrid w:val="0"/>
        <w:spacing w:line="480" w:lineRule="auto"/>
        <w:ind w:firstLine="420" w:firstLineChars="200"/>
        <w:rPr>
          <w:rFonts w:ascii="宋体" w:hAnsi="宋体" w:cs="宋体"/>
          <w:color w:val="auto"/>
          <w:highlight w:val="none"/>
        </w:rPr>
      </w:pPr>
      <w:r>
        <w:rPr>
          <w:rFonts w:hint="eastAsia" w:ascii="宋体" w:hAnsi="宋体" w:cs="宋体"/>
          <w:color w:val="auto"/>
          <w:highlight w:val="none"/>
        </w:rPr>
        <w:t>5．我方承诺对投标文件的真实性、可靠性和准确性负责，并承诺不存在侵权的行为，若因投标文件的真实性、可靠性、准确性以及侵权行为，造成的后果及法律责任，与招标代理机构和招标人无关，我方完全承担因此而造成的一切后果及法律责任。</w:t>
      </w:r>
    </w:p>
    <w:p>
      <w:pPr>
        <w:autoSpaceDE w:val="0"/>
        <w:autoSpaceDN w:val="0"/>
        <w:adjustRightInd w:val="0"/>
        <w:snapToGrid w:val="0"/>
        <w:spacing w:line="480" w:lineRule="auto"/>
        <w:ind w:firstLine="420" w:firstLineChars="200"/>
        <w:rPr>
          <w:rFonts w:ascii="宋体" w:hAnsi="宋体" w:cs="宋体"/>
          <w:color w:val="auto"/>
          <w:highlight w:val="none"/>
        </w:rPr>
      </w:pPr>
      <w:r>
        <w:rPr>
          <w:rFonts w:hint="eastAsia" w:ascii="宋体" w:hAnsi="宋体" w:cs="宋体"/>
          <w:color w:val="auto"/>
          <w:highlight w:val="none"/>
        </w:rPr>
        <w:t>6．本投标文件的有效期至投标截止日后90日历天有效，如中标，有效期将自动延至代建合同终止日为止。</w:t>
      </w:r>
    </w:p>
    <w:p>
      <w:pPr>
        <w:autoSpaceDE w:val="0"/>
        <w:autoSpaceDN w:val="0"/>
        <w:adjustRightInd w:val="0"/>
        <w:snapToGrid w:val="0"/>
        <w:spacing w:line="480" w:lineRule="auto"/>
        <w:ind w:firstLine="420" w:firstLineChars="200"/>
        <w:rPr>
          <w:rFonts w:ascii="宋体" w:hAnsi="宋体" w:cs="宋体"/>
          <w:bCs/>
          <w:color w:val="auto"/>
          <w:highlight w:val="none"/>
        </w:rPr>
      </w:pPr>
      <w:r>
        <w:rPr>
          <w:rFonts w:hint="eastAsia" w:ascii="宋体" w:hAnsi="宋体" w:cs="宋体"/>
          <w:color w:val="auto"/>
          <w:highlight w:val="none"/>
        </w:rPr>
        <w:t>7．我方如果中标，将保证履行招标文件以及招标文件修改书（如有）中的全部责任和义务，按代建合同以及我方在投标文件中的承诺签订合同，按质、按量、按期完成建设任务。</w:t>
      </w:r>
    </w:p>
    <w:p>
      <w:pPr>
        <w:autoSpaceDE w:val="0"/>
        <w:autoSpaceDN w:val="0"/>
        <w:adjustRightInd w:val="0"/>
        <w:snapToGrid w:val="0"/>
        <w:spacing w:line="480" w:lineRule="auto"/>
        <w:ind w:firstLine="417" w:firstLineChars="199"/>
        <w:rPr>
          <w:rFonts w:ascii="宋体" w:hAnsi="宋体" w:cs="宋体"/>
          <w:bCs/>
          <w:color w:val="auto"/>
          <w:highlight w:val="none"/>
        </w:rPr>
      </w:pPr>
      <w:r>
        <w:rPr>
          <w:rFonts w:hint="eastAsia" w:ascii="宋体" w:hAnsi="宋体" w:cs="宋体"/>
          <w:bCs/>
          <w:color w:val="auto"/>
          <w:highlight w:val="none"/>
        </w:rPr>
        <w:t>8、我方如果中标，承诺在按政府批准的工期、建设规模、标准和投资控制的前提下，完全接受招标人对本项目功能需求和相关建设标准的要求；承诺本工程的质量保修期按国家有关执行。</w:t>
      </w:r>
    </w:p>
    <w:p>
      <w:pPr>
        <w:autoSpaceDE w:val="0"/>
        <w:autoSpaceDN w:val="0"/>
        <w:adjustRightInd w:val="0"/>
        <w:snapToGrid w:val="0"/>
        <w:spacing w:line="480" w:lineRule="auto"/>
        <w:ind w:firstLine="417" w:firstLineChars="199"/>
        <w:rPr>
          <w:rFonts w:ascii="宋体" w:hAnsi="宋体" w:cs="宋体"/>
          <w:color w:val="auto"/>
          <w:highlight w:val="none"/>
        </w:rPr>
      </w:pPr>
    </w:p>
    <w:p>
      <w:pPr>
        <w:pStyle w:val="17"/>
        <w:tabs>
          <w:tab w:val="left" w:pos="3960"/>
        </w:tabs>
        <w:spacing w:line="720" w:lineRule="auto"/>
        <w:ind w:right="108" w:firstLine="2268" w:firstLineChars="945"/>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投标人（公章）： </w:t>
      </w:r>
    </w:p>
    <w:p>
      <w:pPr>
        <w:pStyle w:val="17"/>
        <w:tabs>
          <w:tab w:val="left" w:pos="3960"/>
        </w:tabs>
        <w:spacing w:line="720" w:lineRule="auto"/>
        <w:ind w:right="108" w:firstLine="2268" w:firstLineChars="945"/>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法定代表人或授权代表（签字或盖章）：</w:t>
      </w:r>
    </w:p>
    <w:p>
      <w:pPr>
        <w:pStyle w:val="17"/>
        <w:tabs>
          <w:tab w:val="left" w:pos="3960"/>
        </w:tabs>
        <w:spacing w:line="720" w:lineRule="auto"/>
        <w:ind w:right="108" w:firstLine="2268" w:firstLineChars="945"/>
        <w:jc w:val="left"/>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ascii="宋体" w:hAnsi="宋体" w:eastAsia="宋体" w:cs="宋体"/>
          <w:bCs/>
          <w:color w:val="auto"/>
          <w:sz w:val="24"/>
          <w:szCs w:val="24"/>
          <w:highlight w:val="none"/>
        </w:rPr>
        <w:br w:type="page"/>
      </w:r>
    </w:p>
    <w:p>
      <w:pPr>
        <w:spacing w:line="360" w:lineRule="auto"/>
        <w:jc w:val="center"/>
        <w:rPr>
          <w:rFonts w:ascii="宋体" w:hAnsi="宋体" w:cs="宋体"/>
          <w:b/>
          <w:bCs/>
          <w:color w:val="auto"/>
          <w:kern w:val="28"/>
          <w:sz w:val="28"/>
          <w:szCs w:val="32"/>
          <w:highlight w:val="none"/>
        </w:rPr>
      </w:pPr>
      <w:r>
        <w:rPr>
          <w:rFonts w:hint="eastAsia" w:ascii="宋体" w:hAnsi="宋体" w:cs="宋体"/>
          <w:b/>
          <w:bCs/>
          <w:color w:val="auto"/>
          <w:kern w:val="28"/>
          <w:sz w:val="28"/>
          <w:szCs w:val="32"/>
          <w:highlight w:val="none"/>
        </w:rPr>
        <w:t>（二）投标函附录</w:t>
      </w:r>
    </w:p>
    <w:tbl>
      <w:tblPr>
        <w:tblStyle w:val="30"/>
        <w:tblW w:w="9488"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7"/>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vAlign w:val="center"/>
          </w:tcPr>
          <w:p>
            <w:pPr>
              <w:spacing w:line="400" w:lineRule="exact"/>
              <w:jc w:val="center"/>
              <w:rPr>
                <w:rFonts w:ascii="宋体" w:hAnsi="宋体" w:cs="宋体"/>
                <w:b/>
                <w:color w:val="auto"/>
                <w:highlight w:val="none"/>
              </w:rPr>
            </w:pPr>
            <w:r>
              <w:rPr>
                <w:rFonts w:hint="eastAsia" w:ascii="宋体" w:hAnsi="宋体" w:cs="宋体"/>
                <w:b/>
                <w:color w:val="auto"/>
                <w:highlight w:val="none"/>
              </w:rPr>
              <w:t>项    目</w:t>
            </w:r>
          </w:p>
        </w:tc>
        <w:tc>
          <w:tcPr>
            <w:tcW w:w="6491" w:type="dxa"/>
            <w:vAlign w:val="center"/>
          </w:tcPr>
          <w:p>
            <w:pPr>
              <w:spacing w:line="400" w:lineRule="exact"/>
              <w:jc w:val="center"/>
              <w:rPr>
                <w:rFonts w:ascii="宋体" w:hAnsi="宋体" w:cs="宋体"/>
                <w:color w:val="auto"/>
                <w:highlight w:val="none"/>
              </w:rPr>
            </w:pPr>
            <w:r>
              <w:rPr>
                <w:rFonts w:hint="eastAsia" w:ascii="宋体" w:hAnsi="宋体" w:cs="宋体"/>
                <w:color w:val="auto"/>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b/>
                <w:color w:val="auto"/>
                <w:highlight w:val="none"/>
              </w:rPr>
            </w:pPr>
            <w:r>
              <w:rPr>
                <w:rFonts w:hint="eastAsia" w:ascii="宋体" w:hAnsi="宋体" w:cs="宋体"/>
                <w:b/>
                <w:color w:val="auto"/>
                <w:highlight w:val="none"/>
              </w:rPr>
              <w:t>项目负责人</w:t>
            </w: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highlight w:val="none"/>
              </w:rPr>
            </w:pPr>
            <w:r>
              <w:rPr>
                <w:rFonts w:hint="eastAsia" w:ascii="宋体" w:hAnsi="宋体" w:cs="宋体"/>
                <w:color w:val="auto"/>
                <w:highlight w:val="none"/>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vMerge w:val="continue"/>
            <w:tcBorders>
              <w:left w:val="single" w:color="auto" w:sz="4" w:space="0"/>
              <w:right w:val="single" w:color="auto" w:sz="4" w:space="0"/>
            </w:tcBorders>
            <w:vAlign w:val="center"/>
          </w:tcPr>
          <w:p>
            <w:pPr>
              <w:spacing w:line="400" w:lineRule="exact"/>
              <w:jc w:val="center"/>
              <w:rPr>
                <w:rFonts w:ascii="宋体" w:hAnsi="宋体" w:cs="宋体"/>
                <w:color w:val="auto"/>
                <w:highlight w:val="none"/>
              </w:rPr>
            </w:pP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highlight w:val="none"/>
              </w:rPr>
            </w:pPr>
            <w:r>
              <w:rPr>
                <w:rFonts w:hint="eastAsia" w:ascii="宋体" w:hAnsi="宋体" w:cs="宋体"/>
                <w:color w:val="auto"/>
                <w:highlight w:val="none"/>
              </w:rPr>
              <w:t>技术职称或注册证号：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tcBorders>
              <w:left w:val="single" w:color="auto" w:sz="4" w:space="0"/>
              <w:right w:val="single" w:color="auto" w:sz="4" w:space="0"/>
            </w:tcBorders>
            <w:vAlign w:val="center"/>
          </w:tcPr>
          <w:p>
            <w:pPr>
              <w:spacing w:line="400" w:lineRule="exact"/>
              <w:jc w:val="center"/>
              <w:rPr>
                <w:rFonts w:ascii="宋体" w:hAnsi="宋体" w:cs="宋体"/>
                <w:color w:val="auto"/>
                <w:highlight w:val="none"/>
              </w:rPr>
            </w:pPr>
            <w:r>
              <w:rPr>
                <w:rFonts w:hint="eastAsia" w:ascii="宋体" w:hAnsi="宋体" w:cs="宋体"/>
                <w:b/>
                <w:color w:val="auto"/>
                <w:highlight w:val="none"/>
              </w:rPr>
              <w:t>代建服务期限</w:t>
            </w: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highlight w:val="none"/>
              </w:rPr>
            </w:pPr>
            <w:r>
              <w:rPr>
                <w:rFonts w:hint="eastAsia" w:ascii="宋体" w:hAnsi="宋体" w:cs="宋体"/>
                <w:color w:val="auto"/>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tcBorders>
              <w:left w:val="single" w:color="auto" w:sz="4" w:space="0"/>
              <w:right w:val="single" w:color="auto" w:sz="4" w:space="0"/>
            </w:tcBorders>
            <w:vAlign w:val="center"/>
          </w:tcPr>
          <w:p>
            <w:pPr>
              <w:spacing w:line="400" w:lineRule="exact"/>
              <w:jc w:val="center"/>
              <w:rPr>
                <w:rFonts w:ascii="宋体" w:hAnsi="宋体" w:cs="宋体"/>
                <w:color w:val="auto"/>
                <w:highlight w:val="none"/>
              </w:rPr>
            </w:pPr>
            <w:r>
              <w:rPr>
                <w:rFonts w:hint="eastAsia" w:ascii="宋体" w:hAnsi="宋体" w:cs="宋体"/>
                <w:b/>
                <w:color w:val="auto"/>
                <w:highlight w:val="none"/>
              </w:rPr>
              <w:t>质量标准</w:t>
            </w: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highlight w:val="none"/>
              </w:rPr>
            </w:pPr>
            <w:r>
              <w:rPr>
                <w:rFonts w:hint="eastAsia" w:ascii="宋体" w:hAnsi="宋体" w:cs="宋体"/>
                <w:color w:val="auto"/>
                <w:highlight w:val="none"/>
              </w:rPr>
              <w:t>按招标文件要求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997" w:type="dxa"/>
            <w:tcBorders>
              <w:left w:val="single" w:color="auto" w:sz="4" w:space="0"/>
              <w:right w:val="single" w:color="auto" w:sz="4" w:space="0"/>
            </w:tcBorders>
            <w:vAlign w:val="center"/>
          </w:tcPr>
          <w:p>
            <w:pPr>
              <w:spacing w:line="400" w:lineRule="exact"/>
              <w:jc w:val="center"/>
              <w:rPr>
                <w:rFonts w:ascii="宋体" w:hAnsi="宋体" w:cs="宋体"/>
                <w:b/>
                <w:color w:val="auto"/>
                <w:highlight w:val="none"/>
              </w:rPr>
            </w:pPr>
            <w:r>
              <w:rPr>
                <w:rFonts w:hint="eastAsia" w:ascii="宋体" w:hAnsi="宋体" w:cs="宋体"/>
                <w:b/>
                <w:color w:val="auto"/>
                <w:highlight w:val="none"/>
              </w:rPr>
              <w:t>投标总报价</w:t>
            </w:r>
            <w:r>
              <w:rPr>
                <w:rFonts w:hint="eastAsia" w:ascii="宋体" w:hAnsi="宋体" w:cs="宋体"/>
                <w:color w:val="auto"/>
                <w:highlight w:val="none"/>
              </w:rPr>
              <w:t>（万元）</w:t>
            </w:r>
          </w:p>
        </w:tc>
        <w:tc>
          <w:tcPr>
            <w:tcW w:w="6491" w:type="dxa"/>
            <w:tcBorders>
              <w:top w:val="single" w:color="auto" w:sz="4" w:space="0"/>
              <w:left w:val="single" w:color="auto" w:sz="4" w:space="0"/>
              <w:right w:val="single" w:color="auto" w:sz="4" w:space="0"/>
            </w:tcBorders>
            <w:vAlign w:val="center"/>
          </w:tcPr>
          <w:p>
            <w:pPr>
              <w:spacing w:line="276" w:lineRule="auto"/>
              <w:jc w:val="left"/>
              <w:rPr>
                <w:rFonts w:ascii="宋体" w:hAnsi="宋体"/>
                <w:color w:val="auto"/>
                <w:highlight w:val="none"/>
              </w:rPr>
            </w:pPr>
            <w:r>
              <w:rPr>
                <w:rFonts w:hint="eastAsia" w:ascii="宋体" w:hAnsi="宋体"/>
                <w:color w:val="auto"/>
                <w:highlight w:val="none"/>
              </w:rPr>
              <w:t>大写：</w:t>
            </w:r>
          </w:p>
          <w:p>
            <w:pPr>
              <w:spacing w:line="400" w:lineRule="exact"/>
              <w:rPr>
                <w:rFonts w:ascii="宋体" w:hAnsi="宋体" w:cs="宋体"/>
                <w:color w:val="auto"/>
                <w:highlight w:val="none"/>
              </w:rPr>
            </w:pPr>
            <w:r>
              <w:rPr>
                <w:rFonts w:hint="eastAsia" w:ascii="宋体" w:hAnsi="宋体"/>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997" w:type="dxa"/>
            <w:tcBorders>
              <w:left w:val="single" w:color="auto" w:sz="4" w:space="0"/>
              <w:right w:val="single" w:color="auto" w:sz="4" w:space="0"/>
            </w:tcBorders>
            <w:vAlign w:val="center"/>
          </w:tcPr>
          <w:p>
            <w:pPr>
              <w:spacing w:line="400" w:lineRule="exact"/>
              <w:jc w:val="center"/>
              <w:rPr>
                <w:rFonts w:ascii="宋体" w:hAnsi="宋体" w:cs="宋体"/>
                <w:b/>
                <w:color w:val="auto"/>
                <w:highlight w:val="none"/>
              </w:rPr>
            </w:pPr>
            <w:r>
              <w:rPr>
                <w:rFonts w:hint="eastAsia" w:ascii="宋体" w:hAnsi="宋体" w:cs="宋体"/>
                <w:b/>
                <w:color w:val="auto"/>
                <w:highlight w:val="none"/>
              </w:rPr>
              <w:t>投标下浮率%</w:t>
            </w:r>
          </w:p>
        </w:tc>
        <w:tc>
          <w:tcPr>
            <w:tcW w:w="6491" w:type="dxa"/>
            <w:tcBorders>
              <w:top w:val="single" w:color="auto" w:sz="4" w:space="0"/>
              <w:left w:val="single" w:color="auto" w:sz="4" w:space="0"/>
              <w:right w:val="single" w:color="auto" w:sz="4" w:space="0"/>
            </w:tcBorders>
            <w:vAlign w:val="center"/>
          </w:tcPr>
          <w:p>
            <w:pPr>
              <w:spacing w:line="276" w:lineRule="auto"/>
              <w:jc w:val="lef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997"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highlight w:val="none"/>
              </w:rPr>
            </w:pPr>
            <w:r>
              <w:rPr>
                <w:rFonts w:hint="eastAsia" w:ascii="宋体" w:hAnsi="宋体" w:cs="宋体"/>
                <w:b/>
                <w:color w:val="auto"/>
                <w:highlight w:val="none"/>
              </w:rPr>
              <w:t>投标有效期</w:t>
            </w:r>
          </w:p>
        </w:tc>
        <w:tc>
          <w:tcPr>
            <w:tcW w:w="6491"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auto"/>
                <w:highlight w:val="none"/>
              </w:rPr>
            </w:pPr>
            <w:r>
              <w:rPr>
                <w:rFonts w:hint="eastAsia" w:ascii="宋体" w:hAnsi="宋体" w:cs="宋体"/>
                <w:color w:val="auto"/>
                <w:highlight w:val="none"/>
              </w:rPr>
              <w:t>按招标文件要求</w:t>
            </w:r>
          </w:p>
        </w:tc>
      </w:tr>
    </w:tbl>
    <w:p>
      <w:pPr>
        <w:pStyle w:val="17"/>
        <w:tabs>
          <w:tab w:val="left" w:pos="3960"/>
        </w:tabs>
        <w:spacing w:line="360" w:lineRule="auto"/>
        <w:ind w:right="108" w:firstLine="0" w:firstLineChars="0"/>
        <w:jc w:val="left"/>
        <w:rPr>
          <w:rFonts w:ascii="宋体" w:hAnsi="宋体" w:eastAsia="宋体" w:cs="宋体"/>
          <w:color w:val="auto"/>
          <w:sz w:val="24"/>
          <w:szCs w:val="24"/>
          <w:highlight w:val="none"/>
        </w:rPr>
      </w:pPr>
    </w:p>
    <w:p>
      <w:pPr>
        <w:pStyle w:val="17"/>
        <w:tabs>
          <w:tab w:val="left" w:pos="3960"/>
        </w:tabs>
        <w:spacing w:line="360" w:lineRule="auto"/>
        <w:ind w:right="108" w:firstLine="1416" w:firstLineChars="590"/>
        <w:jc w:val="left"/>
        <w:rPr>
          <w:rFonts w:ascii="宋体" w:hAnsi="宋体" w:eastAsia="宋体" w:cs="宋体"/>
          <w:color w:val="auto"/>
          <w:sz w:val="24"/>
          <w:szCs w:val="24"/>
          <w:highlight w:val="none"/>
        </w:rPr>
      </w:pPr>
    </w:p>
    <w:p>
      <w:pPr>
        <w:pStyle w:val="17"/>
        <w:tabs>
          <w:tab w:val="left" w:pos="3960"/>
        </w:tabs>
        <w:spacing w:line="480" w:lineRule="auto"/>
        <w:ind w:right="108" w:firstLine="1239" w:firstLineChars="590"/>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投标人（公章）：</w:t>
      </w:r>
    </w:p>
    <w:p>
      <w:pPr>
        <w:pStyle w:val="17"/>
        <w:tabs>
          <w:tab w:val="left" w:pos="3960"/>
        </w:tabs>
        <w:spacing w:line="480" w:lineRule="auto"/>
        <w:ind w:right="108" w:firstLine="1239" w:firstLineChars="590"/>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法定代表人或授权代表（签字或盖章）：</w:t>
      </w:r>
    </w:p>
    <w:p>
      <w:pPr>
        <w:pStyle w:val="17"/>
        <w:tabs>
          <w:tab w:val="left" w:pos="3960"/>
        </w:tabs>
        <w:spacing w:line="480" w:lineRule="auto"/>
        <w:ind w:right="108" w:firstLine="1239" w:firstLineChars="590"/>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p>
    <w:p>
      <w:pPr>
        <w:spacing w:line="360" w:lineRule="auto"/>
        <w:ind w:firstLine="4080"/>
        <w:jc w:val="right"/>
        <w:rPr>
          <w:rFonts w:ascii="宋体" w:hAnsi="宋体" w:cs="宋体"/>
          <w:bCs/>
          <w:color w:val="auto"/>
          <w:sz w:val="24"/>
          <w:szCs w:val="24"/>
          <w:highlight w:val="none"/>
        </w:rPr>
      </w:pPr>
    </w:p>
    <w:p>
      <w:pPr>
        <w:pStyle w:val="5"/>
        <w:rPr>
          <w:rFonts w:ascii="宋体" w:hAnsi="宋体" w:cs="宋体"/>
          <w:color w:val="auto"/>
          <w:highlight w:val="none"/>
        </w:rPr>
      </w:pPr>
      <w:r>
        <w:rPr>
          <w:rFonts w:hint="eastAsia" w:ascii="宋体" w:hAnsi="宋体" w:cs="宋体"/>
          <w:color w:val="auto"/>
          <w:highlight w:val="none"/>
        </w:rPr>
        <w:br w:type="page"/>
      </w:r>
      <w:bookmarkStart w:id="102" w:name="_Toc132272678"/>
      <w:r>
        <w:rPr>
          <w:rFonts w:hint="eastAsia" w:ascii="宋体" w:hAnsi="宋体" w:cs="宋体"/>
          <w:color w:val="auto"/>
          <w:highlight w:val="none"/>
        </w:rPr>
        <w:t>格式3：投标保证金</w:t>
      </w:r>
      <w:bookmarkEnd w:id="102"/>
    </w:p>
    <w:p>
      <w:pPr>
        <w:spacing w:line="480" w:lineRule="auto"/>
        <w:rPr>
          <w:rFonts w:ascii="宋体" w:hAnsi="宋体" w:cs="宋体"/>
          <w:color w:val="auto"/>
          <w:highlight w:val="none"/>
          <w:u w:val="single"/>
        </w:rPr>
      </w:pPr>
      <w:bookmarkStart w:id="103" w:name="_Toc319366798"/>
      <w:bookmarkStart w:id="104" w:name="_Toc383441819"/>
      <w:r>
        <w:rPr>
          <w:rFonts w:hint="eastAsia" w:ascii="宋体" w:hAnsi="宋体" w:cs="宋体"/>
          <w:sz w:val="21"/>
          <w:szCs w:val="21"/>
          <w:highlight w:val="none"/>
          <w:u w:val="single"/>
        </w:rPr>
        <w:t>广州市荔湾区人民政府站前街道办事处</w:t>
      </w:r>
      <w:r>
        <w:rPr>
          <w:rFonts w:hint="eastAsia" w:ascii="宋体" w:hAnsi="宋体" w:cs="宋体"/>
          <w:color w:val="auto"/>
          <w:highlight w:val="none"/>
        </w:rPr>
        <w:t>：</w:t>
      </w:r>
    </w:p>
    <w:p>
      <w:pPr>
        <w:spacing w:line="480" w:lineRule="auto"/>
        <w:ind w:firstLine="420" w:firstLineChars="200"/>
        <w:rPr>
          <w:rFonts w:ascii="宋体" w:hAnsi="宋体" w:cs="宋体"/>
          <w:color w:val="auto"/>
          <w:highlight w:val="none"/>
          <w:u w:val="single"/>
        </w:rPr>
      </w:pPr>
      <w:r>
        <w:rPr>
          <w:rFonts w:hint="eastAsia" w:ascii="宋体" w:hAnsi="宋体" w:cs="宋体"/>
          <w:color w:val="auto"/>
          <w:highlight w:val="none"/>
          <w:u w:val="single"/>
        </w:rPr>
        <w:t>我方于  年  月  日参加          （项目名称）的投标，现保证：我方在规定的投标有效期内撤销或修改投标文件的，或者在收到中标通知书后无正当理由拒签合同的，投标保证金不予退还。</w:t>
      </w:r>
    </w:p>
    <w:tbl>
      <w:tblPr>
        <w:tblStyle w:val="30"/>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7" w:hRule="atLeast"/>
        </w:trPr>
        <w:tc>
          <w:tcPr>
            <w:tcW w:w="9795" w:type="dxa"/>
            <w:tcBorders>
              <w:top w:val="single" w:color="auto" w:sz="4" w:space="0"/>
              <w:left w:val="single" w:color="auto" w:sz="4" w:space="0"/>
              <w:bottom w:val="single" w:color="auto" w:sz="4" w:space="0"/>
              <w:right w:val="single" w:color="auto" w:sz="4" w:space="0"/>
            </w:tcBorders>
          </w:tcPr>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保证金凭证</w:t>
            </w: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tc>
      </w:tr>
    </w:tbl>
    <w:p>
      <w:pPr>
        <w:spacing w:line="1" w:lineRule="exact"/>
        <w:rPr>
          <w:rFonts w:ascii="宋体" w:hAnsi="宋体" w:cs="宋体"/>
          <w:color w:val="auto"/>
          <w:highlight w:val="none"/>
        </w:rPr>
      </w:pPr>
    </w:p>
    <w:p>
      <w:pPr>
        <w:jc w:val="left"/>
        <w:rPr>
          <w:rFonts w:ascii="宋体" w:hAnsi="宋体" w:cs="宋体"/>
          <w:b/>
          <w:color w:val="auto"/>
          <w:kern w:val="28"/>
          <w:sz w:val="28"/>
          <w:highlight w:val="none"/>
        </w:rPr>
      </w:pPr>
    </w:p>
    <w:p>
      <w:pPr>
        <w:widowControl/>
        <w:jc w:val="left"/>
        <w:rPr>
          <w:rFonts w:ascii="宋体" w:hAnsi="宋体" w:cs="宋体"/>
          <w:b/>
          <w:color w:val="auto"/>
          <w:kern w:val="28"/>
          <w:sz w:val="28"/>
          <w:highlight w:val="none"/>
        </w:rPr>
      </w:pPr>
      <w:r>
        <w:rPr>
          <w:rFonts w:ascii="宋体" w:hAnsi="宋体" w:cs="宋体"/>
          <w:b/>
          <w:color w:val="auto"/>
          <w:kern w:val="28"/>
          <w:sz w:val="28"/>
          <w:highlight w:val="none"/>
        </w:rPr>
        <w:br w:type="page"/>
      </w:r>
    </w:p>
    <w:p>
      <w:pPr>
        <w:pStyle w:val="5"/>
        <w:rPr>
          <w:rFonts w:ascii="宋体" w:hAnsi="宋体" w:cs="宋体"/>
          <w:color w:val="auto"/>
          <w:highlight w:val="none"/>
        </w:rPr>
      </w:pPr>
      <w:bookmarkStart w:id="105" w:name="_Toc132272679"/>
      <w:r>
        <w:rPr>
          <w:rFonts w:hint="eastAsia" w:ascii="宋体" w:hAnsi="宋体" w:cs="宋体"/>
          <w:color w:val="auto"/>
          <w:highlight w:val="none"/>
        </w:rPr>
        <w:t>格式</w:t>
      </w:r>
      <w:bookmarkEnd w:id="103"/>
      <w:bookmarkEnd w:id="104"/>
      <w:r>
        <w:rPr>
          <w:rFonts w:hint="eastAsia" w:ascii="宋体" w:hAnsi="宋体" w:cs="宋体"/>
          <w:color w:val="auto"/>
          <w:highlight w:val="none"/>
        </w:rPr>
        <w:t>4：法定代表人身份证明书</w:t>
      </w:r>
      <w:bookmarkEnd w:id="105"/>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法定代表人身份证明书</w:t>
      </w:r>
    </w:p>
    <w:p>
      <w:pPr>
        <w:rPr>
          <w:rFonts w:ascii="宋体" w:hAnsi="宋体" w:cs="宋体"/>
          <w:b/>
          <w:bCs/>
          <w:color w:val="auto"/>
          <w:sz w:val="28"/>
          <w:szCs w:val="28"/>
          <w:highlight w:val="none"/>
        </w:rPr>
      </w:pPr>
    </w:p>
    <w:p>
      <w:pPr>
        <w:autoSpaceDE w:val="0"/>
        <w:autoSpaceDN w:val="0"/>
        <w:adjustRightInd w:val="0"/>
        <w:spacing w:line="360" w:lineRule="auto"/>
        <w:ind w:firstLine="1365" w:firstLineChars="650"/>
        <w:rPr>
          <w:rFonts w:ascii="宋体" w:hAnsi="宋体" w:cs="宋体"/>
          <w:bCs/>
          <w:color w:val="auto"/>
          <w:kern w:val="0"/>
          <w:highlight w:val="none"/>
          <w:u w:val="single"/>
        </w:rPr>
      </w:pPr>
      <w:bookmarkStart w:id="106" w:name="_Toc319366799"/>
      <w:bookmarkStart w:id="107" w:name="_Toc383441820"/>
      <w:r>
        <w:rPr>
          <w:rFonts w:hint="eastAsia" w:ascii="宋体" w:hAnsi="宋体" w:cs="宋体"/>
          <w:bCs/>
          <w:color w:val="auto"/>
          <w:kern w:val="0"/>
          <w:highlight w:val="none"/>
        </w:rPr>
        <w:t>投 标 人：</w:t>
      </w:r>
    </w:p>
    <w:p>
      <w:pPr>
        <w:autoSpaceDE w:val="0"/>
        <w:autoSpaceDN w:val="0"/>
        <w:adjustRightInd w:val="0"/>
        <w:spacing w:line="360" w:lineRule="auto"/>
        <w:ind w:firstLine="1365" w:firstLineChars="650"/>
        <w:rPr>
          <w:rFonts w:ascii="宋体" w:hAnsi="宋体" w:cs="宋体"/>
          <w:bCs/>
          <w:color w:val="auto"/>
          <w:kern w:val="0"/>
          <w:highlight w:val="none"/>
        </w:rPr>
      </w:pPr>
    </w:p>
    <w:p>
      <w:pPr>
        <w:autoSpaceDE w:val="0"/>
        <w:autoSpaceDN w:val="0"/>
        <w:adjustRightInd w:val="0"/>
        <w:spacing w:line="360" w:lineRule="auto"/>
        <w:ind w:firstLine="1365" w:firstLineChars="650"/>
        <w:rPr>
          <w:rFonts w:ascii="宋体" w:hAnsi="宋体" w:cs="宋体"/>
          <w:bCs/>
          <w:color w:val="auto"/>
          <w:kern w:val="0"/>
          <w:highlight w:val="none"/>
          <w:u w:val="single"/>
        </w:rPr>
      </w:pPr>
      <w:r>
        <w:rPr>
          <w:rFonts w:hint="eastAsia" w:ascii="宋体" w:hAnsi="宋体" w:cs="宋体"/>
          <w:bCs/>
          <w:color w:val="auto"/>
          <w:kern w:val="0"/>
          <w:highlight w:val="none"/>
        </w:rPr>
        <w:t>姓 名： 性 别：年 龄：职 务：</w:t>
      </w:r>
      <w:r>
        <w:rPr>
          <w:rFonts w:hint="eastAsia" w:ascii="宋体" w:hAnsi="宋体" w:cs="宋体"/>
          <w:bCs/>
          <w:color w:val="auto"/>
          <w:kern w:val="0"/>
          <w:highlight w:val="none"/>
          <w:u w:val="single"/>
        </w:rPr>
        <w:t xml:space="preserve">      .</w:t>
      </w:r>
    </w:p>
    <w:p>
      <w:pPr>
        <w:autoSpaceDE w:val="0"/>
        <w:autoSpaceDN w:val="0"/>
        <w:adjustRightInd w:val="0"/>
        <w:spacing w:line="360" w:lineRule="auto"/>
        <w:ind w:firstLine="1365" w:firstLineChars="650"/>
        <w:rPr>
          <w:rFonts w:ascii="宋体" w:hAnsi="宋体" w:cs="宋体"/>
          <w:bCs/>
          <w:color w:val="auto"/>
          <w:kern w:val="0"/>
          <w:highlight w:val="none"/>
        </w:rPr>
      </w:pPr>
    </w:p>
    <w:p>
      <w:pPr>
        <w:autoSpaceDE w:val="0"/>
        <w:autoSpaceDN w:val="0"/>
        <w:adjustRightInd w:val="0"/>
        <w:spacing w:line="360" w:lineRule="auto"/>
        <w:ind w:firstLine="1365" w:firstLineChars="650"/>
        <w:rPr>
          <w:rFonts w:ascii="宋体" w:hAnsi="宋体" w:cs="宋体"/>
          <w:bCs/>
          <w:color w:val="auto"/>
          <w:kern w:val="0"/>
          <w:highlight w:val="none"/>
        </w:rPr>
      </w:pPr>
      <w:r>
        <w:rPr>
          <w:rFonts w:hint="eastAsia" w:ascii="宋体" w:hAnsi="宋体" w:cs="宋体"/>
          <w:bCs/>
          <w:color w:val="auto"/>
          <w:kern w:val="0"/>
          <w:highlight w:val="none"/>
        </w:rPr>
        <w:t>系 （投标人名称）的法定代表人。</w:t>
      </w:r>
    </w:p>
    <w:p>
      <w:pPr>
        <w:autoSpaceDE w:val="0"/>
        <w:autoSpaceDN w:val="0"/>
        <w:adjustRightInd w:val="0"/>
        <w:spacing w:line="360" w:lineRule="auto"/>
        <w:ind w:firstLine="1365" w:firstLineChars="650"/>
        <w:rPr>
          <w:rFonts w:ascii="宋体" w:hAnsi="宋体" w:cs="宋体"/>
          <w:bCs/>
          <w:color w:val="auto"/>
          <w:kern w:val="0"/>
          <w:highlight w:val="none"/>
        </w:rPr>
      </w:pPr>
    </w:p>
    <w:p>
      <w:pPr>
        <w:autoSpaceDE w:val="0"/>
        <w:autoSpaceDN w:val="0"/>
        <w:adjustRightInd w:val="0"/>
        <w:spacing w:line="360" w:lineRule="auto"/>
        <w:ind w:firstLine="1365" w:firstLineChars="650"/>
        <w:rPr>
          <w:rFonts w:ascii="宋体" w:hAnsi="宋体" w:cs="宋体"/>
          <w:bCs/>
          <w:color w:val="auto"/>
          <w:kern w:val="0"/>
          <w:highlight w:val="none"/>
        </w:rPr>
      </w:pPr>
      <w:r>
        <w:rPr>
          <w:rFonts w:hint="eastAsia" w:ascii="宋体" w:hAnsi="宋体" w:cs="宋体"/>
          <w:bCs/>
          <w:color w:val="auto"/>
          <w:kern w:val="0"/>
          <w:highlight w:val="none"/>
        </w:rPr>
        <w:t>特此证明。</w:t>
      </w:r>
    </w:p>
    <w:p>
      <w:pPr>
        <w:autoSpaceDE w:val="0"/>
        <w:autoSpaceDN w:val="0"/>
        <w:adjustRightInd w:val="0"/>
        <w:spacing w:line="360" w:lineRule="auto"/>
        <w:rPr>
          <w:rFonts w:ascii="宋体" w:hAnsi="宋体" w:cs="宋体"/>
          <w:bCs/>
          <w:color w:val="auto"/>
          <w:kern w:val="0"/>
          <w:highlight w:val="none"/>
        </w:rPr>
      </w:pPr>
    </w:p>
    <w:p>
      <w:pPr>
        <w:autoSpaceDE w:val="0"/>
        <w:autoSpaceDN w:val="0"/>
        <w:adjustRightInd w:val="0"/>
        <w:spacing w:line="360" w:lineRule="auto"/>
        <w:ind w:firstLine="1274" w:firstLineChars="650"/>
        <w:rPr>
          <w:rFonts w:ascii="宋体" w:hAnsi="宋体" w:cs="宋体"/>
          <w:color w:val="auto"/>
          <w:spacing w:val="-7"/>
          <w:highlight w:val="none"/>
        </w:rPr>
      </w:pPr>
      <w:r>
        <w:rPr>
          <w:rFonts w:hint="eastAsia" w:ascii="宋体" w:hAnsi="宋体" w:cs="宋体"/>
          <w:color w:val="auto"/>
          <w:spacing w:val="-7"/>
          <w:highlight w:val="none"/>
        </w:rPr>
        <w:t>附：法定代表人身份证扫描件。</w:t>
      </w:r>
    </w:p>
    <w:p>
      <w:pPr>
        <w:autoSpaceDE w:val="0"/>
        <w:autoSpaceDN w:val="0"/>
        <w:adjustRightInd w:val="0"/>
        <w:spacing w:line="360" w:lineRule="auto"/>
        <w:ind w:firstLine="1274" w:firstLineChars="650"/>
        <w:rPr>
          <w:rFonts w:ascii="宋体" w:hAnsi="宋体" w:cs="宋体"/>
          <w:bCs/>
          <w:color w:val="auto"/>
          <w:kern w:val="0"/>
          <w:highlight w:val="none"/>
        </w:rPr>
      </w:pPr>
      <w:r>
        <w:rPr>
          <w:rFonts w:hint="eastAsia" w:ascii="宋体" w:hAnsi="宋体" w:cs="宋体"/>
          <w:color w:val="auto"/>
          <w:spacing w:val="-7"/>
          <w:highlight w:val="none"/>
        </w:rPr>
        <w:t>注：本身份证明需由投标人加盖单位公章。</w:t>
      </w:r>
    </w:p>
    <w:p>
      <w:pPr>
        <w:autoSpaceDE w:val="0"/>
        <w:autoSpaceDN w:val="0"/>
        <w:adjustRightInd w:val="0"/>
        <w:spacing w:line="360" w:lineRule="auto"/>
        <w:ind w:firstLine="3360" w:firstLineChars="1600"/>
        <w:rPr>
          <w:rFonts w:ascii="宋体" w:hAnsi="宋体" w:cs="宋体"/>
          <w:bCs/>
          <w:color w:val="auto"/>
          <w:kern w:val="0"/>
          <w:highlight w:val="none"/>
        </w:rPr>
      </w:pPr>
    </w:p>
    <w:p>
      <w:pPr>
        <w:autoSpaceDE w:val="0"/>
        <w:autoSpaceDN w:val="0"/>
        <w:adjustRightInd w:val="0"/>
        <w:spacing w:line="360" w:lineRule="auto"/>
        <w:ind w:firstLine="3360" w:firstLineChars="1600"/>
        <w:rPr>
          <w:rFonts w:ascii="宋体" w:hAnsi="宋体" w:cs="宋体"/>
          <w:bCs/>
          <w:color w:val="auto"/>
          <w:kern w:val="0"/>
          <w:highlight w:val="none"/>
        </w:rPr>
      </w:pPr>
      <w:r>
        <w:rPr>
          <w:rFonts w:hint="eastAsia" w:ascii="宋体" w:hAnsi="宋体" w:cs="宋体"/>
          <w:bCs/>
          <w:color w:val="auto"/>
          <w:kern w:val="0"/>
          <w:highlight w:val="none"/>
        </w:rPr>
        <w:t>投标人：（盖单位公章）</w:t>
      </w:r>
    </w:p>
    <w:p>
      <w:pPr>
        <w:autoSpaceDE w:val="0"/>
        <w:autoSpaceDN w:val="0"/>
        <w:adjustRightInd w:val="0"/>
        <w:spacing w:line="360" w:lineRule="auto"/>
        <w:ind w:firstLine="1365" w:firstLineChars="650"/>
        <w:rPr>
          <w:rFonts w:ascii="宋体" w:hAnsi="宋体" w:cs="宋体"/>
          <w:bCs/>
          <w:color w:val="auto"/>
          <w:kern w:val="0"/>
          <w:highlight w:val="none"/>
        </w:rPr>
      </w:pPr>
    </w:p>
    <w:p>
      <w:pPr>
        <w:spacing w:line="360" w:lineRule="auto"/>
        <w:ind w:firstLine="3885" w:firstLineChars="1850"/>
        <w:rPr>
          <w:rFonts w:ascii="宋体" w:hAnsi="宋体" w:cs="宋体"/>
          <w:color w:val="auto"/>
          <w:kern w:val="0"/>
          <w:highlight w:val="none"/>
        </w:rPr>
      </w:pPr>
      <w:r>
        <w:rPr>
          <w:rFonts w:hint="eastAsia" w:ascii="宋体" w:hAnsi="宋体" w:cs="宋体"/>
          <w:color w:val="auto"/>
          <w:kern w:val="0"/>
          <w:highlight w:val="none"/>
        </w:rPr>
        <w:t>日期：年月日</w:t>
      </w:r>
    </w:p>
    <w:p>
      <w:pPr>
        <w:tabs>
          <w:tab w:val="left" w:pos="-15038"/>
        </w:tabs>
        <w:snapToGrid w:val="0"/>
        <w:spacing w:line="480" w:lineRule="auto"/>
        <w:ind w:firstLine="4095" w:firstLineChars="1950"/>
        <w:textAlignment w:val="bottom"/>
        <w:rPr>
          <w:rFonts w:ascii="宋体" w:hAnsi="宋体" w:cs="宋体"/>
          <w:color w:val="auto"/>
          <w:highlight w:val="none"/>
        </w:rPr>
      </w:pPr>
    </w:p>
    <w:p>
      <w:pPr>
        <w:pStyle w:val="5"/>
        <w:rPr>
          <w:rFonts w:ascii="宋体" w:hAnsi="宋体" w:cs="宋体"/>
          <w:color w:val="auto"/>
          <w:highlight w:val="none"/>
        </w:rPr>
      </w:pPr>
      <w:r>
        <w:rPr>
          <w:rFonts w:hint="eastAsia" w:ascii="宋体" w:hAnsi="宋体" w:cs="宋体"/>
          <w:color w:val="auto"/>
          <w:highlight w:val="none"/>
        </w:rPr>
        <w:br w:type="page"/>
      </w:r>
      <w:bookmarkStart w:id="108" w:name="_Toc132272680"/>
      <w:r>
        <w:rPr>
          <w:rFonts w:hint="eastAsia" w:ascii="宋体" w:hAnsi="宋体" w:cs="宋体"/>
          <w:color w:val="auto"/>
          <w:highlight w:val="none"/>
        </w:rPr>
        <w:t>格式5：授权委托书</w:t>
      </w:r>
      <w:bookmarkEnd w:id="108"/>
    </w:p>
    <w:p>
      <w:pPr>
        <w:spacing w:line="360" w:lineRule="auto"/>
        <w:jc w:val="center"/>
        <w:rPr>
          <w:rFonts w:ascii="宋体" w:hAnsi="宋体" w:cs="宋体"/>
          <w:b/>
          <w:color w:val="auto"/>
          <w:sz w:val="28"/>
          <w:szCs w:val="28"/>
          <w:highlight w:val="none"/>
        </w:rPr>
      </w:pPr>
      <w:bookmarkStart w:id="109" w:name="_Toc23382"/>
      <w:bookmarkStart w:id="110" w:name="_Toc32660"/>
      <w:bookmarkStart w:id="111" w:name="_Toc7629"/>
      <w:bookmarkStart w:id="112" w:name="_Toc16423"/>
      <w:r>
        <w:rPr>
          <w:rFonts w:hint="eastAsia" w:ascii="宋体" w:hAnsi="宋体" w:cs="宋体"/>
          <w:b/>
          <w:color w:val="auto"/>
          <w:sz w:val="28"/>
          <w:szCs w:val="28"/>
          <w:highlight w:val="none"/>
        </w:rPr>
        <w:t>授权委托书</w:t>
      </w:r>
    </w:p>
    <w:p>
      <w:pPr>
        <w:tabs>
          <w:tab w:val="left" w:pos="1935"/>
          <w:tab w:val="left" w:pos="4140"/>
        </w:tabs>
        <w:spacing w:line="480" w:lineRule="auto"/>
        <w:ind w:right="-20" w:firstLine="371" w:firstLineChars="177"/>
        <w:jc w:val="left"/>
        <w:rPr>
          <w:rFonts w:ascii="宋体" w:hAnsi="宋体" w:cs="宋体"/>
          <w:color w:val="auto"/>
          <w:highlight w:val="none"/>
        </w:rPr>
      </w:pPr>
      <w:r>
        <w:rPr>
          <w:rFonts w:hint="eastAsia" w:ascii="宋体" w:hAnsi="宋体" w:cs="宋体"/>
          <w:color w:val="auto"/>
          <w:position w:val="-4"/>
          <w:highlight w:val="none"/>
        </w:rPr>
        <w:t>本人</w:t>
      </w:r>
      <w:r>
        <w:rPr>
          <w:rFonts w:hint="eastAsia" w:ascii="宋体" w:hAnsi="宋体" w:cs="宋体"/>
          <w:color w:val="auto"/>
          <w:position w:val="-4"/>
          <w:highlight w:val="none"/>
          <w:u w:val="single"/>
        </w:rPr>
        <w:tab/>
      </w:r>
      <w:r>
        <w:rPr>
          <w:rFonts w:hint="eastAsia" w:ascii="宋体" w:hAnsi="宋体" w:cs="宋体"/>
          <w:color w:val="auto"/>
          <w:position w:val="-4"/>
          <w:highlight w:val="none"/>
        </w:rPr>
        <w:t>（</w:t>
      </w:r>
      <w:r>
        <w:rPr>
          <w:rFonts w:hint="eastAsia" w:ascii="宋体" w:hAnsi="宋体" w:cs="宋体"/>
          <w:color w:val="auto"/>
          <w:spacing w:val="-2"/>
          <w:position w:val="-4"/>
          <w:highlight w:val="none"/>
        </w:rPr>
        <w:t>姓</w:t>
      </w:r>
      <w:r>
        <w:rPr>
          <w:rFonts w:hint="eastAsia" w:ascii="宋体" w:hAnsi="宋体" w:cs="宋体"/>
          <w:color w:val="auto"/>
          <w:position w:val="-4"/>
          <w:highlight w:val="none"/>
        </w:rPr>
        <w:t>名）系</w:t>
      </w:r>
      <w:r>
        <w:rPr>
          <w:rFonts w:hint="eastAsia" w:ascii="宋体" w:hAnsi="宋体" w:cs="宋体"/>
          <w:color w:val="auto"/>
          <w:position w:val="-4"/>
          <w:highlight w:val="none"/>
          <w:u w:val="single"/>
        </w:rPr>
        <w:tab/>
      </w:r>
      <w:r>
        <w:rPr>
          <w:rFonts w:hint="eastAsia" w:ascii="宋体" w:hAnsi="宋体" w:cs="宋体"/>
          <w:color w:val="auto"/>
          <w:position w:val="-4"/>
          <w:highlight w:val="none"/>
        </w:rPr>
        <w:t>（投标人</w:t>
      </w:r>
      <w:r>
        <w:rPr>
          <w:rFonts w:hint="eastAsia" w:ascii="宋体" w:hAnsi="宋体" w:cs="宋体"/>
          <w:color w:val="auto"/>
          <w:spacing w:val="-2"/>
          <w:position w:val="-4"/>
          <w:highlight w:val="none"/>
        </w:rPr>
        <w:t>名</w:t>
      </w:r>
      <w:r>
        <w:rPr>
          <w:rFonts w:hint="eastAsia" w:ascii="宋体" w:hAnsi="宋体" w:cs="宋体"/>
          <w:color w:val="auto"/>
          <w:position w:val="-4"/>
          <w:highlight w:val="none"/>
        </w:rPr>
        <w:t>称）的</w:t>
      </w:r>
      <w:r>
        <w:rPr>
          <w:rFonts w:hint="eastAsia" w:ascii="宋体" w:hAnsi="宋体" w:cs="宋体"/>
          <w:color w:val="auto"/>
          <w:spacing w:val="-2"/>
          <w:position w:val="-4"/>
          <w:highlight w:val="none"/>
        </w:rPr>
        <w:t>法定</w:t>
      </w:r>
      <w:r>
        <w:rPr>
          <w:rFonts w:hint="eastAsia" w:ascii="宋体" w:hAnsi="宋体" w:cs="宋体"/>
          <w:color w:val="auto"/>
          <w:position w:val="-4"/>
          <w:highlight w:val="none"/>
        </w:rPr>
        <w:t>代表人</w:t>
      </w:r>
      <w:r>
        <w:rPr>
          <w:rFonts w:hint="eastAsia" w:ascii="宋体" w:hAnsi="宋体" w:cs="宋体"/>
          <w:color w:val="auto"/>
          <w:spacing w:val="-2"/>
          <w:position w:val="-4"/>
          <w:highlight w:val="none"/>
        </w:rPr>
        <w:t>，现委托</w:t>
      </w:r>
      <w:r>
        <w:rPr>
          <w:rFonts w:hint="eastAsia" w:ascii="宋体" w:hAnsi="宋体" w:cs="宋体"/>
          <w:color w:val="auto"/>
          <w:position w:val="-2"/>
          <w:highlight w:val="none"/>
        </w:rPr>
        <w:t>（姓</w:t>
      </w:r>
      <w:r>
        <w:rPr>
          <w:rFonts w:hint="eastAsia" w:ascii="宋体" w:hAnsi="宋体" w:cs="宋体"/>
          <w:color w:val="auto"/>
          <w:spacing w:val="-2"/>
          <w:position w:val="-2"/>
          <w:highlight w:val="none"/>
        </w:rPr>
        <w:t>名</w:t>
      </w:r>
      <w:r>
        <w:rPr>
          <w:rFonts w:hint="eastAsia" w:ascii="宋体" w:hAnsi="宋体" w:cs="宋体"/>
          <w:color w:val="auto"/>
          <w:position w:val="-2"/>
          <w:highlight w:val="none"/>
        </w:rPr>
        <w:t>）为我方代</w:t>
      </w:r>
      <w:r>
        <w:rPr>
          <w:rFonts w:hint="eastAsia" w:ascii="宋体" w:hAnsi="宋体" w:cs="宋体"/>
          <w:color w:val="auto"/>
          <w:spacing w:val="-2"/>
          <w:position w:val="-2"/>
          <w:highlight w:val="none"/>
        </w:rPr>
        <w:t>理</w:t>
      </w:r>
      <w:r>
        <w:rPr>
          <w:rFonts w:hint="eastAsia" w:ascii="宋体" w:hAnsi="宋体" w:cs="宋体"/>
          <w:color w:val="auto"/>
          <w:position w:val="-2"/>
          <w:highlight w:val="none"/>
        </w:rPr>
        <w:t>人。代理</w:t>
      </w:r>
      <w:r>
        <w:rPr>
          <w:rFonts w:hint="eastAsia" w:ascii="宋体" w:hAnsi="宋体" w:cs="宋体"/>
          <w:color w:val="auto"/>
          <w:spacing w:val="-2"/>
          <w:position w:val="-2"/>
          <w:highlight w:val="none"/>
        </w:rPr>
        <w:t>人</w:t>
      </w:r>
      <w:r>
        <w:rPr>
          <w:rFonts w:hint="eastAsia" w:ascii="宋体" w:hAnsi="宋体" w:cs="宋体"/>
          <w:color w:val="auto"/>
          <w:position w:val="-2"/>
          <w:highlight w:val="none"/>
        </w:rPr>
        <w:t>根据授权，</w:t>
      </w:r>
      <w:r>
        <w:rPr>
          <w:rFonts w:hint="eastAsia" w:ascii="宋体" w:hAnsi="宋体" w:cs="宋体"/>
          <w:color w:val="auto"/>
          <w:spacing w:val="-2"/>
          <w:position w:val="-2"/>
          <w:highlight w:val="none"/>
        </w:rPr>
        <w:t>以</w:t>
      </w:r>
      <w:r>
        <w:rPr>
          <w:rFonts w:hint="eastAsia" w:ascii="宋体" w:hAnsi="宋体" w:cs="宋体"/>
          <w:color w:val="auto"/>
          <w:position w:val="-2"/>
          <w:highlight w:val="none"/>
        </w:rPr>
        <w:t>我方名义</w:t>
      </w:r>
      <w:r>
        <w:rPr>
          <w:rFonts w:hint="eastAsia" w:ascii="宋体" w:hAnsi="宋体" w:cs="宋体"/>
          <w:color w:val="auto"/>
          <w:spacing w:val="-2"/>
          <w:position w:val="-2"/>
          <w:highlight w:val="none"/>
        </w:rPr>
        <w:t>签</w:t>
      </w:r>
      <w:r>
        <w:rPr>
          <w:rFonts w:hint="eastAsia" w:ascii="宋体" w:hAnsi="宋体" w:cs="宋体"/>
          <w:color w:val="auto"/>
          <w:position w:val="-2"/>
          <w:highlight w:val="none"/>
        </w:rPr>
        <w:t>署、澄清确</w:t>
      </w:r>
      <w:r>
        <w:rPr>
          <w:rFonts w:hint="eastAsia" w:ascii="宋体" w:hAnsi="宋体" w:cs="宋体"/>
          <w:color w:val="auto"/>
          <w:spacing w:val="-2"/>
          <w:position w:val="-2"/>
          <w:highlight w:val="none"/>
        </w:rPr>
        <w:t>认</w:t>
      </w:r>
      <w:r>
        <w:rPr>
          <w:rFonts w:hint="eastAsia" w:ascii="宋体" w:hAnsi="宋体" w:cs="宋体"/>
          <w:color w:val="auto"/>
          <w:position w:val="-2"/>
          <w:highlight w:val="none"/>
        </w:rPr>
        <w:t>、递</w:t>
      </w:r>
      <w:r>
        <w:rPr>
          <w:rFonts w:hint="eastAsia" w:ascii="宋体" w:hAnsi="宋体" w:cs="宋体"/>
          <w:color w:val="auto"/>
          <w:position w:val="-1"/>
          <w:highlight w:val="none"/>
        </w:rPr>
        <w:t>交、</w:t>
      </w:r>
      <w:r>
        <w:rPr>
          <w:rFonts w:hint="eastAsia" w:ascii="宋体" w:hAnsi="宋体" w:cs="宋体"/>
          <w:color w:val="auto"/>
          <w:spacing w:val="-2"/>
          <w:position w:val="-1"/>
          <w:highlight w:val="none"/>
        </w:rPr>
        <w:t>撤</w:t>
      </w:r>
      <w:r>
        <w:rPr>
          <w:rFonts w:hint="eastAsia" w:ascii="宋体" w:hAnsi="宋体" w:cs="宋体"/>
          <w:color w:val="auto"/>
          <w:position w:val="-1"/>
          <w:highlight w:val="none"/>
        </w:rPr>
        <w:t>回</w:t>
      </w:r>
      <w:r>
        <w:rPr>
          <w:rFonts w:hint="eastAsia" w:ascii="宋体" w:hAnsi="宋体" w:cs="宋体"/>
          <w:color w:val="auto"/>
          <w:spacing w:val="-2"/>
          <w:position w:val="-1"/>
          <w:highlight w:val="none"/>
        </w:rPr>
        <w:t>、</w:t>
      </w:r>
      <w:r>
        <w:rPr>
          <w:rFonts w:hint="eastAsia" w:ascii="宋体" w:hAnsi="宋体" w:cs="宋体"/>
          <w:color w:val="auto"/>
          <w:position w:val="-1"/>
          <w:highlight w:val="none"/>
        </w:rPr>
        <w:t>修</w:t>
      </w:r>
      <w:r>
        <w:rPr>
          <w:rFonts w:hint="eastAsia" w:ascii="宋体" w:hAnsi="宋体" w:cs="宋体"/>
          <w:color w:val="auto"/>
          <w:spacing w:val="-3"/>
          <w:position w:val="-1"/>
          <w:highlight w:val="none"/>
        </w:rPr>
        <w:t>改</w:t>
      </w:r>
      <w:r>
        <w:rPr>
          <w:rFonts w:hint="eastAsia" w:ascii="宋体" w:hAnsi="宋体" w:cs="宋体"/>
          <w:color w:val="auto"/>
          <w:position w:val="-2"/>
          <w:highlight w:val="none"/>
          <w:u w:val="single"/>
        </w:rPr>
        <w:tab/>
      </w:r>
      <w:r>
        <w:rPr>
          <w:rFonts w:hint="eastAsia" w:ascii="宋体" w:hAnsi="宋体" w:cs="宋体"/>
          <w:color w:val="auto"/>
          <w:position w:val="-2"/>
          <w:highlight w:val="none"/>
          <w:u w:val="single"/>
        </w:rPr>
        <w:t xml:space="preserve"> （项目名称）   </w:t>
      </w:r>
      <w:r>
        <w:rPr>
          <w:rFonts w:hint="eastAsia" w:ascii="宋体" w:hAnsi="宋体" w:cs="宋体"/>
          <w:color w:val="auto"/>
          <w:position w:val="-1"/>
          <w:highlight w:val="none"/>
        </w:rPr>
        <w:t>招</w:t>
      </w:r>
      <w:r>
        <w:rPr>
          <w:rFonts w:hint="eastAsia" w:ascii="宋体" w:hAnsi="宋体" w:cs="宋体"/>
          <w:color w:val="auto"/>
          <w:spacing w:val="-2"/>
          <w:position w:val="-1"/>
          <w:highlight w:val="none"/>
        </w:rPr>
        <w:t>标</w:t>
      </w:r>
      <w:r>
        <w:rPr>
          <w:rFonts w:hint="eastAsia" w:ascii="宋体" w:hAnsi="宋体" w:cs="宋体"/>
          <w:color w:val="auto"/>
          <w:position w:val="-1"/>
          <w:highlight w:val="none"/>
        </w:rPr>
        <w:t>项目</w:t>
      </w:r>
      <w:r>
        <w:rPr>
          <w:rFonts w:hint="eastAsia" w:ascii="宋体" w:hAnsi="宋体" w:cs="宋体"/>
          <w:color w:val="auto"/>
          <w:spacing w:val="-2"/>
          <w:position w:val="-1"/>
          <w:highlight w:val="none"/>
        </w:rPr>
        <w:t>投</w:t>
      </w:r>
      <w:r>
        <w:rPr>
          <w:rFonts w:hint="eastAsia" w:ascii="宋体" w:hAnsi="宋体" w:cs="宋体"/>
          <w:color w:val="auto"/>
          <w:position w:val="-1"/>
          <w:highlight w:val="none"/>
        </w:rPr>
        <w:t>标</w:t>
      </w:r>
      <w:r>
        <w:rPr>
          <w:rFonts w:hint="eastAsia" w:ascii="宋体" w:hAnsi="宋体" w:cs="宋体"/>
          <w:color w:val="auto"/>
          <w:spacing w:val="-2"/>
          <w:position w:val="-1"/>
          <w:highlight w:val="none"/>
        </w:rPr>
        <w:t>文</w:t>
      </w:r>
      <w:r>
        <w:rPr>
          <w:rFonts w:hint="eastAsia" w:ascii="宋体" w:hAnsi="宋体" w:cs="宋体"/>
          <w:color w:val="auto"/>
          <w:position w:val="-1"/>
          <w:highlight w:val="none"/>
        </w:rPr>
        <w:t>件</w:t>
      </w:r>
      <w:r>
        <w:rPr>
          <w:rFonts w:hint="eastAsia" w:ascii="宋体" w:hAnsi="宋体" w:cs="宋体"/>
          <w:color w:val="auto"/>
          <w:spacing w:val="-2"/>
          <w:position w:val="-1"/>
          <w:highlight w:val="none"/>
        </w:rPr>
        <w:t>、</w:t>
      </w:r>
      <w:r>
        <w:rPr>
          <w:rFonts w:hint="eastAsia" w:ascii="宋体" w:hAnsi="宋体" w:cs="宋体"/>
          <w:color w:val="auto"/>
          <w:position w:val="-1"/>
          <w:highlight w:val="none"/>
        </w:rPr>
        <w:t>签</w:t>
      </w:r>
      <w:r>
        <w:rPr>
          <w:rFonts w:hint="eastAsia" w:ascii="宋体" w:hAnsi="宋体" w:cs="宋体"/>
          <w:color w:val="auto"/>
          <w:spacing w:val="-2"/>
          <w:position w:val="-1"/>
          <w:highlight w:val="none"/>
        </w:rPr>
        <w:t>订</w:t>
      </w:r>
      <w:r>
        <w:rPr>
          <w:rFonts w:hint="eastAsia" w:ascii="宋体" w:hAnsi="宋体" w:cs="宋体"/>
          <w:color w:val="auto"/>
          <w:position w:val="-1"/>
          <w:highlight w:val="none"/>
        </w:rPr>
        <w:t>合</w:t>
      </w:r>
      <w:r>
        <w:rPr>
          <w:rFonts w:hint="eastAsia" w:ascii="宋体" w:hAnsi="宋体" w:cs="宋体"/>
          <w:color w:val="auto"/>
          <w:spacing w:val="-2"/>
          <w:position w:val="-1"/>
          <w:highlight w:val="none"/>
        </w:rPr>
        <w:t>同</w:t>
      </w:r>
      <w:r>
        <w:rPr>
          <w:rFonts w:hint="eastAsia" w:ascii="宋体" w:hAnsi="宋体" w:cs="宋体"/>
          <w:color w:val="auto"/>
          <w:position w:val="-1"/>
          <w:highlight w:val="none"/>
        </w:rPr>
        <w:t>和处</w:t>
      </w:r>
      <w:r>
        <w:rPr>
          <w:rFonts w:hint="eastAsia" w:ascii="宋体" w:hAnsi="宋体" w:cs="宋体"/>
          <w:color w:val="auto"/>
          <w:spacing w:val="-2"/>
          <w:position w:val="-1"/>
          <w:highlight w:val="none"/>
        </w:rPr>
        <w:t>理</w:t>
      </w:r>
      <w:r>
        <w:rPr>
          <w:rFonts w:hint="eastAsia" w:ascii="宋体" w:hAnsi="宋体" w:cs="宋体"/>
          <w:color w:val="auto"/>
          <w:position w:val="-1"/>
          <w:highlight w:val="none"/>
        </w:rPr>
        <w:t>有</w:t>
      </w:r>
      <w:r>
        <w:rPr>
          <w:rFonts w:hint="eastAsia" w:ascii="宋体" w:hAnsi="宋体" w:cs="宋体"/>
          <w:color w:val="auto"/>
          <w:spacing w:val="-2"/>
          <w:position w:val="-1"/>
          <w:highlight w:val="none"/>
        </w:rPr>
        <w:t>关</w:t>
      </w:r>
      <w:r>
        <w:rPr>
          <w:rFonts w:hint="eastAsia" w:ascii="宋体" w:hAnsi="宋体" w:cs="宋体"/>
          <w:color w:val="auto"/>
          <w:position w:val="-1"/>
          <w:highlight w:val="none"/>
        </w:rPr>
        <w:t>事</w:t>
      </w:r>
      <w:r>
        <w:rPr>
          <w:rFonts w:hint="eastAsia" w:ascii="宋体" w:hAnsi="宋体" w:cs="宋体"/>
          <w:color w:val="auto"/>
          <w:spacing w:val="-2"/>
          <w:position w:val="-1"/>
          <w:highlight w:val="none"/>
        </w:rPr>
        <w:t>宜</w:t>
      </w:r>
      <w:r>
        <w:rPr>
          <w:rFonts w:hint="eastAsia" w:ascii="宋体" w:hAnsi="宋体" w:cs="宋体"/>
          <w:color w:val="auto"/>
          <w:position w:val="-1"/>
          <w:highlight w:val="none"/>
        </w:rPr>
        <w:t>，</w:t>
      </w:r>
      <w:r>
        <w:rPr>
          <w:rFonts w:hint="eastAsia" w:ascii="宋体" w:hAnsi="宋体" w:cs="宋体"/>
          <w:color w:val="auto"/>
          <w:spacing w:val="-2"/>
          <w:position w:val="-1"/>
          <w:highlight w:val="none"/>
        </w:rPr>
        <w:t>其</w:t>
      </w:r>
      <w:r>
        <w:rPr>
          <w:rFonts w:hint="eastAsia" w:ascii="宋体" w:hAnsi="宋体" w:cs="宋体"/>
          <w:color w:val="auto"/>
          <w:position w:val="-1"/>
          <w:highlight w:val="none"/>
        </w:rPr>
        <w:t>法</w:t>
      </w:r>
      <w:r>
        <w:rPr>
          <w:rFonts w:hint="eastAsia" w:ascii="宋体" w:hAnsi="宋体" w:cs="宋体"/>
          <w:color w:val="auto"/>
          <w:spacing w:val="-2"/>
          <w:position w:val="-1"/>
          <w:highlight w:val="none"/>
        </w:rPr>
        <w:t>律</w:t>
      </w:r>
      <w:r>
        <w:rPr>
          <w:rFonts w:hint="eastAsia" w:ascii="宋体" w:hAnsi="宋体" w:cs="宋体"/>
          <w:color w:val="auto"/>
          <w:position w:val="-1"/>
          <w:highlight w:val="none"/>
        </w:rPr>
        <w:t>后果</w:t>
      </w:r>
      <w:r>
        <w:rPr>
          <w:rFonts w:hint="eastAsia" w:ascii="宋体" w:hAnsi="宋体" w:cs="宋体"/>
          <w:color w:val="auto"/>
          <w:spacing w:val="-2"/>
          <w:position w:val="-1"/>
          <w:highlight w:val="none"/>
        </w:rPr>
        <w:t>由</w:t>
      </w:r>
      <w:r>
        <w:rPr>
          <w:rFonts w:hint="eastAsia" w:ascii="宋体" w:hAnsi="宋体" w:cs="宋体"/>
          <w:color w:val="auto"/>
          <w:position w:val="-1"/>
          <w:highlight w:val="none"/>
        </w:rPr>
        <w:t>我</w:t>
      </w:r>
      <w:r>
        <w:rPr>
          <w:rFonts w:hint="eastAsia" w:ascii="宋体" w:hAnsi="宋体" w:cs="宋体"/>
          <w:color w:val="auto"/>
          <w:spacing w:val="-2"/>
          <w:position w:val="-1"/>
          <w:highlight w:val="none"/>
        </w:rPr>
        <w:t>方</w:t>
      </w:r>
      <w:r>
        <w:rPr>
          <w:rFonts w:hint="eastAsia" w:ascii="宋体" w:hAnsi="宋体" w:cs="宋体"/>
          <w:color w:val="auto"/>
          <w:position w:val="-1"/>
          <w:highlight w:val="none"/>
        </w:rPr>
        <w:t>承</w:t>
      </w:r>
      <w:r>
        <w:rPr>
          <w:rFonts w:hint="eastAsia" w:ascii="宋体" w:hAnsi="宋体" w:cs="宋体"/>
          <w:color w:val="auto"/>
          <w:spacing w:val="-2"/>
          <w:position w:val="-1"/>
          <w:highlight w:val="none"/>
        </w:rPr>
        <w:t>担</w:t>
      </w:r>
      <w:r>
        <w:rPr>
          <w:rFonts w:hint="eastAsia" w:ascii="宋体" w:hAnsi="宋体" w:cs="宋体"/>
          <w:color w:val="auto"/>
          <w:position w:val="-1"/>
          <w:highlight w:val="none"/>
        </w:rPr>
        <w:t>。</w:t>
      </w:r>
    </w:p>
    <w:p>
      <w:pPr>
        <w:tabs>
          <w:tab w:val="left" w:pos="3560"/>
        </w:tabs>
        <w:spacing w:before="81" w:line="480" w:lineRule="auto"/>
        <w:ind w:right="-20" w:firstLine="371" w:firstLineChars="177"/>
        <w:jc w:val="left"/>
        <w:rPr>
          <w:rFonts w:ascii="宋体" w:hAnsi="宋体" w:cs="宋体"/>
          <w:color w:val="auto"/>
          <w:highlight w:val="none"/>
        </w:rPr>
      </w:pPr>
      <w:r>
        <w:rPr>
          <w:rFonts w:hint="eastAsia" w:ascii="宋体" w:hAnsi="宋体" w:cs="宋体"/>
          <w:color w:val="auto"/>
          <w:position w:val="-4"/>
          <w:highlight w:val="none"/>
        </w:rPr>
        <w:t>委托</w:t>
      </w:r>
      <w:r>
        <w:rPr>
          <w:rFonts w:hint="eastAsia" w:ascii="宋体" w:hAnsi="宋体" w:cs="宋体"/>
          <w:color w:val="auto"/>
          <w:spacing w:val="-2"/>
          <w:position w:val="-4"/>
          <w:highlight w:val="none"/>
        </w:rPr>
        <w:t>期</w:t>
      </w:r>
      <w:r>
        <w:rPr>
          <w:rFonts w:hint="eastAsia" w:ascii="宋体" w:hAnsi="宋体" w:cs="宋体"/>
          <w:color w:val="auto"/>
          <w:position w:val="-4"/>
          <w:highlight w:val="none"/>
        </w:rPr>
        <w:t>限</w:t>
      </w:r>
      <w:r>
        <w:rPr>
          <w:rFonts w:hint="eastAsia" w:ascii="宋体" w:hAnsi="宋体" w:cs="宋体"/>
          <w:color w:val="auto"/>
          <w:spacing w:val="-3"/>
          <w:position w:val="-4"/>
          <w:highlight w:val="none"/>
        </w:rPr>
        <w:t>：</w:t>
      </w:r>
      <w:r>
        <w:rPr>
          <w:rFonts w:hint="eastAsia" w:ascii="宋体" w:hAnsi="宋体" w:cs="宋体"/>
          <w:color w:val="auto"/>
          <w:position w:val="-4"/>
          <w:highlight w:val="none"/>
          <w:u w:val="single"/>
        </w:rPr>
        <w:tab/>
      </w:r>
      <w:r>
        <w:rPr>
          <w:rFonts w:hint="eastAsia" w:ascii="宋体" w:hAnsi="宋体" w:cs="宋体"/>
          <w:color w:val="auto"/>
          <w:position w:val="-4"/>
          <w:highlight w:val="none"/>
        </w:rPr>
        <w:t>。</w:t>
      </w:r>
    </w:p>
    <w:p>
      <w:pPr>
        <w:spacing w:line="480" w:lineRule="auto"/>
        <w:ind w:right="-20" w:firstLine="371" w:firstLineChars="177"/>
        <w:jc w:val="left"/>
        <w:rPr>
          <w:rFonts w:ascii="宋体" w:hAnsi="宋体" w:cs="宋体"/>
          <w:color w:val="auto"/>
          <w:highlight w:val="none"/>
        </w:rPr>
      </w:pPr>
      <w:r>
        <w:rPr>
          <w:rFonts w:hint="eastAsia" w:ascii="宋体" w:hAnsi="宋体" w:cs="宋体"/>
          <w:color w:val="auto"/>
          <w:position w:val="-1"/>
          <w:highlight w:val="none"/>
        </w:rPr>
        <w:t>代理</w:t>
      </w:r>
      <w:r>
        <w:rPr>
          <w:rFonts w:hint="eastAsia" w:ascii="宋体" w:hAnsi="宋体" w:cs="宋体"/>
          <w:color w:val="auto"/>
          <w:spacing w:val="-2"/>
          <w:position w:val="-1"/>
          <w:highlight w:val="none"/>
        </w:rPr>
        <w:t>人</w:t>
      </w:r>
      <w:r>
        <w:rPr>
          <w:rFonts w:hint="eastAsia" w:ascii="宋体" w:hAnsi="宋体" w:cs="宋体"/>
          <w:color w:val="auto"/>
          <w:position w:val="-1"/>
          <w:highlight w:val="none"/>
        </w:rPr>
        <w:t>无</w:t>
      </w:r>
      <w:r>
        <w:rPr>
          <w:rFonts w:hint="eastAsia" w:ascii="宋体" w:hAnsi="宋体" w:cs="宋体"/>
          <w:color w:val="auto"/>
          <w:spacing w:val="-2"/>
          <w:position w:val="-1"/>
          <w:highlight w:val="none"/>
        </w:rPr>
        <w:t>转</w:t>
      </w:r>
      <w:r>
        <w:rPr>
          <w:rFonts w:hint="eastAsia" w:ascii="宋体" w:hAnsi="宋体" w:cs="宋体"/>
          <w:color w:val="auto"/>
          <w:position w:val="-1"/>
          <w:highlight w:val="none"/>
        </w:rPr>
        <w:t>委</w:t>
      </w:r>
      <w:r>
        <w:rPr>
          <w:rFonts w:hint="eastAsia" w:ascii="宋体" w:hAnsi="宋体" w:cs="宋体"/>
          <w:color w:val="auto"/>
          <w:spacing w:val="-2"/>
          <w:position w:val="-1"/>
          <w:highlight w:val="none"/>
        </w:rPr>
        <w:t>托</w:t>
      </w:r>
      <w:r>
        <w:rPr>
          <w:rFonts w:hint="eastAsia" w:ascii="宋体" w:hAnsi="宋体" w:cs="宋体"/>
          <w:color w:val="auto"/>
          <w:position w:val="-1"/>
          <w:highlight w:val="none"/>
        </w:rPr>
        <w:t>权。</w:t>
      </w:r>
    </w:p>
    <w:p>
      <w:pPr>
        <w:spacing w:before="10" w:line="480" w:lineRule="auto"/>
        <w:ind w:firstLine="371" w:firstLineChars="177"/>
        <w:jc w:val="left"/>
        <w:rPr>
          <w:rFonts w:ascii="宋体" w:hAnsi="宋体" w:cs="宋体"/>
          <w:color w:val="auto"/>
          <w:highlight w:val="none"/>
        </w:rPr>
      </w:pPr>
    </w:p>
    <w:p>
      <w:pPr>
        <w:spacing w:line="480" w:lineRule="auto"/>
        <w:ind w:firstLine="371" w:firstLineChars="177"/>
        <w:jc w:val="left"/>
        <w:rPr>
          <w:rFonts w:ascii="宋体" w:hAnsi="宋体" w:cs="宋体"/>
          <w:color w:val="auto"/>
          <w:highlight w:val="none"/>
        </w:rPr>
      </w:pPr>
    </w:p>
    <w:p>
      <w:pPr>
        <w:spacing w:line="480" w:lineRule="auto"/>
        <w:ind w:left="100" w:right="1117"/>
        <w:jc w:val="left"/>
        <w:rPr>
          <w:rFonts w:ascii="宋体" w:hAnsi="宋体" w:cs="宋体"/>
          <w:color w:val="auto"/>
          <w:highlight w:val="none"/>
        </w:rPr>
      </w:pPr>
      <w:r>
        <w:rPr>
          <w:rFonts w:hint="eastAsia" w:ascii="宋体" w:hAnsi="宋体" w:cs="宋体"/>
          <w:color w:val="auto"/>
          <w:highlight w:val="none"/>
        </w:rPr>
        <w:t>附：</w:t>
      </w:r>
      <w:r>
        <w:rPr>
          <w:rFonts w:hint="eastAsia" w:ascii="宋体" w:hAnsi="宋体" w:cs="宋体"/>
          <w:color w:val="auto"/>
          <w:spacing w:val="-2"/>
          <w:highlight w:val="none"/>
        </w:rPr>
        <w:t>法</w:t>
      </w:r>
      <w:r>
        <w:rPr>
          <w:rFonts w:hint="eastAsia" w:ascii="宋体" w:hAnsi="宋体" w:cs="宋体"/>
          <w:color w:val="auto"/>
          <w:highlight w:val="none"/>
        </w:rPr>
        <w:t>定</w:t>
      </w:r>
      <w:r>
        <w:rPr>
          <w:rFonts w:hint="eastAsia" w:ascii="宋体" w:hAnsi="宋体" w:cs="宋体"/>
          <w:color w:val="auto"/>
          <w:spacing w:val="-2"/>
          <w:highlight w:val="none"/>
        </w:rPr>
        <w:t>代</w:t>
      </w:r>
      <w:r>
        <w:rPr>
          <w:rFonts w:hint="eastAsia" w:ascii="宋体" w:hAnsi="宋体" w:cs="宋体"/>
          <w:color w:val="auto"/>
          <w:highlight w:val="none"/>
        </w:rPr>
        <w:t>表</w:t>
      </w:r>
      <w:r>
        <w:rPr>
          <w:rFonts w:hint="eastAsia" w:ascii="宋体" w:hAnsi="宋体" w:cs="宋体"/>
          <w:color w:val="auto"/>
          <w:spacing w:val="-2"/>
          <w:highlight w:val="none"/>
        </w:rPr>
        <w:t>人</w:t>
      </w:r>
      <w:r>
        <w:rPr>
          <w:rFonts w:hint="eastAsia" w:ascii="宋体" w:hAnsi="宋体" w:cs="宋体"/>
          <w:color w:val="auto"/>
          <w:highlight w:val="none"/>
        </w:rPr>
        <w:t>身</w:t>
      </w:r>
      <w:r>
        <w:rPr>
          <w:rFonts w:hint="eastAsia" w:ascii="宋体" w:hAnsi="宋体" w:cs="宋体"/>
          <w:color w:val="auto"/>
          <w:spacing w:val="-2"/>
          <w:highlight w:val="none"/>
        </w:rPr>
        <w:t>份</w:t>
      </w:r>
      <w:r>
        <w:rPr>
          <w:rFonts w:hint="eastAsia" w:ascii="宋体" w:hAnsi="宋体" w:cs="宋体"/>
          <w:color w:val="auto"/>
          <w:highlight w:val="none"/>
        </w:rPr>
        <w:t>证</w:t>
      </w:r>
      <w:r>
        <w:rPr>
          <w:rFonts w:hint="eastAsia" w:ascii="宋体" w:hAnsi="宋体" w:cs="宋体"/>
          <w:color w:val="auto"/>
          <w:spacing w:val="-2"/>
          <w:highlight w:val="none"/>
        </w:rPr>
        <w:t>扫描件及</w:t>
      </w:r>
      <w:r>
        <w:rPr>
          <w:rFonts w:hint="eastAsia" w:ascii="宋体" w:hAnsi="宋体" w:cs="宋体"/>
          <w:color w:val="auto"/>
          <w:highlight w:val="none"/>
        </w:rPr>
        <w:t>委</w:t>
      </w:r>
      <w:r>
        <w:rPr>
          <w:rFonts w:hint="eastAsia" w:ascii="宋体" w:hAnsi="宋体" w:cs="宋体"/>
          <w:color w:val="auto"/>
          <w:spacing w:val="-2"/>
          <w:highlight w:val="none"/>
        </w:rPr>
        <w:t>托</w:t>
      </w:r>
      <w:r>
        <w:rPr>
          <w:rFonts w:hint="eastAsia" w:ascii="宋体" w:hAnsi="宋体" w:cs="宋体"/>
          <w:color w:val="auto"/>
          <w:highlight w:val="none"/>
        </w:rPr>
        <w:t>代</w:t>
      </w:r>
      <w:r>
        <w:rPr>
          <w:rFonts w:hint="eastAsia" w:ascii="宋体" w:hAnsi="宋体" w:cs="宋体"/>
          <w:color w:val="auto"/>
          <w:spacing w:val="-2"/>
          <w:highlight w:val="none"/>
        </w:rPr>
        <w:t>理</w:t>
      </w:r>
      <w:r>
        <w:rPr>
          <w:rFonts w:hint="eastAsia" w:ascii="宋体" w:hAnsi="宋体" w:cs="宋体"/>
          <w:color w:val="auto"/>
          <w:highlight w:val="none"/>
        </w:rPr>
        <w:t>人</w:t>
      </w:r>
      <w:r>
        <w:rPr>
          <w:rFonts w:hint="eastAsia" w:ascii="宋体" w:hAnsi="宋体" w:cs="宋体"/>
          <w:color w:val="auto"/>
          <w:spacing w:val="-2"/>
          <w:highlight w:val="none"/>
        </w:rPr>
        <w:t>身</w:t>
      </w:r>
      <w:r>
        <w:rPr>
          <w:rFonts w:hint="eastAsia" w:ascii="宋体" w:hAnsi="宋体" w:cs="宋体"/>
          <w:color w:val="auto"/>
          <w:highlight w:val="none"/>
        </w:rPr>
        <w:t>份</w:t>
      </w:r>
      <w:r>
        <w:rPr>
          <w:rFonts w:hint="eastAsia" w:ascii="宋体" w:hAnsi="宋体" w:cs="宋体"/>
          <w:color w:val="auto"/>
          <w:spacing w:val="-2"/>
          <w:highlight w:val="none"/>
        </w:rPr>
        <w:t>证</w:t>
      </w:r>
      <w:r>
        <w:rPr>
          <w:rFonts w:hint="eastAsia" w:ascii="宋体" w:hAnsi="宋体" w:cs="宋体"/>
          <w:color w:val="auto"/>
          <w:highlight w:val="none"/>
        </w:rPr>
        <w:t xml:space="preserve">扫描件 </w:t>
      </w:r>
    </w:p>
    <w:p>
      <w:pPr>
        <w:spacing w:line="480" w:lineRule="auto"/>
        <w:ind w:left="100" w:right="1117"/>
        <w:jc w:val="left"/>
        <w:rPr>
          <w:rFonts w:ascii="宋体" w:hAnsi="宋体" w:cs="宋体"/>
          <w:color w:val="auto"/>
          <w:highlight w:val="none"/>
        </w:rPr>
      </w:pPr>
      <w:r>
        <w:rPr>
          <w:rFonts w:hint="eastAsia" w:ascii="宋体" w:hAnsi="宋体" w:cs="宋体"/>
          <w:color w:val="auto"/>
          <w:highlight w:val="none"/>
        </w:rPr>
        <w:t>注：</w:t>
      </w:r>
      <w:r>
        <w:rPr>
          <w:rFonts w:hint="eastAsia" w:ascii="宋体" w:hAnsi="宋体" w:cs="宋体"/>
          <w:color w:val="auto"/>
          <w:spacing w:val="-2"/>
          <w:highlight w:val="none"/>
        </w:rPr>
        <w:t>本</w:t>
      </w:r>
      <w:r>
        <w:rPr>
          <w:rFonts w:hint="eastAsia" w:ascii="宋体" w:hAnsi="宋体" w:cs="宋体"/>
          <w:color w:val="auto"/>
          <w:highlight w:val="none"/>
        </w:rPr>
        <w:t>授</w:t>
      </w:r>
      <w:r>
        <w:rPr>
          <w:rFonts w:hint="eastAsia" w:ascii="宋体" w:hAnsi="宋体" w:cs="宋体"/>
          <w:color w:val="auto"/>
          <w:spacing w:val="-2"/>
          <w:highlight w:val="none"/>
        </w:rPr>
        <w:t>权</w:t>
      </w:r>
      <w:r>
        <w:rPr>
          <w:rFonts w:hint="eastAsia" w:ascii="宋体" w:hAnsi="宋体" w:cs="宋体"/>
          <w:color w:val="auto"/>
          <w:highlight w:val="none"/>
        </w:rPr>
        <w:t>委</w:t>
      </w:r>
      <w:r>
        <w:rPr>
          <w:rFonts w:hint="eastAsia" w:ascii="宋体" w:hAnsi="宋体" w:cs="宋体"/>
          <w:color w:val="auto"/>
          <w:spacing w:val="-2"/>
          <w:highlight w:val="none"/>
        </w:rPr>
        <w:t>托</w:t>
      </w:r>
      <w:r>
        <w:rPr>
          <w:rFonts w:hint="eastAsia" w:ascii="宋体" w:hAnsi="宋体" w:cs="宋体"/>
          <w:color w:val="auto"/>
          <w:highlight w:val="none"/>
        </w:rPr>
        <w:t>书</w:t>
      </w:r>
      <w:r>
        <w:rPr>
          <w:rFonts w:hint="eastAsia" w:ascii="宋体" w:hAnsi="宋体" w:cs="宋体"/>
          <w:color w:val="auto"/>
          <w:spacing w:val="-2"/>
          <w:highlight w:val="none"/>
        </w:rPr>
        <w:t>需</w:t>
      </w:r>
      <w:r>
        <w:rPr>
          <w:rFonts w:hint="eastAsia" w:ascii="宋体" w:hAnsi="宋体" w:cs="宋体"/>
          <w:color w:val="auto"/>
          <w:highlight w:val="none"/>
        </w:rPr>
        <w:t>由</w:t>
      </w:r>
      <w:r>
        <w:rPr>
          <w:rFonts w:hint="eastAsia" w:ascii="宋体" w:hAnsi="宋体" w:cs="宋体"/>
          <w:color w:val="auto"/>
          <w:spacing w:val="-2"/>
          <w:highlight w:val="none"/>
        </w:rPr>
        <w:t>投</w:t>
      </w:r>
      <w:r>
        <w:rPr>
          <w:rFonts w:hint="eastAsia" w:ascii="宋体" w:hAnsi="宋体" w:cs="宋体"/>
          <w:color w:val="auto"/>
          <w:highlight w:val="none"/>
        </w:rPr>
        <w:t>标人</w:t>
      </w:r>
      <w:r>
        <w:rPr>
          <w:rFonts w:hint="eastAsia" w:ascii="宋体" w:hAnsi="宋体" w:cs="宋体"/>
          <w:color w:val="auto"/>
          <w:spacing w:val="-2"/>
          <w:highlight w:val="none"/>
        </w:rPr>
        <w:t>加</w:t>
      </w:r>
      <w:r>
        <w:rPr>
          <w:rFonts w:hint="eastAsia" w:ascii="宋体" w:hAnsi="宋体" w:cs="宋体"/>
          <w:color w:val="auto"/>
          <w:highlight w:val="none"/>
        </w:rPr>
        <w:t>盖</w:t>
      </w:r>
      <w:r>
        <w:rPr>
          <w:rFonts w:hint="eastAsia" w:ascii="宋体" w:hAnsi="宋体" w:cs="宋体"/>
          <w:color w:val="auto"/>
          <w:spacing w:val="-2"/>
          <w:highlight w:val="none"/>
        </w:rPr>
        <w:t>单</w:t>
      </w:r>
      <w:r>
        <w:rPr>
          <w:rFonts w:hint="eastAsia" w:ascii="宋体" w:hAnsi="宋体" w:cs="宋体"/>
          <w:color w:val="auto"/>
          <w:highlight w:val="none"/>
        </w:rPr>
        <w:t>位</w:t>
      </w:r>
      <w:r>
        <w:rPr>
          <w:rFonts w:hint="eastAsia" w:ascii="宋体" w:hAnsi="宋体" w:cs="宋体"/>
          <w:color w:val="auto"/>
          <w:spacing w:val="-2"/>
          <w:highlight w:val="none"/>
        </w:rPr>
        <w:t>公</w:t>
      </w:r>
      <w:r>
        <w:rPr>
          <w:rFonts w:hint="eastAsia" w:ascii="宋体" w:hAnsi="宋体" w:cs="宋体"/>
          <w:color w:val="auto"/>
          <w:highlight w:val="none"/>
        </w:rPr>
        <w:t>章</w:t>
      </w:r>
      <w:r>
        <w:rPr>
          <w:rFonts w:hint="eastAsia" w:ascii="宋体" w:hAnsi="宋体" w:cs="宋体"/>
          <w:color w:val="auto"/>
          <w:spacing w:val="-2"/>
          <w:highlight w:val="none"/>
        </w:rPr>
        <w:t>并</w:t>
      </w:r>
      <w:r>
        <w:rPr>
          <w:rFonts w:hint="eastAsia" w:ascii="宋体" w:hAnsi="宋体" w:cs="宋体"/>
          <w:color w:val="auto"/>
          <w:highlight w:val="none"/>
        </w:rPr>
        <w:t>由</w:t>
      </w:r>
      <w:r>
        <w:rPr>
          <w:rFonts w:hint="eastAsia" w:ascii="宋体" w:hAnsi="宋体" w:cs="宋体"/>
          <w:color w:val="auto"/>
          <w:spacing w:val="-2"/>
          <w:highlight w:val="none"/>
        </w:rPr>
        <w:t>其</w:t>
      </w:r>
      <w:r>
        <w:rPr>
          <w:rFonts w:hint="eastAsia" w:ascii="宋体" w:hAnsi="宋体" w:cs="宋体"/>
          <w:color w:val="auto"/>
          <w:highlight w:val="none"/>
        </w:rPr>
        <w:t>法定</w:t>
      </w:r>
      <w:r>
        <w:rPr>
          <w:rFonts w:hint="eastAsia" w:ascii="宋体" w:hAnsi="宋体" w:cs="宋体"/>
          <w:color w:val="auto"/>
          <w:spacing w:val="-2"/>
          <w:highlight w:val="none"/>
        </w:rPr>
        <w:t>代</w:t>
      </w:r>
      <w:r>
        <w:rPr>
          <w:rFonts w:hint="eastAsia" w:ascii="宋体" w:hAnsi="宋体" w:cs="宋体"/>
          <w:color w:val="auto"/>
          <w:highlight w:val="none"/>
        </w:rPr>
        <w:t>表</w:t>
      </w:r>
      <w:r>
        <w:rPr>
          <w:rFonts w:hint="eastAsia" w:ascii="宋体" w:hAnsi="宋体" w:cs="宋体"/>
          <w:color w:val="auto"/>
          <w:spacing w:val="-2"/>
          <w:highlight w:val="none"/>
        </w:rPr>
        <w:t>人</w:t>
      </w:r>
      <w:r>
        <w:rPr>
          <w:rFonts w:hint="eastAsia" w:ascii="宋体" w:hAnsi="宋体" w:cs="宋体"/>
          <w:color w:val="auto"/>
          <w:highlight w:val="none"/>
        </w:rPr>
        <w:t>和</w:t>
      </w:r>
      <w:r>
        <w:rPr>
          <w:rFonts w:hint="eastAsia" w:ascii="宋体" w:hAnsi="宋体" w:cs="宋体"/>
          <w:color w:val="auto"/>
          <w:spacing w:val="-2"/>
          <w:highlight w:val="none"/>
        </w:rPr>
        <w:t>委</w:t>
      </w:r>
      <w:r>
        <w:rPr>
          <w:rFonts w:hint="eastAsia" w:ascii="宋体" w:hAnsi="宋体" w:cs="宋体"/>
          <w:color w:val="auto"/>
          <w:highlight w:val="none"/>
        </w:rPr>
        <w:t>托</w:t>
      </w:r>
      <w:r>
        <w:rPr>
          <w:rFonts w:hint="eastAsia" w:ascii="宋体" w:hAnsi="宋体" w:cs="宋体"/>
          <w:color w:val="auto"/>
          <w:spacing w:val="-2"/>
          <w:highlight w:val="none"/>
        </w:rPr>
        <w:t>代</w:t>
      </w:r>
      <w:r>
        <w:rPr>
          <w:rFonts w:hint="eastAsia" w:ascii="宋体" w:hAnsi="宋体" w:cs="宋体"/>
          <w:color w:val="auto"/>
          <w:highlight w:val="none"/>
        </w:rPr>
        <w:t>理</w:t>
      </w:r>
      <w:r>
        <w:rPr>
          <w:rFonts w:hint="eastAsia" w:ascii="宋体" w:hAnsi="宋体" w:cs="宋体"/>
          <w:color w:val="auto"/>
          <w:spacing w:val="-2"/>
          <w:highlight w:val="none"/>
        </w:rPr>
        <w:t>人</w:t>
      </w:r>
      <w:r>
        <w:rPr>
          <w:rFonts w:hint="eastAsia" w:ascii="宋体" w:hAnsi="宋体" w:cs="宋体"/>
          <w:color w:val="auto"/>
          <w:highlight w:val="none"/>
        </w:rPr>
        <w:t>签字。</w:t>
      </w:r>
    </w:p>
    <w:p>
      <w:pPr>
        <w:spacing w:line="480" w:lineRule="auto"/>
        <w:jc w:val="left"/>
        <w:rPr>
          <w:rFonts w:ascii="宋体" w:hAnsi="宋体" w:cs="宋体"/>
          <w:color w:val="auto"/>
          <w:highlight w:val="none"/>
        </w:rPr>
      </w:pPr>
    </w:p>
    <w:p>
      <w:pPr>
        <w:tabs>
          <w:tab w:val="left" w:pos="3200"/>
          <w:tab w:val="left" w:pos="3620"/>
          <w:tab w:val="left" w:pos="7240"/>
        </w:tabs>
        <w:spacing w:line="480" w:lineRule="auto"/>
        <w:ind w:left="2794" w:right="-20"/>
        <w:jc w:val="left"/>
        <w:rPr>
          <w:rFonts w:ascii="宋体" w:hAnsi="宋体" w:cs="宋体"/>
          <w:color w:val="auto"/>
          <w:position w:val="-4"/>
          <w:highlight w:val="none"/>
        </w:rPr>
      </w:pPr>
    </w:p>
    <w:p>
      <w:pPr>
        <w:tabs>
          <w:tab w:val="left" w:pos="3200"/>
          <w:tab w:val="left" w:pos="3620"/>
          <w:tab w:val="left" w:pos="7240"/>
        </w:tabs>
        <w:spacing w:line="480" w:lineRule="auto"/>
        <w:ind w:left="2794" w:right="-20"/>
        <w:jc w:val="left"/>
        <w:rPr>
          <w:rFonts w:ascii="宋体" w:hAnsi="宋体" w:cs="宋体"/>
          <w:color w:val="auto"/>
          <w:position w:val="-4"/>
          <w:highlight w:val="none"/>
        </w:rPr>
      </w:pPr>
    </w:p>
    <w:p>
      <w:pPr>
        <w:tabs>
          <w:tab w:val="left" w:pos="3200"/>
          <w:tab w:val="left" w:pos="3620"/>
          <w:tab w:val="left" w:pos="7240"/>
        </w:tabs>
        <w:spacing w:line="480" w:lineRule="auto"/>
        <w:ind w:left="2794" w:right="-20"/>
        <w:jc w:val="left"/>
        <w:rPr>
          <w:rFonts w:ascii="宋体" w:hAnsi="宋体" w:cs="宋体"/>
          <w:color w:val="auto"/>
          <w:position w:val="-4"/>
          <w:highlight w:val="none"/>
        </w:rPr>
      </w:pPr>
    </w:p>
    <w:p>
      <w:pPr>
        <w:tabs>
          <w:tab w:val="left" w:pos="3200"/>
          <w:tab w:val="left" w:pos="3620"/>
          <w:tab w:val="left" w:pos="7240"/>
        </w:tabs>
        <w:spacing w:line="480" w:lineRule="auto"/>
        <w:ind w:left="2794" w:right="-20"/>
        <w:jc w:val="left"/>
        <w:rPr>
          <w:rFonts w:ascii="宋体" w:hAnsi="宋体" w:cs="宋体"/>
          <w:color w:val="auto"/>
          <w:highlight w:val="none"/>
        </w:rPr>
      </w:pPr>
      <w:r>
        <w:rPr>
          <w:rFonts w:hint="eastAsia" w:ascii="宋体" w:hAnsi="宋体" w:cs="宋体"/>
          <w:color w:val="auto"/>
          <w:position w:val="-4"/>
          <w:highlight w:val="none"/>
        </w:rPr>
        <w:t>投</w:t>
      </w:r>
      <w:r>
        <w:rPr>
          <w:rFonts w:hint="eastAsia" w:ascii="宋体" w:hAnsi="宋体" w:cs="宋体"/>
          <w:color w:val="auto"/>
          <w:position w:val="-4"/>
          <w:highlight w:val="none"/>
        </w:rPr>
        <w:tab/>
      </w:r>
      <w:r>
        <w:rPr>
          <w:rFonts w:hint="eastAsia" w:ascii="宋体" w:hAnsi="宋体" w:cs="宋体"/>
          <w:color w:val="auto"/>
          <w:position w:val="-4"/>
          <w:highlight w:val="none"/>
        </w:rPr>
        <w:t>标</w:t>
      </w:r>
      <w:r>
        <w:rPr>
          <w:rFonts w:hint="eastAsia" w:ascii="宋体" w:hAnsi="宋体" w:cs="宋体"/>
          <w:color w:val="auto"/>
          <w:position w:val="-4"/>
          <w:highlight w:val="none"/>
        </w:rPr>
        <w:tab/>
      </w:r>
      <w:r>
        <w:rPr>
          <w:rFonts w:hint="eastAsia" w:ascii="宋体" w:hAnsi="宋体" w:cs="宋体"/>
          <w:color w:val="auto"/>
          <w:spacing w:val="-2"/>
          <w:position w:val="-4"/>
          <w:highlight w:val="none"/>
        </w:rPr>
        <w:t>人：</w:t>
      </w:r>
      <w:r>
        <w:rPr>
          <w:rFonts w:hint="eastAsia" w:ascii="宋体" w:hAnsi="宋体" w:cs="宋体"/>
          <w:color w:val="auto"/>
          <w:position w:val="-4"/>
          <w:highlight w:val="none"/>
          <w:u w:val="single"/>
        </w:rPr>
        <w:tab/>
      </w:r>
      <w:r>
        <w:rPr>
          <w:rFonts w:hint="eastAsia" w:ascii="宋体" w:hAnsi="宋体" w:cs="宋体"/>
          <w:color w:val="auto"/>
          <w:position w:val="-4"/>
          <w:highlight w:val="none"/>
        </w:rPr>
        <w:t>（盖</w:t>
      </w:r>
      <w:r>
        <w:rPr>
          <w:rFonts w:hint="eastAsia" w:ascii="宋体" w:hAnsi="宋体" w:cs="宋体"/>
          <w:color w:val="auto"/>
          <w:spacing w:val="-2"/>
          <w:position w:val="-4"/>
          <w:highlight w:val="none"/>
        </w:rPr>
        <w:t>单</w:t>
      </w:r>
      <w:r>
        <w:rPr>
          <w:rFonts w:hint="eastAsia" w:ascii="宋体" w:hAnsi="宋体" w:cs="宋体"/>
          <w:color w:val="auto"/>
          <w:spacing w:val="1"/>
          <w:position w:val="-4"/>
          <w:highlight w:val="none"/>
        </w:rPr>
        <w:t>位</w:t>
      </w:r>
      <w:r>
        <w:rPr>
          <w:rFonts w:hint="eastAsia" w:ascii="宋体" w:hAnsi="宋体" w:cs="宋体"/>
          <w:color w:val="auto"/>
          <w:spacing w:val="-2"/>
          <w:position w:val="-4"/>
          <w:highlight w:val="none"/>
        </w:rPr>
        <w:t>章</w:t>
      </w:r>
      <w:r>
        <w:rPr>
          <w:rFonts w:hint="eastAsia" w:ascii="宋体" w:hAnsi="宋体" w:cs="宋体"/>
          <w:color w:val="auto"/>
          <w:position w:val="-4"/>
          <w:highlight w:val="none"/>
        </w:rPr>
        <w:t>）</w:t>
      </w:r>
    </w:p>
    <w:p>
      <w:pPr>
        <w:tabs>
          <w:tab w:val="left" w:pos="7605"/>
        </w:tabs>
        <w:spacing w:line="480" w:lineRule="auto"/>
        <w:ind w:left="2791" w:right="-20"/>
        <w:jc w:val="left"/>
        <w:rPr>
          <w:rFonts w:ascii="宋体" w:hAnsi="宋体" w:cs="宋体"/>
          <w:color w:val="auto"/>
          <w:highlight w:val="none"/>
        </w:rPr>
      </w:pPr>
      <w:r>
        <w:rPr>
          <w:rFonts w:hint="eastAsia" w:ascii="宋体" w:hAnsi="宋体" w:cs="宋体"/>
          <w:color w:val="auto"/>
          <w:position w:val="-2"/>
          <w:highlight w:val="none"/>
        </w:rPr>
        <w:t>法定</w:t>
      </w:r>
      <w:r>
        <w:rPr>
          <w:rFonts w:hint="eastAsia" w:ascii="宋体" w:hAnsi="宋体" w:cs="宋体"/>
          <w:color w:val="auto"/>
          <w:spacing w:val="-2"/>
          <w:position w:val="-2"/>
          <w:highlight w:val="none"/>
        </w:rPr>
        <w:t>代</w:t>
      </w:r>
      <w:r>
        <w:rPr>
          <w:rFonts w:hint="eastAsia" w:ascii="宋体" w:hAnsi="宋体" w:cs="宋体"/>
          <w:color w:val="auto"/>
          <w:position w:val="-2"/>
          <w:highlight w:val="none"/>
        </w:rPr>
        <w:t>表</w:t>
      </w:r>
      <w:r>
        <w:rPr>
          <w:rFonts w:hint="eastAsia" w:ascii="宋体" w:hAnsi="宋体" w:cs="宋体"/>
          <w:color w:val="auto"/>
          <w:spacing w:val="-2"/>
          <w:position w:val="-2"/>
          <w:highlight w:val="none"/>
        </w:rPr>
        <w:t>人</w:t>
      </w:r>
      <w:r>
        <w:rPr>
          <w:rFonts w:hint="eastAsia" w:ascii="宋体" w:hAnsi="宋体" w:cs="宋体"/>
          <w:color w:val="auto"/>
          <w:spacing w:val="-3"/>
          <w:position w:val="-2"/>
          <w:highlight w:val="none"/>
        </w:rPr>
        <w:t>：</w:t>
      </w:r>
      <w:r>
        <w:rPr>
          <w:rFonts w:hint="eastAsia" w:ascii="宋体" w:hAnsi="宋体" w:cs="宋体"/>
          <w:color w:val="auto"/>
          <w:position w:val="-2"/>
          <w:highlight w:val="none"/>
          <w:u w:val="single"/>
        </w:rPr>
        <w:tab/>
      </w:r>
      <w:r>
        <w:rPr>
          <w:rFonts w:hint="eastAsia" w:ascii="宋体" w:hAnsi="宋体" w:cs="宋体"/>
          <w:color w:val="auto"/>
          <w:position w:val="-2"/>
          <w:highlight w:val="none"/>
        </w:rPr>
        <w:t>（签</w:t>
      </w:r>
      <w:r>
        <w:rPr>
          <w:rFonts w:hint="eastAsia" w:ascii="宋体" w:hAnsi="宋体" w:cs="宋体"/>
          <w:color w:val="auto"/>
          <w:spacing w:val="-2"/>
          <w:position w:val="-2"/>
          <w:highlight w:val="none"/>
        </w:rPr>
        <w:t>字</w:t>
      </w:r>
      <w:r>
        <w:rPr>
          <w:rFonts w:hint="eastAsia" w:ascii="宋体" w:hAnsi="宋体" w:cs="宋体"/>
          <w:color w:val="auto"/>
          <w:position w:val="-2"/>
          <w:highlight w:val="none"/>
        </w:rPr>
        <w:t>）</w:t>
      </w:r>
    </w:p>
    <w:p>
      <w:pPr>
        <w:tabs>
          <w:tab w:val="left" w:pos="8500"/>
        </w:tabs>
        <w:spacing w:line="480" w:lineRule="auto"/>
        <w:ind w:left="2794" w:right="-20"/>
        <w:jc w:val="left"/>
        <w:rPr>
          <w:rFonts w:ascii="宋体" w:hAnsi="宋体" w:cs="宋体"/>
          <w:color w:val="auto"/>
          <w:highlight w:val="none"/>
        </w:rPr>
      </w:pPr>
      <w:r>
        <w:rPr>
          <w:rFonts w:hint="eastAsia" w:ascii="宋体" w:hAnsi="宋体" w:cs="宋体"/>
          <w:color w:val="auto"/>
          <w:position w:val="-2"/>
          <w:highlight w:val="none"/>
        </w:rPr>
        <w:t>身份</w:t>
      </w:r>
      <w:r>
        <w:rPr>
          <w:rFonts w:hint="eastAsia" w:ascii="宋体" w:hAnsi="宋体" w:cs="宋体"/>
          <w:color w:val="auto"/>
          <w:spacing w:val="-2"/>
          <w:position w:val="-2"/>
          <w:highlight w:val="none"/>
        </w:rPr>
        <w:t>证</w:t>
      </w:r>
      <w:r>
        <w:rPr>
          <w:rFonts w:hint="eastAsia" w:ascii="宋体" w:hAnsi="宋体" w:cs="宋体"/>
          <w:color w:val="auto"/>
          <w:position w:val="-2"/>
          <w:highlight w:val="none"/>
        </w:rPr>
        <w:t>号</w:t>
      </w:r>
      <w:r>
        <w:rPr>
          <w:rFonts w:hint="eastAsia" w:ascii="宋体" w:hAnsi="宋体" w:cs="宋体"/>
          <w:color w:val="auto"/>
          <w:spacing w:val="-2"/>
          <w:position w:val="-2"/>
          <w:highlight w:val="none"/>
        </w:rPr>
        <w:t>码</w:t>
      </w:r>
      <w:r>
        <w:rPr>
          <w:rFonts w:hint="eastAsia" w:ascii="宋体" w:hAnsi="宋体" w:cs="宋体"/>
          <w:color w:val="auto"/>
          <w:spacing w:val="-3"/>
          <w:position w:val="-2"/>
          <w:highlight w:val="none"/>
        </w:rPr>
        <w:t>：</w:t>
      </w:r>
      <w:r>
        <w:rPr>
          <w:rFonts w:hint="eastAsia" w:ascii="宋体" w:hAnsi="宋体" w:cs="宋体"/>
          <w:color w:val="auto"/>
          <w:position w:val="-2"/>
          <w:highlight w:val="none"/>
          <w:u w:val="single"/>
        </w:rPr>
        <w:tab/>
      </w:r>
    </w:p>
    <w:p>
      <w:pPr>
        <w:tabs>
          <w:tab w:val="left" w:pos="7660"/>
        </w:tabs>
        <w:spacing w:line="480" w:lineRule="auto"/>
        <w:ind w:left="2794" w:right="-20"/>
        <w:jc w:val="left"/>
        <w:rPr>
          <w:rFonts w:ascii="宋体" w:hAnsi="宋体" w:cs="宋体"/>
          <w:color w:val="auto"/>
          <w:highlight w:val="none"/>
        </w:rPr>
      </w:pPr>
      <w:r>
        <w:rPr>
          <w:rFonts w:hint="eastAsia" w:ascii="宋体" w:hAnsi="宋体" w:cs="宋体"/>
          <w:color w:val="auto"/>
          <w:position w:val="-2"/>
          <w:highlight w:val="none"/>
        </w:rPr>
        <w:t>委托</w:t>
      </w:r>
      <w:r>
        <w:rPr>
          <w:rFonts w:hint="eastAsia" w:ascii="宋体" w:hAnsi="宋体" w:cs="宋体"/>
          <w:color w:val="auto"/>
          <w:spacing w:val="-2"/>
          <w:position w:val="-2"/>
          <w:highlight w:val="none"/>
        </w:rPr>
        <w:t>代</w:t>
      </w:r>
      <w:r>
        <w:rPr>
          <w:rFonts w:hint="eastAsia" w:ascii="宋体" w:hAnsi="宋体" w:cs="宋体"/>
          <w:color w:val="auto"/>
          <w:position w:val="-2"/>
          <w:highlight w:val="none"/>
        </w:rPr>
        <w:t>理</w:t>
      </w:r>
      <w:r>
        <w:rPr>
          <w:rFonts w:hint="eastAsia" w:ascii="宋体" w:hAnsi="宋体" w:cs="宋体"/>
          <w:color w:val="auto"/>
          <w:spacing w:val="-2"/>
          <w:position w:val="-2"/>
          <w:highlight w:val="none"/>
        </w:rPr>
        <w:t>人</w:t>
      </w:r>
      <w:r>
        <w:rPr>
          <w:rFonts w:hint="eastAsia" w:ascii="宋体" w:hAnsi="宋体" w:cs="宋体"/>
          <w:color w:val="auto"/>
          <w:spacing w:val="-3"/>
          <w:position w:val="-2"/>
          <w:highlight w:val="none"/>
        </w:rPr>
        <w:t>：</w:t>
      </w:r>
      <w:r>
        <w:rPr>
          <w:rFonts w:hint="eastAsia" w:ascii="宋体" w:hAnsi="宋体" w:cs="宋体"/>
          <w:color w:val="auto"/>
          <w:position w:val="-2"/>
          <w:highlight w:val="none"/>
          <w:u w:val="single"/>
        </w:rPr>
        <w:tab/>
      </w:r>
      <w:r>
        <w:rPr>
          <w:rFonts w:hint="eastAsia" w:ascii="宋体" w:hAnsi="宋体" w:cs="宋体"/>
          <w:color w:val="auto"/>
          <w:position w:val="-2"/>
          <w:highlight w:val="none"/>
        </w:rPr>
        <w:t>（签</w:t>
      </w:r>
      <w:r>
        <w:rPr>
          <w:rFonts w:hint="eastAsia" w:ascii="宋体" w:hAnsi="宋体" w:cs="宋体"/>
          <w:color w:val="auto"/>
          <w:spacing w:val="-2"/>
          <w:position w:val="-2"/>
          <w:highlight w:val="none"/>
        </w:rPr>
        <w:t>字</w:t>
      </w:r>
      <w:r>
        <w:rPr>
          <w:rFonts w:hint="eastAsia" w:ascii="宋体" w:hAnsi="宋体" w:cs="宋体"/>
          <w:color w:val="auto"/>
          <w:position w:val="-2"/>
          <w:highlight w:val="none"/>
        </w:rPr>
        <w:t>）</w:t>
      </w:r>
    </w:p>
    <w:p>
      <w:pPr>
        <w:tabs>
          <w:tab w:val="left" w:pos="8500"/>
        </w:tabs>
        <w:spacing w:line="480" w:lineRule="auto"/>
        <w:ind w:left="2794" w:right="-20"/>
        <w:jc w:val="left"/>
        <w:rPr>
          <w:rFonts w:ascii="宋体" w:hAnsi="宋体" w:cs="宋体"/>
          <w:color w:val="auto"/>
          <w:highlight w:val="none"/>
        </w:rPr>
      </w:pPr>
      <w:r>
        <w:rPr>
          <w:rFonts w:hint="eastAsia" w:ascii="宋体" w:hAnsi="宋体" w:cs="宋体"/>
          <w:color w:val="auto"/>
          <w:position w:val="-2"/>
          <w:highlight w:val="none"/>
        </w:rPr>
        <w:t>身份</w:t>
      </w:r>
      <w:r>
        <w:rPr>
          <w:rFonts w:hint="eastAsia" w:ascii="宋体" w:hAnsi="宋体" w:cs="宋体"/>
          <w:color w:val="auto"/>
          <w:spacing w:val="-2"/>
          <w:position w:val="-2"/>
          <w:highlight w:val="none"/>
        </w:rPr>
        <w:t>证</w:t>
      </w:r>
      <w:r>
        <w:rPr>
          <w:rFonts w:hint="eastAsia" w:ascii="宋体" w:hAnsi="宋体" w:cs="宋体"/>
          <w:color w:val="auto"/>
          <w:position w:val="-2"/>
          <w:highlight w:val="none"/>
        </w:rPr>
        <w:t>号</w:t>
      </w:r>
      <w:r>
        <w:rPr>
          <w:rFonts w:hint="eastAsia" w:ascii="宋体" w:hAnsi="宋体" w:cs="宋体"/>
          <w:color w:val="auto"/>
          <w:spacing w:val="-2"/>
          <w:position w:val="-2"/>
          <w:highlight w:val="none"/>
        </w:rPr>
        <w:t>码</w:t>
      </w:r>
      <w:r>
        <w:rPr>
          <w:rFonts w:hint="eastAsia" w:ascii="宋体" w:hAnsi="宋体" w:cs="宋体"/>
          <w:color w:val="auto"/>
          <w:spacing w:val="-3"/>
          <w:position w:val="-2"/>
          <w:highlight w:val="none"/>
        </w:rPr>
        <w:t>：</w:t>
      </w:r>
      <w:r>
        <w:rPr>
          <w:rFonts w:hint="eastAsia" w:ascii="宋体" w:hAnsi="宋体" w:cs="宋体"/>
          <w:color w:val="auto"/>
          <w:position w:val="-2"/>
          <w:highlight w:val="none"/>
          <w:u w:val="single"/>
        </w:rPr>
        <w:tab/>
      </w:r>
    </w:p>
    <w:p>
      <w:pPr>
        <w:tabs>
          <w:tab w:val="left" w:pos="720"/>
          <w:tab w:val="left" w:pos="1680"/>
          <w:tab w:val="left" w:pos="2620"/>
        </w:tabs>
        <w:spacing w:line="480" w:lineRule="auto"/>
        <w:ind w:right="96"/>
        <w:jc w:val="right"/>
        <w:rPr>
          <w:rFonts w:ascii="宋体" w:hAnsi="宋体" w:cs="宋体"/>
          <w:color w:val="auto"/>
          <w:highlight w:val="none"/>
        </w:rPr>
      </w:pPr>
      <w:r>
        <w:rPr>
          <w:rFonts w:hint="eastAsia" w:ascii="宋体" w:hAnsi="宋体" w:cs="宋体"/>
          <w:color w:val="auto"/>
          <w:position w:val="-1"/>
          <w:highlight w:val="none"/>
          <w:u w:val="single"/>
        </w:rPr>
        <w:tab/>
      </w:r>
      <w:r>
        <w:rPr>
          <w:rFonts w:hint="eastAsia" w:ascii="宋体" w:hAnsi="宋体" w:cs="宋体"/>
          <w:color w:val="auto"/>
          <w:position w:val="-1"/>
          <w:highlight w:val="none"/>
        </w:rPr>
        <w:t>年</w:t>
      </w:r>
      <w:r>
        <w:rPr>
          <w:rFonts w:hint="eastAsia" w:ascii="宋体" w:hAnsi="宋体" w:cs="宋体"/>
          <w:color w:val="auto"/>
          <w:position w:val="-1"/>
          <w:highlight w:val="none"/>
          <w:u w:val="single"/>
        </w:rPr>
        <w:tab/>
      </w:r>
      <w:r>
        <w:rPr>
          <w:rFonts w:hint="eastAsia" w:ascii="宋体" w:hAnsi="宋体" w:cs="宋体"/>
          <w:color w:val="auto"/>
          <w:spacing w:val="-2"/>
          <w:position w:val="-1"/>
          <w:highlight w:val="none"/>
        </w:rPr>
        <w:t>月</w:t>
      </w:r>
      <w:r>
        <w:rPr>
          <w:rFonts w:hint="eastAsia" w:ascii="宋体" w:hAnsi="宋体" w:cs="宋体"/>
          <w:color w:val="auto"/>
          <w:position w:val="-1"/>
          <w:highlight w:val="none"/>
          <w:u w:val="single"/>
        </w:rPr>
        <w:tab/>
      </w:r>
      <w:r>
        <w:rPr>
          <w:rFonts w:hint="eastAsia" w:ascii="宋体" w:hAnsi="宋体" w:cs="宋体"/>
          <w:color w:val="auto"/>
          <w:position w:val="-1"/>
          <w:highlight w:val="none"/>
        </w:rPr>
        <w:t>日</w:t>
      </w:r>
    </w:p>
    <w:bookmarkEnd w:id="109"/>
    <w:bookmarkEnd w:id="110"/>
    <w:bookmarkEnd w:id="111"/>
    <w:bookmarkEnd w:id="112"/>
    <w:p>
      <w:pPr>
        <w:spacing w:line="360" w:lineRule="auto"/>
        <w:rPr>
          <w:rFonts w:ascii="宋体" w:hAnsi="宋体" w:cs="宋体"/>
          <w:color w:val="auto"/>
          <w:kern w:val="0"/>
          <w:sz w:val="24"/>
          <w:szCs w:val="24"/>
          <w:highlight w:val="none"/>
        </w:rPr>
      </w:pPr>
    </w:p>
    <w:bookmarkEnd w:id="106"/>
    <w:bookmarkEnd w:id="107"/>
    <w:p>
      <w:pPr>
        <w:widowControl/>
        <w:jc w:val="left"/>
        <w:rPr>
          <w:rFonts w:ascii="宋体" w:hAnsi="宋体" w:cs="宋体"/>
          <w:color w:val="auto"/>
          <w:highlight w:val="none"/>
        </w:rPr>
      </w:pPr>
      <w:bookmarkStart w:id="113" w:name="_Toc383441821"/>
      <w:r>
        <w:rPr>
          <w:rFonts w:hint="eastAsia" w:ascii="宋体" w:hAnsi="宋体" w:cs="宋体"/>
          <w:color w:val="auto"/>
          <w:highlight w:val="none"/>
        </w:rPr>
        <w:br w:type="page"/>
      </w:r>
      <w:bookmarkEnd w:id="113"/>
    </w:p>
    <w:p>
      <w:pPr>
        <w:pStyle w:val="5"/>
        <w:rPr>
          <w:rFonts w:ascii="宋体" w:hAnsi="宋体" w:cs="宋体"/>
          <w:color w:val="auto"/>
          <w:highlight w:val="none"/>
        </w:rPr>
        <w:sectPr>
          <w:type w:val="continuous"/>
          <w:pgSz w:w="11907" w:h="16840"/>
          <w:pgMar w:top="1440" w:right="1080" w:bottom="1440" w:left="1080" w:header="709" w:footer="709" w:gutter="0"/>
          <w:cols w:space="720" w:num="1"/>
          <w:docGrid w:linePitch="286" w:charSpace="0"/>
        </w:sectPr>
      </w:pPr>
    </w:p>
    <w:p>
      <w:pPr>
        <w:pStyle w:val="5"/>
        <w:rPr>
          <w:rFonts w:ascii="宋体" w:hAnsi="宋体" w:cs="宋体"/>
          <w:color w:val="auto"/>
          <w:highlight w:val="none"/>
        </w:rPr>
      </w:pPr>
      <w:bookmarkStart w:id="114" w:name="_Toc132272681"/>
      <w:bookmarkStart w:id="115" w:name="_Toc383441822"/>
      <w:bookmarkStart w:id="116" w:name="_Toc319366800"/>
      <w:r>
        <w:rPr>
          <w:rFonts w:hint="eastAsia" w:ascii="宋体" w:hAnsi="宋体" w:cs="宋体"/>
          <w:color w:val="auto"/>
          <w:highlight w:val="none"/>
        </w:rPr>
        <w:t>格式6：拟委任的主要人员汇总表</w:t>
      </w:r>
      <w:bookmarkEnd w:id="114"/>
    </w:p>
    <w:bookmarkEnd w:id="115"/>
    <w:bookmarkEnd w:id="116"/>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拟委任的主要人员汇总表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40"/>
        <w:gridCol w:w="1080"/>
        <w:gridCol w:w="1620"/>
        <w:gridCol w:w="1440"/>
        <w:gridCol w:w="1140"/>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序号</w:t>
            </w:r>
          </w:p>
        </w:tc>
        <w:tc>
          <w:tcPr>
            <w:tcW w:w="1440"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姓名</w:t>
            </w:r>
          </w:p>
        </w:tc>
        <w:tc>
          <w:tcPr>
            <w:tcW w:w="1080"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年龄</w:t>
            </w:r>
          </w:p>
        </w:tc>
        <w:tc>
          <w:tcPr>
            <w:tcW w:w="1620"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学历</w:t>
            </w:r>
          </w:p>
        </w:tc>
        <w:tc>
          <w:tcPr>
            <w:tcW w:w="1440"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职称</w:t>
            </w:r>
          </w:p>
        </w:tc>
        <w:tc>
          <w:tcPr>
            <w:tcW w:w="1140"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专业</w:t>
            </w:r>
          </w:p>
        </w:tc>
        <w:tc>
          <w:tcPr>
            <w:tcW w:w="1647"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在本项目中拟担任工作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1</w:t>
            </w: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2</w:t>
            </w: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3</w:t>
            </w: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r>
              <w:rPr>
                <w:rFonts w:hint="eastAsia" w:ascii="宋体" w:hAnsi="宋体" w:cs="宋体"/>
                <w:color w:val="auto"/>
                <w:highlight w:val="none"/>
              </w:rPr>
              <w:t>…</w:t>
            </w: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48"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080" w:type="dxa"/>
            <w:vAlign w:val="center"/>
          </w:tcPr>
          <w:p>
            <w:pPr>
              <w:snapToGrid w:val="0"/>
              <w:jc w:val="center"/>
              <w:rPr>
                <w:rFonts w:ascii="宋体" w:hAnsi="宋体" w:cs="宋体"/>
                <w:color w:val="auto"/>
                <w:highlight w:val="none"/>
              </w:rPr>
            </w:pPr>
          </w:p>
        </w:tc>
        <w:tc>
          <w:tcPr>
            <w:tcW w:w="1620" w:type="dxa"/>
            <w:vAlign w:val="center"/>
          </w:tcPr>
          <w:p>
            <w:pPr>
              <w:snapToGrid w:val="0"/>
              <w:jc w:val="center"/>
              <w:rPr>
                <w:rFonts w:ascii="宋体" w:hAnsi="宋体" w:cs="宋体"/>
                <w:color w:val="auto"/>
                <w:highlight w:val="none"/>
              </w:rPr>
            </w:pPr>
          </w:p>
        </w:tc>
        <w:tc>
          <w:tcPr>
            <w:tcW w:w="1440" w:type="dxa"/>
            <w:vAlign w:val="center"/>
          </w:tcPr>
          <w:p>
            <w:pPr>
              <w:snapToGrid w:val="0"/>
              <w:jc w:val="center"/>
              <w:rPr>
                <w:rFonts w:ascii="宋体" w:hAnsi="宋体" w:cs="宋体"/>
                <w:color w:val="auto"/>
                <w:highlight w:val="none"/>
              </w:rPr>
            </w:pPr>
          </w:p>
        </w:tc>
        <w:tc>
          <w:tcPr>
            <w:tcW w:w="1140" w:type="dxa"/>
            <w:vAlign w:val="center"/>
          </w:tcPr>
          <w:p>
            <w:pPr>
              <w:snapToGrid w:val="0"/>
              <w:jc w:val="center"/>
              <w:rPr>
                <w:rFonts w:ascii="宋体" w:hAnsi="宋体" w:cs="宋体"/>
                <w:color w:val="auto"/>
                <w:highlight w:val="none"/>
              </w:rPr>
            </w:pPr>
          </w:p>
        </w:tc>
        <w:tc>
          <w:tcPr>
            <w:tcW w:w="1647" w:type="dxa"/>
            <w:vAlign w:val="center"/>
          </w:tcPr>
          <w:p>
            <w:pPr>
              <w:snapToGrid w:val="0"/>
              <w:jc w:val="center"/>
              <w:rPr>
                <w:rFonts w:ascii="宋体" w:hAnsi="宋体" w:cs="宋体"/>
                <w:color w:val="auto"/>
                <w:highlight w:val="none"/>
              </w:rPr>
            </w:pPr>
          </w:p>
        </w:tc>
      </w:tr>
    </w:tbl>
    <w:p>
      <w:pPr>
        <w:snapToGrid w:val="0"/>
        <w:spacing w:line="360" w:lineRule="auto"/>
        <w:rPr>
          <w:rFonts w:ascii="宋体" w:hAnsi="宋体" w:cs="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widowControl/>
        <w:jc w:val="left"/>
        <w:rPr>
          <w:rFonts w:ascii="宋体" w:hAnsi="宋体" w:cs="宋体"/>
          <w:color w:val="auto"/>
          <w:highlight w:val="none"/>
        </w:rPr>
      </w:pPr>
      <w:r>
        <w:rPr>
          <w:rFonts w:ascii="宋体" w:hAnsi="宋体" w:cs="宋体"/>
          <w:color w:val="auto"/>
          <w:highlight w:val="none"/>
        </w:rPr>
        <w:br w:type="page"/>
      </w:r>
    </w:p>
    <w:p>
      <w:pPr>
        <w:rPr>
          <w:rFonts w:ascii="宋体" w:hAnsi="宋体" w:cs="宋体"/>
          <w:color w:val="auto"/>
          <w:highlight w:val="none"/>
        </w:rPr>
        <w:sectPr>
          <w:type w:val="continuous"/>
          <w:pgSz w:w="11907" w:h="16840"/>
          <w:pgMar w:top="1440" w:right="1080" w:bottom="1440" w:left="1080" w:header="709" w:footer="709" w:gutter="0"/>
          <w:cols w:space="720" w:num="1"/>
          <w:docGrid w:linePitch="286" w:charSpace="0"/>
        </w:sectPr>
      </w:pPr>
    </w:p>
    <w:p>
      <w:pPr>
        <w:pStyle w:val="5"/>
        <w:rPr>
          <w:rFonts w:ascii="宋体" w:hAnsi="宋体" w:cs="宋体"/>
          <w:color w:val="auto"/>
          <w:highlight w:val="none"/>
        </w:rPr>
      </w:pPr>
      <w:bookmarkStart w:id="117" w:name="_Toc132272682"/>
      <w:r>
        <w:rPr>
          <w:rFonts w:hint="eastAsia" w:ascii="宋体" w:hAnsi="宋体" w:cs="宋体"/>
          <w:color w:val="auto"/>
          <w:highlight w:val="none"/>
        </w:rPr>
        <w:t>格式7：代建服务方案</w:t>
      </w:r>
      <w:bookmarkEnd w:id="117"/>
    </w:p>
    <w:p>
      <w:pPr>
        <w:spacing w:line="360" w:lineRule="auto"/>
        <w:jc w:val="center"/>
        <w:rPr>
          <w:rFonts w:ascii="宋体" w:hAnsi="宋体" w:cs="宋体"/>
          <w:b/>
          <w:sz w:val="28"/>
          <w:szCs w:val="28"/>
          <w:highlight w:val="none"/>
        </w:rPr>
      </w:pPr>
      <w:r>
        <w:rPr>
          <w:rFonts w:hint="eastAsia" w:ascii="宋体" w:hAnsi="宋体" w:cs="宋体"/>
          <w:b/>
          <w:sz w:val="28"/>
          <w:szCs w:val="28"/>
          <w:highlight w:val="none"/>
        </w:rPr>
        <w:t>代建服务方案</w:t>
      </w:r>
    </w:p>
    <w:p>
      <w:pPr>
        <w:snapToGrid w:val="0"/>
        <w:spacing w:line="360" w:lineRule="auto"/>
        <w:ind w:firstLine="420" w:firstLineChars="200"/>
        <w:rPr>
          <w:rFonts w:hint="eastAsia" w:ascii="宋体" w:hAnsi="宋体" w:cs="宋体"/>
          <w:bCs/>
          <w:highlight w:val="none"/>
        </w:rPr>
      </w:pPr>
    </w:p>
    <w:p>
      <w:pPr>
        <w:snapToGrid w:val="0"/>
        <w:spacing w:line="360" w:lineRule="auto"/>
        <w:ind w:firstLine="420" w:firstLineChars="200"/>
        <w:rPr>
          <w:rFonts w:ascii="宋体" w:hAnsi="宋体" w:cs="宋体"/>
          <w:bCs/>
          <w:highlight w:val="none"/>
        </w:rPr>
      </w:pPr>
      <w:r>
        <w:rPr>
          <w:rFonts w:hint="eastAsia" w:ascii="宋体" w:hAnsi="宋体" w:cs="宋体"/>
          <w:bCs/>
          <w:highlight w:val="none"/>
        </w:rPr>
        <w:t>投标人应根据本项目的要求，提出代建服务方案，包括但不限于以下内容：</w:t>
      </w:r>
    </w:p>
    <w:p>
      <w:pPr>
        <w:numPr>
          <w:ilvl w:val="0"/>
          <w:numId w:val="7"/>
        </w:numPr>
        <w:snapToGrid w:val="0"/>
        <w:spacing w:line="360" w:lineRule="auto"/>
        <w:ind w:firstLine="420" w:firstLineChars="200"/>
        <w:rPr>
          <w:rFonts w:ascii="宋体" w:hAnsi="宋体" w:cs="宋体"/>
          <w:highlight w:val="none"/>
        </w:rPr>
      </w:pPr>
      <w:r>
        <w:rPr>
          <w:rFonts w:hint="eastAsia" w:ascii="宋体" w:hAnsi="宋体" w:cs="宋体"/>
          <w:highlight w:val="none"/>
        </w:rPr>
        <w:t>项目管理方案总体框架、思路；</w:t>
      </w:r>
    </w:p>
    <w:p>
      <w:pPr>
        <w:numPr>
          <w:ilvl w:val="0"/>
          <w:numId w:val="7"/>
        </w:numPr>
        <w:snapToGrid w:val="0"/>
        <w:spacing w:line="360" w:lineRule="auto"/>
        <w:ind w:firstLine="420" w:firstLineChars="200"/>
        <w:rPr>
          <w:rFonts w:ascii="宋体" w:hAnsi="宋体" w:cs="宋体"/>
          <w:highlight w:val="none"/>
        </w:rPr>
      </w:pPr>
      <w:r>
        <w:rPr>
          <w:rFonts w:hint="eastAsia" w:ascii="宋体" w:hAnsi="宋体" w:cs="宋体"/>
          <w:highlight w:val="none"/>
        </w:rPr>
        <w:t>对本项目特点的认识和理解，制定前期工作方案和措施；</w:t>
      </w:r>
    </w:p>
    <w:p>
      <w:pPr>
        <w:numPr>
          <w:ilvl w:val="0"/>
          <w:numId w:val="7"/>
        </w:numPr>
        <w:snapToGrid w:val="0"/>
        <w:spacing w:line="360" w:lineRule="auto"/>
        <w:ind w:firstLine="420" w:firstLineChars="200"/>
        <w:rPr>
          <w:rFonts w:ascii="宋体" w:hAnsi="宋体" w:cs="宋体"/>
          <w:color w:val="auto"/>
          <w:highlight w:val="none"/>
        </w:rPr>
      </w:pPr>
      <w:r>
        <w:rPr>
          <w:rFonts w:hint="eastAsia" w:ascii="宋体" w:hAnsi="宋体" w:cs="宋体"/>
          <w:highlight w:val="none"/>
        </w:rPr>
        <w:t>项目管理的工作程序和工作制度</w:t>
      </w:r>
      <w:r>
        <w:rPr>
          <w:rFonts w:hint="eastAsia" w:ascii="宋体" w:hAnsi="宋体" w:cs="宋体"/>
          <w:color w:val="auto"/>
          <w:highlight w:val="none"/>
          <w:lang w:eastAsia="zh-CN"/>
        </w:rPr>
        <w:t>；</w:t>
      </w:r>
    </w:p>
    <w:p>
      <w:pPr>
        <w:pStyle w:val="2"/>
        <w:rPr>
          <w:rFonts w:hint="default" w:eastAsia="方正书宋简体"/>
          <w:highlight w:val="none"/>
          <w:lang w:val="en-US" w:eastAsia="zh-CN"/>
        </w:rPr>
      </w:pPr>
      <w:r>
        <w:rPr>
          <w:rFonts w:hint="eastAsia" w:ascii="宋体" w:hAnsi="宋体" w:cs="宋体"/>
          <w:color w:val="auto"/>
          <w:highlight w:val="none"/>
          <w:lang w:val="en-US" w:eastAsia="zh-CN"/>
        </w:rPr>
        <w:t>4.....</w:t>
      </w:r>
    </w:p>
    <w:p>
      <w:pPr>
        <w:rPr>
          <w:rFonts w:ascii="宋体" w:hAnsi="宋体" w:cs="宋体"/>
          <w:b/>
          <w:color w:val="auto"/>
          <w:sz w:val="28"/>
          <w:highlight w:val="none"/>
        </w:rPr>
      </w:pPr>
    </w:p>
    <w:p>
      <w:pPr>
        <w:widowControl/>
        <w:shd w:val="clear" w:color="auto" w:fill="FFFFFF"/>
        <w:spacing w:line="360" w:lineRule="auto"/>
        <w:ind w:right="306"/>
        <w:jc w:val="right"/>
        <w:rPr>
          <w:rFonts w:ascii="宋体" w:hAnsi="宋体" w:cs="宋体"/>
          <w:color w:val="auto"/>
          <w:sz w:val="24"/>
          <w:szCs w:val="24"/>
          <w:highlight w:val="none"/>
        </w:rPr>
      </w:pPr>
      <w:r>
        <w:rPr>
          <w:rFonts w:hint="eastAsia" w:ascii="宋体" w:hAnsi="宋体" w:cs="宋体"/>
          <w:color w:val="auto"/>
          <w:highlight w:val="none"/>
        </w:rPr>
        <w:br w:type="page"/>
      </w:r>
    </w:p>
    <w:p>
      <w:pPr>
        <w:pStyle w:val="5"/>
        <w:rPr>
          <w:rFonts w:ascii="宋体" w:hAnsi="宋体" w:cs="宋体"/>
          <w:color w:val="auto"/>
          <w:sz w:val="32"/>
          <w:szCs w:val="32"/>
          <w:highlight w:val="none"/>
        </w:rPr>
      </w:pPr>
      <w:bookmarkStart w:id="118" w:name="_Toc132272683"/>
      <w:r>
        <w:rPr>
          <w:rFonts w:hint="eastAsia" w:ascii="宋体" w:hAnsi="宋体" w:cs="宋体"/>
          <w:color w:val="auto"/>
          <w:highlight w:val="none"/>
        </w:rPr>
        <w:t>格式8：投标申请人声明</w:t>
      </w:r>
      <w:bookmarkEnd w:id="118"/>
    </w:p>
    <w:p>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投标申请人声明</w:t>
      </w:r>
    </w:p>
    <w:p>
      <w:pPr>
        <w:keepNext w:val="0"/>
        <w:keepLines w:val="0"/>
        <w:pageBreakBefore w:val="0"/>
        <w:widowControl/>
        <w:shd w:val="clear" w:color="auto" w:fill="FFFFFF"/>
        <w:kinsoku/>
        <w:wordWrap/>
        <w:overflowPunct/>
        <w:topLinePunct w:val="0"/>
        <w:autoSpaceDE/>
        <w:autoSpaceDN/>
        <w:bidi w:val="0"/>
        <w:adjustRightInd/>
        <w:spacing w:line="44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招标人：</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本公司就参加投标工作，作出郑重声明：</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一、本公司保证投标登记材料及其后提供的一切材料都是真实的。</w:t>
      </w:r>
      <w:r>
        <w:rPr>
          <w:rFonts w:hint="eastAsia" w:ascii="宋体" w:hAnsi="宋体" w:cs="宋体"/>
          <w:b/>
          <w:color w:val="auto"/>
          <w:highlight w:val="none"/>
        </w:rPr>
        <w:t>如我司成为本项目中标候选人，我司同意并授权招标人将我司投标文件商务部分的人员、业绩、奖项等资料进行公开。</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二、本公司保证不与其他单位围标、串标，不出让投标资格，不向招标人或评标委员会成员行贿。</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三、本公司不存在招标文件第二章投标人须知第1.4.3项所规定的任何一种情形。</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四、本公司及其有隶属关系的机构，没有参加本项目招标文件的编写工作；本公司与本次招标的招标代理机构没有隶属关系或其他利害关系；</w:t>
      </w:r>
      <w:r>
        <w:rPr>
          <w:rFonts w:hint="eastAsia" w:ascii="宋体" w:hAnsi="宋体" w:cs="宋体"/>
          <w:b/>
          <w:color w:val="auto"/>
          <w:highlight w:val="none"/>
        </w:rPr>
        <w:t>本公司与本工程的承包单位以及建筑材料、建筑构配件和设备供应单位没有隶属关系或其他利害关系。</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五、本公司承诺，中标后严格执行安全生产相关管理规定。</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六、本公司承诺，如我司中标，我司将严格按照合同和招投标文件规定履行义务，并同意招标人将其履行合同、招投标文件义务的履约情况和不诚信行为（包括但不限于由招标人作出的违约责任处理决定等）在招标人网站和建设项目业主网站及其他媒体上公开披露，由此造成的一切损失和不利后果均由我司自行承担。</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keepNext w:val="0"/>
        <w:keepLines w:val="0"/>
        <w:pageBreakBefore w:val="0"/>
        <w:kinsoku/>
        <w:wordWrap/>
        <w:overflowPunct/>
        <w:topLinePunct w:val="0"/>
        <w:autoSpaceDE/>
        <w:autoSpaceDN/>
        <w:bidi w:val="0"/>
        <w:adjustRightInd/>
        <w:spacing w:line="440" w:lineRule="exact"/>
        <w:ind w:firstLine="629"/>
        <w:textAlignment w:val="auto"/>
        <w:rPr>
          <w:rFonts w:ascii="宋体" w:hAnsi="宋体" w:cs="宋体"/>
          <w:b/>
          <w:color w:val="auto"/>
          <w:kern w:val="0"/>
          <w:highlight w:val="none"/>
        </w:rPr>
      </w:pPr>
      <w:r>
        <w:rPr>
          <w:rFonts w:hint="eastAsia" w:ascii="宋体" w:hAnsi="宋体" w:cs="宋体"/>
          <w:b/>
          <w:color w:val="auto"/>
          <w:kern w:val="0"/>
          <w:highlight w:val="none"/>
        </w:rPr>
        <w:t>八、与本公司单位负责人为同一人或者与本公司存在控股、管理关系的其他单位包括：。（注：本条由投标人如实填写，如有，应列出全部满足招标公告资质要求的相关单位的名称；如无，则填写“无”。）</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本公司违反上述保证，或本声明陈述与事实不符，经查实，本公司愿意接受公开通报，承担由此带来的法律后果，并自愿停止参加广州市行政辖区内的招标投标活动三个月。</w:t>
      </w:r>
    </w:p>
    <w:p>
      <w:pPr>
        <w:keepNext w:val="0"/>
        <w:keepLines w:val="0"/>
        <w:pageBreakBefore w:val="0"/>
        <w:kinsoku/>
        <w:wordWrap/>
        <w:overflowPunct/>
        <w:topLinePunct w:val="0"/>
        <w:autoSpaceDE/>
        <w:autoSpaceDN/>
        <w:bidi w:val="0"/>
        <w:adjustRightInd/>
        <w:spacing w:line="440" w:lineRule="exact"/>
        <w:ind w:firstLine="629"/>
        <w:jc w:val="left"/>
        <w:textAlignment w:val="auto"/>
        <w:rPr>
          <w:rFonts w:ascii="宋体" w:hAnsi="宋体" w:cs="宋体"/>
          <w:color w:val="auto"/>
          <w:highlight w:val="none"/>
        </w:rPr>
      </w:pPr>
      <w:r>
        <w:rPr>
          <w:rFonts w:hint="eastAsia" w:ascii="宋体" w:hAnsi="宋体" w:cs="宋体"/>
          <w:color w:val="auto"/>
          <w:highlight w:val="none"/>
        </w:rPr>
        <w:t>特此声明。</w:t>
      </w:r>
    </w:p>
    <w:p>
      <w:pPr>
        <w:keepNext w:val="0"/>
        <w:keepLines w:val="0"/>
        <w:pageBreakBefore w:val="0"/>
        <w:kinsoku/>
        <w:wordWrap/>
        <w:overflowPunct/>
        <w:topLinePunct w:val="0"/>
        <w:autoSpaceDE/>
        <w:autoSpaceDN/>
        <w:bidi w:val="0"/>
        <w:adjustRightInd/>
        <w:snapToGrid w:val="0"/>
        <w:spacing w:line="440" w:lineRule="exact"/>
        <w:ind w:firstLine="3780" w:firstLineChars="1800"/>
        <w:textAlignment w:val="auto"/>
        <w:rPr>
          <w:rFonts w:ascii="宋体" w:hAnsi="宋体" w:cs="宋体"/>
          <w:color w:val="auto"/>
          <w:highlight w:val="none"/>
        </w:rPr>
      </w:pPr>
    </w:p>
    <w:p>
      <w:pPr>
        <w:keepNext w:val="0"/>
        <w:keepLines w:val="0"/>
        <w:pageBreakBefore w:val="0"/>
        <w:kinsoku/>
        <w:wordWrap/>
        <w:overflowPunct/>
        <w:topLinePunct w:val="0"/>
        <w:autoSpaceDE/>
        <w:autoSpaceDN/>
        <w:bidi w:val="0"/>
        <w:adjustRightInd/>
        <w:snapToGrid w:val="0"/>
        <w:spacing w:line="440" w:lineRule="exact"/>
        <w:ind w:firstLine="3360" w:firstLineChars="1600"/>
        <w:textAlignment w:val="auto"/>
        <w:rPr>
          <w:rFonts w:ascii="宋体" w:hAnsi="宋体" w:cs="宋体"/>
          <w:color w:val="auto"/>
          <w:highlight w:val="none"/>
        </w:rPr>
      </w:pPr>
      <w:r>
        <w:rPr>
          <w:rFonts w:hint="eastAsia" w:ascii="宋体" w:hAnsi="宋体" w:cs="宋体"/>
          <w:color w:val="auto"/>
          <w:highlight w:val="none"/>
        </w:rPr>
        <w:t>声明企业：(企业公章)</w:t>
      </w:r>
    </w:p>
    <w:p>
      <w:pPr>
        <w:keepNext w:val="0"/>
        <w:keepLines w:val="0"/>
        <w:pageBreakBefore w:val="0"/>
        <w:kinsoku/>
        <w:wordWrap/>
        <w:overflowPunct/>
        <w:topLinePunct w:val="0"/>
        <w:autoSpaceDE/>
        <w:autoSpaceDN/>
        <w:bidi w:val="0"/>
        <w:adjustRightInd/>
        <w:snapToGrid w:val="0"/>
        <w:spacing w:line="440" w:lineRule="exact"/>
        <w:ind w:firstLine="3360" w:firstLineChars="1600"/>
        <w:textAlignment w:val="auto"/>
        <w:rPr>
          <w:rFonts w:ascii="宋体" w:hAnsi="宋体" w:cs="宋体"/>
          <w:color w:val="auto"/>
          <w:highlight w:val="none"/>
          <w:u w:val="single"/>
        </w:rPr>
      </w:pPr>
      <w:r>
        <w:rPr>
          <w:rFonts w:hint="eastAsia" w:ascii="宋体" w:hAnsi="宋体" w:cs="宋体"/>
          <w:color w:val="auto"/>
          <w:highlight w:val="none"/>
        </w:rPr>
        <w:t>法定代表人</w:t>
      </w:r>
      <w:r>
        <w:rPr>
          <w:rFonts w:hint="eastAsia" w:ascii="宋体" w:hAnsi="宋体" w:cs="宋体"/>
          <w:color w:val="auto"/>
          <w:spacing w:val="18"/>
          <w:highlight w:val="none"/>
        </w:rPr>
        <w:t>（签名或盖章）</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snapToGrid w:val="0"/>
        <w:spacing w:line="440" w:lineRule="exact"/>
        <w:ind w:firstLine="3360" w:firstLineChars="1600"/>
        <w:textAlignment w:val="auto"/>
        <w:rPr>
          <w:rFonts w:ascii="宋体" w:hAnsi="宋体" w:cs="宋体"/>
          <w:color w:val="auto"/>
          <w:highlight w:val="none"/>
          <w:u w:val="single"/>
        </w:rPr>
      </w:pPr>
      <w:r>
        <w:rPr>
          <w:rFonts w:hint="eastAsia" w:ascii="宋体" w:hAnsi="宋体" w:cs="宋体"/>
          <w:color w:val="auto"/>
          <w:highlight w:val="none"/>
        </w:rPr>
        <w:t>项目负责人（签名</w:t>
      </w:r>
      <w:r>
        <w:rPr>
          <w:rFonts w:hint="eastAsia" w:ascii="宋体" w:hAnsi="宋体" w:cs="宋体"/>
          <w:color w:val="auto"/>
          <w:spacing w:val="18"/>
          <w:highlight w:val="none"/>
        </w:rPr>
        <w:t>或盖章</w:t>
      </w:r>
      <w:r>
        <w:rPr>
          <w:rFonts w:hint="eastAsia" w:ascii="宋体" w:hAnsi="宋体" w:cs="宋体"/>
          <w:color w:val="auto"/>
          <w:highlight w:val="none"/>
        </w:rPr>
        <w:t>）：</w:t>
      </w:r>
    </w:p>
    <w:p>
      <w:pPr>
        <w:keepNext w:val="0"/>
        <w:keepLines w:val="0"/>
        <w:pageBreakBefore w:val="0"/>
        <w:kinsoku/>
        <w:wordWrap/>
        <w:overflowPunct/>
        <w:topLinePunct w:val="0"/>
        <w:autoSpaceDE/>
        <w:autoSpaceDN/>
        <w:bidi w:val="0"/>
        <w:adjustRightInd/>
        <w:snapToGrid w:val="0"/>
        <w:spacing w:line="440" w:lineRule="exact"/>
        <w:ind w:firstLine="3824" w:firstLineChars="1821"/>
        <w:textAlignment w:val="auto"/>
        <w:rPr>
          <w:rFonts w:ascii="宋体" w:hAnsi="宋体" w:cs="宋体"/>
          <w:color w:val="auto"/>
          <w:sz w:val="24"/>
          <w:szCs w:val="24"/>
          <w:highlight w:val="none"/>
        </w:rPr>
      </w:pPr>
      <w:r>
        <w:rPr>
          <w:rFonts w:hint="eastAsia" w:ascii="宋体" w:hAnsi="宋体" w:cs="宋体"/>
          <w:color w:val="auto"/>
          <w:highlight w:val="none"/>
        </w:rPr>
        <w:t>年   月   日</w:t>
      </w:r>
    </w:p>
    <w:p>
      <w:pPr>
        <w:spacing w:line="360" w:lineRule="auto"/>
        <w:ind w:firstLine="5092" w:firstLineChars="2122"/>
        <w:jc w:val="left"/>
        <w:rPr>
          <w:rFonts w:ascii="宋体" w:hAnsi="宋体" w:cs="宋体"/>
          <w:color w:val="auto"/>
          <w:sz w:val="24"/>
          <w:highlight w:val="none"/>
        </w:rPr>
      </w:pPr>
    </w:p>
    <w:p>
      <w:pPr>
        <w:spacing w:line="360" w:lineRule="auto"/>
        <w:ind w:firstLine="5092" w:firstLineChars="2122"/>
        <w:jc w:val="left"/>
        <w:rPr>
          <w:rFonts w:ascii="宋体" w:hAnsi="宋体" w:cs="宋体"/>
          <w:color w:val="auto"/>
          <w:sz w:val="24"/>
          <w:highlight w:val="none"/>
        </w:rPr>
      </w:pPr>
    </w:p>
    <w:p>
      <w:pPr>
        <w:spacing w:before="20" w:line="416" w:lineRule="auto"/>
        <w:ind w:firstLine="118"/>
        <w:outlineLvl w:val="2"/>
        <w:rPr>
          <w:rFonts w:ascii="宋体" w:hAnsi="宋体"/>
          <w:b/>
          <w:bCs/>
          <w:color w:val="auto"/>
          <w:sz w:val="24"/>
          <w:szCs w:val="24"/>
          <w:highlight w:val="none"/>
        </w:rPr>
      </w:pPr>
      <w:bookmarkStart w:id="119" w:name="_Toc132272684"/>
      <w:r>
        <w:rPr>
          <w:rFonts w:hint="eastAsia" w:ascii="宋体" w:hAnsi="宋体"/>
          <w:b/>
          <w:bCs/>
          <w:color w:val="auto"/>
          <w:sz w:val="24"/>
          <w:szCs w:val="24"/>
          <w:highlight w:val="none"/>
        </w:rPr>
        <w:t>格式</w:t>
      </w:r>
      <w:r>
        <w:rPr>
          <w:rFonts w:ascii="宋体" w:hAnsi="宋体"/>
          <w:b/>
          <w:bCs/>
          <w:color w:val="auto"/>
          <w:sz w:val="24"/>
          <w:szCs w:val="24"/>
          <w:highlight w:val="none"/>
        </w:rPr>
        <w:t>9</w:t>
      </w:r>
      <w:r>
        <w:rPr>
          <w:rFonts w:hint="eastAsia" w:ascii="宋体" w:hAnsi="宋体"/>
          <w:b/>
          <w:bCs/>
          <w:color w:val="auto"/>
          <w:sz w:val="24"/>
          <w:szCs w:val="24"/>
          <w:highlight w:val="none"/>
        </w:rPr>
        <w:t>：投标人基本情况表</w:t>
      </w:r>
      <w:bookmarkEnd w:id="119"/>
    </w:p>
    <w:p>
      <w:pPr>
        <w:spacing w:before="20" w:line="415" w:lineRule="auto"/>
        <w:ind w:firstLine="119"/>
        <w:jc w:val="center"/>
        <w:rPr>
          <w:rFonts w:ascii="宋体" w:hAnsi="宋体"/>
          <w:b/>
          <w:bCs/>
          <w:color w:val="auto"/>
          <w:sz w:val="24"/>
          <w:szCs w:val="24"/>
          <w:highlight w:val="none"/>
        </w:rPr>
      </w:pPr>
      <w:bookmarkStart w:id="120" w:name="_Toc132272685"/>
      <w:r>
        <w:rPr>
          <w:rFonts w:ascii="宋体" w:hAnsi="宋体"/>
          <w:b/>
          <w:bCs/>
          <w:color w:val="auto"/>
          <w:sz w:val="24"/>
          <w:szCs w:val="24"/>
          <w:highlight w:val="none"/>
        </w:rPr>
        <w:t>投标人基本情况表</w:t>
      </w:r>
      <w:bookmarkEnd w:id="120"/>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3"/>
        <w:gridCol w:w="1225"/>
        <w:gridCol w:w="699"/>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r>
              <w:rPr>
                <w:rFonts w:ascii="宋体" w:hAnsi="宋体"/>
                <w:color w:val="auto"/>
                <w:sz w:val="18"/>
                <w:szCs w:val="18"/>
                <w:highlight w:val="none"/>
              </w:rPr>
              <w:t>投标人名称</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r>
              <w:rPr>
                <w:rFonts w:ascii="宋体" w:hAnsi="宋体"/>
                <w:color w:val="auto"/>
                <w:sz w:val="18"/>
                <w:szCs w:val="18"/>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r>
              <w:rPr>
                <w:rFonts w:ascii="宋体" w:hAnsi="宋体"/>
                <w:color w:val="auto"/>
                <w:sz w:val="18"/>
                <w:szCs w:val="18"/>
                <w:highlight w:val="none"/>
              </w:rPr>
              <w:t>联系方式</w:t>
            </w:r>
          </w:p>
        </w:tc>
        <w:tc>
          <w:tcPr>
            <w:tcW w:w="122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联系人</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vMerge w:val="continue"/>
            <w:tcBorders>
              <w:top w:val="single" w:color="auto" w:sz="4" w:space="0"/>
              <w:bottom w:val="single" w:color="auto" w:sz="4" w:space="0"/>
              <w:right w:val="single" w:color="auto" w:sz="4" w:space="0"/>
            </w:tcBorders>
            <w:vAlign w:val="center"/>
          </w:tcPr>
          <w:p>
            <w:pPr>
              <w:jc w:val="center"/>
              <w:rPr>
                <w:rFonts w:ascii="宋体" w:hAnsi="宋体"/>
                <w:color w:val="auto"/>
                <w:sz w:val="18"/>
                <w:szCs w:val="18"/>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传真</w:t>
            </w:r>
          </w:p>
        </w:tc>
        <w:tc>
          <w:tcPr>
            <w:tcW w:w="198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法定代表人</w:t>
            </w:r>
          </w:p>
        </w:tc>
        <w:tc>
          <w:tcPr>
            <w:tcW w:w="122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姓名</w:t>
            </w:r>
          </w:p>
        </w:tc>
        <w:tc>
          <w:tcPr>
            <w:tcW w:w="69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r>
              <w:rPr>
                <w:rFonts w:ascii="宋体" w:hAnsi="宋体"/>
                <w:color w:val="auto"/>
                <w:sz w:val="18"/>
                <w:szCs w:val="18"/>
                <w:highlight w:val="none"/>
              </w:rPr>
              <w:t>技术负责人</w:t>
            </w:r>
          </w:p>
        </w:tc>
        <w:tc>
          <w:tcPr>
            <w:tcW w:w="1225"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姓名</w:t>
            </w:r>
          </w:p>
        </w:tc>
        <w:tc>
          <w:tcPr>
            <w:tcW w:w="69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90" w:firstLineChars="50"/>
              <w:jc w:val="center"/>
              <w:rPr>
                <w:rFonts w:ascii="宋体" w:hAnsi="宋体"/>
                <w:color w:val="auto"/>
                <w:sz w:val="18"/>
                <w:szCs w:val="18"/>
                <w:highlight w:val="none"/>
              </w:rPr>
            </w:pPr>
            <w:r>
              <w:rPr>
                <w:rFonts w:ascii="宋体" w:hAnsi="宋体"/>
                <w:color w:val="auto"/>
                <w:sz w:val="18"/>
                <w:szCs w:val="18"/>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90" w:firstLineChars="50"/>
              <w:jc w:val="center"/>
              <w:rPr>
                <w:rFonts w:ascii="宋体" w:hAnsi="宋体"/>
                <w:color w:val="auto"/>
                <w:sz w:val="18"/>
                <w:szCs w:val="18"/>
                <w:highlight w:val="none"/>
              </w:rPr>
            </w:pPr>
            <w:r>
              <w:rPr>
                <w:rFonts w:ascii="宋体" w:hAnsi="宋体"/>
                <w:color w:val="auto"/>
                <w:sz w:val="18"/>
                <w:szCs w:val="18"/>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3629" w:type="dxa"/>
            <w:gridSpan w:val="5"/>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sz w:val="18"/>
                <w:szCs w:val="18"/>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sz w:val="18"/>
                <w:szCs w:val="18"/>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sz w:val="18"/>
                <w:szCs w:val="18"/>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sz w:val="18"/>
                <w:szCs w:val="18"/>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right w:val="single" w:color="auto" w:sz="4" w:space="0"/>
            </w:tcBorders>
            <w:vAlign w:val="center"/>
          </w:tcPr>
          <w:p>
            <w:pPr>
              <w:topLinePunct/>
              <w:spacing w:before="100" w:beforeAutospacing="1" w:after="100" w:afterAutospacing="1" w:line="440" w:lineRule="exact"/>
              <w:ind w:firstLine="180" w:firstLineChars="100"/>
              <w:jc w:val="center"/>
              <w:rPr>
                <w:rFonts w:ascii="宋体" w:hAnsi="宋体"/>
                <w:color w:val="auto"/>
                <w:sz w:val="18"/>
                <w:szCs w:val="18"/>
                <w:highlight w:val="none"/>
              </w:rPr>
            </w:pPr>
            <w:r>
              <w:rPr>
                <w:rFonts w:ascii="宋体" w:hAnsi="宋体"/>
                <w:color w:val="auto"/>
                <w:sz w:val="18"/>
                <w:szCs w:val="18"/>
                <w:highlight w:val="none"/>
              </w:rPr>
              <w:t>经营范围</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323" w:type="dxa"/>
            <w:tcBorders>
              <w:top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323"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sz w:val="18"/>
                <w:szCs w:val="18"/>
                <w:highlight w:val="none"/>
              </w:rPr>
            </w:pPr>
            <w:r>
              <w:rPr>
                <w:rFonts w:ascii="宋体" w:hAnsi="宋体"/>
                <w:color w:val="auto"/>
                <w:sz w:val="18"/>
                <w:szCs w:val="18"/>
                <w:highlight w:val="none"/>
              </w:rPr>
              <w:t>备注</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sz w:val="18"/>
                <w:szCs w:val="18"/>
                <w:highlight w:val="none"/>
              </w:rPr>
            </w:pPr>
          </w:p>
        </w:tc>
      </w:tr>
    </w:tbl>
    <w:p>
      <w:pPr>
        <w:spacing w:line="400" w:lineRule="exact"/>
        <w:ind w:firstLine="420" w:firstLineChars="200"/>
        <w:rPr>
          <w:rFonts w:ascii="宋体" w:hAnsi="宋体"/>
          <w:color w:val="auto"/>
          <w:highlight w:val="none"/>
        </w:rPr>
      </w:pPr>
      <w:r>
        <w:rPr>
          <w:rFonts w:ascii="宋体" w:hAnsi="宋体"/>
          <w:color w:val="auto"/>
          <w:highlight w:val="none"/>
        </w:rPr>
        <w:t>注：投标人应根据投标人须知第3.5项的要求在本表后附相关证明材料</w:t>
      </w:r>
      <w:r>
        <w:rPr>
          <w:rFonts w:hint="eastAsia" w:ascii="宋体" w:hAnsi="宋体"/>
          <w:color w:val="auto"/>
          <w:highlight w:val="none"/>
        </w:rPr>
        <w:t>。</w:t>
      </w: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spacing w:before="20" w:line="416" w:lineRule="auto"/>
        <w:ind w:firstLine="118"/>
        <w:outlineLvl w:val="2"/>
        <w:rPr>
          <w:rFonts w:ascii="宋体" w:hAnsi="宋体"/>
          <w:b/>
          <w:bCs/>
          <w:color w:val="auto"/>
          <w:sz w:val="24"/>
          <w:szCs w:val="24"/>
          <w:highlight w:val="none"/>
        </w:rPr>
      </w:pPr>
      <w:r>
        <w:rPr>
          <w:rFonts w:hint="eastAsia" w:ascii="宋体" w:hAnsi="宋体"/>
          <w:b/>
          <w:bCs/>
          <w:color w:val="auto"/>
          <w:sz w:val="24"/>
          <w:szCs w:val="24"/>
          <w:highlight w:val="none"/>
        </w:rPr>
        <w:t>格式10：企业业绩</w:t>
      </w:r>
    </w:p>
    <w:p>
      <w:pPr>
        <w:pStyle w:val="17"/>
        <w:spacing w:line="360" w:lineRule="auto"/>
        <w:ind w:firstLine="0" w:firstLineChars="0"/>
        <w:jc w:val="center"/>
        <w:rPr>
          <w:rFonts w:ascii="宋体" w:hAnsi="宋体" w:eastAsia="宋体" w:cs="宋体"/>
          <w:b/>
          <w:color w:val="auto"/>
          <w:kern w:val="28"/>
          <w:sz w:val="32"/>
          <w:szCs w:val="21"/>
          <w:highlight w:val="none"/>
        </w:rPr>
      </w:pPr>
      <w:r>
        <w:rPr>
          <w:rFonts w:hint="eastAsia" w:ascii="宋体" w:hAnsi="宋体" w:eastAsia="宋体" w:cs="宋体"/>
          <w:b/>
          <w:color w:val="auto"/>
          <w:kern w:val="28"/>
          <w:sz w:val="32"/>
          <w:szCs w:val="21"/>
          <w:highlight w:val="none"/>
        </w:rPr>
        <w:t>企业业绩</w:t>
      </w:r>
    </w:p>
    <w:tbl>
      <w:tblPr>
        <w:tblStyle w:val="30"/>
        <w:tblpPr w:leftFromText="180" w:rightFromText="180" w:vertAnchor="text" w:horzAnchor="margin" w:tblpXSpec="center" w:tblpY="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592"/>
        <w:gridCol w:w="2293"/>
        <w:gridCol w:w="2166"/>
        <w:gridCol w:w="165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7" w:type="dxa"/>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r>
              <w:rPr>
                <w:rFonts w:hint="eastAsia" w:ascii="宋体" w:hAnsi="宋体"/>
                <w:sz w:val="24"/>
                <w:highlight w:val="none"/>
              </w:rPr>
              <w:t>序号</w:t>
            </w:r>
          </w:p>
        </w:tc>
        <w:tc>
          <w:tcPr>
            <w:tcW w:w="1592" w:type="dxa"/>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r>
              <w:rPr>
                <w:rFonts w:hint="eastAsia" w:ascii="宋体" w:hAnsi="宋体"/>
                <w:sz w:val="24"/>
                <w:highlight w:val="none"/>
              </w:rPr>
              <w:t>项目名称</w:t>
            </w:r>
          </w:p>
        </w:tc>
        <w:tc>
          <w:tcPr>
            <w:tcW w:w="2293" w:type="dxa"/>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r>
              <w:rPr>
                <w:rFonts w:hint="eastAsia" w:ascii="宋体" w:hAnsi="宋体"/>
                <w:sz w:val="24"/>
                <w:highlight w:val="none"/>
              </w:rPr>
              <w:t>工程总投资（万元）</w:t>
            </w:r>
          </w:p>
        </w:tc>
        <w:tc>
          <w:tcPr>
            <w:tcW w:w="2166" w:type="dxa"/>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r>
              <w:rPr>
                <w:rFonts w:hint="eastAsia" w:ascii="宋体" w:hAnsi="宋体"/>
                <w:sz w:val="24"/>
                <w:highlight w:val="none"/>
              </w:rPr>
              <w:t>业绩类型</w:t>
            </w:r>
          </w:p>
        </w:tc>
        <w:tc>
          <w:tcPr>
            <w:tcW w:w="1656" w:type="dxa"/>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r>
              <w:rPr>
                <w:rFonts w:hint="eastAsia" w:ascii="宋体" w:hAnsi="宋体"/>
                <w:sz w:val="24"/>
                <w:highlight w:val="none"/>
              </w:rPr>
              <w:t>备注</w:t>
            </w:r>
          </w:p>
        </w:tc>
        <w:tc>
          <w:tcPr>
            <w:tcW w:w="1349" w:type="dxa"/>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r>
              <w:rPr>
                <w:rFonts w:hint="eastAsia" w:ascii="宋体" w:hAnsi="宋体"/>
                <w:sz w:val="24"/>
                <w:highlight w:val="none"/>
              </w:rPr>
              <w:t>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799"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15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1087"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831"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color w:val="auto"/>
                <w:sz w:val="24"/>
                <w:highlight w:val="none"/>
              </w:rPr>
            </w:pPr>
          </w:p>
        </w:tc>
      </w:tr>
    </w:tbl>
    <w:p>
      <w:pPr>
        <w:rPr>
          <w:rFonts w:ascii="宋体" w:hAnsi="宋体" w:cs="宋体"/>
          <w:b/>
          <w:color w:val="auto"/>
          <w:sz w:val="24"/>
          <w:szCs w:val="24"/>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pStyle w:val="17"/>
        <w:rPr>
          <w:rFonts w:ascii="宋体" w:hAnsi="宋体" w:eastAsia="宋体"/>
          <w:color w:val="auto"/>
          <w:highlight w:val="none"/>
        </w:rPr>
      </w:pPr>
    </w:p>
    <w:p>
      <w:pPr>
        <w:spacing w:before="20" w:line="416" w:lineRule="auto"/>
        <w:ind w:firstLine="118"/>
        <w:outlineLvl w:val="2"/>
        <w:rPr>
          <w:rFonts w:ascii="宋体" w:hAnsi="宋体"/>
          <w:b/>
          <w:bCs/>
          <w:color w:val="auto"/>
          <w:sz w:val="24"/>
          <w:szCs w:val="24"/>
          <w:highlight w:val="none"/>
        </w:rPr>
      </w:pPr>
      <w:r>
        <w:rPr>
          <w:rFonts w:hint="eastAsia" w:ascii="宋体" w:hAnsi="宋体"/>
          <w:b/>
          <w:bCs/>
          <w:color w:val="auto"/>
          <w:sz w:val="24"/>
          <w:szCs w:val="24"/>
          <w:highlight w:val="none"/>
        </w:rPr>
        <w:t>格式1</w:t>
      </w:r>
      <w:r>
        <w:rPr>
          <w:rFonts w:hint="eastAsia" w:ascii="宋体" w:hAnsi="宋体"/>
          <w:b/>
          <w:bCs/>
          <w:color w:val="auto"/>
          <w:sz w:val="24"/>
          <w:szCs w:val="24"/>
          <w:highlight w:val="none"/>
          <w:lang w:val="en-US" w:eastAsia="zh-CN"/>
        </w:rPr>
        <w:t>1</w:t>
      </w:r>
      <w:r>
        <w:rPr>
          <w:rFonts w:hint="eastAsia" w:ascii="宋体" w:hAnsi="宋体"/>
          <w:b/>
          <w:bCs/>
          <w:color w:val="auto"/>
          <w:sz w:val="24"/>
          <w:szCs w:val="24"/>
          <w:highlight w:val="none"/>
        </w:rPr>
        <w:t>：企业</w:t>
      </w:r>
      <w:r>
        <w:rPr>
          <w:rFonts w:hint="eastAsia" w:ascii="宋体" w:hAnsi="宋体"/>
          <w:b/>
          <w:bCs/>
          <w:color w:val="auto"/>
          <w:sz w:val="24"/>
          <w:szCs w:val="24"/>
          <w:highlight w:val="none"/>
          <w:lang w:eastAsia="zh-CN"/>
        </w:rPr>
        <w:t>获奖</w:t>
      </w:r>
      <w:r>
        <w:rPr>
          <w:rFonts w:hint="eastAsia" w:ascii="宋体" w:hAnsi="宋体"/>
          <w:b/>
          <w:bCs/>
          <w:color w:val="auto"/>
          <w:sz w:val="24"/>
          <w:szCs w:val="24"/>
          <w:highlight w:val="none"/>
        </w:rPr>
        <w:t>业绩</w:t>
      </w:r>
    </w:p>
    <w:tbl>
      <w:tblPr>
        <w:tblStyle w:val="30"/>
        <w:tblpPr w:leftFromText="180" w:rightFromText="180" w:vertAnchor="text" w:horzAnchor="margin" w:tblpXSpec="center" w:tblpY="8"/>
        <w:tblW w:w="4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753"/>
        <w:gridCol w:w="2132"/>
        <w:gridCol w:w="2166"/>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r>
              <w:rPr>
                <w:rFonts w:hint="eastAsia" w:ascii="宋体" w:hAnsi="宋体"/>
                <w:sz w:val="24"/>
                <w:highlight w:val="none"/>
              </w:rPr>
              <w:t>序号</w:t>
            </w: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r>
              <w:rPr>
                <w:rFonts w:hint="eastAsia" w:ascii="宋体" w:hAnsi="宋体"/>
                <w:sz w:val="24"/>
                <w:highlight w:val="none"/>
              </w:rPr>
              <w:t>项目名称</w:t>
            </w: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r>
              <w:rPr>
                <w:rFonts w:hint="eastAsia" w:ascii="宋体" w:hAnsi="宋体"/>
                <w:sz w:val="24"/>
                <w:highlight w:val="none"/>
              </w:rPr>
              <w:t>奖项名称</w:t>
            </w:r>
          </w:p>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r>
              <w:rPr>
                <w:rFonts w:hint="eastAsia" w:ascii="宋体" w:hAnsi="宋体"/>
                <w:sz w:val="24"/>
                <w:highlight w:val="none"/>
              </w:rPr>
              <w:t>奖项级别</w:t>
            </w:r>
          </w:p>
          <w:p>
            <w:pPr>
              <w:tabs>
                <w:tab w:val="right" w:pos="1923"/>
              </w:tabs>
              <w:spacing w:line="360" w:lineRule="auto"/>
              <w:jc w:val="center"/>
              <w:rPr>
                <w:rFonts w:ascii="宋体" w:hAnsi="宋体"/>
                <w:sz w:val="24"/>
                <w:highlight w:val="none"/>
              </w:rPr>
            </w:pPr>
            <w:r>
              <w:rPr>
                <w:rFonts w:hint="eastAsia" w:ascii="宋体" w:hAnsi="宋体"/>
                <w:sz w:val="24"/>
                <w:highlight w:val="none"/>
              </w:rPr>
              <w:t>（国家、省级、市级）</w:t>
            </w: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6"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055"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283"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c>
          <w:tcPr>
            <w:tcW w:w="812" w:type="pct"/>
            <w:tcBorders>
              <w:top w:val="single" w:color="auto" w:sz="4" w:space="0"/>
              <w:left w:val="single" w:color="auto" w:sz="4" w:space="0"/>
              <w:bottom w:val="single" w:color="auto" w:sz="4" w:space="0"/>
              <w:right w:val="single" w:color="auto" w:sz="4" w:space="0"/>
            </w:tcBorders>
            <w:vAlign w:val="center"/>
          </w:tcPr>
          <w:p>
            <w:pPr>
              <w:tabs>
                <w:tab w:val="right" w:pos="1923"/>
              </w:tabs>
              <w:spacing w:line="360" w:lineRule="auto"/>
              <w:jc w:val="center"/>
              <w:rPr>
                <w:rFonts w:ascii="宋体" w:hAnsi="宋体"/>
                <w:sz w:val="24"/>
                <w:highlight w:val="none"/>
              </w:rPr>
            </w:pPr>
          </w:p>
        </w:tc>
      </w:tr>
    </w:tbl>
    <w:p>
      <w:pPr>
        <w:pStyle w:val="17"/>
        <w:rPr>
          <w:rFonts w:ascii="宋体" w:hAnsi="宋体" w:eastAsia="宋体"/>
          <w:color w:val="auto"/>
          <w:highlight w:val="none"/>
        </w:rPr>
      </w:pPr>
    </w:p>
    <w:p>
      <w:pPr>
        <w:pStyle w:val="17"/>
        <w:rPr>
          <w:rFonts w:ascii="宋体" w:hAnsi="宋体" w:eastAsia="宋体"/>
          <w:color w:val="auto"/>
          <w:highlight w:val="none"/>
        </w:rPr>
      </w:pPr>
    </w:p>
    <w:p>
      <w:pPr>
        <w:pStyle w:val="17"/>
        <w:spacing w:line="276" w:lineRule="auto"/>
        <w:ind w:firstLine="0" w:firstLineChars="0"/>
        <w:rPr>
          <w:rFonts w:ascii="宋体" w:hAnsi="宋体" w:eastAsia="宋体"/>
          <w:color w:val="auto"/>
          <w:highlight w:val="none"/>
        </w:rPr>
      </w:pPr>
    </w:p>
    <w:sectPr>
      <w:headerReference r:id="rId17" w:type="first"/>
      <w:headerReference r:id="rId15" w:type="default"/>
      <w:headerReference r:id="rId16" w:type="even"/>
      <w:footerReference r:id="rId18" w:type="even"/>
      <w:type w:val="continuous"/>
      <w:pgSz w:w="11907" w:h="16840"/>
      <w:pgMar w:top="1440" w:right="1080" w:bottom="1440" w:left="1080" w:header="709"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简体">
    <w:altName w:val="宋体"/>
    <w:panose1 w:val="00000000000000000000"/>
    <w:charset w:val="00"/>
    <w:family w:val="auto"/>
    <w:pitch w:val="default"/>
    <w:sig w:usb0="00000000" w:usb1="00000000" w:usb2="00000000"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pPr>
                            <w:pStyle w:val="20"/>
                            <w:jc w:val="center"/>
                          </w:pPr>
                          <w:r>
                            <w:fldChar w:fldCharType="begin"/>
                          </w:r>
                          <w:r>
                            <w:instrText xml:space="preserve"> PAGE   \* MERGEFORMAT </w:instrText>
                          </w:r>
                          <w:r>
                            <w:fldChar w:fldCharType="separate"/>
                          </w:r>
                          <w:r>
                            <w:rPr>
                              <w:lang w:val="zh-CN"/>
                            </w:rPr>
                            <w:t>33</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CFNiE0PAgAAEgQAAA4AAAAAAAAAAQAgAAAA&#10;HwEAAGRycy9lMm9Eb2MueG1sUEsFBgAAAAAGAAYAWQEAAKAFAAAAAA==&#10;">
              <v:fill on="f" focussize="0,0"/>
              <v:stroke on="f"/>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33</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136682075"/>
                          </w:sdtPr>
                          <w:sdtContent>
                            <w:p>
                              <w:pPr>
                                <w:pStyle w:val="20"/>
                                <w:jc w:val="center"/>
                              </w:pPr>
                              <w:r>
                                <w:fldChar w:fldCharType="begin"/>
                              </w:r>
                              <w:r>
                                <w:instrText xml:space="preserve">PAGE   \* MERGEFORMAT</w:instrText>
                              </w:r>
                              <w:r>
                                <w:fldChar w:fldCharType="separate"/>
                              </w:r>
                              <w:r>
                                <w:rPr>
                                  <w:lang w:val="zh-CN"/>
                                </w:rPr>
                                <w:t>31</w:t>
                              </w:r>
                              <w:r>
                                <w:rPr>
                                  <w:lang w:val="zh-CN"/>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sdt>
                    <w:sdtPr>
                      <w:id w:val="2136682075"/>
                    </w:sdtPr>
                    <w:sdtContent>
                      <w:p>
                        <w:pPr>
                          <w:pStyle w:val="20"/>
                          <w:jc w:val="center"/>
                        </w:pPr>
                        <w:r>
                          <w:fldChar w:fldCharType="begin"/>
                        </w:r>
                        <w:r>
                          <w:instrText xml:space="preserve">PAGE   \* MERGEFORMAT</w:instrText>
                        </w:r>
                        <w:r>
                          <w:fldChar w:fldCharType="separate"/>
                        </w:r>
                        <w:r>
                          <w:rPr>
                            <w:lang w:val="zh-CN"/>
                          </w:rPr>
                          <w:t>31</w:t>
                        </w:r>
                        <w:r>
                          <w:rPr>
                            <w:lang w:val="zh-CN"/>
                          </w:rPr>
                          <w:fldChar w:fldCharType="end"/>
                        </w:r>
                      </w:p>
                    </w:sdtContent>
                  </w:sdt>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fldChar w:fldCharType="begin"/>
    </w:r>
    <w:r>
      <w:rPr>
        <w:rStyle w:val="32"/>
      </w:rPr>
      <w:instrText xml:space="preserve">PAGE  </w:instrText>
    </w:r>
    <w:r>
      <w:fldChar w:fldCharType="separate"/>
    </w:r>
    <w:r>
      <w:rPr>
        <w:rStyle w:val="32"/>
      </w:rPr>
      <w:t>63</w:t>
    </w:r>
    <w:r>
      <w:fldChar w:fldCharType="end"/>
    </w:r>
  </w:p>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fldChar w:fldCharType="begin"/>
    </w:r>
    <w:r>
      <w:rPr>
        <w:rStyle w:val="32"/>
      </w:rPr>
      <w:instrText xml:space="preserve">PAGE  </w:instrText>
    </w:r>
    <w:r>
      <w:fldChar w:fldCharType="separate"/>
    </w:r>
    <w:r>
      <w:rPr>
        <w:rStyle w:val="32"/>
      </w:rPr>
      <w:t>63</w:t>
    </w:r>
    <w:r>
      <w:fldChar w:fldCharType="end"/>
    </w:r>
  </w:p>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0329627"/>
    </w:sdtPr>
    <w:sdtContent>
      <w:p>
        <w:pPr>
          <w:pStyle w:val="20"/>
          <w:jc w:val="center"/>
        </w:pPr>
        <w:r>
          <w:fldChar w:fldCharType="begin"/>
        </w:r>
        <w:r>
          <w:instrText xml:space="preserve">PAGE   \* MERGEFORMAT</w:instrText>
        </w:r>
        <w:r>
          <w:fldChar w:fldCharType="separate"/>
        </w:r>
        <w:r>
          <w:rPr>
            <w:lang w:val="zh-CN"/>
          </w:rPr>
          <w:t>36</w:t>
        </w:r>
        <w:r>
          <w:rPr>
            <w:lang w:val="zh-C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2"/>
      </w:rPr>
    </w:pPr>
    <w:r>
      <w:fldChar w:fldCharType="begin"/>
    </w:r>
    <w:r>
      <w:rPr>
        <w:rStyle w:val="32"/>
      </w:rPr>
      <w:instrText xml:space="preserve">PAGE  </w:instrText>
    </w:r>
    <w:r>
      <w:fldChar w:fldCharType="end"/>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E0399"/>
    <w:multiLevelType w:val="singleLevel"/>
    <w:tmpl w:val="B9AE0399"/>
    <w:lvl w:ilvl="0" w:tentative="0">
      <w:start w:val="1"/>
      <w:numFmt w:val="chineseCounting"/>
      <w:suff w:val="nothing"/>
      <w:lvlText w:val="（%1）"/>
      <w:lvlJc w:val="left"/>
      <w:rPr>
        <w:rFonts w:hint="eastAsia"/>
      </w:rPr>
    </w:lvl>
  </w:abstractNum>
  <w:abstractNum w:abstractNumId="1">
    <w:nsid w:val="E319A155"/>
    <w:multiLevelType w:val="singleLevel"/>
    <w:tmpl w:val="E319A155"/>
    <w:lvl w:ilvl="0" w:tentative="0">
      <w:start w:val="1"/>
      <w:numFmt w:val="chineseCounting"/>
      <w:suff w:val="nothing"/>
      <w:lvlText w:val="（%1）"/>
      <w:lvlJc w:val="left"/>
      <w:pPr>
        <w:ind w:left="0" w:firstLine="420"/>
      </w:pPr>
      <w:rPr>
        <w:rFonts w:hint="eastAsia"/>
      </w:rPr>
    </w:lvl>
  </w:abstractNum>
  <w:abstractNum w:abstractNumId="2">
    <w:nsid w:val="5CD56294"/>
    <w:multiLevelType w:val="singleLevel"/>
    <w:tmpl w:val="5CD56294"/>
    <w:lvl w:ilvl="0" w:tentative="0">
      <w:start w:val="1"/>
      <w:numFmt w:val="decimal"/>
      <w:lvlText w:val="%1."/>
      <w:lvlJc w:val="left"/>
      <w:pPr>
        <w:tabs>
          <w:tab w:val="left" w:pos="312"/>
        </w:tabs>
      </w:pPr>
    </w:lvl>
  </w:abstractNum>
  <w:abstractNum w:abstractNumId="3">
    <w:nsid w:val="5CEBA55F"/>
    <w:multiLevelType w:val="singleLevel"/>
    <w:tmpl w:val="5CEBA55F"/>
    <w:lvl w:ilvl="0" w:tentative="0">
      <w:start w:val="4"/>
      <w:numFmt w:val="chineseCounting"/>
      <w:suff w:val="space"/>
      <w:lvlText w:val="第%1章"/>
      <w:lvlJc w:val="left"/>
    </w:lvl>
  </w:abstractNum>
  <w:abstractNum w:abstractNumId="4">
    <w:nsid w:val="5D06FC10"/>
    <w:multiLevelType w:val="singleLevel"/>
    <w:tmpl w:val="5D06FC10"/>
    <w:lvl w:ilvl="0" w:tentative="0">
      <w:start w:val="1"/>
      <w:numFmt w:val="decimal"/>
      <w:suff w:val="nothing"/>
      <w:lvlText w:val="%1."/>
      <w:lvlJc w:val="left"/>
    </w:lvl>
  </w:abstractNum>
  <w:abstractNum w:abstractNumId="5">
    <w:nsid w:val="6DC33FAC"/>
    <w:multiLevelType w:val="singleLevel"/>
    <w:tmpl w:val="6DC33FAC"/>
    <w:lvl w:ilvl="0" w:tentative="0">
      <w:start w:val="3"/>
      <w:numFmt w:val="chineseCounting"/>
      <w:suff w:val="nothing"/>
      <w:lvlText w:val="%1、"/>
      <w:lvlJc w:val="left"/>
      <w:rPr>
        <w:rFonts w:hint="eastAsia"/>
      </w:rPr>
    </w:lvl>
  </w:abstractNum>
  <w:abstractNum w:abstractNumId="6">
    <w:nsid w:val="7A759B1F"/>
    <w:multiLevelType w:val="singleLevel"/>
    <w:tmpl w:val="7A759B1F"/>
    <w:lvl w:ilvl="0" w:tentative="0">
      <w:start w:val="1"/>
      <w:numFmt w:val="decimal"/>
      <w:lvlText w:val="%1."/>
      <w:lvlJc w:val="left"/>
      <w:pPr>
        <w:tabs>
          <w:tab w:val="left" w:pos="312"/>
        </w:tabs>
      </w:p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MTcwOTkyNzZkOTYxZTExMGVkMjQ2NDg3YmU4NWUifQ=="/>
  </w:docVars>
  <w:rsids>
    <w:rsidRoot w:val="00172A27"/>
    <w:rsid w:val="00000FBC"/>
    <w:rsid w:val="00012DFE"/>
    <w:rsid w:val="000134AF"/>
    <w:rsid w:val="000137A7"/>
    <w:rsid w:val="000246FF"/>
    <w:rsid w:val="00031F4B"/>
    <w:rsid w:val="00034246"/>
    <w:rsid w:val="000357F1"/>
    <w:rsid w:val="000416C3"/>
    <w:rsid w:val="000467B1"/>
    <w:rsid w:val="000555C4"/>
    <w:rsid w:val="00056558"/>
    <w:rsid w:val="00066F94"/>
    <w:rsid w:val="00076C2B"/>
    <w:rsid w:val="00077DF4"/>
    <w:rsid w:val="000805B5"/>
    <w:rsid w:val="00085699"/>
    <w:rsid w:val="000872F4"/>
    <w:rsid w:val="0008777C"/>
    <w:rsid w:val="000A1940"/>
    <w:rsid w:val="000A6012"/>
    <w:rsid w:val="000B3A6A"/>
    <w:rsid w:val="000B75D9"/>
    <w:rsid w:val="000C1712"/>
    <w:rsid w:val="000C34EE"/>
    <w:rsid w:val="000C6420"/>
    <w:rsid w:val="000D743E"/>
    <w:rsid w:val="000E025C"/>
    <w:rsid w:val="000E28D5"/>
    <w:rsid w:val="000F2D50"/>
    <w:rsid w:val="000F5C3C"/>
    <w:rsid w:val="00105484"/>
    <w:rsid w:val="00105A03"/>
    <w:rsid w:val="001169AB"/>
    <w:rsid w:val="00132E00"/>
    <w:rsid w:val="001474BC"/>
    <w:rsid w:val="00151083"/>
    <w:rsid w:val="001520F6"/>
    <w:rsid w:val="00152A88"/>
    <w:rsid w:val="001543B6"/>
    <w:rsid w:val="00155CCB"/>
    <w:rsid w:val="00157FEB"/>
    <w:rsid w:val="00172A27"/>
    <w:rsid w:val="00172CE8"/>
    <w:rsid w:val="00173F06"/>
    <w:rsid w:val="001767DF"/>
    <w:rsid w:val="0018014C"/>
    <w:rsid w:val="00180E63"/>
    <w:rsid w:val="0018233C"/>
    <w:rsid w:val="00192B3C"/>
    <w:rsid w:val="001B4F22"/>
    <w:rsid w:val="001C6E97"/>
    <w:rsid w:val="001D0157"/>
    <w:rsid w:val="001D15AE"/>
    <w:rsid w:val="001E305D"/>
    <w:rsid w:val="001E6DA9"/>
    <w:rsid w:val="001F0201"/>
    <w:rsid w:val="001F472A"/>
    <w:rsid w:val="001F7DCB"/>
    <w:rsid w:val="00213611"/>
    <w:rsid w:val="002215DE"/>
    <w:rsid w:val="00223A72"/>
    <w:rsid w:val="002352A1"/>
    <w:rsid w:val="00236240"/>
    <w:rsid w:val="0023748B"/>
    <w:rsid w:val="0024110F"/>
    <w:rsid w:val="002439E2"/>
    <w:rsid w:val="00256F32"/>
    <w:rsid w:val="0027459C"/>
    <w:rsid w:val="00282034"/>
    <w:rsid w:val="002A0D32"/>
    <w:rsid w:val="002A3F38"/>
    <w:rsid w:val="002B5B64"/>
    <w:rsid w:val="002C7A6D"/>
    <w:rsid w:val="002D1CDA"/>
    <w:rsid w:val="002D2B73"/>
    <w:rsid w:val="002D3D90"/>
    <w:rsid w:val="002D5F06"/>
    <w:rsid w:val="002D7274"/>
    <w:rsid w:val="002E54D1"/>
    <w:rsid w:val="002F16CF"/>
    <w:rsid w:val="002F1977"/>
    <w:rsid w:val="00303DEB"/>
    <w:rsid w:val="003054B6"/>
    <w:rsid w:val="00313FA2"/>
    <w:rsid w:val="00321689"/>
    <w:rsid w:val="003231EE"/>
    <w:rsid w:val="00331E91"/>
    <w:rsid w:val="00345242"/>
    <w:rsid w:val="003706D6"/>
    <w:rsid w:val="003721F8"/>
    <w:rsid w:val="00375168"/>
    <w:rsid w:val="00376E3C"/>
    <w:rsid w:val="0039092F"/>
    <w:rsid w:val="003A7619"/>
    <w:rsid w:val="003B3CA2"/>
    <w:rsid w:val="003B524E"/>
    <w:rsid w:val="003B5268"/>
    <w:rsid w:val="003C0591"/>
    <w:rsid w:val="003C0A56"/>
    <w:rsid w:val="003C1770"/>
    <w:rsid w:val="003C7734"/>
    <w:rsid w:val="003C7D53"/>
    <w:rsid w:val="003E0C40"/>
    <w:rsid w:val="003F32F9"/>
    <w:rsid w:val="003F64F7"/>
    <w:rsid w:val="004118E4"/>
    <w:rsid w:val="004134C8"/>
    <w:rsid w:val="00416FA3"/>
    <w:rsid w:val="00417581"/>
    <w:rsid w:val="004253CA"/>
    <w:rsid w:val="004308D1"/>
    <w:rsid w:val="004371BB"/>
    <w:rsid w:val="004470DB"/>
    <w:rsid w:val="004522FA"/>
    <w:rsid w:val="00452BCD"/>
    <w:rsid w:val="00455450"/>
    <w:rsid w:val="0046479B"/>
    <w:rsid w:val="0046632D"/>
    <w:rsid w:val="004714B9"/>
    <w:rsid w:val="004843A1"/>
    <w:rsid w:val="00486175"/>
    <w:rsid w:val="00487424"/>
    <w:rsid w:val="00495484"/>
    <w:rsid w:val="00497F58"/>
    <w:rsid w:val="004A2065"/>
    <w:rsid w:val="004A49E5"/>
    <w:rsid w:val="004A697F"/>
    <w:rsid w:val="004A75C1"/>
    <w:rsid w:val="004B1221"/>
    <w:rsid w:val="004D10BF"/>
    <w:rsid w:val="004D21B0"/>
    <w:rsid w:val="004D3D27"/>
    <w:rsid w:val="004E181A"/>
    <w:rsid w:val="004E73C1"/>
    <w:rsid w:val="004F7F1E"/>
    <w:rsid w:val="00504C71"/>
    <w:rsid w:val="0051170E"/>
    <w:rsid w:val="00513445"/>
    <w:rsid w:val="005141CE"/>
    <w:rsid w:val="005225B2"/>
    <w:rsid w:val="00523C0B"/>
    <w:rsid w:val="0052719A"/>
    <w:rsid w:val="0053473B"/>
    <w:rsid w:val="0055300E"/>
    <w:rsid w:val="005534A7"/>
    <w:rsid w:val="005568B8"/>
    <w:rsid w:val="00577514"/>
    <w:rsid w:val="00580037"/>
    <w:rsid w:val="005839D5"/>
    <w:rsid w:val="00591B74"/>
    <w:rsid w:val="005B23AA"/>
    <w:rsid w:val="005B5C35"/>
    <w:rsid w:val="005B7F70"/>
    <w:rsid w:val="005C162C"/>
    <w:rsid w:val="005C2813"/>
    <w:rsid w:val="005C7928"/>
    <w:rsid w:val="005E2856"/>
    <w:rsid w:val="005E710F"/>
    <w:rsid w:val="005F07BB"/>
    <w:rsid w:val="005F0CE8"/>
    <w:rsid w:val="005F7C89"/>
    <w:rsid w:val="00630424"/>
    <w:rsid w:val="0065089C"/>
    <w:rsid w:val="006518DF"/>
    <w:rsid w:val="00656F2D"/>
    <w:rsid w:val="0066508E"/>
    <w:rsid w:val="00665173"/>
    <w:rsid w:val="006656C1"/>
    <w:rsid w:val="0066774B"/>
    <w:rsid w:val="00670FAE"/>
    <w:rsid w:val="0067661D"/>
    <w:rsid w:val="00676E3D"/>
    <w:rsid w:val="00680FD6"/>
    <w:rsid w:val="006913C9"/>
    <w:rsid w:val="006A21A1"/>
    <w:rsid w:val="006A5122"/>
    <w:rsid w:val="006A7C4D"/>
    <w:rsid w:val="006B6F9B"/>
    <w:rsid w:val="006B724D"/>
    <w:rsid w:val="006C0EBC"/>
    <w:rsid w:val="006C3DEA"/>
    <w:rsid w:val="006C4AD4"/>
    <w:rsid w:val="006F3316"/>
    <w:rsid w:val="006F541C"/>
    <w:rsid w:val="006F6220"/>
    <w:rsid w:val="007048E6"/>
    <w:rsid w:val="0071003F"/>
    <w:rsid w:val="007267F9"/>
    <w:rsid w:val="00733182"/>
    <w:rsid w:val="0073545E"/>
    <w:rsid w:val="00741D50"/>
    <w:rsid w:val="00745624"/>
    <w:rsid w:val="00746590"/>
    <w:rsid w:val="00746A85"/>
    <w:rsid w:val="00752881"/>
    <w:rsid w:val="007528DD"/>
    <w:rsid w:val="007779B4"/>
    <w:rsid w:val="007801EA"/>
    <w:rsid w:val="007945B0"/>
    <w:rsid w:val="007976AC"/>
    <w:rsid w:val="007A5671"/>
    <w:rsid w:val="007A6E0D"/>
    <w:rsid w:val="007A7CB8"/>
    <w:rsid w:val="007B0164"/>
    <w:rsid w:val="007B5E32"/>
    <w:rsid w:val="007C0A57"/>
    <w:rsid w:val="007C10C6"/>
    <w:rsid w:val="007C276A"/>
    <w:rsid w:val="007C2902"/>
    <w:rsid w:val="007C38F7"/>
    <w:rsid w:val="007D026E"/>
    <w:rsid w:val="007D1C2C"/>
    <w:rsid w:val="007D51C3"/>
    <w:rsid w:val="007E3721"/>
    <w:rsid w:val="007E6CAD"/>
    <w:rsid w:val="007F641F"/>
    <w:rsid w:val="00810EAD"/>
    <w:rsid w:val="00813B34"/>
    <w:rsid w:val="008160D3"/>
    <w:rsid w:val="008179D5"/>
    <w:rsid w:val="0082112C"/>
    <w:rsid w:val="0082301D"/>
    <w:rsid w:val="00827491"/>
    <w:rsid w:val="00827E0D"/>
    <w:rsid w:val="00833EDF"/>
    <w:rsid w:val="00837226"/>
    <w:rsid w:val="00840F23"/>
    <w:rsid w:val="008423F6"/>
    <w:rsid w:val="0084553B"/>
    <w:rsid w:val="00845C19"/>
    <w:rsid w:val="008543AE"/>
    <w:rsid w:val="00855AD3"/>
    <w:rsid w:val="00856233"/>
    <w:rsid w:val="008577CD"/>
    <w:rsid w:val="00863166"/>
    <w:rsid w:val="00871AC9"/>
    <w:rsid w:val="00875B47"/>
    <w:rsid w:val="00877E18"/>
    <w:rsid w:val="00895BFB"/>
    <w:rsid w:val="00896424"/>
    <w:rsid w:val="008A1FF5"/>
    <w:rsid w:val="008A6758"/>
    <w:rsid w:val="008B26D4"/>
    <w:rsid w:val="008B4F93"/>
    <w:rsid w:val="008C052A"/>
    <w:rsid w:val="008C4676"/>
    <w:rsid w:val="008D0785"/>
    <w:rsid w:val="008D4C00"/>
    <w:rsid w:val="008D6279"/>
    <w:rsid w:val="008D6FCA"/>
    <w:rsid w:val="008F47C8"/>
    <w:rsid w:val="008F5BA9"/>
    <w:rsid w:val="00907E92"/>
    <w:rsid w:val="009124D5"/>
    <w:rsid w:val="0091365E"/>
    <w:rsid w:val="00913F0D"/>
    <w:rsid w:val="009159C1"/>
    <w:rsid w:val="0094230D"/>
    <w:rsid w:val="00942C29"/>
    <w:rsid w:val="0094492C"/>
    <w:rsid w:val="009512CA"/>
    <w:rsid w:val="00952FF0"/>
    <w:rsid w:val="00953731"/>
    <w:rsid w:val="00963CC6"/>
    <w:rsid w:val="00965C37"/>
    <w:rsid w:val="009724D1"/>
    <w:rsid w:val="00981952"/>
    <w:rsid w:val="00982D96"/>
    <w:rsid w:val="00983A8D"/>
    <w:rsid w:val="009969C5"/>
    <w:rsid w:val="009A78C4"/>
    <w:rsid w:val="009C2455"/>
    <w:rsid w:val="009C57DC"/>
    <w:rsid w:val="009D46E1"/>
    <w:rsid w:val="009D6D41"/>
    <w:rsid w:val="009D7456"/>
    <w:rsid w:val="009E2324"/>
    <w:rsid w:val="009E3007"/>
    <w:rsid w:val="009E705D"/>
    <w:rsid w:val="009F2375"/>
    <w:rsid w:val="009F7D09"/>
    <w:rsid w:val="00A00E15"/>
    <w:rsid w:val="00A02E0B"/>
    <w:rsid w:val="00A06694"/>
    <w:rsid w:val="00A115DE"/>
    <w:rsid w:val="00A17B8D"/>
    <w:rsid w:val="00A25E15"/>
    <w:rsid w:val="00A30359"/>
    <w:rsid w:val="00A45AA0"/>
    <w:rsid w:val="00A52F90"/>
    <w:rsid w:val="00A53188"/>
    <w:rsid w:val="00A612FF"/>
    <w:rsid w:val="00A66761"/>
    <w:rsid w:val="00A70336"/>
    <w:rsid w:val="00A83048"/>
    <w:rsid w:val="00A8473E"/>
    <w:rsid w:val="00A84A80"/>
    <w:rsid w:val="00A90A13"/>
    <w:rsid w:val="00A964A6"/>
    <w:rsid w:val="00AA1567"/>
    <w:rsid w:val="00AA1B98"/>
    <w:rsid w:val="00AB00EE"/>
    <w:rsid w:val="00AB5C5D"/>
    <w:rsid w:val="00AB69A6"/>
    <w:rsid w:val="00AC2574"/>
    <w:rsid w:val="00AC5B76"/>
    <w:rsid w:val="00AD022B"/>
    <w:rsid w:val="00AD151C"/>
    <w:rsid w:val="00AE1B8B"/>
    <w:rsid w:val="00AE5D9A"/>
    <w:rsid w:val="00AF38B2"/>
    <w:rsid w:val="00AF7589"/>
    <w:rsid w:val="00B1441B"/>
    <w:rsid w:val="00B15B3D"/>
    <w:rsid w:val="00B21582"/>
    <w:rsid w:val="00B2172B"/>
    <w:rsid w:val="00B279BC"/>
    <w:rsid w:val="00B3033E"/>
    <w:rsid w:val="00B3156E"/>
    <w:rsid w:val="00B33081"/>
    <w:rsid w:val="00B41088"/>
    <w:rsid w:val="00B46788"/>
    <w:rsid w:val="00B4689B"/>
    <w:rsid w:val="00B5087A"/>
    <w:rsid w:val="00B5422D"/>
    <w:rsid w:val="00B57302"/>
    <w:rsid w:val="00B6087D"/>
    <w:rsid w:val="00B67641"/>
    <w:rsid w:val="00B8376D"/>
    <w:rsid w:val="00B916F2"/>
    <w:rsid w:val="00BA7486"/>
    <w:rsid w:val="00BC1349"/>
    <w:rsid w:val="00BC264A"/>
    <w:rsid w:val="00BC3F21"/>
    <w:rsid w:val="00BC5EBA"/>
    <w:rsid w:val="00BC6F4C"/>
    <w:rsid w:val="00BC7001"/>
    <w:rsid w:val="00BD5A21"/>
    <w:rsid w:val="00BE026E"/>
    <w:rsid w:val="00BE1056"/>
    <w:rsid w:val="00C00705"/>
    <w:rsid w:val="00C059B1"/>
    <w:rsid w:val="00C06A04"/>
    <w:rsid w:val="00C12AC8"/>
    <w:rsid w:val="00C14E88"/>
    <w:rsid w:val="00C23570"/>
    <w:rsid w:val="00C25114"/>
    <w:rsid w:val="00C25B88"/>
    <w:rsid w:val="00C27F74"/>
    <w:rsid w:val="00C34F4A"/>
    <w:rsid w:val="00C55349"/>
    <w:rsid w:val="00C554C4"/>
    <w:rsid w:val="00C55FE7"/>
    <w:rsid w:val="00C56097"/>
    <w:rsid w:val="00C575BB"/>
    <w:rsid w:val="00C610FD"/>
    <w:rsid w:val="00C74209"/>
    <w:rsid w:val="00C87F33"/>
    <w:rsid w:val="00C87FE2"/>
    <w:rsid w:val="00C93224"/>
    <w:rsid w:val="00CA1E0B"/>
    <w:rsid w:val="00CA4754"/>
    <w:rsid w:val="00CA525E"/>
    <w:rsid w:val="00CA645B"/>
    <w:rsid w:val="00CA7681"/>
    <w:rsid w:val="00CB40D5"/>
    <w:rsid w:val="00CB4535"/>
    <w:rsid w:val="00CC0C6D"/>
    <w:rsid w:val="00CD00D6"/>
    <w:rsid w:val="00CD2C5E"/>
    <w:rsid w:val="00CD73CA"/>
    <w:rsid w:val="00CE0E0D"/>
    <w:rsid w:val="00CE7684"/>
    <w:rsid w:val="00CF676D"/>
    <w:rsid w:val="00CF6C6F"/>
    <w:rsid w:val="00D12C27"/>
    <w:rsid w:val="00D14E67"/>
    <w:rsid w:val="00D25348"/>
    <w:rsid w:val="00D25880"/>
    <w:rsid w:val="00D30C07"/>
    <w:rsid w:val="00D31D56"/>
    <w:rsid w:val="00D34610"/>
    <w:rsid w:val="00D37874"/>
    <w:rsid w:val="00D37F13"/>
    <w:rsid w:val="00D5330B"/>
    <w:rsid w:val="00D60118"/>
    <w:rsid w:val="00D62342"/>
    <w:rsid w:val="00D65C86"/>
    <w:rsid w:val="00D70FC0"/>
    <w:rsid w:val="00DB055D"/>
    <w:rsid w:val="00DB1A98"/>
    <w:rsid w:val="00DE0C62"/>
    <w:rsid w:val="00DF0137"/>
    <w:rsid w:val="00E01BC0"/>
    <w:rsid w:val="00E04116"/>
    <w:rsid w:val="00E05323"/>
    <w:rsid w:val="00E06B3C"/>
    <w:rsid w:val="00E078D1"/>
    <w:rsid w:val="00E12582"/>
    <w:rsid w:val="00E149A2"/>
    <w:rsid w:val="00E17722"/>
    <w:rsid w:val="00E20462"/>
    <w:rsid w:val="00E231FD"/>
    <w:rsid w:val="00E24829"/>
    <w:rsid w:val="00E2729E"/>
    <w:rsid w:val="00E27F5E"/>
    <w:rsid w:val="00E33F2C"/>
    <w:rsid w:val="00E351BD"/>
    <w:rsid w:val="00E358E8"/>
    <w:rsid w:val="00E4218B"/>
    <w:rsid w:val="00E42E30"/>
    <w:rsid w:val="00E50911"/>
    <w:rsid w:val="00E55C76"/>
    <w:rsid w:val="00E57E47"/>
    <w:rsid w:val="00E73EFC"/>
    <w:rsid w:val="00E74A08"/>
    <w:rsid w:val="00E814DA"/>
    <w:rsid w:val="00E83ADA"/>
    <w:rsid w:val="00E91488"/>
    <w:rsid w:val="00E9307A"/>
    <w:rsid w:val="00E96628"/>
    <w:rsid w:val="00EA20F2"/>
    <w:rsid w:val="00EA39AB"/>
    <w:rsid w:val="00EB1957"/>
    <w:rsid w:val="00EB257D"/>
    <w:rsid w:val="00EC0679"/>
    <w:rsid w:val="00EC3E43"/>
    <w:rsid w:val="00ED7FDD"/>
    <w:rsid w:val="00EE03BA"/>
    <w:rsid w:val="00EE15C7"/>
    <w:rsid w:val="00EE5FCD"/>
    <w:rsid w:val="00EE76BE"/>
    <w:rsid w:val="00F03C3D"/>
    <w:rsid w:val="00F03D93"/>
    <w:rsid w:val="00F129AA"/>
    <w:rsid w:val="00F14FFE"/>
    <w:rsid w:val="00F24DDB"/>
    <w:rsid w:val="00F3080E"/>
    <w:rsid w:val="00F44593"/>
    <w:rsid w:val="00F44C4E"/>
    <w:rsid w:val="00F50E3F"/>
    <w:rsid w:val="00F57E47"/>
    <w:rsid w:val="00F63C6A"/>
    <w:rsid w:val="00F7686C"/>
    <w:rsid w:val="00F76F72"/>
    <w:rsid w:val="00F803B0"/>
    <w:rsid w:val="00F87F66"/>
    <w:rsid w:val="00F929C3"/>
    <w:rsid w:val="00F96D96"/>
    <w:rsid w:val="00FA3423"/>
    <w:rsid w:val="00FC25CF"/>
    <w:rsid w:val="00FD1429"/>
    <w:rsid w:val="00FF7E52"/>
    <w:rsid w:val="010A29DC"/>
    <w:rsid w:val="01A56033"/>
    <w:rsid w:val="01BB4D4E"/>
    <w:rsid w:val="01D23083"/>
    <w:rsid w:val="01FA65AD"/>
    <w:rsid w:val="02AF44CC"/>
    <w:rsid w:val="0411533A"/>
    <w:rsid w:val="047D1EDB"/>
    <w:rsid w:val="048D5617"/>
    <w:rsid w:val="04A11137"/>
    <w:rsid w:val="057E74F5"/>
    <w:rsid w:val="06036A64"/>
    <w:rsid w:val="07990616"/>
    <w:rsid w:val="08293DBF"/>
    <w:rsid w:val="08A05620"/>
    <w:rsid w:val="08B713A7"/>
    <w:rsid w:val="08C14BA1"/>
    <w:rsid w:val="08E02775"/>
    <w:rsid w:val="095A11DA"/>
    <w:rsid w:val="0A8D0D6F"/>
    <w:rsid w:val="0A93664D"/>
    <w:rsid w:val="0B855CF0"/>
    <w:rsid w:val="0BB84B20"/>
    <w:rsid w:val="0C59353C"/>
    <w:rsid w:val="0D0A1589"/>
    <w:rsid w:val="0D487F8E"/>
    <w:rsid w:val="0D8F63C5"/>
    <w:rsid w:val="0EA63C3E"/>
    <w:rsid w:val="0FB635F4"/>
    <w:rsid w:val="0FC57F99"/>
    <w:rsid w:val="109A0F5B"/>
    <w:rsid w:val="13C87418"/>
    <w:rsid w:val="13D053C0"/>
    <w:rsid w:val="140C40DD"/>
    <w:rsid w:val="14442DE9"/>
    <w:rsid w:val="16E6314C"/>
    <w:rsid w:val="18DF7E53"/>
    <w:rsid w:val="18F6242F"/>
    <w:rsid w:val="18F86EED"/>
    <w:rsid w:val="1A3B730B"/>
    <w:rsid w:val="1AEB62E4"/>
    <w:rsid w:val="1B00175D"/>
    <w:rsid w:val="1BC15AD0"/>
    <w:rsid w:val="1C0E0878"/>
    <w:rsid w:val="1C316A14"/>
    <w:rsid w:val="1C7E4E3B"/>
    <w:rsid w:val="1C856F63"/>
    <w:rsid w:val="1D302B35"/>
    <w:rsid w:val="1E194603"/>
    <w:rsid w:val="1E413CF8"/>
    <w:rsid w:val="1E457D4E"/>
    <w:rsid w:val="1E524A2D"/>
    <w:rsid w:val="1E991289"/>
    <w:rsid w:val="21296755"/>
    <w:rsid w:val="215630FA"/>
    <w:rsid w:val="21803B8E"/>
    <w:rsid w:val="21B90C49"/>
    <w:rsid w:val="2262788D"/>
    <w:rsid w:val="24054E77"/>
    <w:rsid w:val="242C275D"/>
    <w:rsid w:val="24661464"/>
    <w:rsid w:val="24F74EF3"/>
    <w:rsid w:val="25AA64BE"/>
    <w:rsid w:val="268614CD"/>
    <w:rsid w:val="269B2DA5"/>
    <w:rsid w:val="26B14195"/>
    <w:rsid w:val="26F16DAA"/>
    <w:rsid w:val="27C22830"/>
    <w:rsid w:val="27FE1410"/>
    <w:rsid w:val="28540049"/>
    <w:rsid w:val="2A4010C4"/>
    <w:rsid w:val="2A8853B5"/>
    <w:rsid w:val="2BA777BA"/>
    <w:rsid w:val="2BE07D12"/>
    <w:rsid w:val="2C0A50B7"/>
    <w:rsid w:val="2DE403A9"/>
    <w:rsid w:val="2E76795D"/>
    <w:rsid w:val="2EE338DD"/>
    <w:rsid w:val="2FB614B6"/>
    <w:rsid w:val="2FDB6605"/>
    <w:rsid w:val="30147DC0"/>
    <w:rsid w:val="30523CA3"/>
    <w:rsid w:val="30BD6874"/>
    <w:rsid w:val="31DB3455"/>
    <w:rsid w:val="33022C64"/>
    <w:rsid w:val="33BC6C27"/>
    <w:rsid w:val="342F0110"/>
    <w:rsid w:val="34660A30"/>
    <w:rsid w:val="34934EF7"/>
    <w:rsid w:val="34C96B68"/>
    <w:rsid w:val="35232902"/>
    <w:rsid w:val="35BE7316"/>
    <w:rsid w:val="36324F3C"/>
    <w:rsid w:val="36484AF3"/>
    <w:rsid w:val="36D90146"/>
    <w:rsid w:val="37A640C2"/>
    <w:rsid w:val="37B502A5"/>
    <w:rsid w:val="37C938DA"/>
    <w:rsid w:val="38332FB7"/>
    <w:rsid w:val="38DA7C6F"/>
    <w:rsid w:val="38F5351C"/>
    <w:rsid w:val="394E05FC"/>
    <w:rsid w:val="396D2045"/>
    <w:rsid w:val="3A3A1378"/>
    <w:rsid w:val="3AE55D25"/>
    <w:rsid w:val="3C5D00D7"/>
    <w:rsid w:val="3CA67F96"/>
    <w:rsid w:val="3CB47513"/>
    <w:rsid w:val="3D0656EC"/>
    <w:rsid w:val="3D6A1068"/>
    <w:rsid w:val="3E18333B"/>
    <w:rsid w:val="3E554590"/>
    <w:rsid w:val="3EBA7E64"/>
    <w:rsid w:val="3EF56AA9"/>
    <w:rsid w:val="3F30485B"/>
    <w:rsid w:val="3F9A75C7"/>
    <w:rsid w:val="40AA4DAE"/>
    <w:rsid w:val="40C74EDA"/>
    <w:rsid w:val="40D11A8F"/>
    <w:rsid w:val="417A4C72"/>
    <w:rsid w:val="41C20820"/>
    <w:rsid w:val="433C5C98"/>
    <w:rsid w:val="436A2643"/>
    <w:rsid w:val="43A833B4"/>
    <w:rsid w:val="43CA157C"/>
    <w:rsid w:val="43D26623"/>
    <w:rsid w:val="43FD3546"/>
    <w:rsid w:val="44262F1D"/>
    <w:rsid w:val="44E50510"/>
    <w:rsid w:val="45624364"/>
    <w:rsid w:val="46714521"/>
    <w:rsid w:val="468C5D11"/>
    <w:rsid w:val="478A20D4"/>
    <w:rsid w:val="487B3A60"/>
    <w:rsid w:val="48831CF9"/>
    <w:rsid w:val="48D507A7"/>
    <w:rsid w:val="492C413F"/>
    <w:rsid w:val="49AC4BCC"/>
    <w:rsid w:val="4A292D6A"/>
    <w:rsid w:val="4A842B8F"/>
    <w:rsid w:val="4B4A5F4D"/>
    <w:rsid w:val="4D1166E0"/>
    <w:rsid w:val="4D9B216A"/>
    <w:rsid w:val="4DD96733"/>
    <w:rsid w:val="4E0921B9"/>
    <w:rsid w:val="4E831BE6"/>
    <w:rsid w:val="4ECA11E4"/>
    <w:rsid w:val="510576FA"/>
    <w:rsid w:val="536F76E7"/>
    <w:rsid w:val="538365E0"/>
    <w:rsid w:val="53B0751C"/>
    <w:rsid w:val="53BB1E02"/>
    <w:rsid w:val="545E089B"/>
    <w:rsid w:val="54787B01"/>
    <w:rsid w:val="54DB174E"/>
    <w:rsid w:val="550B25F3"/>
    <w:rsid w:val="55564A1D"/>
    <w:rsid w:val="55BF4D6F"/>
    <w:rsid w:val="55F5601E"/>
    <w:rsid w:val="560365C7"/>
    <w:rsid w:val="56571FD6"/>
    <w:rsid w:val="56933A4F"/>
    <w:rsid w:val="56B7264D"/>
    <w:rsid w:val="59D714F6"/>
    <w:rsid w:val="5A557999"/>
    <w:rsid w:val="5AA256AD"/>
    <w:rsid w:val="5AB919AF"/>
    <w:rsid w:val="5B18059F"/>
    <w:rsid w:val="5B7447F9"/>
    <w:rsid w:val="5DB431B0"/>
    <w:rsid w:val="5EA728D3"/>
    <w:rsid w:val="5EE03555"/>
    <w:rsid w:val="5FE86FDF"/>
    <w:rsid w:val="600E3821"/>
    <w:rsid w:val="6097679D"/>
    <w:rsid w:val="60E12305"/>
    <w:rsid w:val="61061B60"/>
    <w:rsid w:val="61C06A21"/>
    <w:rsid w:val="63D12691"/>
    <w:rsid w:val="64B47CE9"/>
    <w:rsid w:val="662A16C8"/>
    <w:rsid w:val="662D57B3"/>
    <w:rsid w:val="66EF4CD2"/>
    <w:rsid w:val="680C70AF"/>
    <w:rsid w:val="681240BC"/>
    <w:rsid w:val="68A12B38"/>
    <w:rsid w:val="690152C5"/>
    <w:rsid w:val="696D4A39"/>
    <w:rsid w:val="69C01D45"/>
    <w:rsid w:val="69EE2076"/>
    <w:rsid w:val="69F42192"/>
    <w:rsid w:val="6A4B50B0"/>
    <w:rsid w:val="6AB12904"/>
    <w:rsid w:val="6AC9792F"/>
    <w:rsid w:val="6ADE307D"/>
    <w:rsid w:val="6AE258B7"/>
    <w:rsid w:val="6B104D22"/>
    <w:rsid w:val="6B596BBE"/>
    <w:rsid w:val="6B631F44"/>
    <w:rsid w:val="6CEE4D44"/>
    <w:rsid w:val="6E370F01"/>
    <w:rsid w:val="6EB26D11"/>
    <w:rsid w:val="6EDD46E8"/>
    <w:rsid w:val="6FB1521A"/>
    <w:rsid w:val="70C2081F"/>
    <w:rsid w:val="70DC1E23"/>
    <w:rsid w:val="71172A86"/>
    <w:rsid w:val="71E219F3"/>
    <w:rsid w:val="725E6898"/>
    <w:rsid w:val="7289740F"/>
    <w:rsid w:val="74C96B62"/>
    <w:rsid w:val="761C0F14"/>
    <w:rsid w:val="76C018FE"/>
    <w:rsid w:val="779D28D3"/>
    <w:rsid w:val="77F476EC"/>
    <w:rsid w:val="7885406B"/>
    <w:rsid w:val="79AE2ADD"/>
    <w:rsid w:val="7A0905FD"/>
    <w:rsid w:val="7A343840"/>
    <w:rsid w:val="7A96402D"/>
    <w:rsid w:val="7B580807"/>
    <w:rsid w:val="7BD43777"/>
    <w:rsid w:val="7C247C70"/>
    <w:rsid w:val="7D957F29"/>
    <w:rsid w:val="7DAF36EC"/>
    <w:rsid w:val="7DB06E0C"/>
    <w:rsid w:val="7DE257E7"/>
    <w:rsid w:val="7F2037F4"/>
    <w:rsid w:val="7F7906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1"/>
    <w:qFormat/>
    <w:uiPriority w:val="9"/>
    <w:pPr>
      <w:keepNext/>
      <w:keepLines/>
      <w:spacing w:line="360" w:lineRule="auto"/>
      <w:jc w:val="center"/>
      <w:outlineLvl w:val="0"/>
    </w:pPr>
    <w:rPr>
      <w:rFonts w:ascii="宋体" w:hAnsi="宋体" w:cs="宋体"/>
      <w:b/>
      <w:bCs/>
      <w:kern w:val="44"/>
      <w:sz w:val="36"/>
      <w:szCs w:val="36"/>
    </w:rPr>
  </w:style>
  <w:style w:type="paragraph" w:styleId="4">
    <w:name w:val="heading 2"/>
    <w:basedOn w:val="1"/>
    <w:next w:val="1"/>
    <w:link w:val="42"/>
    <w:qFormat/>
    <w:uiPriority w:val="99"/>
    <w:pPr>
      <w:keepNext/>
      <w:keepLines/>
      <w:spacing w:line="360" w:lineRule="auto"/>
      <w:jc w:val="center"/>
      <w:outlineLvl w:val="1"/>
    </w:pPr>
    <w:rPr>
      <w:rFonts w:ascii="宋体" w:hAnsi="宋体"/>
      <w:b/>
      <w:bCs/>
      <w:kern w:val="0"/>
      <w:sz w:val="28"/>
      <w:szCs w:val="28"/>
    </w:rPr>
  </w:style>
  <w:style w:type="paragraph" w:styleId="5">
    <w:name w:val="heading 3"/>
    <w:basedOn w:val="1"/>
    <w:next w:val="1"/>
    <w:link w:val="43"/>
    <w:qFormat/>
    <w:uiPriority w:val="0"/>
    <w:pPr>
      <w:keepNext/>
      <w:keepLines/>
      <w:spacing w:line="360" w:lineRule="auto"/>
      <w:outlineLvl w:val="2"/>
    </w:pPr>
    <w:rPr>
      <w:b/>
      <w:bCs/>
      <w:kern w:val="0"/>
      <w:sz w:val="24"/>
      <w:szCs w:val="24"/>
    </w:rPr>
  </w:style>
  <w:style w:type="paragraph" w:styleId="6">
    <w:name w:val="heading 4"/>
    <w:basedOn w:val="1"/>
    <w:next w:val="1"/>
    <w:link w:val="44"/>
    <w:qFormat/>
    <w:uiPriority w:val="99"/>
    <w:pPr>
      <w:keepNext/>
      <w:keepLines/>
      <w:spacing w:line="360" w:lineRule="auto"/>
      <w:outlineLvl w:val="3"/>
    </w:pPr>
    <w:rPr>
      <w:rFonts w:ascii="Arial" w:hAnsi="Arial"/>
      <w:b/>
      <w:bCs/>
      <w:kern w:val="0"/>
      <w:sz w:val="20"/>
    </w:rPr>
  </w:style>
  <w:style w:type="paragraph" w:styleId="7">
    <w:name w:val="heading 6"/>
    <w:basedOn w:val="1"/>
    <w:next w:val="1"/>
    <w:link w:val="45"/>
    <w:qFormat/>
    <w:uiPriority w:val="9"/>
    <w:pPr>
      <w:keepNext/>
      <w:keepLines/>
      <w:spacing w:before="240" w:after="64" w:line="320" w:lineRule="auto"/>
      <w:outlineLvl w:val="5"/>
    </w:pPr>
    <w:rPr>
      <w:rFonts w:ascii="Cambria" w:hAnsi="Cambria"/>
      <w:b/>
      <w:bCs/>
      <w:sz w:val="24"/>
      <w:szCs w:val="24"/>
    </w:rPr>
  </w:style>
  <w:style w:type="character" w:default="1" w:styleId="31">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00" w:lineRule="auto"/>
      <w:ind w:firstLine="420" w:firstLineChars="200"/>
    </w:pPr>
    <w:rPr>
      <w:rFonts w:eastAsia="方正书宋简体"/>
      <w:szCs w:val="20"/>
    </w:rPr>
  </w:style>
  <w:style w:type="paragraph" w:styleId="8">
    <w:name w:val="Normal Indent"/>
    <w:basedOn w:val="1"/>
    <w:next w:val="1"/>
    <w:qFormat/>
    <w:uiPriority w:val="0"/>
    <w:pPr>
      <w:ind w:firstLine="420"/>
    </w:pPr>
    <w:rPr>
      <w:rFonts w:ascii="Calibri" w:hAnsi="Calibri"/>
      <w:szCs w:val="22"/>
    </w:rPr>
  </w:style>
  <w:style w:type="paragraph" w:styleId="9">
    <w:name w:val="Document Map"/>
    <w:basedOn w:val="1"/>
    <w:link w:val="47"/>
    <w:unhideWhenUsed/>
    <w:qFormat/>
    <w:uiPriority w:val="99"/>
    <w:rPr>
      <w:rFonts w:ascii="宋体"/>
      <w:sz w:val="18"/>
      <w:szCs w:val="18"/>
    </w:rPr>
  </w:style>
  <w:style w:type="paragraph" w:styleId="10">
    <w:name w:val="annotation text"/>
    <w:basedOn w:val="1"/>
    <w:next w:val="11"/>
    <w:link w:val="49"/>
    <w:unhideWhenUsed/>
    <w:qFormat/>
    <w:uiPriority w:val="99"/>
    <w:pPr>
      <w:jc w:val="left"/>
    </w:pPr>
  </w:style>
  <w:style w:type="paragraph" w:styleId="11">
    <w:name w:val="Balloon Text"/>
    <w:basedOn w:val="1"/>
    <w:link w:val="60"/>
    <w:unhideWhenUsed/>
    <w:qFormat/>
    <w:uiPriority w:val="99"/>
    <w:rPr>
      <w:sz w:val="18"/>
      <w:szCs w:val="18"/>
    </w:rPr>
  </w:style>
  <w:style w:type="paragraph" w:styleId="12">
    <w:name w:val="Body Text 3"/>
    <w:basedOn w:val="1"/>
    <w:link w:val="51"/>
    <w:qFormat/>
    <w:uiPriority w:val="0"/>
    <w:rPr>
      <w:rFonts w:ascii="宋体"/>
      <w:kern w:val="0"/>
      <w:sz w:val="24"/>
      <w:szCs w:val="20"/>
    </w:rPr>
  </w:style>
  <w:style w:type="paragraph" w:styleId="13">
    <w:name w:val="Body Text"/>
    <w:basedOn w:val="1"/>
    <w:link w:val="53"/>
    <w:unhideWhenUsed/>
    <w:qFormat/>
    <w:uiPriority w:val="99"/>
    <w:pPr>
      <w:spacing w:before="100" w:beforeAutospacing="1"/>
    </w:pPr>
    <w:rPr>
      <w:kern w:val="0"/>
      <w:sz w:val="20"/>
    </w:rPr>
  </w:style>
  <w:style w:type="paragraph" w:styleId="14">
    <w:name w:val="Body Text Indent"/>
    <w:basedOn w:val="1"/>
    <w:link w:val="55"/>
    <w:unhideWhenUsed/>
    <w:qFormat/>
    <w:uiPriority w:val="99"/>
    <w:pPr>
      <w:autoSpaceDE w:val="0"/>
      <w:autoSpaceDN w:val="0"/>
      <w:adjustRightInd w:val="0"/>
      <w:spacing w:line="0" w:lineRule="atLeast"/>
      <w:ind w:firstLine="525"/>
      <w:textAlignment w:val="top"/>
    </w:pPr>
    <w:rPr>
      <w:rFonts w:ascii="宋体" w:hAnsi="宋体"/>
      <w:color w:val="000000"/>
      <w:kern w:val="0"/>
      <w:sz w:val="20"/>
    </w:rPr>
  </w:style>
  <w:style w:type="paragraph" w:styleId="15">
    <w:name w:val="Block Text"/>
    <w:basedOn w:val="1"/>
    <w:unhideWhenUsed/>
    <w:qFormat/>
    <w:uiPriority w:val="99"/>
    <w:pPr>
      <w:adjustRightInd w:val="0"/>
      <w:spacing w:before="100" w:beforeAutospacing="1" w:after="100" w:afterAutospacing="1"/>
      <w:ind w:left="420" w:right="33"/>
      <w:jc w:val="left"/>
      <w:textAlignment w:val="baseline"/>
    </w:pPr>
    <w:rPr>
      <w:kern w:val="0"/>
      <w:sz w:val="24"/>
      <w:szCs w:val="24"/>
    </w:rPr>
  </w:style>
  <w:style w:type="paragraph" w:styleId="1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7">
    <w:name w:val="Plain Text"/>
    <w:basedOn w:val="1"/>
    <w:next w:val="1"/>
    <w:link w:val="56"/>
    <w:unhideWhenUsed/>
    <w:qFormat/>
    <w:uiPriority w:val="99"/>
    <w:pPr>
      <w:spacing w:line="580" w:lineRule="exact"/>
      <w:ind w:right="-197" w:firstLine="560" w:firstLineChars="200"/>
    </w:pPr>
    <w:rPr>
      <w:rFonts w:ascii="黑体" w:hAnsi="Courier New" w:eastAsia="黑体" w:cs="黑体"/>
      <w:sz w:val="28"/>
      <w:szCs w:val="28"/>
    </w:rPr>
  </w:style>
  <w:style w:type="paragraph" w:styleId="18">
    <w:name w:val="Date"/>
    <w:basedOn w:val="1"/>
    <w:next w:val="1"/>
    <w:link w:val="58"/>
    <w:qFormat/>
    <w:uiPriority w:val="0"/>
    <w:rPr>
      <w:szCs w:val="20"/>
    </w:rPr>
  </w:style>
  <w:style w:type="paragraph" w:styleId="19">
    <w:name w:val="Body Text Indent 2"/>
    <w:basedOn w:val="1"/>
    <w:unhideWhenUsed/>
    <w:qFormat/>
    <w:uiPriority w:val="0"/>
    <w:pPr>
      <w:spacing w:after="120" w:line="480" w:lineRule="auto"/>
      <w:ind w:left="420" w:leftChars="200"/>
    </w:pPr>
    <w:rPr>
      <w:rFonts w:hint="eastAsia"/>
      <w:szCs w:val="24"/>
    </w:rPr>
  </w:style>
  <w:style w:type="paragraph" w:styleId="20">
    <w:name w:val="footer"/>
    <w:basedOn w:val="1"/>
    <w:link w:val="62"/>
    <w:unhideWhenUsed/>
    <w:qFormat/>
    <w:uiPriority w:val="99"/>
    <w:pPr>
      <w:snapToGrid w:val="0"/>
      <w:jc w:val="left"/>
    </w:pPr>
    <w:rPr>
      <w:kern w:val="0"/>
      <w:sz w:val="18"/>
      <w:szCs w:val="18"/>
    </w:rPr>
  </w:style>
  <w:style w:type="paragraph" w:styleId="21">
    <w:name w:val="header"/>
    <w:basedOn w:val="1"/>
    <w:link w:val="64"/>
    <w:unhideWhenUsed/>
    <w:qFormat/>
    <w:uiPriority w:val="99"/>
    <w:pPr>
      <w:snapToGrid w:val="0"/>
    </w:pPr>
    <w:rPr>
      <w:kern w:val="0"/>
      <w:sz w:val="18"/>
      <w:szCs w:val="18"/>
    </w:rPr>
  </w:style>
  <w:style w:type="paragraph" w:styleId="22">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23">
    <w:name w:val="Body Text Indent 3"/>
    <w:basedOn w:val="1"/>
    <w:link w:val="66"/>
    <w:qFormat/>
    <w:uiPriority w:val="0"/>
    <w:pPr>
      <w:autoSpaceDE w:val="0"/>
      <w:autoSpaceDN w:val="0"/>
      <w:adjustRightInd w:val="0"/>
      <w:spacing w:after="120"/>
      <w:ind w:left="420" w:leftChars="200"/>
      <w:jc w:val="left"/>
    </w:pPr>
    <w:rPr>
      <w:kern w:val="0"/>
      <w:sz w:val="16"/>
      <w:szCs w:val="16"/>
    </w:rPr>
  </w:style>
  <w:style w:type="paragraph" w:styleId="2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25">
    <w:name w:val="Body Text 2"/>
    <w:basedOn w:val="1"/>
    <w:link w:val="68"/>
    <w:unhideWhenUsed/>
    <w:qFormat/>
    <w:uiPriority w:val="99"/>
    <w:rPr>
      <w:kern w:val="0"/>
      <w:sz w:val="44"/>
      <w:szCs w:val="44"/>
    </w:rPr>
  </w:style>
  <w:style w:type="paragraph" w:styleId="26">
    <w:name w:val="Normal (Web)"/>
    <w:basedOn w:val="1"/>
    <w:unhideWhenUsed/>
    <w:qFormat/>
    <w:uiPriority w:val="99"/>
    <w:pPr>
      <w:widowControl/>
      <w:spacing w:before="100" w:beforeAutospacing="1" w:after="100" w:afterAutospacing="1"/>
    </w:pPr>
    <w:rPr>
      <w:sz w:val="24"/>
      <w:szCs w:val="24"/>
    </w:rPr>
  </w:style>
  <w:style w:type="paragraph" w:styleId="27">
    <w:name w:val="annotation subject"/>
    <w:basedOn w:val="10"/>
    <w:next w:val="10"/>
    <w:link w:val="70"/>
    <w:unhideWhenUsed/>
    <w:qFormat/>
    <w:uiPriority w:val="99"/>
    <w:rPr>
      <w:b/>
      <w:bCs/>
    </w:rPr>
  </w:style>
  <w:style w:type="paragraph" w:styleId="28">
    <w:name w:val="Body Text First Indent"/>
    <w:basedOn w:val="13"/>
    <w:link w:val="72"/>
    <w:unhideWhenUsed/>
    <w:qFormat/>
    <w:uiPriority w:val="99"/>
    <w:pPr>
      <w:ind w:firstLine="420" w:firstLineChars="100"/>
    </w:pPr>
  </w:style>
  <w:style w:type="paragraph" w:styleId="29">
    <w:name w:val="Body Text First Indent 2"/>
    <w:basedOn w:val="14"/>
    <w:qFormat/>
    <w:uiPriority w:val="0"/>
    <w:pPr>
      <w:spacing w:after="120" w:line="240" w:lineRule="auto"/>
      <w:ind w:left="200" w:leftChars="200" w:firstLine="200" w:firstLineChars="200"/>
    </w:pPr>
    <w:rPr>
      <w:rFonts w:ascii="Calibri" w:hAnsi="Calibri"/>
      <w:color w:val="0D0D0D"/>
      <w:kern w:val="2"/>
      <w:sz w:val="21"/>
      <w:szCs w:val="24"/>
      <w:lang w:eastAsia="en-US"/>
    </w:rPr>
  </w:style>
  <w:style w:type="character" w:styleId="32">
    <w:name w:val="page number"/>
    <w:qFormat/>
    <w:uiPriority w:val="0"/>
  </w:style>
  <w:style w:type="character" w:styleId="33">
    <w:name w:val="FollowedHyperlink"/>
    <w:unhideWhenUsed/>
    <w:qFormat/>
    <w:uiPriority w:val="99"/>
    <w:rPr>
      <w:color w:val="800080"/>
      <w:u w:val="single"/>
    </w:rPr>
  </w:style>
  <w:style w:type="character" w:styleId="34">
    <w:name w:val="Hyperlink"/>
    <w:unhideWhenUsed/>
    <w:qFormat/>
    <w:uiPriority w:val="99"/>
    <w:rPr>
      <w:color w:val="0000FF"/>
      <w:u w:val="single"/>
    </w:rPr>
  </w:style>
  <w:style w:type="character" w:styleId="35">
    <w:name w:val="annotation reference"/>
    <w:unhideWhenUsed/>
    <w:qFormat/>
    <w:uiPriority w:val="99"/>
    <w:rPr>
      <w:sz w:val="21"/>
      <w:szCs w:val="21"/>
    </w:rPr>
  </w:style>
  <w:style w:type="character" w:customStyle="1" w:styleId="36">
    <w:name w:val="标题 1 字符"/>
    <w:basedOn w:val="31"/>
    <w:qFormat/>
    <w:uiPriority w:val="9"/>
    <w:rPr>
      <w:rFonts w:ascii="Times New Roman" w:hAnsi="Times New Roman" w:eastAsia="宋体" w:cs="Times New Roman"/>
      <w:b/>
      <w:bCs/>
      <w:kern w:val="44"/>
      <w:sz w:val="44"/>
      <w:szCs w:val="44"/>
    </w:rPr>
  </w:style>
  <w:style w:type="character" w:customStyle="1" w:styleId="37">
    <w:name w:val="标题 2 字符"/>
    <w:basedOn w:val="31"/>
    <w:semiHidden/>
    <w:qFormat/>
    <w:uiPriority w:val="9"/>
    <w:rPr>
      <w:rFonts w:asciiTheme="majorHAnsi" w:hAnsiTheme="majorHAnsi" w:eastAsiaTheme="majorEastAsia" w:cstheme="majorBidi"/>
      <w:b/>
      <w:bCs/>
      <w:sz w:val="32"/>
      <w:szCs w:val="32"/>
    </w:rPr>
  </w:style>
  <w:style w:type="character" w:customStyle="1" w:styleId="38">
    <w:name w:val="标题 3 字符"/>
    <w:basedOn w:val="31"/>
    <w:semiHidden/>
    <w:qFormat/>
    <w:uiPriority w:val="9"/>
    <w:rPr>
      <w:rFonts w:ascii="Times New Roman" w:hAnsi="Times New Roman" w:eastAsia="宋体" w:cs="Times New Roman"/>
      <w:b/>
      <w:bCs/>
      <w:sz w:val="32"/>
      <w:szCs w:val="32"/>
    </w:rPr>
  </w:style>
  <w:style w:type="character" w:customStyle="1" w:styleId="39">
    <w:name w:val="标题 4 字符"/>
    <w:basedOn w:val="31"/>
    <w:semiHidden/>
    <w:qFormat/>
    <w:uiPriority w:val="9"/>
    <w:rPr>
      <w:rFonts w:asciiTheme="majorHAnsi" w:hAnsiTheme="majorHAnsi" w:eastAsiaTheme="majorEastAsia" w:cstheme="majorBidi"/>
      <w:b/>
      <w:bCs/>
      <w:sz w:val="28"/>
      <w:szCs w:val="28"/>
    </w:rPr>
  </w:style>
  <w:style w:type="character" w:customStyle="1" w:styleId="40">
    <w:name w:val="标题 6 字符"/>
    <w:basedOn w:val="31"/>
    <w:semiHidden/>
    <w:qFormat/>
    <w:uiPriority w:val="9"/>
    <w:rPr>
      <w:rFonts w:asciiTheme="majorHAnsi" w:hAnsiTheme="majorHAnsi" w:eastAsiaTheme="majorEastAsia" w:cstheme="majorBidi"/>
      <w:b/>
      <w:bCs/>
      <w:sz w:val="24"/>
      <w:szCs w:val="24"/>
    </w:rPr>
  </w:style>
  <w:style w:type="character" w:customStyle="1" w:styleId="41">
    <w:name w:val="标题 1 字符1"/>
    <w:link w:val="3"/>
    <w:qFormat/>
    <w:uiPriority w:val="9"/>
    <w:rPr>
      <w:rFonts w:ascii="宋体" w:hAnsi="宋体" w:eastAsia="宋体" w:cs="宋体"/>
      <w:b/>
      <w:bCs/>
      <w:kern w:val="44"/>
      <w:sz w:val="36"/>
      <w:szCs w:val="36"/>
    </w:rPr>
  </w:style>
  <w:style w:type="character" w:customStyle="1" w:styleId="42">
    <w:name w:val="标题 2 字符1"/>
    <w:link w:val="4"/>
    <w:qFormat/>
    <w:uiPriority w:val="99"/>
    <w:rPr>
      <w:rFonts w:ascii="宋体" w:hAnsi="宋体" w:eastAsia="宋体" w:cs="Times New Roman"/>
      <w:b/>
      <w:bCs/>
      <w:kern w:val="0"/>
      <w:sz w:val="28"/>
      <w:szCs w:val="28"/>
    </w:rPr>
  </w:style>
  <w:style w:type="character" w:customStyle="1" w:styleId="43">
    <w:name w:val="标题 3 字符1"/>
    <w:link w:val="5"/>
    <w:qFormat/>
    <w:uiPriority w:val="0"/>
    <w:rPr>
      <w:rFonts w:ascii="Times New Roman" w:hAnsi="Times New Roman" w:eastAsia="宋体" w:cs="Times New Roman"/>
      <w:b/>
      <w:bCs/>
      <w:kern w:val="0"/>
      <w:sz w:val="24"/>
      <w:szCs w:val="24"/>
    </w:rPr>
  </w:style>
  <w:style w:type="character" w:customStyle="1" w:styleId="44">
    <w:name w:val="标题 4 字符1"/>
    <w:link w:val="6"/>
    <w:qFormat/>
    <w:uiPriority w:val="99"/>
    <w:rPr>
      <w:rFonts w:ascii="Arial" w:hAnsi="Arial" w:eastAsia="宋体" w:cs="Times New Roman"/>
      <w:b/>
      <w:bCs/>
      <w:kern w:val="0"/>
      <w:sz w:val="20"/>
      <w:szCs w:val="21"/>
    </w:rPr>
  </w:style>
  <w:style w:type="character" w:customStyle="1" w:styleId="45">
    <w:name w:val="标题 6 字符1"/>
    <w:link w:val="7"/>
    <w:qFormat/>
    <w:uiPriority w:val="9"/>
    <w:rPr>
      <w:rFonts w:ascii="Cambria" w:hAnsi="Cambria" w:eastAsia="宋体" w:cs="Times New Roman"/>
      <w:b/>
      <w:bCs/>
      <w:sz w:val="24"/>
      <w:szCs w:val="24"/>
    </w:rPr>
  </w:style>
  <w:style w:type="character" w:customStyle="1" w:styleId="46">
    <w:name w:val="文档结构图 字符"/>
    <w:basedOn w:val="31"/>
    <w:semiHidden/>
    <w:qFormat/>
    <w:uiPriority w:val="99"/>
    <w:rPr>
      <w:rFonts w:ascii="Microsoft YaHei UI" w:hAnsi="Times New Roman" w:eastAsia="Microsoft YaHei UI" w:cs="Times New Roman"/>
      <w:sz w:val="18"/>
      <w:szCs w:val="18"/>
    </w:rPr>
  </w:style>
  <w:style w:type="character" w:customStyle="1" w:styleId="47">
    <w:name w:val="文档结构图 字符1"/>
    <w:link w:val="9"/>
    <w:qFormat/>
    <w:uiPriority w:val="99"/>
    <w:rPr>
      <w:rFonts w:ascii="宋体" w:hAnsi="Times New Roman" w:eastAsia="宋体" w:cs="Times New Roman"/>
      <w:sz w:val="18"/>
      <w:szCs w:val="18"/>
    </w:rPr>
  </w:style>
  <w:style w:type="character" w:customStyle="1" w:styleId="48">
    <w:name w:val="批注文字 字符"/>
    <w:basedOn w:val="31"/>
    <w:semiHidden/>
    <w:qFormat/>
    <w:uiPriority w:val="99"/>
    <w:rPr>
      <w:rFonts w:ascii="Times New Roman" w:hAnsi="Times New Roman" w:eastAsia="宋体" w:cs="Times New Roman"/>
      <w:szCs w:val="21"/>
    </w:rPr>
  </w:style>
  <w:style w:type="character" w:customStyle="1" w:styleId="49">
    <w:name w:val="批注文字 字符1"/>
    <w:link w:val="10"/>
    <w:qFormat/>
    <w:uiPriority w:val="99"/>
    <w:rPr>
      <w:rFonts w:ascii="Times New Roman" w:hAnsi="Times New Roman" w:eastAsia="宋体" w:cs="Times New Roman"/>
      <w:szCs w:val="21"/>
    </w:rPr>
  </w:style>
  <w:style w:type="character" w:customStyle="1" w:styleId="50">
    <w:name w:val="正文文本 3 字符"/>
    <w:basedOn w:val="31"/>
    <w:semiHidden/>
    <w:qFormat/>
    <w:uiPriority w:val="99"/>
    <w:rPr>
      <w:rFonts w:ascii="Times New Roman" w:hAnsi="Times New Roman" w:eastAsia="宋体" w:cs="Times New Roman"/>
      <w:sz w:val="16"/>
      <w:szCs w:val="16"/>
    </w:rPr>
  </w:style>
  <w:style w:type="character" w:customStyle="1" w:styleId="51">
    <w:name w:val="正文文本 3 字符1"/>
    <w:link w:val="12"/>
    <w:qFormat/>
    <w:uiPriority w:val="0"/>
    <w:rPr>
      <w:rFonts w:ascii="宋体" w:hAnsi="Times New Roman" w:eastAsia="宋体" w:cs="Times New Roman"/>
      <w:kern w:val="0"/>
      <w:sz w:val="24"/>
      <w:szCs w:val="20"/>
    </w:rPr>
  </w:style>
  <w:style w:type="character" w:customStyle="1" w:styleId="52">
    <w:name w:val="正文文本 字符"/>
    <w:basedOn w:val="31"/>
    <w:semiHidden/>
    <w:qFormat/>
    <w:uiPriority w:val="99"/>
    <w:rPr>
      <w:rFonts w:ascii="Times New Roman" w:hAnsi="Times New Roman" w:eastAsia="宋体" w:cs="Times New Roman"/>
      <w:szCs w:val="21"/>
    </w:rPr>
  </w:style>
  <w:style w:type="character" w:customStyle="1" w:styleId="53">
    <w:name w:val="正文文本 字符1"/>
    <w:link w:val="13"/>
    <w:qFormat/>
    <w:uiPriority w:val="99"/>
    <w:rPr>
      <w:rFonts w:ascii="Times New Roman" w:hAnsi="Times New Roman" w:eastAsia="宋体" w:cs="Times New Roman"/>
      <w:kern w:val="0"/>
      <w:sz w:val="20"/>
      <w:szCs w:val="21"/>
    </w:rPr>
  </w:style>
  <w:style w:type="character" w:customStyle="1" w:styleId="54">
    <w:name w:val="正文文本缩进 字符"/>
    <w:basedOn w:val="31"/>
    <w:semiHidden/>
    <w:qFormat/>
    <w:uiPriority w:val="99"/>
    <w:rPr>
      <w:rFonts w:ascii="Times New Roman" w:hAnsi="Times New Roman" w:eastAsia="宋体" w:cs="Times New Roman"/>
      <w:szCs w:val="21"/>
    </w:rPr>
  </w:style>
  <w:style w:type="character" w:customStyle="1" w:styleId="55">
    <w:name w:val="正文文本缩进 字符1"/>
    <w:link w:val="14"/>
    <w:qFormat/>
    <w:uiPriority w:val="99"/>
    <w:rPr>
      <w:rFonts w:ascii="宋体" w:hAnsi="宋体" w:eastAsia="宋体" w:cs="Times New Roman"/>
      <w:color w:val="000000"/>
      <w:kern w:val="0"/>
      <w:sz w:val="20"/>
      <w:szCs w:val="21"/>
    </w:rPr>
  </w:style>
  <w:style w:type="character" w:customStyle="1" w:styleId="56">
    <w:name w:val="纯文本 字符2"/>
    <w:basedOn w:val="31"/>
    <w:link w:val="17"/>
    <w:qFormat/>
    <w:uiPriority w:val="99"/>
    <w:rPr>
      <w:rFonts w:ascii="黑体" w:hAnsi="Courier New" w:eastAsia="黑体" w:cs="黑体"/>
      <w:sz w:val="28"/>
      <w:szCs w:val="28"/>
    </w:rPr>
  </w:style>
  <w:style w:type="character" w:customStyle="1" w:styleId="57">
    <w:name w:val="日期 字符"/>
    <w:basedOn w:val="31"/>
    <w:semiHidden/>
    <w:qFormat/>
    <w:uiPriority w:val="99"/>
    <w:rPr>
      <w:rFonts w:ascii="Times New Roman" w:hAnsi="Times New Roman" w:eastAsia="宋体" w:cs="Times New Roman"/>
      <w:szCs w:val="21"/>
    </w:rPr>
  </w:style>
  <w:style w:type="character" w:customStyle="1" w:styleId="58">
    <w:name w:val="日期 字符1"/>
    <w:link w:val="18"/>
    <w:qFormat/>
    <w:uiPriority w:val="0"/>
    <w:rPr>
      <w:rFonts w:ascii="Times New Roman" w:hAnsi="Times New Roman" w:eastAsia="宋体" w:cs="Times New Roman"/>
      <w:szCs w:val="20"/>
    </w:rPr>
  </w:style>
  <w:style w:type="character" w:customStyle="1" w:styleId="59">
    <w:name w:val="批注框文本 字符"/>
    <w:basedOn w:val="31"/>
    <w:semiHidden/>
    <w:qFormat/>
    <w:uiPriority w:val="99"/>
    <w:rPr>
      <w:rFonts w:ascii="Times New Roman" w:hAnsi="Times New Roman" w:eastAsia="宋体" w:cs="Times New Roman"/>
      <w:sz w:val="18"/>
      <w:szCs w:val="18"/>
    </w:rPr>
  </w:style>
  <w:style w:type="character" w:customStyle="1" w:styleId="60">
    <w:name w:val="批注框文本 字符1"/>
    <w:link w:val="11"/>
    <w:qFormat/>
    <w:uiPriority w:val="99"/>
    <w:rPr>
      <w:rFonts w:ascii="Times New Roman" w:hAnsi="Times New Roman" w:eastAsia="宋体" w:cs="Times New Roman"/>
      <w:sz w:val="18"/>
      <w:szCs w:val="18"/>
    </w:rPr>
  </w:style>
  <w:style w:type="character" w:customStyle="1" w:styleId="61">
    <w:name w:val="页脚 字符"/>
    <w:basedOn w:val="31"/>
    <w:qFormat/>
    <w:uiPriority w:val="99"/>
    <w:rPr>
      <w:rFonts w:ascii="Times New Roman" w:hAnsi="Times New Roman" w:eastAsia="宋体" w:cs="Times New Roman"/>
      <w:sz w:val="18"/>
      <w:szCs w:val="18"/>
    </w:rPr>
  </w:style>
  <w:style w:type="character" w:customStyle="1" w:styleId="62">
    <w:name w:val="页脚 字符1"/>
    <w:link w:val="20"/>
    <w:qFormat/>
    <w:uiPriority w:val="99"/>
    <w:rPr>
      <w:rFonts w:ascii="Times New Roman" w:hAnsi="Times New Roman" w:eastAsia="宋体" w:cs="Times New Roman"/>
      <w:kern w:val="0"/>
      <w:sz w:val="18"/>
      <w:szCs w:val="18"/>
    </w:rPr>
  </w:style>
  <w:style w:type="character" w:customStyle="1" w:styleId="63">
    <w:name w:val="页眉 字符"/>
    <w:basedOn w:val="31"/>
    <w:semiHidden/>
    <w:qFormat/>
    <w:uiPriority w:val="99"/>
    <w:rPr>
      <w:rFonts w:ascii="Times New Roman" w:hAnsi="Times New Roman" w:eastAsia="宋体" w:cs="Times New Roman"/>
      <w:sz w:val="18"/>
      <w:szCs w:val="18"/>
    </w:rPr>
  </w:style>
  <w:style w:type="character" w:customStyle="1" w:styleId="64">
    <w:name w:val="页眉 字符1"/>
    <w:link w:val="21"/>
    <w:qFormat/>
    <w:uiPriority w:val="99"/>
    <w:rPr>
      <w:rFonts w:ascii="Times New Roman" w:hAnsi="Times New Roman" w:eastAsia="宋体" w:cs="Times New Roman"/>
      <w:kern w:val="0"/>
      <w:sz w:val="18"/>
      <w:szCs w:val="18"/>
    </w:rPr>
  </w:style>
  <w:style w:type="character" w:customStyle="1" w:styleId="65">
    <w:name w:val="正文文本缩进 3 字符"/>
    <w:basedOn w:val="31"/>
    <w:semiHidden/>
    <w:qFormat/>
    <w:uiPriority w:val="99"/>
    <w:rPr>
      <w:rFonts w:ascii="Times New Roman" w:hAnsi="Times New Roman" w:eastAsia="宋体" w:cs="Times New Roman"/>
      <w:sz w:val="16"/>
      <w:szCs w:val="16"/>
    </w:rPr>
  </w:style>
  <w:style w:type="character" w:customStyle="1" w:styleId="66">
    <w:name w:val="正文文本缩进 3 字符1"/>
    <w:link w:val="23"/>
    <w:qFormat/>
    <w:uiPriority w:val="0"/>
    <w:rPr>
      <w:rFonts w:ascii="Times New Roman" w:hAnsi="Times New Roman" w:eastAsia="宋体" w:cs="Times New Roman"/>
      <w:kern w:val="0"/>
      <w:sz w:val="16"/>
      <w:szCs w:val="16"/>
    </w:rPr>
  </w:style>
  <w:style w:type="character" w:customStyle="1" w:styleId="67">
    <w:name w:val="正文文本 2 字符"/>
    <w:basedOn w:val="31"/>
    <w:semiHidden/>
    <w:qFormat/>
    <w:uiPriority w:val="99"/>
    <w:rPr>
      <w:rFonts w:ascii="Times New Roman" w:hAnsi="Times New Roman" w:eastAsia="宋体" w:cs="Times New Roman"/>
      <w:szCs w:val="21"/>
    </w:rPr>
  </w:style>
  <w:style w:type="character" w:customStyle="1" w:styleId="68">
    <w:name w:val="正文文本 2 字符1"/>
    <w:link w:val="25"/>
    <w:qFormat/>
    <w:uiPriority w:val="99"/>
    <w:rPr>
      <w:rFonts w:ascii="Times New Roman" w:hAnsi="Times New Roman" w:eastAsia="宋体" w:cs="Times New Roman"/>
      <w:kern w:val="0"/>
      <w:sz w:val="44"/>
      <w:szCs w:val="44"/>
    </w:rPr>
  </w:style>
  <w:style w:type="character" w:customStyle="1" w:styleId="69">
    <w:name w:val="批注主题 字符"/>
    <w:basedOn w:val="48"/>
    <w:semiHidden/>
    <w:qFormat/>
    <w:uiPriority w:val="99"/>
    <w:rPr>
      <w:rFonts w:ascii="Times New Roman" w:hAnsi="Times New Roman" w:eastAsia="宋体" w:cs="Times New Roman"/>
      <w:b/>
      <w:bCs/>
      <w:szCs w:val="21"/>
    </w:rPr>
  </w:style>
  <w:style w:type="character" w:customStyle="1" w:styleId="70">
    <w:name w:val="批注主题 字符1"/>
    <w:link w:val="27"/>
    <w:qFormat/>
    <w:uiPriority w:val="99"/>
    <w:rPr>
      <w:rFonts w:ascii="Times New Roman" w:hAnsi="Times New Roman" w:eastAsia="宋体" w:cs="Times New Roman"/>
      <w:b/>
      <w:bCs/>
      <w:szCs w:val="21"/>
    </w:rPr>
  </w:style>
  <w:style w:type="character" w:customStyle="1" w:styleId="71">
    <w:name w:val="正文首行缩进 字符"/>
    <w:basedOn w:val="52"/>
    <w:semiHidden/>
    <w:qFormat/>
    <w:uiPriority w:val="99"/>
    <w:rPr>
      <w:rFonts w:ascii="Times New Roman" w:hAnsi="Times New Roman" w:eastAsia="宋体" w:cs="Times New Roman"/>
      <w:szCs w:val="21"/>
    </w:rPr>
  </w:style>
  <w:style w:type="character" w:customStyle="1" w:styleId="72">
    <w:name w:val="正文文本首行缩进 字符"/>
    <w:link w:val="28"/>
    <w:qFormat/>
    <w:uiPriority w:val="99"/>
    <w:rPr>
      <w:rFonts w:ascii="Times New Roman" w:hAnsi="Times New Roman" w:eastAsia="宋体" w:cs="Times New Roman"/>
      <w:kern w:val="0"/>
      <w:sz w:val="20"/>
      <w:szCs w:val="21"/>
    </w:rPr>
  </w:style>
  <w:style w:type="character" w:customStyle="1" w:styleId="73">
    <w:name w:val="文一 Char"/>
    <w:link w:val="74"/>
    <w:qFormat/>
    <w:uiPriority w:val="0"/>
    <w:rPr>
      <w:snapToGrid w:val="0"/>
      <w:spacing w:val="4"/>
      <w:sz w:val="24"/>
      <w:szCs w:val="24"/>
    </w:rPr>
  </w:style>
  <w:style w:type="paragraph" w:customStyle="1" w:styleId="74">
    <w:name w:val="文一"/>
    <w:basedOn w:val="1"/>
    <w:link w:val="73"/>
    <w:qFormat/>
    <w:uiPriority w:val="0"/>
    <w:pPr>
      <w:topLinePunct/>
      <w:adjustRightInd w:val="0"/>
      <w:snapToGrid w:val="0"/>
      <w:spacing w:line="360" w:lineRule="auto"/>
      <w:ind w:firstLine="200" w:firstLineChars="200"/>
    </w:pPr>
    <w:rPr>
      <w:rFonts w:asciiTheme="minorHAnsi" w:hAnsiTheme="minorHAnsi" w:eastAsiaTheme="minorEastAsia" w:cstheme="minorBidi"/>
      <w:snapToGrid w:val="0"/>
      <w:spacing w:val="4"/>
      <w:sz w:val="24"/>
      <w:szCs w:val="24"/>
    </w:rPr>
  </w:style>
  <w:style w:type="character" w:customStyle="1" w:styleId="75">
    <w:name w:val="15"/>
    <w:qFormat/>
    <w:uiPriority w:val="0"/>
    <w:rPr>
      <w:rFonts w:hint="default" w:ascii="Times New Roman" w:hAnsi="Times New Roman" w:cs="Times New Roman"/>
      <w:color w:val="12477D"/>
      <w:sz w:val="21"/>
      <w:szCs w:val="21"/>
    </w:rPr>
  </w:style>
  <w:style w:type="character" w:customStyle="1" w:styleId="76">
    <w:name w:val="10"/>
    <w:qFormat/>
    <w:uiPriority w:val="0"/>
    <w:rPr>
      <w:rFonts w:hint="default" w:ascii="Times New Roman" w:hAnsi="Times New Roman" w:cs="Times New Roman"/>
    </w:rPr>
  </w:style>
  <w:style w:type="character" w:customStyle="1" w:styleId="77">
    <w:name w:val="16"/>
    <w:qFormat/>
    <w:uiPriority w:val="0"/>
    <w:rPr>
      <w:rFonts w:hint="default" w:ascii="Times New Roman" w:hAnsi="Times New Roman" w:cs="Times New Roman"/>
      <w:i/>
      <w:iCs/>
    </w:rPr>
  </w:style>
  <w:style w:type="paragraph" w:customStyle="1" w:styleId="78">
    <w:name w:val="正文缩进 New"/>
    <w:basedOn w:val="79"/>
    <w:qFormat/>
    <w:uiPriority w:val="0"/>
    <w:pPr>
      <w:ind w:firstLine="420"/>
    </w:pPr>
    <w:rPr>
      <w:rFonts w:ascii="Times New Roman" w:hAnsi="Times New Roman" w:cs="Times New Roman"/>
      <w:snapToGrid/>
      <w:kern w:val="2"/>
      <w:szCs w:val="20"/>
    </w:rPr>
  </w:style>
  <w:style w:type="paragraph" w:customStyle="1" w:styleId="79">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80">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81">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w:qFormat/>
    <w:uiPriority w:val="99"/>
    <w:pPr>
      <w:widowControl w:val="0"/>
      <w:autoSpaceDE w:val="0"/>
      <w:autoSpaceDN w:val="0"/>
      <w:adjustRightInd w:val="0"/>
    </w:pPr>
    <w:rPr>
      <w:rFonts w:ascii="Times New Roman" w:hAnsi="Times New Roman" w:eastAsia="宋体" w:cs="Times New Roman"/>
      <w:sz w:val="21"/>
      <w:szCs w:val="22"/>
      <w:lang w:val="en-US" w:eastAsia="zh-CN" w:bidi="ar-SA"/>
    </w:rPr>
  </w:style>
  <w:style w:type="paragraph" w:customStyle="1" w:styleId="83">
    <w:name w:val="文书"/>
    <w:basedOn w:val="1"/>
    <w:qFormat/>
    <w:uiPriority w:val="0"/>
    <w:pPr>
      <w:ind w:firstLine="560"/>
    </w:pPr>
    <w:rPr>
      <w:sz w:val="28"/>
      <w:szCs w:val="24"/>
    </w:rPr>
  </w:style>
  <w:style w:type="paragraph" w:customStyle="1" w:styleId="84">
    <w:name w:val="TOC 标题1"/>
    <w:basedOn w:val="3"/>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85">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86">
    <w:name w:val="正文 New New New New New New New New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7">
    <w:name w:val="文二"/>
    <w:basedOn w:val="1"/>
    <w:qFormat/>
    <w:uiPriority w:val="99"/>
    <w:pPr>
      <w:jc w:val="left"/>
    </w:pPr>
    <w:rPr>
      <w:rFonts w:ascii="宋体" w:hAnsi="宋体" w:cs="宋体"/>
    </w:rPr>
  </w:style>
  <w:style w:type="paragraph" w:customStyle="1" w:styleId="88">
    <w:name w:val="修订1"/>
    <w:unhideWhenUsed/>
    <w:qFormat/>
    <w:uiPriority w:val="99"/>
    <w:rPr>
      <w:rFonts w:ascii="Times New Roman" w:hAnsi="Times New Roman" w:eastAsia="宋体" w:cs="Times New Roman"/>
      <w:kern w:val="2"/>
      <w:sz w:val="21"/>
      <w:szCs w:val="21"/>
      <w:lang w:val="en-US" w:eastAsia="zh-CN" w:bidi="ar-SA"/>
    </w:rPr>
  </w:style>
  <w:style w:type="paragraph" w:customStyle="1" w:styleId="89">
    <w:name w:val="修订2"/>
    <w:hidden/>
    <w:semiHidden/>
    <w:qFormat/>
    <w:uiPriority w:val="99"/>
    <w:rPr>
      <w:rFonts w:ascii="Times New Roman" w:hAnsi="Times New Roman" w:eastAsia="宋体" w:cs="Times New Roman"/>
      <w:kern w:val="2"/>
      <w:sz w:val="21"/>
      <w:szCs w:val="21"/>
      <w:lang w:val="en-US" w:eastAsia="zh-CN" w:bidi="ar-SA"/>
    </w:rPr>
  </w:style>
  <w:style w:type="paragraph" w:styleId="90">
    <w:name w:val="List Paragraph"/>
    <w:basedOn w:val="1"/>
    <w:qFormat/>
    <w:uiPriority w:val="99"/>
    <w:pPr>
      <w:ind w:firstLine="420" w:firstLineChars="200"/>
    </w:pPr>
  </w:style>
  <w:style w:type="paragraph" w:customStyle="1" w:styleId="91">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9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93">
    <w:name w:val="纯文本 字符"/>
    <w:qFormat/>
    <w:uiPriority w:val="0"/>
    <w:rPr>
      <w:rFonts w:ascii="宋体" w:hAnsi="Courier New"/>
    </w:rPr>
  </w:style>
  <w:style w:type="paragraph" w:customStyle="1" w:styleId="94">
    <w:name w:val="样式 WG标题3 + 行距: 固定值 18 磅"/>
    <w:basedOn w:val="1"/>
    <w:qFormat/>
    <w:uiPriority w:val="0"/>
    <w:pPr>
      <w:autoSpaceDE w:val="0"/>
      <w:autoSpaceDN w:val="0"/>
      <w:adjustRightInd w:val="0"/>
      <w:spacing w:line="360" w:lineRule="exact"/>
      <w:textAlignment w:val="baseline"/>
      <w:outlineLvl w:val="2"/>
    </w:pPr>
    <w:rPr>
      <w:rFonts w:ascii="宋体" w:hAnsi="宋体" w:cs="宋体"/>
      <w:b/>
      <w:bCs/>
      <w:color w:val="000000"/>
      <w:kern w:val="20"/>
      <w:szCs w:val="20"/>
    </w:rPr>
  </w:style>
  <w:style w:type="character" w:customStyle="1" w:styleId="95">
    <w:name w:val="纯文本 字符1"/>
    <w:qFormat/>
    <w:uiPriority w:val="99"/>
    <w:rPr>
      <w:rFonts w:ascii="宋体" w:hAnsi="Courier New" w:eastAsia="楷体_GB2312"/>
    </w:rPr>
  </w:style>
  <w:style w:type="paragraph" w:customStyle="1" w:styleId="96">
    <w:name w:val="_Style 3"/>
    <w:qFormat/>
    <w:uiPriority w:val="1"/>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C42F4B-DD3C-4FF5-8F17-F4B22D44BA69}">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25970</Words>
  <Characters>27374</Characters>
  <Lines>192</Lines>
  <Paragraphs>54</Paragraphs>
  <TotalTime>8</TotalTime>
  <ScaleCrop>false</ScaleCrop>
  <LinksUpToDate>false</LinksUpToDate>
  <CharactersWithSpaces>28016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2023-04-13T02:02:00Z</dcterms:created>
  <dc:creator>Admin</dc:creator>
  <cp:lastModifiedBy>ZhHM</cp:lastModifiedBy>
  <cp:lastPrinted>2023-04-13T02:19:00Z</cp:lastPrinted>
  <dcterms:modified xsi:type="dcterms:W3CDTF">2023-07-21T03:48:54Z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E3A1780B89ED4591AE03B3CFBE1A2A4C_13</vt:lpwstr>
  </property>
</Properties>
</file>