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strike/>
          <w:color w:val="auto"/>
          <w:sz w:val="44"/>
          <w:szCs w:val="44"/>
          <w:highlight w:val="none"/>
        </w:rPr>
      </w:pPr>
    </w:p>
    <w:p>
      <w:pPr>
        <w:spacing w:line="360" w:lineRule="auto"/>
        <w:jc w:val="center"/>
        <w:rPr>
          <w:rFonts w:ascii="宋体" w:cs="宋体"/>
          <w:b/>
          <w:color w:val="auto"/>
          <w:kern w:val="0"/>
          <w:sz w:val="52"/>
          <w:szCs w:val="52"/>
          <w:highlight w:val="none"/>
        </w:rPr>
      </w:pPr>
      <w:r>
        <w:rPr>
          <w:rFonts w:hint="eastAsia" w:ascii="宋体" w:cs="宋体"/>
          <w:b/>
          <w:color w:val="auto"/>
          <w:kern w:val="0"/>
          <w:sz w:val="52"/>
          <w:szCs w:val="52"/>
          <w:highlight w:val="none"/>
        </w:rPr>
        <w:t>永和街道一河两岸文化休闲功能</w:t>
      </w:r>
    </w:p>
    <w:p>
      <w:pPr>
        <w:spacing w:line="360" w:lineRule="auto"/>
        <w:jc w:val="center"/>
        <w:rPr>
          <w:rFonts w:ascii="宋体" w:cs="宋体"/>
          <w:b/>
          <w:color w:val="auto"/>
          <w:kern w:val="0"/>
          <w:sz w:val="52"/>
          <w:szCs w:val="52"/>
          <w:highlight w:val="none"/>
        </w:rPr>
      </w:pPr>
      <w:r>
        <w:rPr>
          <w:rFonts w:hint="eastAsia" w:ascii="宋体" w:cs="宋体"/>
          <w:b/>
          <w:color w:val="auto"/>
          <w:kern w:val="0"/>
          <w:sz w:val="52"/>
          <w:szCs w:val="52"/>
          <w:highlight w:val="none"/>
        </w:rPr>
        <w:t>提升工程</w:t>
      </w:r>
    </w:p>
    <w:p>
      <w:pPr>
        <w:spacing w:line="360" w:lineRule="auto"/>
        <w:jc w:val="center"/>
        <w:rPr>
          <w:rFonts w:ascii="宋体"/>
          <w:b/>
          <w:color w:val="auto"/>
          <w:sz w:val="44"/>
          <w:szCs w:val="44"/>
          <w:highlight w:val="none"/>
        </w:rPr>
      </w:pPr>
    </w:p>
    <w:p>
      <w:pPr>
        <w:spacing w:line="360" w:lineRule="auto"/>
        <w:jc w:val="center"/>
        <w:rPr>
          <w:rFonts w:ascii="宋体"/>
          <w:b/>
          <w:color w:val="auto"/>
          <w:sz w:val="44"/>
          <w:szCs w:val="44"/>
          <w:highlight w:val="none"/>
        </w:rPr>
      </w:pPr>
    </w:p>
    <w:p>
      <w:pPr>
        <w:spacing w:line="360" w:lineRule="auto"/>
        <w:jc w:val="center"/>
        <w:rPr>
          <w:rFonts w:ascii="宋体"/>
          <w:b/>
          <w:color w:val="auto"/>
          <w:sz w:val="44"/>
          <w:szCs w:val="44"/>
          <w:highlight w:val="none"/>
        </w:rPr>
      </w:pPr>
    </w:p>
    <w:p>
      <w:pPr>
        <w:spacing w:line="360" w:lineRule="auto"/>
        <w:jc w:val="center"/>
        <w:rPr>
          <w:rFonts w:ascii="宋体"/>
          <w:b/>
          <w:bCs/>
          <w:color w:val="auto"/>
          <w:spacing w:val="26"/>
          <w:sz w:val="110"/>
          <w:szCs w:val="110"/>
          <w:highlight w:val="none"/>
        </w:rPr>
      </w:pPr>
      <w:r>
        <w:rPr>
          <w:rFonts w:hint="eastAsia" w:ascii="宋体"/>
          <w:b/>
          <w:bCs/>
          <w:color w:val="auto"/>
          <w:spacing w:val="26"/>
          <w:sz w:val="110"/>
          <w:szCs w:val="110"/>
          <w:highlight w:val="none"/>
        </w:rPr>
        <w:t>招标文件</w:t>
      </w:r>
    </w:p>
    <w:p>
      <w:pPr>
        <w:pStyle w:val="35"/>
        <w:spacing w:line="360" w:lineRule="auto"/>
        <w:jc w:val="center"/>
        <w:rPr>
          <w:rFonts w:eastAsia="宋体"/>
          <w:b/>
          <w:color w:val="auto"/>
          <w:sz w:val="44"/>
          <w:szCs w:val="44"/>
          <w:highlight w:val="none"/>
        </w:rPr>
      </w:pPr>
    </w:p>
    <w:p>
      <w:pPr>
        <w:pStyle w:val="35"/>
        <w:spacing w:line="360" w:lineRule="auto"/>
        <w:jc w:val="center"/>
        <w:rPr>
          <w:rFonts w:eastAsia="宋体"/>
          <w:b/>
          <w:color w:val="auto"/>
          <w:sz w:val="44"/>
          <w:szCs w:val="44"/>
          <w:highlight w:val="none"/>
        </w:rPr>
      </w:pPr>
    </w:p>
    <w:p>
      <w:pPr>
        <w:pStyle w:val="35"/>
        <w:spacing w:line="360" w:lineRule="auto"/>
        <w:rPr>
          <w:rFonts w:eastAsia="宋体"/>
          <w:b/>
          <w:color w:val="auto"/>
          <w:sz w:val="44"/>
          <w:szCs w:val="44"/>
          <w:highlight w:val="none"/>
        </w:rPr>
      </w:pPr>
    </w:p>
    <w:p>
      <w:pPr>
        <w:pStyle w:val="35"/>
        <w:spacing w:line="360" w:lineRule="auto"/>
        <w:jc w:val="center"/>
        <w:rPr>
          <w:rFonts w:eastAsia="宋体"/>
          <w:b/>
          <w:color w:val="auto"/>
          <w:sz w:val="44"/>
          <w:szCs w:val="44"/>
          <w:highlight w:val="none"/>
        </w:rPr>
      </w:pPr>
    </w:p>
    <w:p>
      <w:pPr>
        <w:widowControl/>
        <w:spacing w:line="360" w:lineRule="auto"/>
        <w:ind w:hanging="5"/>
        <w:jc w:val="center"/>
        <w:rPr>
          <w:rFonts w:ascii="宋体"/>
          <w:color w:val="auto"/>
          <w:sz w:val="30"/>
          <w:szCs w:val="30"/>
          <w:highlight w:val="none"/>
        </w:rPr>
      </w:pPr>
      <w:r>
        <w:rPr>
          <w:rFonts w:hint="eastAsia" w:ascii="宋体"/>
          <w:color w:val="auto"/>
          <w:sz w:val="30"/>
          <w:szCs w:val="30"/>
          <w:highlight w:val="none"/>
        </w:rPr>
        <w:t>招标人：广州市黄埔区人民政府永和街道办事处</w:t>
      </w:r>
    </w:p>
    <w:p>
      <w:pPr>
        <w:widowControl/>
        <w:spacing w:line="360" w:lineRule="auto"/>
        <w:ind w:hanging="5"/>
        <w:jc w:val="center"/>
        <w:rPr>
          <w:rFonts w:ascii="宋体"/>
          <w:color w:val="auto"/>
          <w:sz w:val="30"/>
          <w:szCs w:val="30"/>
          <w:highlight w:val="none"/>
        </w:rPr>
      </w:pPr>
      <w:r>
        <w:rPr>
          <w:rFonts w:hint="eastAsia" w:ascii="宋体"/>
          <w:color w:val="auto"/>
          <w:sz w:val="30"/>
          <w:szCs w:val="30"/>
          <w:highlight w:val="none"/>
        </w:rPr>
        <w:t>招标代理机构：广州群生招标代理有限公司</w:t>
      </w:r>
    </w:p>
    <w:p>
      <w:pPr>
        <w:spacing w:line="360" w:lineRule="auto"/>
        <w:jc w:val="center"/>
        <w:rPr>
          <w:rFonts w:ascii="宋体"/>
          <w:color w:val="auto"/>
          <w:sz w:val="24"/>
          <w:szCs w:val="24"/>
          <w:highlight w:val="none"/>
        </w:rPr>
      </w:pPr>
      <w:r>
        <w:rPr>
          <w:rFonts w:ascii="宋体"/>
          <w:color w:val="auto"/>
          <w:sz w:val="30"/>
          <w:szCs w:val="30"/>
          <w:highlight w:val="none"/>
        </w:rPr>
        <w:t>202</w:t>
      </w:r>
      <w:r>
        <w:rPr>
          <w:rFonts w:hint="eastAsia" w:ascii="宋体"/>
          <w:color w:val="auto"/>
          <w:sz w:val="30"/>
          <w:szCs w:val="30"/>
          <w:highlight w:val="none"/>
        </w:rPr>
        <w:t>3年7月</w:t>
      </w:r>
    </w:p>
    <w:p>
      <w:pPr>
        <w:widowControl/>
        <w:tabs>
          <w:tab w:val="left" w:pos="851"/>
        </w:tabs>
        <w:spacing w:line="360" w:lineRule="auto"/>
        <w:ind w:left="482"/>
        <w:jc w:val="left"/>
        <w:rPr>
          <w:rFonts w:ascii="宋体"/>
          <w:color w:val="auto"/>
          <w:sz w:val="24"/>
          <w:szCs w:val="24"/>
          <w:highlight w:val="none"/>
        </w:rPr>
      </w:pPr>
    </w:p>
    <w:p>
      <w:pPr>
        <w:pStyle w:val="118"/>
        <w:pageBreakBefore/>
        <w:jc w:val="center"/>
        <w:outlineLvl w:val="0"/>
        <w:rPr>
          <w:rFonts w:ascii="宋体"/>
          <w:color w:val="auto"/>
          <w:highlight w:val="none"/>
        </w:rPr>
      </w:pPr>
      <w:bookmarkStart w:id="0" w:name="_Toc13075"/>
      <w:bookmarkStart w:id="1" w:name="_Toc75788595"/>
      <w:bookmarkStart w:id="2" w:name="_Toc19444"/>
      <w:r>
        <w:rPr>
          <w:rFonts w:ascii="宋体"/>
          <w:color w:val="auto"/>
          <w:highlight w:val="none"/>
          <w:lang w:val="zh-CN"/>
        </w:rPr>
        <w:t>目录</w:t>
      </w:r>
      <w:bookmarkEnd w:id="0"/>
      <w:bookmarkEnd w:id="1"/>
      <w:bookmarkEnd w:id="2"/>
    </w:p>
    <w:p>
      <w:pPr>
        <w:pStyle w:val="30"/>
        <w:tabs>
          <w:tab w:val="right" w:leader="dot" w:pos="9026"/>
          <w:tab w:val="clear" w:pos="9060"/>
        </w:tabs>
        <w:rPr>
          <w:rFonts w:ascii="宋体"/>
          <w:b w:val="0"/>
          <w:bCs w:val="0"/>
          <w:color w:val="auto"/>
          <w:szCs w:val="27"/>
          <w:highlight w:val="none"/>
        </w:rPr>
      </w:pP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TOC \o "1-3" \h \z \u </w:instrText>
      </w:r>
      <w:r>
        <w:rPr>
          <w:rFonts w:hint="eastAsia" w:ascii="宋体"/>
          <w:b w:val="0"/>
          <w:bCs w:val="0"/>
          <w:color w:val="auto"/>
          <w:szCs w:val="27"/>
          <w:highlight w:val="none"/>
        </w:rPr>
        <w:fldChar w:fldCharType="separate"/>
      </w:r>
      <w:r>
        <w:rPr>
          <w:color w:val="auto"/>
          <w:highlight w:val="none"/>
        </w:rPr>
        <w:fldChar w:fldCharType="begin"/>
      </w:r>
      <w:r>
        <w:rPr>
          <w:color w:val="auto"/>
          <w:highlight w:val="none"/>
        </w:rPr>
        <w:instrText xml:space="preserve"> HYPERLINK \l "_Toc19444" </w:instrText>
      </w:r>
      <w:r>
        <w:rPr>
          <w:color w:val="auto"/>
          <w:highlight w:val="none"/>
        </w:rPr>
        <w:fldChar w:fldCharType="separate"/>
      </w:r>
      <w:r>
        <w:rPr>
          <w:rFonts w:hint="eastAsia" w:ascii="宋体"/>
          <w:b w:val="0"/>
          <w:bCs w:val="0"/>
          <w:color w:val="auto"/>
          <w:szCs w:val="27"/>
          <w:highlight w:val="none"/>
          <w:lang w:val="zh-CN"/>
        </w:rPr>
        <w:t>目录</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_Toc19444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"_Toc21514" </w:instrText>
      </w:r>
      <w:r>
        <w:rPr>
          <w:color w:val="auto"/>
          <w:highlight w:val="none"/>
        </w:rPr>
        <w:fldChar w:fldCharType="separate"/>
      </w:r>
      <w:r>
        <w:rPr>
          <w:rFonts w:hint="eastAsia" w:ascii="宋体"/>
          <w:b w:val="0"/>
          <w:bCs w:val="0"/>
          <w:color w:val="auto"/>
          <w:szCs w:val="27"/>
          <w:highlight w:val="none"/>
        </w:rPr>
        <w:t>第一章 招标公告</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_Toc21514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2</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"_Toc16856" </w:instrText>
      </w:r>
      <w:r>
        <w:rPr>
          <w:color w:val="auto"/>
          <w:highlight w:val="none"/>
        </w:rPr>
        <w:fldChar w:fldCharType="separate"/>
      </w:r>
      <w:r>
        <w:rPr>
          <w:rFonts w:hint="eastAsia" w:ascii="宋体"/>
          <w:b w:val="0"/>
          <w:bCs w:val="0"/>
          <w:color w:val="auto"/>
          <w:szCs w:val="27"/>
          <w:highlight w:val="none"/>
        </w:rPr>
        <w:t>第二章 投标须知</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_Toc16856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"_Toc13805" </w:instrText>
      </w:r>
      <w:r>
        <w:rPr>
          <w:color w:val="auto"/>
          <w:highlight w:val="none"/>
        </w:rPr>
        <w:fldChar w:fldCharType="separate"/>
      </w:r>
      <w:r>
        <w:rPr>
          <w:rFonts w:hint="eastAsia" w:ascii="宋体"/>
          <w:b w:val="0"/>
          <w:bCs w:val="0"/>
          <w:color w:val="auto"/>
          <w:szCs w:val="27"/>
          <w:highlight w:val="none"/>
        </w:rPr>
        <w:t>一、投标人须知前附表</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_Toc13805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"_Toc29215" </w:instrText>
      </w:r>
      <w:r>
        <w:rPr>
          <w:color w:val="auto"/>
          <w:highlight w:val="none"/>
        </w:rPr>
        <w:fldChar w:fldCharType="separate"/>
      </w:r>
      <w:r>
        <w:rPr>
          <w:rFonts w:hint="eastAsia" w:ascii="宋体"/>
          <w:b w:val="0"/>
          <w:bCs w:val="0"/>
          <w:color w:val="auto"/>
          <w:szCs w:val="27"/>
          <w:highlight w:val="none"/>
        </w:rPr>
        <w:t>二、投标须知修改表</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_Toc29215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8</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"_Toc16743" </w:instrText>
      </w:r>
      <w:r>
        <w:rPr>
          <w:color w:val="auto"/>
          <w:highlight w:val="none"/>
        </w:rPr>
        <w:fldChar w:fldCharType="separate"/>
      </w:r>
      <w:r>
        <w:rPr>
          <w:rFonts w:hint="eastAsia" w:ascii="宋体"/>
          <w:b w:val="0"/>
          <w:bCs w:val="0"/>
          <w:color w:val="auto"/>
          <w:szCs w:val="27"/>
          <w:highlight w:val="none"/>
        </w:rPr>
        <w:t>附件一：开标记录表</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_Toc16743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28</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"_Toc8301" </w:instrText>
      </w:r>
      <w:r>
        <w:rPr>
          <w:color w:val="auto"/>
          <w:highlight w:val="none"/>
        </w:rPr>
        <w:fldChar w:fldCharType="separate"/>
      </w:r>
      <w:r>
        <w:rPr>
          <w:rFonts w:ascii="宋体"/>
          <w:b w:val="0"/>
          <w:bCs w:val="0"/>
          <w:color w:val="auto"/>
          <w:szCs w:val="27"/>
          <w:highlight w:val="none"/>
        </w:rPr>
        <w:t>附</w:t>
      </w:r>
      <w:r>
        <w:rPr>
          <w:rFonts w:hint="eastAsia" w:ascii="宋体"/>
          <w:b w:val="0"/>
          <w:bCs w:val="0"/>
          <w:color w:val="auto"/>
          <w:szCs w:val="27"/>
          <w:highlight w:val="none"/>
        </w:rPr>
        <w:t>件</w:t>
      </w:r>
      <w:r>
        <w:rPr>
          <w:rFonts w:ascii="宋体"/>
          <w:b w:val="0"/>
          <w:bCs w:val="0"/>
          <w:color w:val="auto"/>
          <w:szCs w:val="27"/>
          <w:highlight w:val="none"/>
        </w:rPr>
        <w:t>二：问题澄清通知</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_Toc8301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30</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"_Toc21360" </w:instrText>
      </w:r>
      <w:r>
        <w:rPr>
          <w:color w:val="auto"/>
          <w:highlight w:val="none"/>
        </w:rPr>
        <w:fldChar w:fldCharType="separate"/>
      </w:r>
      <w:r>
        <w:rPr>
          <w:rFonts w:hint="eastAsia" w:ascii="宋体"/>
          <w:b w:val="0"/>
          <w:bCs w:val="0"/>
          <w:color w:val="auto"/>
          <w:szCs w:val="27"/>
          <w:highlight w:val="none"/>
        </w:rPr>
        <w:t>附件三：问题的澄清</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_Toc21360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31</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"_Toc26131" </w:instrText>
      </w:r>
      <w:r>
        <w:rPr>
          <w:color w:val="auto"/>
          <w:highlight w:val="none"/>
        </w:rPr>
        <w:fldChar w:fldCharType="separate"/>
      </w:r>
      <w:r>
        <w:rPr>
          <w:rFonts w:hint="eastAsia" w:ascii="宋体"/>
          <w:b w:val="0"/>
          <w:bCs w:val="0"/>
          <w:color w:val="auto"/>
          <w:szCs w:val="27"/>
          <w:highlight w:val="none"/>
        </w:rPr>
        <w:t>附件四：中标通知书</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_Toc26131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32</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"_Toc5971" </w:instrText>
      </w:r>
      <w:r>
        <w:rPr>
          <w:color w:val="auto"/>
          <w:highlight w:val="none"/>
        </w:rPr>
        <w:fldChar w:fldCharType="separate"/>
      </w:r>
      <w:r>
        <w:rPr>
          <w:rFonts w:hint="eastAsia" w:ascii="宋体"/>
          <w:b w:val="0"/>
          <w:bCs w:val="0"/>
          <w:color w:val="auto"/>
          <w:szCs w:val="27"/>
          <w:highlight w:val="none"/>
        </w:rPr>
        <w:t>第三章 评标及定标办法</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_Toc5971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33</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"_Toc17290" </w:instrText>
      </w:r>
      <w:r>
        <w:rPr>
          <w:color w:val="auto"/>
          <w:highlight w:val="none"/>
        </w:rPr>
        <w:fldChar w:fldCharType="separate"/>
      </w:r>
      <w:r>
        <w:rPr>
          <w:rFonts w:hint="eastAsia" w:ascii="宋体"/>
          <w:b w:val="0"/>
          <w:bCs w:val="0"/>
          <w:color w:val="auto"/>
          <w:szCs w:val="27"/>
          <w:highlight w:val="none"/>
        </w:rPr>
        <w:t>一、评标及定标办法修改表</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_Toc17290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33</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"_Toc19631" </w:instrText>
      </w:r>
      <w:r>
        <w:rPr>
          <w:color w:val="auto"/>
          <w:highlight w:val="none"/>
        </w:rPr>
        <w:fldChar w:fldCharType="separate"/>
      </w:r>
      <w:r>
        <w:rPr>
          <w:rFonts w:hint="eastAsia" w:ascii="宋体"/>
          <w:b w:val="0"/>
          <w:bCs w:val="0"/>
          <w:color w:val="auto"/>
          <w:szCs w:val="27"/>
          <w:highlight w:val="none"/>
        </w:rPr>
        <w:t>二、评标及定标办法通用条款</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_Toc19631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36</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ind w:firstLine="641" w:firstLineChars="266"/>
        <w:rPr>
          <w:rFonts w:ascii="宋体"/>
          <w:b w:val="0"/>
          <w:bCs w:val="0"/>
          <w:color w:val="auto"/>
          <w:szCs w:val="27"/>
          <w:highlight w:val="none"/>
        </w:rPr>
      </w:pPr>
      <w:r>
        <w:rPr>
          <w:color w:val="auto"/>
          <w:highlight w:val="none"/>
        </w:rPr>
        <w:fldChar w:fldCharType="begin"/>
      </w:r>
      <w:r>
        <w:rPr>
          <w:color w:val="auto"/>
          <w:highlight w:val="none"/>
        </w:rPr>
        <w:instrText xml:space="preserve"> HYPERLINK \l "_Toc24276" </w:instrText>
      </w:r>
      <w:r>
        <w:rPr>
          <w:color w:val="auto"/>
          <w:highlight w:val="none"/>
        </w:rPr>
        <w:fldChar w:fldCharType="separate"/>
      </w:r>
      <w:r>
        <w:rPr>
          <w:rFonts w:hint="eastAsia" w:ascii="宋体"/>
          <w:b w:val="0"/>
          <w:bCs w:val="0"/>
          <w:color w:val="auto"/>
          <w:szCs w:val="27"/>
          <w:highlight w:val="none"/>
        </w:rPr>
        <w:t>方法一：综合评估法一</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_Toc24276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36</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"_Toc23254" </w:instrText>
      </w:r>
      <w:r>
        <w:rPr>
          <w:color w:val="auto"/>
          <w:highlight w:val="none"/>
        </w:rPr>
        <w:fldChar w:fldCharType="separate"/>
      </w:r>
      <w:r>
        <w:rPr>
          <w:rFonts w:hint="eastAsia" w:ascii="宋体"/>
          <w:b w:val="0"/>
          <w:bCs w:val="0"/>
          <w:color w:val="auto"/>
          <w:szCs w:val="27"/>
          <w:highlight w:val="none"/>
        </w:rPr>
        <w:t>第四章 合同条款</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_Toc23254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"_Toc1451" </w:instrText>
      </w:r>
      <w:r>
        <w:rPr>
          <w:color w:val="auto"/>
          <w:highlight w:val="none"/>
        </w:rPr>
        <w:fldChar w:fldCharType="separate"/>
      </w:r>
      <w:r>
        <w:rPr>
          <w:rFonts w:hint="eastAsia" w:ascii="宋体"/>
          <w:b w:val="0"/>
          <w:bCs w:val="0"/>
          <w:color w:val="auto"/>
          <w:szCs w:val="27"/>
          <w:highlight w:val="none"/>
        </w:rPr>
        <w:t>第五章 工程量清单（综合单价承包）</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_Toc1451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116</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"_Toc18626" </w:instrText>
      </w:r>
      <w:r>
        <w:rPr>
          <w:color w:val="auto"/>
          <w:highlight w:val="none"/>
        </w:rPr>
        <w:fldChar w:fldCharType="separate"/>
      </w:r>
      <w:r>
        <w:rPr>
          <w:rFonts w:hint="eastAsia" w:ascii="宋体"/>
          <w:b w:val="0"/>
          <w:bCs w:val="0"/>
          <w:color w:val="auto"/>
          <w:szCs w:val="27"/>
          <w:highlight w:val="none"/>
        </w:rPr>
        <w:t>第六章 图纸（招标图纸）</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_Toc18626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120</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"_Toc13683" </w:instrText>
      </w:r>
      <w:r>
        <w:rPr>
          <w:color w:val="auto"/>
          <w:highlight w:val="none"/>
        </w:rPr>
        <w:fldChar w:fldCharType="separate"/>
      </w:r>
      <w:r>
        <w:rPr>
          <w:rFonts w:hint="eastAsia" w:ascii="宋体"/>
          <w:b w:val="0"/>
          <w:bCs w:val="0"/>
          <w:color w:val="auto"/>
          <w:szCs w:val="27"/>
          <w:highlight w:val="none"/>
        </w:rPr>
        <w:t>第七章 技术标准和要求（合同技术条款）</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_Toc13683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121</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"_Toc4040" </w:instrText>
      </w:r>
      <w:r>
        <w:rPr>
          <w:color w:val="auto"/>
          <w:highlight w:val="none"/>
        </w:rPr>
        <w:fldChar w:fldCharType="separate"/>
      </w:r>
      <w:r>
        <w:rPr>
          <w:rFonts w:hint="eastAsia" w:ascii="宋体"/>
          <w:b w:val="0"/>
          <w:bCs w:val="0"/>
          <w:color w:val="auto"/>
          <w:szCs w:val="27"/>
          <w:highlight w:val="none"/>
        </w:rPr>
        <w:t>第八章 投标文件格式</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_Toc4040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122</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"_Toc9377" </w:instrText>
      </w:r>
      <w:r>
        <w:rPr>
          <w:color w:val="auto"/>
          <w:highlight w:val="none"/>
        </w:rPr>
        <w:fldChar w:fldCharType="separate"/>
      </w:r>
      <w:r>
        <w:rPr>
          <w:rFonts w:hint="eastAsia" w:ascii="宋体"/>
          <w:b w:val="0"/>
          <w:bCs w:val="0"/>
          <w:color w:val="auto"/>
          <w:szCs w:val="27"/>
          <w:highlight w:val="none"/>
        </w:rPr>
        <w:t>第九章 否决性条款汇总</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_Toc9377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155</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b w:val="0"/>
          <w:bCs w:val="0"/>
          <w:color w:val="auto"/>
          <w:szCs w:val="27"/>
          <w:highlight w:val="none"/>
        </w:rPr>
      </w:pPr>
      <w:r>
        <w:rPr>
          <w:color w:val="auto"/>
          <w:highlight w:val="none"/>
        </w:rPr>
        <w:fldChar w:fldCharType="begin"/>
      </w:r>
      <w:r>
        <w:rPr>
          <w:color w:val="auto"/>
          <w:highlight w:val="none"/>
        </w:rPr>
        <w:instrText xml:space="preserve"> HYPERLINK \l "_Toc24352" </w:instrText>
      </w:r>
      <w:r>
        <w:rPr>
          <w:color w:val="auto"/>
          <w:highlight w:val="none"/>
        </w:rPr>
        <w:fldChar w:fldCharType="separate"/>
      </w:r>
      <w:r>
        <w:rPr>
          <w:rFonts w:hint="eastAsia" w:ascii="宋体"/>
          <w:b w:val="0"/>
          <w:bCs w:val="0"/>
          <w:color w:val="auto"/>
          <w:szCs w:val="27"/>
          <w:highlight w:val="none"/>
        </w:rPr>
        <w:t>第十章 最高投标限价（招标控制价）</w:t>
      </w:r>
      <w:r>
        <w:rPr>
          <w:rFonts w:hint="eastAsia" w:ascii="宋体"/>
          <w:b w:val="0"/>
          <w:bCs w:val="0"/>
          <w:color w:val="auto"/>
          <w:szCs w:val="27"/>
          <w:highlight w:val="none"/>
        </w:rPr>
        <w:tab/>
      </w:r>
      <w:r>
        <w:rPr>
          <w:rFonts w:hint="eastAsia" w:ascii="宋体"/>
          <w:b w:val="0"/>
          <w:bCs w:val="0"/>
          <w:color w:val="auto"/>
          <w:szCs w:val="27"/>
          <w:highlight w:val="none"/>
        </w:rPr>
        <w:fldChar w:fldCharType="begin"/>
      </w:r>
      <w:r>
        <w:rPr>
          <w:rFonts w:hint="eastAsia" w:ascii="宋体"/>
          <w:b w:val="0"/>
          <w:bCs w:val="0"/>
          <w:color w:val="auto"/>
          <w:szCs w:val="27"/>
          <w:highlight w:val="none"/>
        </w:rPr>
        <w:instrText xml:space="preserve"> PAGEREF _Toc24352 </w:instrText>
      </w:r>
      <w:r>
        <w:rPr>
          <w:rFonts w:hint="eastAsia" w:ascii="宋体"/>
          <w:b w:val="0"/>
          <w:bCs w:val="0"/>
          <w:color w:val="auto"/>
          <w:szCs w:val="27"/>
          <w:highlight w:val="none"/>
        </w:rPr>
        <w:fldChar w:fldCharType="separate"/>
      </w:r>
      <w:r>
        <w:rPr>
          <w:rFonts w:hint="eastAsia" w:ascii="宋体"/>
          <w:b w:val="0"/>
          <w:bCs w:val="0"/>
          <w:color w:val="auto"/>
          <w:szCs w:val="27"/>
          <w:highlight w:val="none"/>
        </w:rPr>
        <w:t>157</w:t>
      </w:r>
      <w:r>
        <w:rPr>
          <w:rFonts w:hint="eastAsia" w:ascii="宋体"/>
          <w:b w:val="0"/>
          <w:bCs w:val="0"/>
          <w:color w:val="auto"/>
          <w:szCs w:val="27"/>
          <w:highlight w:val="none"/>
        </w:rPr>
        <w:fldChar w:fldCharType="end"/>
      </w:r>
      <w:r>
        <w:rPr>
          <w:rFonts w:hint="eastAsia" w:ascii="宋体"/>
          <w:b w:val="0"/>
          <w:bCs w:val="0"/>
          <w:color w:val="auto"/>
          <w:szCs w:val="27"/>
          <w:highlight w:val="none"/>
        </w:rPr>
        <w:fldChar w:fldCharType="end"/>
      </w:r>
    </w:p>
    <w:p>
      <w:pPr>
        <w:pStyle w:val="30"/>
        <w:tabs>
          <w:tab w:val="right" w:leader="dot" w:pos="9026"/>
          <w:tab w:val="clear" w:pos="9060"/>
        </w:tabs>
        <w:rPr>
          <w:rFonts w:ascii="宋体"/>
          <w:color w:val="auto"/>
          <w:szCs w:val="27"/>
          <w:highlight w:val="none"/>
        </w:rPr>
      </w:pPr>
      <w:r>
        <w:rPr>
          <w:rFonts w:hint="eastAsia" w:ascii="宋体"/>
          <w:b w:val="0"/>
          <w:bCs w:val="0"/>
          <w:color w:val="auto"/>
          <w:szCs w:val="27"/>
          <w:highlight w:val="none"/>
        </w:rPr>
        <w:fldChar w:fldCharType="end"/>
      </w:r>
      <w:bookmarkStart w:id="3" w:name="_Toc17452661"/>
      <w:bookmarkStart w:id="4" w:name="_Toc75788596"/>
      <w:bookmarkStart w:id="5" w:name="_Toc17451620"/>
      <w:bookmarkStart w:id="6" w:name="_Toc17556873"/>
      <w:bookmarkStart w:id="7" w:name="_Toc17454919"/>
      <w:bookmarkStart w:id="8" w:name="_Toc17451098"/>
      <w:bookmarkStart w:id="9" w:name="_Toc17451575"/>
      <w:bookmarkStart w:id="10" w:name="_Toc17454868"/>
    </w:p>
    <w:p>
      <w:pPr>
        <w:rPr>
          <w:rFonts w:ascii="宋体"/>
          <w:color w:val="auto"/>
          <w:sz w:val="24"/>
          <w:szCs w:val="24"/>
          <w:highlight w:val="none"/>
        </w:rPr>
      </w:pPr>
    </w:p>
    <w:p>
      <w:pPr>
        <w:rPr>
          <w:rFonts w:ascii="宋体"/>
          <w:color w:val="auto"/>
          <w:sz w:val="24"/>
          <w:szCs w:val="24"/>
          <w:highlight w:val="none"/>
        </w:rPr>
      </w:pPr>
    </w:p>
    <w:p>
      <w:pPr>
        <w:pStyle w:val="9"/>
        <w:numPr>
          <w:ilvl w:val="0"/>
          <w:numId w:val="1"/>
        </w:numPr>
        <w:rPr>
          <w:rFonts w:ascii="宋体" w:eastAsia="宋体"/>
          <w:color w:val="auto"/>
          <w:highlight w:val="none"/>
        </w:rPr>
      </w:pPr>
      <w:bookmarkStart w:id="11" w:name="_Toc27385"/>
      <w:bookmarkStart w:id="12" w:name="_Toc21514"/>
      <w:r>
        <w:rPr>
          <w:rFonts w:hint="eastAsia" w:ascii="宋体" w:eastAsia="宋体"/>
          <w:color w:val="auto"/>
          <w:highlight w:val="none"/>
        </w:rPr>
        <w:br w:type="page"/>
      </w:r>
    </w:p>
    <w:p>
      <w:pPr>
        <w:pStyle w:val="9"/>
        <w:numPr>
          <w:ilvl w:val="0"/>
          <w:numId w:val="2"/>
        </w:numPr>
        <w:rPr>
          <w:rFonts w:ascii="宋体" w:eastAsia="宋体"/>
          <w:color w:val="auto"/>
          <w:highlight w:val="none"/>
        </w:rPr>
      </w:pPr>
      <w:r>
        <w:rPr>
          <w:rFonts w:hint="eastAsia" w:ascii="宋体" w:eastAsia="宋体"/>
          <w:color w:val="auto"/>
          <w:highlight w:val="none"/>
        </w:rPr>
        <w:t>招标公告</w:t>
      </w:r>
      <w:bookmarkEnd w:id="3"/>
      <w:bookmarkEnd w:id="4"/>
      <w:bookmarkEnd w:id="5"/>
      <w:bookmarkEnd w:id="6"/>
      <w:bookmarkEnd w:id="7"/>
      <w:bookmarkEnd w:id="8"/>
      <w:bookmarkEnd w:id="9"/>
      <w:bookmarkEnd w:id="10"/>
      <w:bookmarkEnd w:id="11"/>
      <w:bookmarkEnd w:id="12"/>
    </w:p>
    <w:p>
      <w:pPr>
        <w:ind w:firstLine="3678" w:firstLineChars="1145"/>
        <w:rPr>
          <w:rFonts w:ascii="宋体"/>
          <w:b/>
          <w:bCs/>
          <w:color w:val="auto"/>
          <w:sz w:val="32"/>
          <w:szCs w:val="36"/>
          <w:highlight w:val="none"/>
        </w:rPr>
      </w:pPr>
      <w:r>
        <w:rPr>
          <w:rFonts w:hint="eastAsia" w:ascii="宋体"/>
          <w:b/>
          <w:bCs/>
          <w:color w:val="auto"/>
          <w:sz w:val="32"/>
          <w:szCs w:val="36"/>
          <w:highlight w:val="none"/>
        </w:rPr>
        <w:t>（另册）</w:t>
      </w:r>
    </w:p>
    <w:p>
      <w:pPr>
        <w:rPr>
          <w:rFonts w:ascii="宋体"/>
          <w:b/>
          <w:color w:val="auto"/>
          <w:sz w:val="28"/>
          <w:highlight w:val="none"/>
        </w:rPr>
      </w:pPr>
    </w:p>
    <w:p>
      <w:pPr>
        <w:pStyle w:val="9"/>
        <w:spacing w:line="240" w:lineRule="auto"/>
        <w:rPr>
          <w:rFonts w:ascii="宋体" w:eastAsia="宋体"/>
          <w:color w:val="auto"/>
          <w:highlight w:val="none"/>
        </w:rPr>
      </w:pPr>
      <w:bookmarkStart w:id="13" w:name="_Toc17451099"/>
      <w:bookmarkStart w:id="14" w:name="_Toc17452662"/>
      <w:bookmarkStart w:id="15" w:name="_Toc17454920"/>
      <w:bookmarkStart w:id="16" w:name="_Toc17556874"/>
      <w:bookmarkStart w:id="17" w:name="_Toc17451576"/>
      <w:bookmarkStart w:id="18" w:name="_Toc17451621"/>
      <w:bookmarkStart w:id="19" w:name="_Toc17454869"/>
      <w:bookmarkStart w:id="20" w:name="_Toc221950008"/>
      <w:r>
        <w:rPr>
          <w:rFonts w:hint="eastAsia" w:ascii="宋体" w:eastAsia="宋体"/>
          <w:color w:val="auto"/>
          <w:highlight w:val="none"/>
        </w:rPr>
        <w:br w:type="page"/>
      </w:r>
      <w:bookmarkStart w:id="21" w:name="_Toc16856"/>
      <w:bookmarkStart w:id="22" w:name="_Toc75788597"/>
      <w:bookmarkStart w:id="23" w:name="_Toc15140"/>
      <w:r>
        <w:rPr>
          <w:rFonts w:hint="eastAsia" w:ascii="宋体" w:eastAsia="宋体"/>
          <w:color w:val="auto"/>
          <w:highlight w:val="none"/>
        </w:rPr>
        <w:t>第二章 投标须知</w:t>
      </w:r>
      <w:bookmarkEnd w:id="13"/>
      <w:bookmarkEnd w:id="14"/>
      <w:bookmarkEnd w:id="15"/>
      <w:bookmarkEnd w:id="16"/>
      <w:bookmarkEnd w:id="17"/>
      <w:bookmarkEnd w:id="18"/>
      <w:bookmarkEnd w:id="19"/>
      <w:bookmarkEnd w:id="21"/>
      <w:bookmarkEnd w:id="22"/>
      <w:bookmarkEnd w:id="23"/>
    </w:p>
    <w:p>
      <w:pPr>
        <w:jc w:val="center"/>
        <w:outlineLvl w:val="2"/>
        <w:rPr>
          <w:rFonts w:ascii="宋体"/>
          <w:color w:val="auto"/>
          <w:sz w:val="28"/>
          <w:szCs w:val="27"/>
          <w:highlight w:val="none"/>
        </w:rPr>
      </w:pPr>
      <w:bookmarkStart w:id="24" w:name="_Toc17556875"/>
      <w:bookmarkStart w:id="25" w:name="_Toc17451100"/>
      <w:bookmarkStart w:id="26" w:name="_Toc9916"/>
      <w:bookmarkStart w:id="27" w:name="_Toc17454870"/>
      <w:bookmarkStart w:id="28" w:name="_Toc17451622"/>
      <w:bookmarkStart w:id="29" w:name="_Toc17451577"/>
      <w:bookmarkStart w:id="30" w:name="_Toc17452663"/>
      <w:bookmarkStart w:id="31" w:name="_Toc75788598"/>
      <w:bookmarkStart w:id="32" w:name="_Toc17454921"/>
      <w:bookmarkStart w:id="33" w:name="_Toc13805"/>
      <w:r>
        <w:rPr>
          <w:rFonts w:hint="eastAsia" w:ascii="宋体"/>
          <w:color w:val="auto"/>
          <w:sz w:val="28"/>
          <w:szCs w:val="27"/>
          <w:highlight w:val="none"/>
        </w:rPr>
        <w:t>一、投标人须知前附表</w:t>
      </w:r>
      <w:bookmarkEnd w:id="20"/>
      <w:bookmarkEnd w:id="24"/>
      <w:bookmarkEnd w:id="25"/>
      <w:bookmarkEnd w:id="26"/>
      <w:bookmarkEnd w:id="27"/>
      <w:bookmarkEnd w:id="28"/>
      <w:bookmarkEnd w:id="29"/>
      <w:bookmarkEnd w:id="30"/>
      <w:bookmarkEnd w:id="31"/>
      <w:bookmarkEnd w:id="32"/>
      <w:bookmarkEnd w:id="33"/>
    </w:p>
    <w:tbl>
      <w:tblPr>
        <w:tblStyle w:val="4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191"/>
        <w:gridCol w:w="5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b/>
                <w:color w:val="auto"/>
                <w:szCs w:val="21"/>
                <w:highlight w:val="none"/>
              </w:rPr>
            </w:pPr>
            <w:bookmarkStart w:id="34" w:name="_Toc221950009"/>
            <w:r>
              <w:rPr>
                <w:rFonts w:ascii="宋体"/>
                <w:b/>
                <w:color w:val="auto"/>
                <w:szCs w:val="21"/>
                <w:highlight w:val="none"/>
              </w:rPr>
              <w:t>条款号</w:t>
            </w:r>
            <w:bookmarkEnd w:id="34"/>
          </w:p>
        </w:tc>
        <w:tc>
          <w:tcPr>
            <w:tcW w:w="2191" w:type="dxa"/>
            <w:vAlign w:val="center"/>
          </w:tcPr>
          <w:p>
            <w:pPr>
              <w:spacing w:before="120" w:beforeLines="50"/>
              <w:contextualSpacing/>
              <w:jc w:val="center"/>
              <w:rPr>
                <w:rFonts w:ascii="宋体"/>
                <w:b/>
                <w:color w:val="auto"/>
                <w:szCs w:val="21"/>
                <w:highlight w:val="none"/>
              </w:rPr>
            </w:pPr>
            <w:bookmarkStart w:id="35" w:name="_Toc221950010"/>
            <w:r>
              <w:rPr>
                <w:rFonts w:ascii="宋体"/>
                <w:b/>
                <w:color w:val="auto"/>
                <w:szCs w:val="21"/>
                <w:highlight w:val="none"/>
              </w:rPr>
              <w:t>条款名称</w:t>
            </w:r>
            <w:bookmarkEnd w:id="35"/>
          </w:p>
        </w:tc>
        <w:tc>
          <w:tcPr>
            <w:tcW w:w="5265" w:type="dxa"/>
            <w:vAlign w:val="center"/>
          </w:tcPr>
          <w:p>
            <w:pPr>
              <w:spacing w:before="120" w:beforeLines="50"/>
              <w:contextualSpacing/>
              <w:jc w:val="center"/>
              <w:rPr>
                <w:rFonts w:ascii="宋体"/>
                <w:b/>
                <w:color w:val="auto"/>
                <w:szCs w:val="21"/>
                <w:highlight w:val="none"/>
              </w:rPr>
            </w:pPr>
            <w:bookmarkStart w:id="36" w:name="_Toc221950011"/>
            <w:r>
              <w:rPr>
                <w:rFonts w:ascii="宋体"/>
                <w:b/>
                <w:color w:val="auto"/>
                <w:szCs w:val="21"/>
                <w:highlight w:val="none"/>
              </w:rPr>
              <w:t>编列内容</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299" w:type="dxa"/>
            <w:vAlign w:val="center"/>
          </w:tcPr>
          <w:p>
            <w:pPr>
              <w:spacing w:before="120" w:beforeLines="50"/>
              <w:contextualSpacing/>
              <w:jc w:val="center"/>
              <w:rPr>
                <w:rFonts w:ascii="宋体"/>
                <w:color w:val="auto"/>
                <w:szCs w:val="21"/>
                <w:highlight w:val="none"/>
              </w:rPr>
            </w:pPr>
            <w:bookmarkStart w:id="37" w:name="_Toc221950012"/>
            <w:r>
              <w:rPr>
                <w:rFonts w:ascii="宋体"/>
                <w:color w:val="auto"/>
                <w:szCs w:val="21"/>
                <w:highlight w:val="none"/>
              </w:rPr>
              <w:t>1.1.2</w:t>
            </w:r>
            <w:bookmarkEnd w:id="37"/>
          </w:p>
        </w:tc>
        <w:tc>
          <w:tcPr>
            <w:tcW w:w="2191" w:type="dxa"/>
            <w:vAlign w:val="center"/>
          </w:tcPr>
          <w:p>
            <w:pPr>
              <w:spacing w:before="120" w:beforeLines="50"/>
              <w:contextualSpacing/>
              <w:jc w:val="left"/>
              <w:rPr>
                <w:rFonts w:ascii="宋体"/>
                <w:color w:val="auto"/>
                <w:szCs w:val="21"/>
                <w:highlight w:val="none"/>
              </w:rPr>
            </w:pPr>
            <w:bookmarkStart w:id="38" w:name="_Toc221950013"/>
            <w:r>
              <w:rPr>
                <w:rFonts w:ascii="宋体"/>
                <w:color w:val="auto"/>
                <w:szCs w:val="21"/>
                <w:highlight w:val="none"/>
              </w:rPr>
              <w:t>招标人</w:t>
            </w:r>
            <w:bookmarkEnd w:id="38"/>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名称：广州市黄埔区人民政府永和街道办事处</w:t>
            </w:r>
          </w:p>
          <w:p>
            <w:pPr>
              <w:spacing w:before="120" w:beforeLines="50"/>
              <w:contextualSpacing/>
              <w:rPr>
                <w:rFonts w:ascii="宋体"/>
                <w:color w:val="auto"/>
                <w:szCs w:val="21"/>
                <w:highlight w:val="none"/>
              </w:rPr>
            </w:pPr>
            <w:r>
              <w:rPr>
                <w:rFonts w:hint="eastAsia" w:ascii="宋体"/>
                <w:color w:val="auto"/>
                <w:szCs w:val="21"/>
                <w:highlight w:val="none"/>
              </w:rPr>
              <w:t>地址：广州市黄埔区摇田河大街81号</w:t>
            </w:r>
          </w:p>
          <w:p>
            <w:pPr>
              <w:spacing w:before="120" w:beforeLines="50"/>
              <w:contextualSpacing/>
              <w:rPr>
                <w:rFonts w:ascii="宋体"/>
                <w:color w:val="auto"/>
                <w:szCs w:val="21"/>
                <w:highlight w:val="none"/>
              </w:rPr>
            </w:pPr>
            <w:r>
              <w:rPr>
                <w:rFonts w:hint="eastAsia" w:ascii="宋体"/>
                <w:color w:val="auto"/>
                <w:szCs w:val="21"/>
                <w:highlight w:val="none"/>
              </w:rPr>
              <w:t>联系人：邱工</w:t>
            </w:r>
          </w:p>
          <w:p>
            <w:pPr>
              <w:spacing w:before="120" w:beforeLines="50"/>
              <w:contextualSpacing/>
              <w:rPr>
                <w:rFonts w:ascii="宋体"/>
                <w:color w:val="auto"/>
                <w:szCs w:val="21"/>
                <w:highlight w:val="none"/>
              </w:rPr>
            </w:pPr>
            <w:r>
              <w:rPr>
                <w:rFonts w:hint="eastAsia" w:ascii="宋体"/>
                <w:color w:val="auto"/>
                <w:szCs w:val="21"/>
                <w:highlight w:val="none"/>
              </w:rPr>
              <w:t>电话：020-32164009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299" w:type="dxa"/>
            <w:vAlign w:val="center"/>
          </w:tcPr>
          <w:p>
            <w:pPr>
              <w:spacing w:before="120" w:beforeLines="50"/>
              <w:contextualSpacing/>
              <w:jc w:val="center"/>
              <w:rPr>
                <w:rFonts w:ascii="宋体"/>
                <w:color w:val="auto"/>
                <w:szCs w:val="21"/>
                <w:highlight w:val="none"/>
              </w:rPr>
            </w:pPr>
            <w:bookmarkStart w:id="39" w:name="_Toc221950014"/>
            <w:r>
              <w:rPr>
                <w:rFonts w:ascii="宋体"/>
                <w:color w:val="auto"/>
                <w:szCs w:val="21"/>
                <w:highlight w:val="none"/>
              </w:rPr>
              <w:t>1.1.3</w:t>
            </w:r>
            <w:bookmarkEnd w:id="39"/>
          </w:p>
        </w:tc>
        <w:tc>
          <w:tcPr>
            <w:tcW w:w="2191" w:type="dxa"/>
            <w:vAlign w:val="center"/>
          </w:tcPr>
          <w:p>
            <w:pPr>
              <w:spacing w:before="120" w:beforeLines="50"/>
              <w:contextualSpacing/>
              <w:jc w:val="left"/>
              <w:rPr>
                <w:rFonts w:ascii="宋体"/>
                <w:color w:val="auto"/>
                <w:szCs w:val="21"/>
                <w:highlight w:val="none"/>
              </w:rPr>
            </w:pPr>
            <w:bookmarkStart w:id="40" w:name="_Toc221950015"/>
            <w:r>
              <w:rPr>
                <w:rFonts w:ascii="宋体"/>
                <w:color w:val="auto"/>
                <w:szCs w:val="21"/>
                <w:highlight w:val="none"/>
              </w:rPr>
              <w:t>招标代理机构</w:t>
            </w:r>
            <w:bookmarkEnd w:id="40"/>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名称：广州群生招标代理有限公司</w:t>
            </w:r>
          </w:p>
          <w:p>
            <w:pPr>
              <w:spacing w:before="120" w:beforeLines="50"/>
              <w:contextualSpacing/>
              <w:rPr>
                <w:rFonts w:ascii="宋体"/>
                <w:color w:val="auto"/>
                <w:szCs w:val="21"/>
                <w:highlight w:val="none"/>
              </w:rPr>
            </w:pPr>
            <w:r>
              <w:rPr>
                <w:rFonts w:hint="eastAsia" w:ascii="宋体"/>
                <w:color w:val="auto"/>
                <w:szCs w:val="21"/>
                <w:highlight w:val="none"/>
              </w:rPr>
              <w:t>地址：广州市越秀区东风东路555号2204</w:t>
            </w:r>
          </w:p>
          <w:p>
            <w:pPr>
              <w:spacing w:before="120" w:beforeLines="50"/>
              <w:contextualSpacing/>
              <w:rPr>
                <w:rFonts w:ascii="宋体"/>
                <w:color w:val="auto"/>
                <w:szCs w:val="21"/>
                <w:highlight w:val="none"/>
              </w:rPr>
            </w:pPr>
            <w:r>
              <w:rPr>
                <w:rFonts w:hint="eastAsia" w:ascii="宋体"/>
                <w:color w:val="auto"/>
                <w:szCs w:val="21"/>
                <w:highlight w:val="none"/>
              </w:rPr>
              <w:t>联系人：刘工、马工</w:t>
            </w:r>
          </w:p>
          <w:p>
            <w:pPr>
              <w:spacing w:before="120" w:beforeLines="50"/>
              <w:contextualSpacing/>
              <w:rPr>
                <w:rFonts w:ascii="宋体"/>
                <w:color w:val="auto"/>
                <w:szCs w:val="21"/>
                <w:highlight w:val="none"/>
              </w:rPr>
            </w:pPr>
            <w:r>
              <w:rPr>
                <w:rFonts w:hint="eastAsia" w:ascii="宋体"/>
                <w:color w:val="auto"/>
                <w:szCs w:val="21"/>
                <w:highlight w:val="none"/>
              </w:rPr>
              <w:t>电话：18011735206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99" w:type="dxa"/>
            <w:vAlign w:val="center"/>
          </w:tcPr>
          <w:p>
            <w:pPr>
              <w:spacing w:before="120" w:beforeLines="50"/>
              <w:contextualSpacing/>
              <w:jc w:val="center"/>
              <w:rPr>
                <w:rFonts w:ascii="宋体"/>
                <w:color w:val="auto"/>
                <w:szCs w:val="21"/>
                <w:highlight w:val="none"/>
              </w:rPr>
            </w:pPr>
            <w:bookmarkStart w:id="41" w:name="_Toc221950016"/>
            <w:r>
              <w:rPr>
                <w:rFonts w:ascii="宋体"/>
                <w:color w:val="auto"/>
                <w:szCs w:val="21"/>
                <w:highlight w:val="none"/>
              </w:rPr>
              <w:t>1.1.4</w:t>
            </w:r>
            <w:bookmarkEnd w:id="41"/>
          </w:p>
        </w:tc>
        <w:tc>
          <w:tcPr>
            <w:tcW w:w="2191" w:type="dxa"/>
            <w:vAlign w:val="center"/>
          </w:tcPr>
          <w:p>
            <w:pPr>
              <w:spacing w:before="120" w:beforeLines="50"/>
              <w:contextualSpacing/>
              <w:jc w:val="left"/>
              <w:rPr>
                <w:rFonts w:ascii="宋体"/>
                <w:color w:val="auto"/>
                <w:szCs w:val="21"/>
                <w:highlight w:val="none"/>
              </w:rPr>
            </w:pPr>
            <w:bookmarkStart w:id="42" w:name="_Toc221950017"/>
            <w:r>
              <w:rPr>
                <w:rFonts w:ascii="宋体"/>
                <w:color w:val="auto"/>
                <w:szCs w:val="21"/>
                <w:highlight w:val="none"/>
              </w:rPr>
              <w:t>项目名称</w:t>
            </w:r>
            <w:bookmarkEnd w:id="42"/>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永和街道一河两岸文化休闲功能提升工程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99" w:type="dxa"/>
            <w:vAlign w:val="center"/>
          </w:tcPr>
          <w:p>
            <w:pPr>
              <w:spacing w:before="120" w:beforeLines="50"/>
              <w:contextualSpacing/>
              <w:jc w:val="center"/>
              <w:rPr>
                <w:rFonts w:ascii="宋体"/>
                <w:color w:val="auto"/>
                <w:szCs w:val="21"/>
                <w:highlight w:val="none"/>
              </w:rPr>
            </w:pPr>
            <w:bookmarkStart w:id="43" w:name="_Toc221950018"/>
            <w:r>
              <w:rPr>
                <w:rFonts w:ascii="宋体"/>
                <w:color w:val="auto"/>
                <w:szCs w:val="21"/>
                <w:highlight w:val="none"/>
              </w:rPr>
              <w:t>1.1.5</w:t>
            </w:r>
            <w:bookmarkEnd w:id="43"/>
          </w:p>
        </w:tc>
        <w:tc>
          <w:tcPr>
            <w:tcW w:w="2191" w:type="dxa"/>
            <w:vAlign w:val="center"/>
          </w:tcPr>
          <w:p>
            <w:pPr>
              <w:spacing w:before="120" w:beforeLines="50"/>
              <w:contextualSpacing/>
              <w:jc w:val="left"/>
              <w:rPr>
                <w:rFonts w:ascii="宋体"/>
                <w:color w:val="auto"/>
                <w:szCs w:val="21"/>
                <w:highlight w:val="none"/>
              </w:rPr>
            </w:pPr>
            <w:bookmarkStart w:id="44" w:name="_Toc221950019"/>
            <w:r>
              <w:rPr>
                <w:rFonts w:ascii="宋体"/>
                <w:color w:val="auto"/>
                <w:szCs w:val="21"/>
                <w:highlight w:val="none"/>
              </w:rPr>
              <w:t>建设地点</w:t>
            </w:r>
            <w:bookmarkEnd w:id="44"/>
          </w:p>
        </w:tc>
        <w:tc>
          <w:tcPr>
            <w:tcW w:w="5265" w:type="dxa"/>
            <w:vAlign w:val="center"/>
          </w:tcPr>
          <w:p>
            <w:pPr>
              <w:spacing w:before="120" w:beforeLines="50"/>
              <w:contextualSpacing/>
              <w:rPr>
                <w:rFonts w:ascii="宋体"/>
                <w:color w:val="auto"/>
                <w:szCs w:val="21"/>
                <w:highlight w:val="none"/>
              </w:rPr>
            </w:pPr>
            <w:r>
              <w:rPr>
                <w:rFonts w:hint="eastAsia" w:ascii="宋体" w:hAnsi="宋体" w:cs="宋体"/>
                <w:color w:val="auto"/>
                <w:sz w:val="21"/>
                <w:szCs w:val="21"/>
                <w:highlight w:val="none"/>
                <w:u w:val="single"/>
              </w:rPr>
              <w:t>广州市黄埔区</w:t>
            </w:r>
            <w:r>
              <w:rPr>
                <w:rFonts w:hint="eastAsia" w:ascii="宋体" w:hAnsi="宋体"/>
                <w:color w:val="auto"/>
                <w:sz w:val="21"/>
                <w:szCs w:val="21"/>
                <w:highlight w:val="none"/>
                <w:u w:val="single"/>
              </w:rPr>
              <w:t>永和河两岸</w:t>
            </w: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bookmarkStart w:id="45" w:name="_Toc221950030"/>
            <w:r>
              <w:rPr>
                <w:rFonts w:ascii="宋体"/>
                <w:color w:val="auto"/>
                <w:szCs w:val="21"/>
                <w:highlight w:val="none"/>
              </w:rPr>
              <w:t>1.2.1</w:t>
            </w:r>
            <w:bookmarkEnd w:id="45"/>
          </w:p>
        </w:tc>
        <w:tc>
          <w:tcPr>
            <w:tcW w:w="2191" w:type="dxa"/>
            <w:vAlign w:val="center"/>
          </w:tcPr>
          <w:p>
            <w:pPr>
              <w:spacing w:before="120" w:beforeLines="50"/>
              <w:contextualSpacing/>
              <w:jc w:val="left"/>
              <w:rPr>
                <w:rFonts w:ascii="宋体"/>
                <w:color w:val="auto"/>
                <w:szCs w:val="21"/>
                <w:highlight w:val="none"/>
              </w:rPr>
            </w:pPr>
            <w:bookmarkStart w:id="46" w:name="_Toc221950031"/>
            <w:r>
              <w:rPr>
                <w:rFonts w:ascii="宋体"/>
                <w:color w:val="auto"/>
                <w:szCs w:val="21"/>
                <w:highlight w:val="none"/>
              </w:rPr>
              <w:t>资金来源</w:t>
            </w:r>
            <w:bookmarkEnd w:id="46"/>
            <w:r>
              <w:rPr>
                <w:rFonts w:hint="eastAsia" w:ascii="宋体"/>
                <w:color w:val="auto"/>
                <w:szCs w:val="21"/>
                <w:highlight w:val="none"/>
              </w:rPr>
              <w:t>及比例</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区财政资金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bookmarkStart w:id="47" w:name="_Toc221950036"/>
            <w:r>
              <w:rPr>
                <w:rFonts w:ascii="宋体"/>
                <w:color w:val="auto"/>
                <w:szCs w:val="21"/>
                <w:highlight w:val="none"/>
              </w:rPr>
              <w:t>1.</w:t>
            </w:r>
            <w:r>
              <w:rPr>
                <w:rFonts w:hint="eastAsia" w:ascii="宋体"/>
                <w:color w:val="auto"/>
                <w:szCs w:val="21"/>
                <w:highlight w:val="none"/>
              </w:rPr>
              <w:t>3</w:t>
            </w:r>
            <w:r>
              <w:rPr>
                <w:rFonts w:ascii="宋体"/>
                <w:color w:val="auto"/>
                <w:szCs w:val="21"/>
                <w:highlight w:val="none"/>
              </w:rPr>
              <w:t>.1</w:t>
            </w:r>
            <w:bookmarkEnd w:id="47"/>
          </w:p>
        </w:tc>
        <w:tc>
          <w:tcPr>
            <w:tcW w:w="2191" w:type="dxa"/>
            <w:vAlign w:val="center"/>
          </w:tcPr>
          <w:p>
            <w:pPr>
              <w:spacing w:before="120" w:beforeLines="50"/>
              <w:contextualSpacing/>
              <w:jc w:val="left"/>
              <w:rPr>
                <w:rFonts w:ascii="宋体"/>
                <w:color w:val="auto"/>
                <w:szCs w:val="21"/>
                <w:highlight w:val="none"/>
              </w:rPr>
            </w:pPr>
            <w:bookmarkStart w:id="48" w:name="_Toc221950037"/>
            <w:r>
              <w:rPr>
                <w:rFonts w:ascii="宋体"/>
                <w:color w:val="auto"/>
                <w:szCs w:val="21"/>
                <w:highlight w:val="none"/>
              </w:rPr>
              <w:t>招标范围</w:t>
            </w:r>
            <w:bookmarkEnd w:id="48"/>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bookmarkStart w:id="49" w:name="_Toc221950038"/>
            <w:r>
              <w:rPr>
                <w:rFonts w:ascii="宋体"/>
                <w:color w:val="auto"/>
                <w:szCs w:val="21"/>
                <w:highlight w:val="none"/>
              </w:rPr>
              <w:t>1.3.2</w:t>
            </w:r>
            <w:bookmarkEnd w:id="49"/>
          </w:p>
        </w:tc>
        <w:tc>
          <w:tcPr>
            <w:tcW w:w="2191" w:type="dxa"/>
            <w:vAlign w:val="center"/>
          </w:tcPr>
          <w:p>
            <w:pPr>
              <w:spacing w:before="120" w:beforeLines="50"/>
              <w:contextualSpacing/>
              <w:jc w:val="left"/>
              <w:rPr>
                <w:rFonts w:ascii="宋体"/>
                <w:color w:val="auto"/>
                <w:szCs w:val="21"/>
                <w:highlight w:val="none"/>
              </w:rPr>
            </w:pPr>
            <w:bookmarkStart w:id="50" w:name="_Toc221950039"/>
            <w:r>
              <w:rPr>
                <w:rFonts w:ascii="宋体"/>
                <w:color w:val="auto"/>
                <w:szCs w:val="21"/>
                <w:highlight w:val="none"/>
              </w:rPr>
              <w:t>计划工期</w:t>
            </w:r>
            <w:bookmarkEnd w:id="50"/>
          </w:p>
        </w:tc>
        <w:tc>
          <w:tcPr>
            <w:tcW w:w="5265" w:type="dxa"/>
            <w:vAlign w:val="center"/>
          </w:tcPr>
          <w:p>
            <w:pPr>
              <w:spacing w:before="120" w:beforeLines="50"/>
              <w:contextualSpacing/>
              <w:rPr>
                <w:rFonts w:ascii="宋体"/>
                <w:color w:val="auto"/>
                <w:szCs w:val="21"/>
                <w:highlight w:val="none"/>
              </w:rPr>
            </w:pPr>
            <w:bookmarkStart w:id="51" w:name="_Toc221950040"/>
            <w:r>
              <w:rPr>
                <w:rFonts w:ascii="宋体"/>
                <w:color w:val="auto"/>
                <w:szCs w:val="21"/>
                <w:highlight w:val="none"/>
              </w:rPr>
              <w:t>计划工期</w:t>
            </w:r>
            <w:r>
              <w:rPr>
                <w:rFonts w:hint="eastAsia" w:ascii="宋体"/>
                <w:color w:val="auto"/>
                <w:szCs w:val="21"/>
                <w:highlight w:val="none"/>
              </w:rPr>
              <w:t>：</w:t>
            </w:r>
            <w:bookmarkEnd w:id="51"/>
            <w:r>
              <w:rPr>
                <w:rFonts w:hint="eastAsia" w:ascii="宋体"/>
                <w:color w:val="auto"/>
                <w:szCs w:val="21"/>
                <w:highlight w:val="none"/>
                <w:u w:val="single"/>
              </w:rPr>
              <w:t xml:space="preserve"> 75 </w:t>
            </w:r>
            <w:r>
              <w:rPr>
                <w:rFonts w:hint="eastAsia" w:ascii="宋体"/>
                <w:color w:val="auto"/>
                <w:szCs w:val="21"/>
                <w:highlight w:val="none"/>
              </w:rPr>
              <w:t>日历天</w:t>
            </w:r>
          </w:p>
          <w:p>
            <w:pPr>
              <w:spacing w:before="120" w:beforeLines="50"/>
              <w:contextualSpacing/>
              <w:rPr>
                <w:rFonts w:ascii="宋体"/>
                <w:color w:val="auto"/>
                <w:szCs w:val="21"/>
                <w:highlight w:val="none"/>
              </w:rPr>
            </w:pPr>
            <w:r>
              <w:rPr>
                <w:rFonts w:hint="eastAsia" w:ascii="宋体"/>
                <w:color w:val="auto"/>
                <w:szCs w:val="21"/>
                <w:highlight w:val="none"/>
              </w:rPr>
              <w:t>施工工期为业主下达开工令或开工报告审批之日起。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299" w:type="dxa"/>
            <w:vAlign w:val="center"/>
          </w:tcPr>
          <w:p>
            <w:pPr>
              <w:spacing w:before="120" w:beforeLines="50"/>
              <w:contextualSpacing/>
              <w:jc w:val="center"/>
              <w:rPr>
                <w:rFonts w:ascii="宋体"/>
                <w:color w:val="auto"/>
                <w:szCs w:val="21"/>
                <w:highlight w:val="none"/>
              </w:rPr>
            </w:pPr>
            <w:bookmarkStart w:id="52" w:name="_Toc221950043"/>
            <w:r>
              <w:rPr>
                <w:rFonts w:ascii="宋体"/>
                <w:color w:val="auto"/>
                <w:szCs w:val="21"/>
                <w:highlight w:val="none"/>
              </w:rPr>
              <w:t>1.3.3</w:t>
            </w:r>
            <w:bookmarkEnd w:id="52"/>
          </w:p>
        </w:tc>
        <w:tc>
          <w:tcPr>
            <w:tcW w:w="2191" w:type="dxa"/>
            <w:vAlign w:val="center"/>
          </w:tcPr>
          <w:p>
            <w:pPr>
              <w:spacing w:before="120" w:beforeLines="50"/>
              <w:contextualSpacing/>
              <w:jc w:val="left"/>
              <w:rPr>
                <w:rFonts w:ascii="宋体"/>
                <w:color w:val="auto"/>
                <w:szCs w:val="21"/>
                <w:highlight w:val="none"/>
              </w:rPr>
            </w:pPr>
            <w:bookmarkStart w:id="53" w:name="_Toc221950044"/>
            <w:r>
              <w:rPr>
                <w:rFonts w:ascii="宋体"/>
                <w:color w:val="auto"/>
                <w:szCs w:val="21"/>
                <w:highlight w:val="none"/>
              </w:rPr>
              <w:t>质量要求</w:t>
            </w:r>
            <w:bookmarkEnd w:id="53"/>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fldChar w:fldCharType="begin"/>
            </w:r>
            <w:r>
              <w:rPr>
                <w:rFonts w:hint="eastAsia" w:ascii="宋体"/>
                <w:color w:val="auto"/>
                <w:szCs w:val="21"/>
                <w:highlight w:val="none"/>
              </w:rPr>
              <w:instrText xml:space="preserve">eq \o\ac(□,√)</w:instrText>
            </w:r>
            <w:r>
              <w:rPr>
                <w:rFonts w:hint="eastAsia" w:ascii="宋体"/>
                <w:color w:val="auto"/>
                <w:szCs w:val="21"/>
                <w:highlight w:val="none"/>
              </w:rPr>
              <w:fldChar w:fldCharType="end"/>
            </w:r>
            <w:r>
              <w:rPr>
                <w:rFonts w:hint="eastAsia" w:ascii="宋体"/>
                <w:color w:val="auto"/>
                <w:szCs w:val="21"/>
                <w:highlight w:val="none"/>
              </w:rPr>
              <w:t>合格□优良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1.3.4</w:t>
            </w:r>
          </w:p>
        </w:tc>
        <w:tc>
          <w:tcPr>
            <w:tcW w:w="2191"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承包方式</w:t>
            </w:r>
          </w:p>
        </w:tc>
        <w:tc>
          <w:tcPr>
            <w:tcW w:w="5265" w:type="dxa"/>
            <w:vAlign w:val="center"/>
          </w:tcPr>
          <w:p>
            <w:pPr>
              <w:pStyle w:val="20"/>
              <w:topLinePunct/>
              <w:rPr>
                <w:rFonts w:ascii="宋体"/>
                <w:color w:val="auto"/>
                <w:kern w:val="2"/>
                <w:sz w:val="21"/>
                <w:szCs w:val="21"/>
                <w:highlight w:val="none"/>
              </w:rPr>
            </w:pPr>
            <w:r>
              <w:rPr>
                <w:rFonts w:hint="eastAsia" w:ascii="宋体"/>
                <w:color w:val="auto"/>
                <w:kern w:val="2"/>
                <w:sz w:val="21"/>
                <w:szCs w:val="21"/>
                <w:highlight w:val="none"/>
              </w:rPr>
              <w:t>□固定总价</w:t>
            </w:r>
          </w:p>
          <w:p>
            <w:pPr>
              <w:pStyle w:val="20"/>
              <w:topLinePunct/>
              <w:rPr>
                <w:rFonts w:ascii="宋体"/>
                <w:color w:val="auto"/>
                <w:kern w:val="2"/>
                <w:sz w:val="21"/>
                <w:szCs w:val="21"/>
                <w:highlight w:val="none"/>
              </w:rPr>
            </w:pPr>
            <w:r>
              <w:rPr>
                <w:rFonts w:hint="eastAsia" w:ascii="宋体"/>
                <w:color w:val="auto"/>
                <w:kern w:val="2"/>
                <w:sz w:val="21"/>
                <w:szCs w:val="21"/>
                <w:highlight w:val="none"/>
              </w:rPr>
              <w:t>□综合单价</w:t>
            </w:r>
          </w:p>
          <w:p>
            <w:pPr>
              <w:spacing w:before="120" w:beforeLines="50"/>
              <w:contextualSpacing/>
              <w:rPr>
                <w:rFonts w:ascii="宋体"/>
                <w:color w:val="auto"/>
                <w:szCs w:val="21"/>
                <w:highlight w:val="none"/>
              </w:rPr>
            </w:pPr>
            <w:r>
              <w:rPr>
                <w:rFonts w:hint="eastAsia" w:ascii="宋体"/>
                <w:color w:val="auto"/>
                <w:szCs w:val="21"/>
                <w:highlight w:val="none"/>
              </w:rPr>
              <w:fldChar w:fldCharType="begin"/>
            </w:r>
            <w:r>
              <w:rPr>
                <w:rFonts w:hint="eastAsia" w:ascii="宋体"/>
                <w:color w:val="auto"/>
                <w:szCs w:val="21"/>
                <w:highlight w:val="none"/>
              </w:rPr>
              <w:instrText xml:space="preserve">eq \o\ac(□,√)</w:instrText>
            </w:r>
            <w:r>
              <w:rPr>
                <w:rFonts w:hint="eastAsia" w:ascii="宋体"/>
                <w:color w:val="auto"/>
                <w:szCs w:val="21"/>
                <w:highlight w:val="none"/>
              </w:rPr>
              <w:fldChar w:fldCharType="end"/>
            </w:r>
            <w:r>
              <w:rPr>
                <w:rFonts w:hint="eastAsia" w:ascii="宋体"/>
                <w:color w:val="auto"/>
                <w:szCs w:val="21"/>
                <w:highlight w:val="none"/>
              </w:rPr>
              <w:t>其他：包工、包料、包工期、包质量、包安全、包施工措施、包文明施工、包验收移交。综合单价包干。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1299" w:type="dxa"/>
            <w:vAlign w:val="center"/>
          </w:tcPr>
          <w:p>
            <w:pPr>
              <w:spacing w:before="120" w:beforeLines="50"/>
              <w:contextualSpacing/>
              <w:jc w:val="center"/>
              <w:rPr>
                <w:rFonts w:ascii="宋体"/>
                <w:color w:val="auto"/>
                <w:szCs w:val="21"/>
                <w:highlight w:val="none"/>
              </w:rPr>
            </w:pPr>
            <w:bookmarkStart w:id="54" w:name="_Toc221950045"/>
            <w:r>
              <w:rPr>
                <w:rFonts w:hint="eastAsia" w:ascii="宋体"/>
                <w:color w:val="auto"/>
                <w:szCs w:val="21"/>
                <w:highlight w:val="none"/>
              </w:rPr>
              <w:t>1.4.1</w:t>
            </w:r>
            <w:bookmarkEnd w:id="54"/>
          </w:p>
        </w:tc>
        <w:tc>
          <w:tcPr>
            <w:tcW w:w="2191" w:type="dxa"/>
            <w:vAlign w:val="center"/>
          </w:tcPr>
          <w:p>
            <w:pPr>
              <w:spacing w:before="120" w:beforeLines="50"/>
              <w:contextualSpacing/>
              <w:jc w:val="left"/>
              <w:rPr>
                <w:rFonts w:ascii="宋体"/>
                <w:color w:val="auto"/>
                <w:szCs w:val="21"/>
                <w:highlight w:val="none"/>
              </w:rPr>
            </w:pPr>
            <w:bookmarkStart w:id="55" w:name="_Toc221950046"/>
            <w:r>
              <w:rPr>
                <w:rFonts w:hint="eastAsia" w:ascii="宋体"/>
                <w:color w:val="auto"/>
                <w:szCs w:val="21"/>
                <w:highlight w:val="none"/>
              </w:rPr>
              <w:t>投标人资质条件、能力、信誉</w:t>
            </w:r>
            <w:bookmarkEnd w:id="55"/>
            <w:r>
              <w:rPr>
                <w:rFonts w:hint="eastAsia" w:ascii="宋体"/>
                <w:color w:val="auto"/>
                <w:szCs w:val="21"/>
                <w:highlight w:val="none"/>
              </w:rPr>
              <w:t>（须同招标公告一致）</w:t>
            </w:r>
          </w:p>
        </w:tc>
        <w:tc>
          <w:tcPr>
            <w:tcW w:w="5265" w:type="dxa"/>
            <w:vAlign w:val="center"/>
          </w:tcPr>
          <w:p>
            <w:pPr>
              <w:pStyle w:val="15"/>
              <w:spacing w:line="240" w:lineRule="auto"/>
              <w:rPr>
                <w:rFonts w:ascii="宋体"/>
                <w:b w:val="0"/>
                <w:bCs/>
                <w:color w:val="auto"/>
                <w:sz w:val="21"/>
                <w:szCs w:val="21"/>
                <w:highlight w:val="none"/>
              </w:rPr>
            </w:pPr>
            <w:r>
              <w:rPr>
                <w:rFonts w:hint="eastAsia" w:ascii="宋体"/>
                <w:b w:val="0"/>
                <w:color w:val="auto"/>
                <w:sz w:val="21"/>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1.4.2</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是否接受联合体投标</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fldChar w:fldCharType="begin"/>
            </w:r>
            <w:r>
              <w:rPr>
                <w:rFonts w:hint="eastAsia" w:ascii="宋体"/>
                <w:color w:val="auto"/>
                <w:szCs w:val="21"/>
                <w:highlight w:val="none"/>
              </w:rPr>
              <w:instrText xml:space="preserve">eq \o\ac(□)</w:instrText>
            </w:r>
            <w:r>
              <w:rPr>
                <w:rFonts w:hint="eastAsia" w:ascii="宋体"/>
                <w:color w:val="auto"/>
                <w:szCs w:val="21"/>
                <w:highlight w:val="none"/>
              </w:rPr>
              <w:fldChar w:fldCharType="end"/>
            </w:r>
            <w:r>
              <w:rPr>
                <w:rFonts w:hint="eastAsia" w:ascii="宋体"/>
                <w:color w:val="auto"/>
                <w:szCs w:val="21"/>
                <w:highlight w:val="none"/>
              </w:rPr>
              <w:t>不接受</w:t>
            </w:r>
          </w:p>
          <w:p>
            <w:pPr>
              <w:spacing w:before="120" w:beforeLines="50"/>
              <w:contextualSpacing/>
              <w:rPr>
                <w:rFonts w:ascii="宋体"/>
                <w:color w:val="auto"/>
                <w:szCs w:val="21"/>
                <w:highlight w:val="none"/>
              </w:rPr>
            </w:pPr>
            <w:r>
              <w:rPr>
                <w:rFonts w:hint="eastAsia" w:ascii="宋体"/>
                <w:color w:val="auto"/>
                <w:szCs w:val="21"/>
                <w:highlight w:val="none"/>
              </w:rPr>
              <w:fldChar w:fldCharType="begin"/>
            </w:r>
            <w:r>
              <w:rPr>
                <w:rFonts w:hint="eastAsia" w:ascii="宋体"/>
                <w:color w:val="auto"/>
                <w:szCs w:val="21"/>
                <w:highlight w:val="none"/>
              </w:rPr>
              <w:instrText xml:space="preserve">eq \o\ac(□,</w:instrText>
            </w:r>
            <w:r>
              <w:rPr>
                <w:rFonts w:hint="eastAsia" w:ascii="宋体"/>
                <w:color w:val="auto"/>
                <w:position w:val="2"/>
                <w:sz w:val="13"/>
                <w:szCs w:val="21"/>
                <w:highlight w:val="none"/>
              </w:rPr>
              <w:instrText xml:space="preserve">√</w:instrText>
            </w:r>
            <w:r>
              <w:rPr>
                <w:rFonts w:hint="eastAsia" w:ascii="宋体"/>
                <w:color w:val="auto"/>
                <w:szCs w:val="21"/>
                <w:highlight w:val="none"/>
              </w:rPr>
              <w:instrText xml:space="preserve">)</w:instrText>
            </w:r>
            <w:r>
              <w:rPr>
                <w:rFonts w:hint="eastAsia" w:ascii="宋体"/>
                <w:color w:val="auto"/>
                <w:szCs w:val="21"/>
                <w:highlight w:val="none"/>
              </w:rPr>
              <w:fldChar w:fldCharType="end"/>
            </w:r>
            <w:r>
              <w:rPr>
                <w:rFonts w:hint="eastAsia" w:ascii="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1.4</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资格审查方式</w:t>
            </w:r>
          </w:p>
        </w:tc>
        <w:tc>
          <w:tcPr>
            <w:tcW w:w="5265" w:type="dxa"/>
            <w:vAlign w:val="center"/>
          </w:tcPr>
          <w:p>
            <w:pPr>
              <w:pStyle w:val="20"/>
              <w:topLinePunct/>
              <w:spacing w:before="120" w:beforeLines="50" w:after="0"/>
              <w:contextualSpacing/>
              <w:rPr>
                <w:rFonts w:ascii="宋体"/>
                <w:color w:val="auto"/>
                <w:kern w:val="2"/>
                <w:sz w:val="21"/>
                <w:szCs w:val="21"/>
                <w:highlight w:val="none"/>
              </w:rPr>
            </w:pPr>
            <w:r>
              <w:rPr>
                <w:rFonts w:hint="eastAsia" w:ascii="宋体"/>
                <w:color w:val="auto"/>
                <w:kern w:val="2"/>
                <w:sz w:val="21"/>
                <w:szCs w:val="21"/>
                <w:highlight w:val="none"/>
              </w:rPr>
              <w:t>电子化资格后审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299" w:type="dxa"/>
            <w:vAlign w:val="center"/>
          </w:tcPr>
          <w:p>
            <w:pPr>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9</w:t>
            </w:r>
            <w:r>
              <w:rPr>
                <w:rFonts w:ascii="宋体"/>
                <w:color w:val="auto"/>
                <w:szCs w:val="21"/>
                <w:highlight w:val="none"/>
              </w:rPr>
              <w:t>.1</w:t>
            </w:r>
          </w:p>
        </w:tc>
        <w:tc>
          <w:tcPr>
            <w:tcW w:w="2191" w:type="dxa"/>
            <w:vAlign w:val="center"/>
          </w:tcPr>
          <w:p>
            <w:pPr>
              <w:rPr>
                <w:rFonts w:ascii="宋体"/>
                <w:color w:val="auto"/>
                <w:szCs w:val="21"/>
                <w:highlight w:val="none"/>
              </w:rPr>
            </w:pPr>
            <w:r>
              <w:rPr>
                <w:rFonts w:hint="eastAsia" w:ascii="宋体"/>
                <w:color w:val="auto"/>
                <w:szCs w:val="21"/>
                <w:highlight w:val="none"/>
              </w:rPr>
              <w:t>踏勘现场</w:t>
            </w:r>
          </w:p>
        </w:tc>
        <w:tc>
          <w:tcPr>
            <w:tcW w:w="5265" w:type="dxa"/>
            <w:vAlign w:val="center"/>
          </w:tcPr>
          <w:p>
            <w:pPr>
              <w:rPr>
                <w:rFonts w:ascii="宋体"/>
                <w:color w:val="auto"/>
                <w:szCs w:val="21"/>
                <w:highlight w:val="none"/>
              </w:rPr>
            </w:pPr>
            <w:r>
              <w:rPr>
                <w:rFonts w:hint="eastAsia" w:ascii="宋体"/>
                <w:color w:val="auto"/>
                <w:szCs w:val="21"/>
                <w:highlight w:val="none"/>
              </w:rPr>
              <w:t>招标人不集中组织，由投标人自行踏勘；</w:t>
            </w:r>
          </w:p>
          <w:p>
            <w:pPr>
              <w:rPr>
                <w:rFonts w:ascii="宋体"/>
                <w:color w:val="auto"/>
                <w:szCs w:val="21"/>
                <w:highlight w:val="none"/>
              </w:rPr>
            </w:pPr>
            <w:r>
              <w:rPr>
                <w:rFonts w:hint="eastAsia" w:ascii="宋体"/>
                <w:color w:val="auto"/>
                <w:szCs w:val="21"/>
                <w:highlight w:val="none"/>
              </w:rPr>
              <w:t>时间：自招标公告发布之日起具备现场踏勘条件；</w:t>
            </w:r>
          </w:p>
          <w:p>
            <w:pPr>
              <w:rPr>
                <w:rFonts w:ascii="宋体"/>
                <w:color w:val="auto"/>
                <w:szCs w:val="21"/>
                <w:highlight w:val="none"/>
              </w:rPr>
            </w:pPr>
            <w:r>
              <w:rPr>
                <w:rFonts w:hint="eastAsia" w:ascii="宋体"/>
                <w:color w:val="auto"/>
                <w:szCs w:val="21"/>
                <w:highlight w:val="none"/>
              </w:rPr>
              <w:t>现场详细地点：广州市黄埔区摇田河大街，临近黄埔和增城两区交界；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1.11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偏离</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偏离允许幅度及其处理方法：</w:t>
            </w:r>
            <w:r>
              <w:rPr>
                <w:rFonts w:hint="eastAsia" w:ascii="宋体"/>
                <w:color w:val="auto"/>
                <w:szCs w:val="21"/>
                <w:highlight w:val="none"/>
                <w:u w:val="single"/>
              </w:rPr>
              <w:t>不允许偏离</w:t>
            </w:r>
            <w:r>
              <w:rPr>
                <w:rFonts w:hint="eastAsia" w:asci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2.2</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招标答疑</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1、方式：网上答疑；</w:t>
            </w:r>
          </w:p>
          <w:p>
            <w:pPr>
              <w:spacing w:before="120" w:beforeLines="50"/>
              <w:contextualSpacing/>
              <w:rPr>
                <w:rFonts w:ascii="宋体"/>
                <w:color w:val="auto"/>
                <w:szCs w:val="21"/>
                <w:highlight w:val="none"/>
              </w:rPr>
            </w:pPr>
            <w:r>
              <w:rPr>
                <w:rFonts w:hint="eastAsia" w:ascii="宋体"/>
                <w:color w:val="auto"/>
                <w:szCs w:val="21"/>
                <w:highlight w:val="none"/>
              </w:rPr>
              <w:t>2、投标人质疑期限：在投标截止日期前</w:t>
            </w:r>
            <w:r>
              <w:rPr>
                <w:rFonts w:ascii="宋体"/>
                <w:color w:val="auto"/>
                <w:szCs w:val="21"/>
                <w:highlight w:val="none"/>
                <w:u w:val="single"/>
              </w:rPr>
              <w:t>18</w:t>
            </w:r>
            <w:r>
              <w:rPr>
                <w:rFonts w:hint="eastAsia" w:ascii="宋体"/>
                <w:color w:val="auto"/>
                <w:szCs w:val="21"/>
                <w:highlight w:val="none"/>
              </w:rPr>
              <w:t>日；</w:t>
            </w:r>
          </w:p>
          <w:p>
            <w:pPr>
              <w:spacing w:before="120" w:beforeLines="50"/>
              <w:contextualSpacing/>
              <w:rPr>
                <w:rFonts w:ascii="宋体"/>
                <w:color w:val="auto"/>
                <w:szCs w:val="21"/>
                <w:highlight w:val="none"/>
              </w:rPr>
            </w:pPr>
            <w:r>
              <w:rPr>
                <w:rFonts w:hint="eastAsia" w:ascii="宋体"/>
                <w:color w:val="auto"/>
                <w:szCs w:val="21"/>
                <w:highlight w:val="none"/>
              </w:rPr>
              <w:t>3、招标人答疑期限：在投标截止日期前</w:t>
            </w:r>
            <w:r>
              <w:rPr>
                <w:rFonts w:ascii="宋体"/>
                <w:color w:val="auto"/>
                <w:szCs w:val="21"/>
                <w:highlight w:val="none"/>
                <w:u w:val="single"/>
              </w:rPr>
              <w:t>15</w:t>
            </w:r>
            <w:r>
              <w:rPr>
                <w:rFonts w:hint="eastAsia" w:ascii="宋体"/>
                <w:color w:val="auto"/>
                <w:szCs w:val="21"/>
                <w:highlight w:val="none"/>
              </w:rPr>
              <w:t>日。</w:t>
            </w:r>
          </w:p>
          <w:p>
            <w:pPr>
              <w:spacing w:before="120" w:beforeLines="50"/>
              <w:contextualSpacing/>
              <w:rPr>
                <w:rFonts w:ascii="宋体"/>
                <w:color w:val="auto"/>
                <w:szCs w:val="21"/>
                <w:highlight w:val="none"/>
              </w:rPr>
            </w:pPr>
            <w:r>
              <w:rPr>
                <w:rFonts w:hint="eastAsia" w:ascii="宋体"/>
                <w:color w:val="auto"/>
                <w:szCs w:val="21"/>
                <w:highlight w:val="none"/>
              </w:rPr>
              <w:t>4、投标人疑问通过网上提交。</w:t>
            </w:r>
          </w:p>
          <w:p>
            <w:pPr>
              <w:spacing w:before="120" w:beforeLines="50"/>
              <w:contextualSpacing/>
              <w:rPr>
                <w:rFonts w:ascii="宋体"/>
                <w:color w:val="auto"/>
                <w:szCs w:val="21"/>
                <w:highlight w:val="none"/>
              </w:rPr>
            </w:pPr>
            <w:r>
              <w:rPr>
                <w:rFonts w:ascii="宋体"/>
                <w:color w:val="auto"/>
                <w:szCs w:val="21"/>
                <w:highlight w:val="none"/>
              </w:rPr>
              <w:t>5</w:t>
            </w:r>
            <w:r>
              <w:rPr>
                <w:rFonts w:hint="eastAsia" w:ascii="宋体"/>
                <w:color w:val="auto"/>
                <w:szCs w:val="21"/>
                <w:highlight w:val="none"/>
              </w:rPr>
              <w:t>、网上答疑的相关事项详见招标文件2.2款；</w:t>
            </w:r>
          </w:p>
          <w:p>
            <w:pPr>
              <w:spacing w:before="120" w:beforeLines="50"/>
              <w:contextualSpacing/>
              <w:rPr>
                <w:rFonts w:ascii="宋体"/>
                <w:color w:val="auto"/>
                <w:szCs w:val="21"/>
                <w:highlight w:val="none"/>
              </w:rPr>
            </w:pPr>
            <w:r>
              <w:rPr>
                <w:rFonts w:hint="eastAsia" w:ascii="宋体"/>
                <w:color w:val="auto"/>
                <w:szCs w:val="21"/>
                <w:highlight w:val="none"/>
              </w:rPr>
              <w:t>6、答疑纪要在广州公共资源交易中心网站的“建设工程”→“项目查询（日程安排、答疑纪要）”专区发布。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2.3</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招标文件澄清和修改</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招标文件的修改期限：在投标截止日期前</w:t>
            </w:r>
            <w:r>
              <w:rPr>
                <w:rFonts w:ascii="宋体"/>
                <w:color w:val="auto"/>
                <w:szCs w:val="21"/>
                <w:highlight w:val="none"/>
                <w:u w:val="single"/>
              </w:rPr>
              <w:t>15</w:t>
            </w:r>
            <w:r>
              <w:rPr>
                <w:rFonts w:hint="eastAsia" w:ascii="宋体"/>
                <w:color w:val="auto"/>
                <w:szCs w:val="21"/>
                <w:highlight w:val="none"/>
              </w:rPr>
              <w:t>日</w:t>
            </w:r>
            <w:r>
              <w:rPr>
                <w:rFonts w:hint="eastAsia" w:ascii="宋体" w:hAnsi="宋体" w:cs="宋体"/>
                <w:color w:val="auto"/>
                <w:szCs w:val="21"/>
                <w:highlight w:val="none"/>
              </w:rPr>
              <w:t>(注：备标时间为20日以上的，应在投标截止前15天发招标文件澄清和修改通知)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3.1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投标文件的组成</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采用综合评估法一：投标文件由资格审查文件、商务文件和技术文件组成。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3.2.3</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最高投标限价</w:t>
            </w:r>
          </w:p>
        </w:tc>
        <w:tc>
          <w:tcPr>
            <w:tcW w:w="5265" w:type="dxa"/>
            <w:vAlign w:val="center"/>
          </w:tcPr>
          <w:p>
            <w:pPr>
              <w:contextualSpacing/>
              <w:jc w:val="left"/>
              <w:rPr>
                <w:rFonts w:ascii="宋体"/>
                <w:color w:val="auto"/>
                <w:szCs w:val="21"/>
                <w:highlight w:val="none"/>
              </w:rPr>
            </w:pPr>
            <w:r>
              <w:rPr>
                <w:rFonts w:hint="eastAsia" w:ascii="宋体"/>
                <w:color w:val="auto"/>
                <w:szCs w:val="21"/>
                <w:highlight w:val="none"/>
              </w:rPr>
              <w:t>本工程最高投标限价为人民币（</w:t>
            </w:r>
            <w:r>
              <w:rPr>
                <w:rFonts w:hint="eastAsia" w:ascii="宋体"/>
                <w:bCs/>
                <w:color w:val="auto"/>
                <w:szCs w:val="21"/>
                <w:highlight w:val="none"/>
              </w:rPr>
              <w:t>¥</w:t>
            </w:r>
            <w:r>
              <w:rPr>
                <w:rFonts w:hint="eastAsia" w:ascii="宋体"/>
                <w:bCs/>
                <w:color w:val="auto"/>
                <w:szCs w:val="21"/>
                <w:highlight w:val="none"/>
                <w:u w:val="single"/>
              </w:rPr>
              <w:t>6210845.66</w:t>
            </w:r>
            <w:r>
              <w:rPr>
                <w:rFonts w:hint="eastAsia" w:ascii="宋体"/>
                <w:bCs/>
                <w:color w:val="auto"/>
                <w:szCs w:val="21"/>
                <w:highlight w:val="none"/>
              </w:rPr>
              <w:t>元</w:t>
            </w:r>
            <w:r>
              <w:rPr>
                <w:rFonts w:hint="eastAsia" w:ascii="宋体"/>
                <w:color w:val="auto"/>
                <w:szCs w:val="21"/>
                <w:highlight w:val="none"/>
              </w:rPr>
              <w:t>）</w:t>
            </w:r>
          </w:p>
          <w:p>
            <w:pPr>
              <w:contextualSpacing/>
              <w:rPr>
                <w:rFonts w:ascii="宋体"/>
                <w:color w:val="auto"/>
                <w:szCs w:val="21"/>
                <w:highlight w:val="none"/>
              </w:rPr>
            </w:pPr>
            <w:r>
              <w:rPr>
                <w:rFonts w:hint="eastAsia" w:ascii="宋体"/>
                <w:color w:val="auto"/>
                <w:szCs w:val="21"/>
                <w:highlight w:val="none"/>
              </w:rPr>
              <w:t>本工程投标总价应包含</w:t>
            </w:r>
            <w:r>
              <w:rPr>
                <w:rFonts w:hint="eastAsia" w:ascii="宋体"/>
                <w:color w:val="auto"/>
                <w:highlight w:val="none"/>
              </w:rPr>
              <w:t>绿色施工安全防护措施费、</w:t>
            </w:r>
            <w:r>
              <w:rPr>
                <w:rFonts w:hint="eastAsia" w:ascii="宋体" w:cs="宋体"/>
                <w:color w:val="auto"/>
                <w:szCs w:val="21"/>
                <w:highlight w:val="none"/>
              </w:rPr>
              <w:t>暂列金额</w:t>
            </w:r>
            <w:r>
              <w:rPr>
                <w:rFonts w:hint="eastAsia" w:ascii="宋体"/>
                <w:color w:val="auto"/>
                <w:szCs w:val="21"/>
                <w:highlight w:val="none"/>
              </w:rPr>
              <w:t>等非竞争性费用，</w:t>
            </w:r>
            <w:r>
              <w:rPr>
                <w:rFonts w:hint="eastAsia" w:ascii="宋体" w:cs="宋体"/>
                <w:color w:val="auto"/>
                <w:szCs w:val="21"/>
                <w:highlight w:val="none"/>
              </w:rPr>
              <w:t>其中</w:t>
            </w:r>
            <w:r>
              <w:rPr>
                <w:rFonts w:hint="eastAsia" w:ascii="宋体" w:cs="宋体"/>
                <w:color w:val="auto"/>
                <w:highlight w:val="none"/>
              </w:rPr>
              <w:t>绿色施工安全防护措施费</w:t>
            </w:r>
            <w:r>
              <w:rPr>
                <w:rFonts w:hint="eastAsia" w:ascii="宋体"/>
                <w:bCs/>
                <w:color w:val="auto"/>
                <w:szCs w:val="21"/>
                <w:highlight w:val="none"/>
              </w:rPr>
              <w:t>¥</w:t>
            </w:r>
            <w:r>
              <w:rPr>
                <w:rFonts w:hint="eastAsia" w:ascii="宋体" w:cs="宋体"/>
                <w:color w:val="auto"/>
                <w:highlight w:val="none"/>
                <w:u w:val="single"/>
              </w:rPr>
              <w:t>180555.87</w:t>
            </w:r>
            <w:r>
              <w:rPr>
                <w:rFonts w:hint="eastAsia" w:ascii="宋体" w:cs="宋体"/>
                <w:color w:val="auto"/>
                <w:szCs w:val="21"/>
                <w:highlight w:val="none"/>
                <w:u w:val="single"/>
              </w:rPr>
              <w:t>元</w:t>
            </w:r>
            <w:r>
              <w:rPr>
                <w:rFonts w:hint="eastAsia" w:ascii="宋体" w:cs="宋体"/>
                <w:color w:val="auto"/>
                <w:szCs w:val="21"/>
                <w:highlight w:val="none"/>
              </w:rPr>
              <w:t>，暂列金额为：¥</w:t>
            </w:r>
            <w:r>
              <w:rPr>
                <w:rFonts w:hint="eastAsia" w:ascii="宋体" w:cs="宋体"/>
                <w:color w:val="auto"/>
                <w:szCs w:val="21"/>
                <w:highlight w:val="none"/>
                <w:u w:val="single"/>
              </w:rPr>
              <w:t xml:space="preserve">496151.52元 </w:t>
            </w:r>
            <w:r>
              <w:rPr>
                <w:rFonts w:hint="eastAsia" w:ascii="宋体" w:cs="宋体"/>
                <w:color w:val="auto"/>
                <w:szCs w:val="21"/>
                <w:highlight w:val="none"/>
              </w:rPr>
              <w:t>。</w:t>
            </w:r>
          </w:p>
          <w:p>
            <w:pPr>
              <w:spacing w:before="120" w:beforeLines="50"/>
              <w:contextualSpacing/>
              <w:rPr>
                <w:rFonts w:hint="eastAsia" w:ascii="宋体"/>
                <w:color w:val="auto"/>
                <w:szCs w:val="21"/>
                <w:highlight w:val="none"/>
              </w:rPr>
            </w:pPr>
          </w:p>
          <w:p>
            <w:pPr>
              <w:spacing w:before="120" w:beforeLines="50"/>
              <w:contextualSpacing/>
              <w:rPr>
                <w:rFonts w:ascii="宋体"/>
                <w:color w:val="auto"/>
                <w:szCs w:val="21"/>
                <w:highlight w:val="none"/>
              </w:rPr>
            </w:pPr>
            <w:r>
              <w:rPr>
                <w:rFonts w:hint="eastAsia" w:ascii="宋体"/>
                <w:color w:val="auto"/>
                <w:szCs w:val="21"/>
                <w:highlight w:val="none"/>
              </w:rPr>
              <w:t>其他详见最高投标限价公布函，投标总价超过最高投标限价的投标文件将被拒绝。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3.2.4</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成本警示价</w:t>
            </w:r>
          </w:p>
        </w:tc>
        <w:tc>
          <w:tcPr>
            <w:tcW w:w="5265" w:type="dxa"/>
            <w:vAlign w:val="center"/>
          </w:tcPr>
          <w:p>
            <w:pPr>
              <w:contextualSpacing/>
              <w:rPr>
                <w:rFonts w:ascii="宋体"/>
                <w:color w:val="auto"/>
                <w:szCs w:val="21"/>
                <w:highlight w:val="none"/>
              </w:rPr>
            </w:pPr>
            <w:r>
              <w:rPr>
                <w:rFonts w:hint="eastAsia" w:ascii="宋体" w:cs="宋体"/>
                <w:color w:val="auto"/>
                <w:szCs w:val="21"/>
                <w:highlight w:val="none"/>
                <w:u w:val="single"/>
              </w:rPr>
              <w:t>成本警示价为5900303.38</w:t>
            </w:r>
            <w:r>
              <w:rPr>
                <w:rFonts w:hint="eastAsia" w:ascii="宋体" w:cs="宋体"/>
                <w:color w:val="auto"/>
                <w:szCs w:val="21"/>
                <w:highlight w:val="none"/>
              </w:rPr>
              <w:t>元。（</w:t>
            </w:r>
            <w:r>
              <w:rPr>
                <w:rFonts w:hint="eastAsia" w:ascii="宋体" w:cs="宋体"/>
                <w:color w:val="auto"/>
                <w:szCs w:val="21"/>
                <w:highlight w:val="none"/>
                <w:u w:val="single"/>
              </w:rPr>
              <w:t>最高投标限价的95%设置为成本警示价）（注：招标人可根据项目情况自行确定成本警示价相应于最高投标限价的比例。）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299" w:type="dxa"/>
            <w:vAlign w:val="center"/>
          </w:tcPr>
          <w:p>
            <w:pPr>
              <w:spacing w:before="120" w:beforeLines="50"/>
              <w:contextualSpacing/>
              <w:jc w:val="center"/>
              <w:rPr>
                <w:rFonts w:ascii="宋体"/>
                <w:color w:val="auto"/>
                <w:szCs w:val="21"/>
                <w:highlight w:val="none"/>
              </w:rPr>
            </w:pPr>
            <w:bookmarkStart w:id="56" w:name="_Toc221950062"/>
            <w:r>
              <w:rPr>
                <w:rFonts w:ascii="宋体"/>
                <w:color w:val="auto"/>
                <w:szCs w:val="21"/>
                <w:highlight w:val="none"/>
              </w:rPr>
              <w:t>3.3</w:t>
            </w:r>
            <w:r>
              <w:rPr>
                <w:rFonts w:hint="eastAsia" w:ascii="宋体"/>
                <w:color w:val="auto"/>
                <w:szCs w:val="21"/>
                <w:highlight w:val="none"/>
              </w:rPr>
              <w:t>.1</w:t>
            </w:r>
            <w:bookmarkEnd w:id="56"/>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投标有效期</w:t>
            </w:r>
          </w:p>
        </w:tc>
        <w:tc>
          <w:tcPr>
            <w:tcW w:w="5265" w:type="dxa"/>
            <w:vAlign w:val="center"/>
          </w:tcPr>
          <w:p>
            <w:pPr>
              <w:pStyle w:val="20"/>
              <w:topLinePunct/>
              <w:spacing w:before="120" w:beforeLines="50" w:after="0"/>
              <w:contextualSpacing/>
              <w:rPr>
                <w:rFonts w:ascii="宋体"/>
                <w:color w:val="auto"/>
                <w:kern w:val="2"/>
                <w:sz w:val="21"/>
                <w:szCs w:val="21"/>
                <w:highlight w:val="none"/>
              </w:rPr>
            </w:pPr>
            <w:r>
              <w:rPr>
                <w:rFonts w:hint="eastAsia" w:ascii="宋体"/>
                <w:color w:val="auto"/>
                <w:kern w:val="2"/>
                <w:sz w:val="21"/>
                <w:szCs w:val="21"/>
                <w:highlight w:val="none"/>
                <w:u w:val="single"/>
              </w:rPr>
              <w:t>90</w:t>
            </w:r>
            <w:r>
              <w:rPr>
                <w:rFonts w:hint="eastAsia" w:ascii="宋体"/>
                <w:color w:val="auto"/>
                <w:kern w:val="2"/>
                <w:sz w:val="21"/>
                <w:szCs w:val="21"/>
                <w:highlight w:val="none"/>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bookmarkStart w:id="57" w:name="_Toc221950064"/>
            <w:r>
              <w:rPr>
                <w:rFonts w:ascii="宋体"/>
                <w:color w:val="auto"/>
                <w:szCs w:val="21"/>
                <w:highlight w:val="none"/>
              </w:rPr>
              <w:t>3.4</w:t>
            </w:r>
            <w:bookmarkEnd w:id="57"/>
          </w:p>
        </w:tc>
        <w:tc>
          <w:tcPr>
            <w:tcW w:w="2191" w:type="dxa"/>
            <w:vAlign w:val="center"/>
          </w:tcPr>
          <w:p>
            <w:pPr>
              <w:spacing w:before="120" w:beforeLines="50"/>
              <w:contextualSpacing/>
              <w:jc w:val="left"/>
              <w:rPr>
                <w:rFonts w:ascii="宋体"/>
                <w:color w:val="auto"/>
                <w:szCs w:val="21"/>
                <w:highlight w:val="none"/>
              </w:rPr>
            </w:pPr>
            <w:bookmarkStart w:id="58" w:name="_Toc221950065"/>
            <w:r>
              <w:rPr>
                <w:rFonts w:ascii="宋体"/>
                <w:color w:val="auto"/>
                <w:szCs w:val="21"/>
                <w:highlight w:val="none"/>
              </w:rPr>
              <w:t>投标保证金</w:t>
            </w:r>
            <w:bookmarkEnd w:id="58"/>
          </w:p>
        </w:tc>
        <w:tc>
          <w:tcPr>
            <w:tcW w:w="5265"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☑要求，按以下方式递交：</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投标保证金的金额：5万元 </w:t>
            </w:r>
            <w:r>
              <w:rPr>
                <w:rFonts w:hint="eastAsia" w:ascii="宋体" w:hAnsi="宋体" w:cs="宋体"/>
                <w:color w:val="auto"/>
                <w:szCs w:val="21"/>
                <w:highlight w:val="none"/>
              </w:rPr>
              <w:br w:type="textWrapping"/>
            </w:r>
            <w:r>
              <w:rPr>
                <w:rFonts w:hint="eastAsia" w:ascii="宋体" w:hAnsi="宋体" w:cs="宋体"/>
                <w:color w:val="auto"/>
                <w:szCs w:val="21"/>
                <w:highlight w:val="none"/>
                <w:u w:val="single"/>
              </w:rPr>
              <w:t>投标保证金有效期：与投标有效期一致。</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u w:val="single"/>
              </w:rPr>
              <w:t>投标保证金可采用现金或者支票、银行保函（含电子保函）、保证保险、专业担保公司担保等的形式，须在递交投标文件截止时间前完成缴纳。联合体投标的，其投标担保由投标人(联合体牵头方)递交。</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u w:val="single"/>
              </w:rPr>
              <w:t>1、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u w:val="single"/>
              </w:rPr>
              <w:t>投标人需在交易系统中将汇入投标保证金与投标项目进行绑定，绑定成功后才能被认定为完成缴交投标保证金义务。</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u w:val="single"/>
              </w:rPr>
              <w:t>2、如采用非电子形式的投标保证保险或专业担保公司担保的形式提交投标保证金的，在开标前不强制要求提交相关文本原件，但投标人应在投标文件中提交投标保函、投标保证保险或专业担保公司担保扫描件并加盖投标人电子印章（中标候选人应在中标候选人公示前提交其办理的投标保函、投标保证保险或专业担保公司担保的原件以供招标人在网上予以公示）。如投标人选择在开标前提交纸质原件的，可在投标截止时间前单独密封递交至开标室。</w:t>
            </w:r>
          </w:p>
          <w:p>
            <w:pPr>
              <w:numPr>
                <w:ilvl w:val="0"/>
                <w:numId w:val="3"/>
              </w:num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如采用电子投标保函方式提交投标保证金，具体操作详见广州公共资源交易中心电子保函操作指引（</w:t>
            </w:r>
            <w:r>
              <w:rPr>
                <w:rFonts w:hint="eastAsia" w:ascii="宋体" w:hAnsi="宋体"/>
                <w:color w:val="auto"/>
                <w:sz w:val="24"/>
                <w:highlight w:val="none"/>
                <w:u w:val="single"/>
              </w:rPr>
              <w:t>http://www.gzggzy.cn/fwznbszyjsgc/906927.jhtml</w:t>
            </w:r>
            <w:r>
              <w:rPr>
                <w:rFonts w:hint="eastAsia" w:ascii="宋体" w:hAnsi="宋体" w:cs="宋体"/>
                <w:color w:val="auto"/>
                <w:szCs w:val="21"/>
                <w:highlight w:val="none"/>
                <w:u w:val="single"/>
              </w:rPr>
              <w:t>）。到账情况以开标时广州公共资源交易中心数据库查询信息为准。</w:t>
            </w:r>
          </w:p>
          <w:p>
            <w:pPr>
              <w:spacing w:before="120" w:beforeLines="50"/>
              <w:contextualSpacing/>
              <w:rPr>
                <w:rFonts w:ascii="宋体"/>
                <w:color w:val="auto"/>
                <w:szCs w:val="21"/>
                <w:highlight w:val="none"/>
              </w:rPr>
            </w:pPr>
            <w:r>
              <w:rPr>
                <w:rFonts w:hint="eastAsia" w:ascii="宋体" w:hAnsi="宋体" w:cs="宋体"/>
                <w:color w:val="auto"/>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299" w:type="dxa"/>
            <w:vAlign w:val="center"/>
          </w:tcPr>
          <w:p>
            <w:pPr>
              <w:spacing w:before="120" w:beforeLines="50"/>
              <w:contextualSpacing/>
              <w:jc w:val="center"/>
              <w:rPr>
                <w:rFonts w:ascii="宋体"/>
                <w:color w:val="auto"/>
                <w:szCs w:val="21"/>
                <w:highlight w:val="none"/>
              </w:rPr>
            </w:pPr>
            <w:r>
              <w:rPr>
                <w:rFonts w:ascii="宋体"/>
                <w:color w:val="auto"/>
                <w:szCs w:val="21"/>
                <w:highlight w:val="none"/>
              </w:rPr>
              <w:t>3.</w:t>
            </w:r>
            <w:r>
              <w:rPr>
                <w:rFonts w:hint="eastAsia" w:ascii="宋体"/>
                <w:color w:val="auto"/>
                <w:szCs w:val="21"/>
                <w:highlight w:val="none"/>
              </w:rPr>
              <w:t>6</w:t>
            </w:r>
            <w:r>
              <w:rPr>
                <w:rFonts w:ascii="宋体"/>
                <w:color w:val="auto"/>
                <w:szCs w:val="21"/>
                <w:highlight w:val="none"/>
              </w:rPr>
              <w:t>.3</w:t>
            </w:r>
          </w:p>
        </w:tc>
        <w:tc>
          <w:tcPr>
            <w:tcW w:w="2191" w:type="dxa"/>
            <w:vAlign w:val="center"/>
          </w:tcPr>
          <w:p>
            <w:pPr>
              <w:spacing w:before="120" w:beforeLines="50"/>
              <w:contextualSpacing/>
              <w:jc w:val="left"/>
              <w:rPr>
                <w:rFonts w:ascii="宋体"/>
                <w:color w:val="auto"/>
                <w:szCs w:val="21"/>
                <w:highlight w:val="none"/>
              </w:rPr>
            </w:pPr>
            <w:r>
              <w:rPr>
                <w:rFonts w:ascii="宋体"/>
                <w:color w:val="auto"/>
                <w:szCs w:val="21"/>
                <w:highlight w:val="none"/>
              </w:rPr>
              <w:t>签字或盖章要求</w:t>
            </w:r>
          </w:p>
        </w:tc>
        <w:tc>
          <w:tcPr>
            <w:tcW w:w="5265" w:type="dxa"/>
            <w:vAlign w:val="center"/>
          </w:tcPr>
          <w:p>
            <w:pPr>
              <w:pStyle w:val="20"/>
              <w:topLinePunct/>
              <w:spacing w:before="120" w:beforeLines="50" w:after="0"/>
              <w:contextualSpacing/>
              <w:jc w:val="left"/>
              <w:rPr>
                <w:rFonts w:ascii="宋体"/>
                <w:color w:val="auto"/>
                <w:kern w:val="2"/>
                <w:sz w:val="21"/>
                <w:szCs w:val="21"/>
                <w:highlight w:val="none"/>
              </w:rPr>
            </w:pPr>
            <w:r>
              <w:rPr>
                <w:rFonts w:hint="eastAsia"/>
                <w:color w:val="auto"/>
                <w:kern w:val="2"/>
                <w:sz w:val="21"/>
                <w:szCs w:val="21"/>
                <w:highlight w:val="none"/>
              </w:rPr>
              <w:t>投标文件格式规定盖单位章的页面必须盖单位章，规定法定代表人或授权委托人、项目负责人和技术负责人签字的页面必须签字。签字必须由本人在规定页面加盖个人电子印章或在线下手写签名</w:t>
            </w:r>
            <w:r>
              <w:rPr>
                <w:rFonts w:hint="eastAsia"/>
                <w:color w:val="auto"/>
                <w:sz w:val="21"/>
                <w:szCs w:val="21"/>
                <w:highlight w:val="none"/>
              </w:rPr>
              <w:t>或签章</w:t>
            </w:r>
            <w:r>
              <w:rPr>
                <w:rFonts w:hint="eastAsia"/>
                <w:color w:val="auto"/>
                <w:kern w:val="2"/>
                <w:sz w:val="21"/>
                <w:szCs w:val="21"/>
                <w:highlight w:val="none"/>
              </w:rPr>
              <w:t>后扫描上传。</w:t>
            </w:r>
            <w:r>
              <w:rPr>
                <w:rFonts w:hint="eastAsia"/>
                <w:color w:val="auto"/>
                <w:kern w:val="2"/>
                <w:sz w:val="21"/>
                <w:szCs w:val="21"/>
                <w:highlight w:val="none"/>
                <w:u w:val="single"/>
              </w:rPr>
              <w:t>联合体投标的，除投标文件中的《联合体协议书》需联合体各方盖章、签字外，投标文件其他内容及落款中的“投标人”、“声明企业”应填写联合体各方的单位全称【参考格式表示为：(主)XXXX公司、(成)XXXX公司】，但由牵头人盖章、签字即可。法定代表人证明书及授权委托证明书可由联合体牵头人出具，可只填写联合体牵头人名称及签字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4.1.1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投标文件份数</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投标文件为含电子签章的加密电子投标文件</w:t>
            </w:r>
            <w:r>
              <w:rPr>
                <w:rFonts w:ascii="宋体"/>
                <w:color w:val="auto"/>
                <w:szCs w:val="21"/>
                <w:highlight w:val="none"/>
              </w:rPr>
              <w:t>1</w:t>
            </w:r>
            <w:r>
              <w:rPr>
                <w:rFonts w:hint="eastAsia" w:ascii="宋体"/>
                <w:color w:val="auto"/>
                <w:szCs w:val="21"/>
                <w:highlight w:val="none"/>
              </w:rPr>
              <w:t>套。</w:t>
            </w:r>
          </w:p>
          <w:p>
            <w:pPr>
              <w:spacing w:before="120" w:beforeLines="50"/>
              <w:contextualSpacing/>
              <w:rPr>
                <w:rFonts w:ascii="宋体"/>
                <w:color w:val="auto"/>
                <w:szCs w:val="21"/>
                <w:highlight w:val="none"/>
                <w:u w:val="single"/>
              </w:rPr>
            </w:pPr>
            <w:r>
              <w:rPr>
                <w:rFonts w:hint="eastAsia" w:ascii="宋体"/>
                <w:color w:val="auto"/>
                <w:szCs w:val="21"/>
                <w:highlight w:val="none"/>
                <w:u w:val="single"/>
              </w:rPr>
              <w:t>注：中标单位中标后须按招标人要求提供纸质版投标文件一式三份及电子文件光盘一份。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bookmarkStart w:id="59" w:name="_Toc221950069"/>
            <w:r>
              <w:rPr>
                <w:rFonts w:ascii="宋体"/>
                <w:color w:val="auto"/>
                <w:szCs w:val="21"/>
                <w:highlight w:val="none"/>
              </w:rPr>
              <w:t>4.2.</w:t>
            </w:r>
            <w:bookmarkEnd w:id="59"/>
            <w:r>
              <w:rPr>
                <w:rFonts w:hint="eastAsia" w:ascii="宋体"/>
                <w:color w:val="auto"/>
                <w:szCs w:val="21"/>
                <w:highlight w:val="none"/>
              </w:rPr>
              <w:t>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投标文件的递交时间和地点</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1、递交方式：网上递交投标文件</w:t>
            </w:r>
          </w:p>
          <w:p>
            <w:pPr>
              <w:spacing w:before="120" w:beforeLines="50"/>
              <w:contextualSpacing/>
              <w:rPr>
                <w:rFonts w:ascii="宋体"/>
                <w:color w:val="auto"/>
                <w:szCs w:val="21"/>
                <w:highlight w:val="none"/>
              </w:rPr>
            </w:pPr>
            <w:r>
              <w:rPr>
                <w:rFonts w:hint="eastAsia" w:ascii="宋体"/>
                <w:color w:val="auto"/>
                <w:szCs w:val="21"/>
                <w:highlight w:val="none"/>
              </w:rPr>
              <w:t>2、文件的递交截止时间：</w:t>
            </w:r>
            <w:r>
              <w:rPr>
                <w:rFonts w:hint="eastAsia" w:ascii="宋体"/>
                <w:color w:val="auto"/>
                <w:szCs w:val="21"/>
                <w:highlight w:val="none"/>
                <w:u w:val="single"/>
              </w:rPr>
              <w:t>2023</w:t>
            </w:r>
            <w:r>
              <w:rPr>
                <w:rFonts w:hint="eastAsia" w:ascii="宋体"/>
                <w:color w:val="auto"/>
                <w:szCs w:val="21"/>
                <w:highlight w:val="none"/>
              </w:rPr>
              <w:t>年</w:t>
            </w:r>
            <w:r>
              <w:rPr>
                <w:rFonts w:ascii="宋体"/>
                <w:color w:val="auto"/>
                <w:szCs w:val="21"/>
                <w:highlight w:val="none"/>
              </w:rPr>
              <w:t>__</w:t>
            </w:r>
            <w:r>
              <w:rPr>
                <w:rFonts w:hint="eastAsia" w:ascii="宋体"/>
                <w:color w:val="auto"/>
                <w:szCs w:val="21"/>
                <w:highlight w:val="none"/>
              </w:rPr>
              <w:t>月</w:t>
            </w:r>
            <w:r>
              <w:rPr>
                <w:rFonts w:ascii="宋体"/>
                <w:color w:val="auto"/>
                <w:szCs w:val="21"/>
                <w:highlight w:val="none"/>
              </w:rPr>
              <w:t>__</w:t>
            </w:r>
            <w:r>
              <w:rPr>
                <w:rFonts w:hint="eastAsia" w:ascii="宋体"/>
                <w:color w:val="auto"/>
                <w:szCs w:val="21"/>
                <w:highlight w:val="none"/>
              </w:rPr>
              <w:t>日</w:t>
            </w:r>
            <w:r>
              <w:rPr>
                <w:rFonts w:ascii="宋体"/>
                <w:color w:val="auto"/>
                <w:szCs w:val="21"/>
                <w:highlight w:val="none"/>
              </w:rPr>
              <w:t>__</w:t>
            </w:r>
            <w:r>
              <w:rPr>
                <w:rFonts w:hint="eastAsia" w:ascii="宋体"/>
                <w:color w:val="auto"/>
                <w:szCs w:val="21"/>
                <w:highlight w:val="none"/>
              </w:rPr>
              <w:t>时</w:t>
            </w:r>
            <w:r>
              <w:rPr>
                <w:rFonts w:ascii="宋体"/>
                <w:color w:val="auto"/>
                <w:szCs w:val="21"/>
                <w:highlight w:val="none"/>
              </w:rPr>
              <w:t>__</w:t>
            </w:r>
            <w:r>
              <w:rPr>
                <w:rFonts w:hint="eastAsia" w:ascii="宋体"/>
                <w:color w:val="auto"/>
                <w:szCs w:val="21"/>
                <w:highlight w:val="none"/>
              </w:rPr>
              <w:t>分。</w:t>
            </w:r>
          </w:p>
          <w:p>
            <w:pPr>
              <w:spacing w:before="120" w:beforeLines="50"/>
              <w:contextualSpacing/>
              <w:rPr>
                <w:rFonts w:ascii="宋体"/>
                <w:color w:val="auto"/>
                <w:szCs w:val="21"/>
                <w:highlight w:val="none"/>
              </w:rPr>
            </w:pPr>
            <w:r>
              <w:rPr>
                <w:rFonts w:hint="eastAsia" w:ascii="宋体"/>
                <w:color w:val="auto"/>
                <w:szCs w:val="21"/>
                <w:highlight w:val="none"/>
              </w:rPr>
              <w:t>3、上述时间是否有改变，请密切留意招标答疑纪要的相关信息。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4.7</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投标文件的解密</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在投标截止时间后</w:t>
            </w:r>
            <w:r>
              <w:rPr>
                <w:rFonts w:ascii="宋体"/>
                <w:color w:val="auto"/>
                <w:szCs w:val="21"/>
                <w:highlight w:val="none"/>
                <w:u w:val="single"/>
              </w:rPr>
              <w:t>30</w:t>
            </w:r>
            <w:r>
              <w:rPr>
                <w:rFonts w:hint="eastAsia" w:ascii="宋体"/>
                <w:color w:val="auto"/>
                <w:szCs w:val="21"/>
                <w:highlight w:val="none"/>
              </w:rPr>
              <w:t>分钟内为投标人投标文件解密时间投标人通过广州公共资源交易平台对已递交的电子投标文件进行解密。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299" w:type="dxa"/>
            <w:vAlign w:val="center"/>
          </w:tcPr>
          <w:p>
            <w:pPr>
              <w:spacing w:before="120" w:beforeLines="50"/>
              <w:contextualSpacing/>
              <w:jc w:val="center"/>
              <w:rPr>
                <w:rFonts w:ascii="宋体"/>
                <w:color w:val="auto"/>
                <w:szCs w:val="21"/>
                <w:highlight w:val="none"/>
              </w:rPr>
            </w:pPr>
            <w:bookmarkStart w:id="60" w:name="_Toc221950071"/>
            <w:r>
              <w:rPr>
                <w:rFonts w:ascii="宋体"/>
                <w:color w:val="auto"/>
                <w:szCs w:val="21"/>
                <w:highlight w:val="none"/>
              </w:rPr>
              <w:t>5.1</w:t>
            </w:r>
            <w:bookmarkEnd w:id="60"/>
          </w:p>
        </w:tc>
        <w:tc>
          <w:tcPr>
            <w:tcW w:w="2191" w:type="dxa"/>
            <w:vAlign w:val="center"/>
          </w:tcPr>
          <w:p>
            <w:pPr>
              <w:spacing w:before="120" w:beforeLines="50"/>
              <w:contextualSpacing/>
              <w:jc w:val="left"/>
              <w:rPr>
                <w:rFonts w:ascii="宋体"/>
                <w:color w:val="auto"/>
                <w:szCs w:val="21"/>
                <w:highlight w:val="none"/>
              </w:rPr>
            </w:pPr>
            <w:bookmarkStart w:id="61" w:name="_Toc221950072"/>
            <w:r>
              <w:rPr>
                <w:rFonts w:hint="eastAsia" w:ascii="宋体"/>
                <w:color w:val="auto"/>
                <w:szCs w:val="21"/>
                <w:highlight w:val="none"/>
              </w:rPr>
              <w:t>开标时间和地点</w:t>
            </w:r>
            <w:bookmarkEnd w:id="61"/>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1、开标开始时间：</w:t>
            </w:r>
            <w:r>
              <w:rPr>
                <w:rFonts w:hint="eastAsia" w:ascii="宋体"/>
                <w:color w:val="auto"/>
                <w:szCs w:val="21"/>
                <w:highlight w:val="none"/>
                <w:u w:val="single"/>
              </w:rPr>
              <w:t>2023</w:t>
            </w:r>
            <w:r>
              <w:rPr>
                <w:rFonts w:hint="eastAsia" w:ascii="宋体"/>
                <w:color w:val="auto"/>
                <w:szCs w:val="21"/>
                <w:highlight w:val="none"/>
              </w:rPr>
              <w:t>年__月</w:t>
            </w:r>
            <w:r>
              <w:rPr>
                <w:rFonts w:ascii="宋体"/>
                <w:color w:val="auto"/>
                <w:szCs w:val="21"/>
                <w:highlight w:val="none"/>
              </w:rPr>
              <w:t>__</w:t>
            </w:r>
            <w:r>
              <w:rPr>
                <w:rFonts w:hint="eastAsia" w:ascii="宋体"/>
                <w:color w:val="auto"/>
                <w:szCs w:val="21"/>
                <w:highlight w:val="none"/>
              </w:rPr>
              <w:t xml:space="preserve">日 </w:t>
            </w:r>
            <w:r>
              <w:rPr>
                <w:rFonts w:ascii="宋体"/>
                <w:color w:val="auto"/>
                <w:szCs w:val="21"/>
                <w:highlight w:val="none"/>
              </w:rPr>
              <w:t>__</w:t>
            </w:r>
            <w:r>
              <w:rPr>
                <w:rFonts w:hint="eastAsia" w:ascii="宋体"/>
                <w:color w:val="auto"/>
                <w:szCs w:val="21"/>
                <w:highlight w:val="none"/>
              </w:rPr>
              <w:t>时</w:t>
            </w:r>
            <w:r>
              <w:rPr>
                <w:rFonts w:ascii="宋体"/>
                <w:color w:val="auto"/>
                <w:szCs w:val="21"/>
                <w:highlight w:val="none"/>
              </w:rPr>
              <w:t>__</w:t>
            </w:r>
            <w:r>
              <w:rPr>
                <w:rFonts w:hint="eastAsia" w:ascii="宋体"/>
                <w:color w:val="auto"/>
                <w:szCs w:val="21"/>
                <w:highlight w:val="none"/>
              </w:rPr>
              <w:t>分</w:t>
            </w:r>
          </w:p>
          <w:p>
            <w:pPr>
              <w:spacing w:before="120" w:beforeLines="50"/>
              <w:contextualSpacing/>
              <w:rPr>
                <w:rFonts w:ascii="宋体"/>
                <w:color w:val="auto"/>
                <w:szCs w:val="21"/>
                <w:highlight w:val="none"/>
              </w:rPr>
            </w:pPr>
            <w:r>
              <w:rPr>
                <w:rFonts w:hint="eastAsia" w:ascii="宋体"/>
                <w:color w:val="auto"/>
                <w:szCs w:val="21"/>
                <w:highlight w:val="none"/>
              </w:rPr>
              <w:t>2、地点：</w:t>
            </w:r>
            <w:r>
              <w:rPr>
                <w:rFonts w:hint="eastAsia" w:ascii="宋体" w:hAnsi="宋体" w:cs="宋体"/>
                <w:color w:val="auto"/>
                <w:szCs w:val="21"/>
                <w:highlight w:val="none"/>
              </w:rPr>
              <w:t>广州交易集团有限公司（广州公共资源交易中心黄埔交易部）第</w:t>
            </w:r>
            <w:r>
              <w:rPr>
                <w:rFonts w:hint="eastAsia" w:ascii="宋体" w:hAnsi="宋体" w:cs="宋体"/>
                <w:color w:val="auto"/>
                <w:szCs w:val="21"/>
                <w:highlight w:val="none"/>
                <w:u w:val="single"/>
              </w:rPr>
              <w:t xml:space="preserve"> 指定 </w:t>
            </w:r>
            <w:r>
              <w:rPr>
                <w:rFonts w:hint="eastAsia" w:ascii="宋体" w:hAnsi="宋体" w:cs="宋体"/>
                <w:color w:val="auto"/>
                <w:szCs w:val="21"/>
                <w:highlight w:val="none"/>
              </w:rPr>
              <w:t>开标室。</w:t>
            </w:r>
          </w:p>
          <w:p>
            <w:pPr>
              <w:spacing w:before="120" w:beforeLines="50"/>
              <w:contextualSpacing/>
              <w:rPr>
                <w:rFonts w:ascii="宋体"/>
                <w:color w:val="auto"/>
                <w:szCs w:val="21"/>
                <w:highlight w:val="none"/>
              </w:rPr>
            </w:pPr>
            <w:r>
              <w:rPr>
                <w:rFonts w:hint="eastAsia" w:ascii="宋体"/>
                <w:color w:val="auto"/>
                <w:szCs w:val="21"/>
                <w:highlight w:val="non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5.2</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开标评标办法</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fldChar w:fldCharType="begin"/>
            </w:r>
            <w:r>
              <w:rPr>
                <w:rFonts w:hint="eastAsia" w:ascii="宋体"/>
                <w:color w:val="auto"/>
                <w:szCs w:val="21"/>
                <w:highlight w:val="none"/>
              </w:rPr>
              <w:instrText xml:space="preserve">eq \o\ac(□,√)</w:instrText>
            </w:r>
            <w:r>
              <w:rPr>
                <w:rFonts w:hint="eastAsia" w:ascii="宋体"/>
                <w:color w:val="auto"/>
                <w:szCs w:val="21"/>
                <w:highlight w:val="none"/>
              </w:rPr>
              <w:fldChar w:fldCharType="end"/>
            </w:r>
            <w:r>
              <w:rPr>
                <w:rFonts w:hint="eastAsia" w:ascii="宋体"/>
                <w:color w:val="auto"/>
                <w:szCs w:val="21"/>
                <w:highlight w:val="none"/>
              </w:rPr>
              <w:t>综合评估法一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1299" w:type="dxa"/>
            <w:vAlign w:val="center"/>
          </w:tcPr>
          <w:p>
            <w:pPr>
              <w:spacing w:before="120" w:beforeLines="50"/>
              <w:contextualSpacing/>
              <w:jc w:val="center"/>
              <w:rPr>
                <w:rFonts w:ascii="宋体"/>
                <w:color w:val="auto"/>
                <w:szCs w:val="21"/>
                <w:highlight w:val="none"/>
              </w:rPr>
            </w:pPr>
            <w:bookmarkStart w:id="62" w:name="_Toc221950075"/>
            <w:r>
              <w:rPr>
                <w:rFonts w:ascii="宋体"/>
                <w:color w:val="auto"/>
                <w:szCs w:val="21"/>
                <w:highlight w:val="none"/>
              </w:rPr>
              <w:t>6.1.1</w:t>
            </w:r>
            <w:bookmarkEnd w:id="62"/>
          </w:p>
        </w:tc>
        <w:tc>
          <w:tcPr>
            <w:tcW w:w="2191" w:type="dxa"/>
            <w:vAlign w:val="center"/>
          </w:tcPr>
          <w:p>
            <w:pPr>
              <w:spacing w:before="120" w:beforeLines="50"/>
              <w:contextualSpacing/>
              <w:jc w:val="left"/>
              <w:rPr>
                <w:rFonts w:ascii="宋体"/>
                <w:color w:val="auto"/>
                <w:szCs w:val="21"/>
                <w:highlight w:val="none"/>
              </w:rPr>
            </w:pPr>
            <w:bookmarkStart w:id="63" w:name="_Toc221950076"/>
            <w:r>
              <w:rPr>
                <w:rFonts w:hint="eastAsia" w:ascii="宋体"/>
                <w:color w:val="auto"/>
                <w:szCs w:val="21"/>
                <w:highlight w:val="none"/>
              </w:rPr>
              <w:t>评标委员会的组建</w:t>
            </w:r>
            <w:bookmarkEnd w:id="63"/>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rPr>
              <w:t>评标委员会构成：</w:t>
            </w:r>
            <w:r>
              <w:rPr>
                <w:rFonts w:hint="eastAsia" w:ascii="宋体"/>
                <w:color w:val="auto"/>
                <w:szCs w:val="21"/>
                <w:highlight w:val="none"/>
                <w:u w:val="single"/>
              </w:rPr>
              <w:t>5</w:t>
            </w:r>
            <w:r>
              <w:rPr>
                <w:rFonts w:hint="eastAsia" w:ascii="宋体"/>
                <w:color w:val="auto"/>
                <w:szCs w:val="21"/>
                <w:highlight w:val="none"/>
              </w:rPr>
              <w:t>人，其中招标人代表</w:t>
            </w:r>
            <w:r>
              <w:rPr>
                <w:rFonts w:hint="eastAsia" w:ascii="宋体"/>
                <w:color w:val="auto"/>
                <w:szCs w:val="21"/>
                <w:highlight w:val="none"/>
                <w:u w:val="single"/>
              </w:rPr>
              <w:t xml:space="preserve"> 1 </w:t>
            </w:r>
            <w:r>
              <w:rPr>
                <w:rFonts w:hint="eastAsia" w:ascii="宋体"/>
                <w:color w:val="auto"/>
                <w:szCs w:val="21"/>
                <w:highlight w:val="none"/>
              </w:rPr>
              <w:t>人，专家</w:t>
            </w:r>
            <w:r>
              <w:rPr>
                <w:rFonts w:hint="eastAsia" w:ascii="宋体"/>
                <w:color w:val="auto"/>
                <w:szCs w:val="21"/>
                <w:highlight w:val="none"/>
                <w:u w:val="single"/>
              </w:rPr>
              <w:t xml:space="preserve"> 4  </w:t>
            </w:r>
            <w:r>
              <w:rPr>
                <w:rFonts w:hint="eastAsia" w:ascii="宋体"/>
                <w:color w:val="auto"/>
                <w:szCs w:val="21"/>
                <w:highlight w:val="none"/>
              </w:rPr>
              <w:t>人；评标专家确定方式：</w:t>
            </w:r>
            <w:r>
              <w:rPr>
                <w:rFonts w:hint="eastAsia" w:ascii="宋体" w:cs="宋体"/>
                <w:color w:val="auto"/>
                <w:szCs w:val="21"/>
                <w:highlight w:val="none"/>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7.2.1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中标候选人公示媒介</w:t>
            </w:r>
          </w:p>
        </w:tc>
        <w:tc>
          <w:tcPr>
            <w:tcW w:w="5265" w:type="dxa"/>
            <w:vAlign w:val="center"/>
          </w:tcPr>
          <w:p>
            <w:pPr>
              <w:spacing w:before="120" w:beforeLines="50"/>
              <w:contextualSpacing/>
              <w:rPr>
                <w:rFonts w:ascii="宋体"/>
                <w:color w:val="auto"/>
                <w:szCs w:val="21"/>
                <w:highlight w:val="none"/>
              </w:rPr>
            </w:pPr>
            <w:r>
              <w:rPr>
                <w:rFonts w:hint="eastAsia" w:ascii="宋体"/>
                <w:color w:val="auto"/>
                <w:szCs w:val="21"/>
                <w:highlight w:val="none"/>
                <w:shd w:val="clear" w:color="auto" w:fill="FFFFFF"/>
              </w:rPr>
              <w:t>中国招标投标公共服务平台、广东省招标投标监管网、广州公共资源交易中心网站等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299" w:type="dxa"/>
            <w:vAlign w:val="center"/>
          </w:tcPr>
          <w:p>
            <w:pPr>
              <w:spacing w:before="120" w:beforeLines="50"/>
              <w:contextualSpacing/>
              <w:jc w:val="center"/>
              <w:rPr>
                <w:rFonts w:ascii="宋体"/>
                <w:color w:val="auto"/>
                <w:szCs w:val="21"/>
                <w:highlight w:val="none"/>
              </w:rPr>
            </w:pPr>
            <w:bookmarkStart w:id="64" w:name="_Toc221950079"/>
            <w:r>
              <w:rPr>
                <w:rFonts w:ascii="宋体"/>
                <w:color w:val="auto"/>
                <w:szCs w:val="21"/>
                <w:highlight w:val="none"/>
              </w:rPr>
              <w:t>7.</w:t>
            </w:r>
            <w:r>
              <w:rPr>
                <w:rFonts w:hint="eastAsia" w:ascii="宋体"/>
                <w:color w:val="auto"/>
                <w:szCs w:val="21"/>
                <w:highlight w:val="none"/>
              </w:rPr>
              <w:t>4</w:t>
            </w:r>
            <w:r>
              <w:rPr>
                <w:rFonts w:ascii="宋体"/>
                <w:color w:val="auto"/>
                <w:szCs w:val="21"/>
                <w:highlight w:val="none"/>
              </w:rPr>
              <w:t>.1</w:t>
            </w:r>
            <w:bookmarkEnd w:id="64"/>
          </w:p>
        </w:tc>
        <w:tc>
          <w:tcPr>
            <w:tcW w:w="2191" w:type="dxa"/>
            <w:vAlign w:val="center"/>
          </w:tcPr>
          <w:p>
            <w:pPr>
              <w:spacing w:before="120" w:beforeLines="50"/>
              <w:contextualSpacing/>
              <w:jc w:val="left"/>
              <w:rPr>
                <w:rFonts w:ascii="宋体"/>
                <w:color w:val="auto"/>
                <w:szCs w:val="21"/>
                <w:highlight w:val="none"/>
              </w:rPr>
            </w:pPr>
            <w:bookmarkStart w:id="65" w:name="_Toc221950080"/>
            <w:r>
              <w:rPr>
                <w:rFonts w:ascii="宋体"/>
                <w:color w:val="auto"/>
                <w:szCs w:val="21"/>
                <w:highlight w:val="none"/>
              </w:rPr>
              <w:t>履约担保</w:t>
            </w:r>
            <w:bookmarkEnd w:id="65"/>
          </w:p>
        </w:tc>
        <w:tc>
          <w:tcPr>
            <w:tcW w:w="5265" w:type="dxa"/>
            <w:vAlign w:val="center"/>
          </w:tcPr>
          <w:p>
            <w:pPr>
              <w:spacing w:before="120" w:beforeLines="50"/>
              <w:contextualSpacing/>
              <w:rPr>
                <w:color w:val="auto"/>
                <w:highlight w:val="none"/>
              </w:rPr>
            </w:pPr>
            <w:r>
              <w:rPr>
                <w:rFonts w:hint="eastAsia"/>
                <w:color w:val="auto"/>
                <w:highlight w:val="none"/>
              </w:rPr>
              <w:t>履约保证金为中标合同金额的</w:t>
            </w:r>
            <w:r>
              <w:rPr>
                <w:color w:val="auto"/>
                <w:highlight w:val="none"/>
              </w:rPr>
              <w:t>5</w:t>
            </w:r>
            <w:r>
              <w:rPr>
                <w:rFonts w:hint="eastAsia"/>
                <w:color w:val="auto"/>
                <w:highlight w:val="none"/>
              </w:rPr>
              <w:t>%。</w:t>
            </w:r>
          </w:p>
          <w:p>
            <w:pPr>
              <w:pStyle w:val="56"/>
              <w:rPr>
                <w:color w:val="auto"/>
                <w:highlight w:val="none"/>
              </w:rPr>
            </w:pPr>
            <w:r>
              <w:rPr>
                <w:rFonts w:hint="eastAsia"/>
                <w:color w:val="auto"/>
                <w:highlight w:val="none"/>
              </w:rPr>
              <w:t>履约保证金的形式：保函形式提供。保函须由在中华人民共和国境内合法经营的大型商业银行设在广州区域的分行以上的机构出具或在广州市黄埔区注册的国有企业融资性担保机构出具。</w:t>
            </w:r>
            <w:r>
              <w:rPr>
                <w:rFonts w:hint="eastAsia"/>
                <w:color w:val="auto"/>
                <w:szCs w:val="21"/>
                <w:highlight w:val="none"/>
                <w:u w:val="single"/>
              </w:rPr>
              <w:t>联合体中标的，其履约担保由投标人（联合体中牵头人）的名义提交。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10.1</w:t>
            </w:r>
          </w:p>
        </w:tc>
        <w:tc>
          <w:tcPr>
            <w:tcW w:w="2191" w:type="dxa"/>
            <w:vAlign w:val="center"/>
          </w:tcPr>
          <w:p>
            <w:pPr>
              <w:spacing w:before="120" w:beforeLines="50"/>
              <w:contextualSpacing/>
              <w:jc w:val="left"/>
              <w:rPr>
                <w:rFonts w:ascii="宋体"/>
                <w:color w:val="auto"/>
                <w:szCs w:val="21"/>
                <w:highlight w:val="none"/>
              </w:rPr>
            </w:pPr>
            <w:r>
              <w:rPr>
                <w:rFonts w:hint="eastAsia" w:ascii="宋体"/>
                <w:color w:val="auto"/>
                <w:szCs w:val="21"/>
                <w:highlight w:val="none"/>
              </w:rPr>
              <w:t>需要补充的其他内容1</w:t>
            </w:r>
          </w:p>
        </w:tc>
        <w:tc>
          <w:tcPr>
            <w:tcW w:w="5265" w:type="dxa"/>
            <w:vAlign w:val="center"/>
          </w:tcPr>
          <w:p>
            <w:pPr>
              <w:spacing w:before="120" w:beforeLines="50"/>
              <w:contextualSpacing/>
              <w:rPr>
                <w:rFonts w:ascii="宋体"/>
                <w:color w:val="auto"/>
                <w:szCs w:val="21"/>
                <w:highlight w:val="none"/>
              </w:rPr>
            </w:pPr>
            <w:r>
              <w:rPr>
                <w:rFonts w:hint="eastAsia" w:ascii="宋体" w:cs="宋体"/>
                <w:color w:val="auto"/>
                <w:kern w:val="0"/>
                <w:szCs w:val="21"/>
                <w:highlight w:val="none"/>
              </w:rPr>
              <w:t>由</w:t>
            </w:r>
            <w:r>
              <w:rPr>
                <w:rFonts w:hint="eastAsia" w:ascii="宋体" w:cs="宋体"/>
                <w:color w:val="auto"/>
                <w:kern w:val="0"/>
                <w:szCs w:val="21"/>
                <w:highlight w:val="none"/>
                <w:lang w:val="zh-CN"/>
              </w:rPr>
              <w:t>中标人缴</w:t>
            </w:r>
            <w:r>
              <w:rPr>
                <w:rFonts w:hint="eastAsia" w:ascii="宋体" w:cs="宋体"/>
                <w:color w:val="auto"/>
                <w:kern w:val="0"/>
                <w:szCs w:val="21"/>
                <w:highlight w:val="none"/>
              </w:rPr>
              <w:t>纳</w:t>
            </w:r>
            <w:r>
              <w:rPr>
                <w:rFonts w:hint="eastAsia" w:ascii="宋体" w:cs="宋体"/>
                <w:color w:val="auto"/>
                <w:kern w:val="0"/>
                <w:szCs w:val="21"/>
                <w:highlight w:val="none"/>
                <w:lang w:val="zh-CN"/>
              </w:rPr>
              <w:t>公共资源交易服务费，其费用包含在中标人投标报价中，交易中心向中标人开具增值税发票。</w:t>
            </w:r>
            <w:r>
              <w:rPr>
                <w:rFonts w:hint="eastAsia" w:ascii="宋体"/>
                <w:color w:val="auto"/>
                <w:szCs w:val="21"/>
                <w:highlight w:val="none"/>
              </w:rPr>
              <w:t>具体收费标准中标人可以在广州公共资源交易中心网站查阅，如有变更以广州公共资源交易中心最新发布的标准为准）。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299" w:type="dxa"/>
            <w:vAlign w:val="center"/>
          </w:tcPr>
          <w:p>
            <w:pPr>
              <w:spacing w:before="120" w:beforeLines="50"/>
              <w:contextualSpacing/>
              <w:jc w:val="center"/>
              <w:rPr>
                <w:rFonts w:hint="default" w:ascii="宋体" w:eastAsia="宋体"/>
                <w:color w:val="auto"/>
                <w:szCs w:val="21"/>
                <w:highlight w:val="none"/>
                <w:lang w:val="en-US" w:eastAsia="zh-CN"/>
              </w:rPr>
            </w:pPr>
            <w:r>
              <w:rPr>
                <w:rFonts w:hint="eastAsia" w:ascii="宋体"/>
                <w:color w:val="auto"/>
                <w:szCs w:val="21"/>
                <w:highlight w:val="none"/>
                <w:lang w:val="en-US" w:eastAsia="zh-CN"/>
              </w:rPr>
              <w:t>10.2</w:t>
            </w:r>
          </w:p>
        </w:tc>
        <w:tc>
          <w:tcPr>
            <w:tcW w:w="2191" w:type="dxa"/>
            <w:vAlign w:val="center"/>
          </w:tcPr>
          <w:p>
            <w:pPr>
              <w:spacing w:before="120" w:beforeLines="50"/>
              <w:contextualSpacing/>
              <w:jc w:val="left"/>
              <w:rPr>
                <w:rFonts w:hint="eastAsia" w:ascii="宋体" w:eastAsia="宋体"/>
                <w:color w:val="auto"/>
                <w:szCs w:val="21"/>
                <w:highlight w:val="none"/>
                <w:lang w:val="en-US" w:eastAsia="zh-CN"/>
              </w:rPr>
            </w:pPr>
            <w:r>
              <w:rPr>
                <w:rFonts w:hint="eastAsia" w:ascii="宋体"/>
                <w:color w:val="auto"/>
                <w:szCs w:val="21"/>
                <w:highlight w:val="none"/>
              </w:rPr>
              <w:t>需要补充的其他内容</w:t>
            </w:r>
            <w:r>
              <w:rPr>
                <w:rFonts w:hint="eastAsia" w:ascii="宋体"/>
                <w:color w:val="auto"/>
                <w:szCs w:val="21"/>
                <w:highlight w:val="none"/>
                <w:lang w:val="en-US" w:eastAsia="zh-CN"/>
              </w:rPr>
              <w:t>2</w:t>
            </w:r>
          </w:p>
        </w:tc>
        <w:tc>
          <w:tcPr>
            <w:tcW w:w="5265" w:type="dxa"/>
            <w:vAlign w:val="center"/>
          </w:tcPr>
          <w:p>
            <w:pPr>
              <w:spacing w:before="120" w:beforeLines="50"/>
              <w:contextualSpacing/>
              <w:rPr>
                <w:rFonts w:hint="eastAsia" w:ascii="宋体" w:cs="宋体"/>
                <w:color w:val="auto"/>
                <w:kern w:val="0"/>
                <w:szCs w:val="21"/>
                <w:highlight w:val="none"/>
              </w:rPr>
            </w:pPr>
            <w:r>
              <w:rPr>
                <w:rFonts w:hint="eastAsia" w:ascii="宋体" w:cs="宋体"/>
                <w:color w:val="auto"/>
                <w:kern w:val="0"/>
                <w:szCs w:val="21"/>
                <w:highlight w:val="none"/>
              </w:rPr>
              <w:t>中标人在领取中标通知书前需向本项目招标代理机构缴纳招标代理费，招标代理费总额按《计价格〔2002〕1980号》文件和《发改价格〔2011〕534号》文件的收费标准下浮</w:t>
            </w:r>
            <w:r>
              <w:rPr>
                <w:rFonts w:hint="eastAsia" w:ascii="宋体" w:cs="宋体"/>
                <w:color w:val="auto"/>
                <w:kern w:val="0"/>
                <w:szCs w:val="21"/>
                <w:highlight w:val="none"/>
                <w:lang w:val="en-US" w:eastAsia="zh-CN"/>
              </w:rPr>
              <w:t>1</w:t>
            </w:r>
            <w:r>
              <w:rPr>
                <w:rFonts w:hint="eastAsia" w:ascii="宋体" w:cs="宋体"/>
                <w:color w:val="auto"/>
                <w:kern w:val="0"/>
                <w:szCs w:val="21"/>
                <w:highlight w:val="none"/>
              </w:rPr>
              <w:t>0%计算。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299" w:type="dxa"/>
            <w:vAlign w:val="center"/>
          </w:tcPr>
          <w:p>
            <w:pPr>
              <w:spacing w:before="120" w:beforeLines="50"/>
              <w:contextualSpacing/>
              <w:jc w:val="center"/>
              <w:rPr>
                <w:rFonts w:ascii="宋体"/>
                <w:color w:val="auto"/>
                <w:szCs w:val="21"/>
                <w:highlight w:val="none"/>
              </w:rPr>
            </w:pPr>
            <w:r>
              <w:rPr>
                <w:rFonts w:hint="eastAsia" w:ascii="宋体"/>
                <w:color w:val="auto"/>
                <w:szCs w:val="21"/>
                <w:highlight w:val="none"/>
              </w:rPr>
              <w:t>11</w:t>
            </w:r>
          </w:p>
        </w:tc>
        <w:tc>
          <w:tcPr>
            <w:tcW w:w="2191" w:type="dxa"/>
            <w:vAlign w:val="center"/>
          </w:tcPr>
          <w:p>
            <w:pPr>
              <w:spacing w:before="120" w:beforeLines="50"/>
              <w:contextualSpacing/>
              <w:jc w:val="left"/>
              <w:rPr>
                <w:rFonts w:ascii="宋体"/>
                <w:color w:val="auto"/>
                <w:szCs w:val="21"/>
                <w:highlight w:val="none"/>
              </w:rPr>
            </w:pPr>
            <w:r>
              <w:rPr>
                <w:rFonts w:hint="eastAsia" w:ascii="宋体" w:hAnsi="宋体" w:cs="宋体"/>
                <w:color w:val="auto"/>
                <w:szCs w:val="21"/>
                <w:highlight w:val="none"/>
                <w:u w:val="single"/>
              </w:rPr>
              <w:t>电子招标投标解密失败及突发情况的补救</w:t>
            </w:r>
          </w:p>
        </w:tc>
        <w:tc>
          <w:tcPr>
            <w:tcW w:w="5265" w:type="dxa"/>
            <w:vAlign w:val="center"/>
          </w:tcPr>
          <w:p>
            <w:pPr>
              <w:numPr>
                <w:ilvl w:val="0"/>
                <w:numId w:val="4"/>
              </w:numPr>
              <w:spacing w:line="276" w:lineRule="auto"/>
              <w:ind w:left="0" w:firstLine="0"/>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按照交易平台关于全流程电子化项目的相关指南进行操作。详见：广州公共资源交易中心最新指引。</w:t>
            </w:r>
          </w:p>
          <w:p>
            <w:pPr>
              <w:spacing w:line="276" w:lineRule="auto"/>
              <w:rPr>
                <w:rFonts w:ascii="宋体" w:hAnsi="宋体" w:cs="宋体"/>
                <w:color w:val="auto"/>
                <w:kern w:val="0"/>
                <w:szCs w:val="21"/>
                <w:highlight w:val="none"/>
                <w:u w:val="single"/>
                <w:lang w:val="zh-CN"/>
              </w:rPr>
            </w:pPr>
            <w:r>
              <w:rPr>
                <w:rFonts w:ascii="宋体" w:hAnsi="宋体" w:cs="宋体"/>
                <w:color w:val="auto"/>
                <w:kern w:val="0"/>
                <w:szCs w:val="21"/>
                <w:highlight w:val="none"/>
                <w:u w:val="single"/>
                <w:lang w:val="zh-CN"/>
              </w:rPr>
              <w:t>2、提交投标文件光盘备用</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投标人可制作非加密的电子投标文件（</w:t>
            </w:r>
            <w:r>
              <w:rPr>
                <w:rFonts w:ascii="宋体" w:hAnsi="宋体" w:cs="宋体"/>
                <w:color w:val="auto"/>
                <w:kern w:val="0"/>
                <w:szCs w:val="21"/>
                <w:highlight w:val="none"/>
                <w:u w:val="single"/>
                <w:lang w:val="zh-CN"/>
              </w:rPr>
              <w:t>PDF格式）刻入光盘（1</w:t>
            </w:r>
            <w:r>
              <w:rPr>
                <w:rFonts w:hint="eastAsia" w:ascii="宋体" w:hAnsi="宋体" w:cs="宋体"/>
                <w:color w:val="auto"/>
                <w:kern w:val="0"/>
                <w:szCs w:val="21"/>
                <w:highlight w:val="none"/>
                <w:u w:val="single"/>
                <w:lang w:val="zh-CN"/>
              </w:rPr>
              <w:t>份），在投标人须知前附表规定的开标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宋体"/>
                <w:color w:val="auto"/>
                <w:kern w:val="0"/>
                <w:szCs w:val="21"/>
                <w:highlight w:val="none"/>
                <w:u w:val="single"/>
                <w:lang w:val="zh-CN"/>
              </w:rPr>
            </w:pPr>
            <w:r>
              <w:rPr>
                <w:rFonts w:ascii="宋体" w:hAnsi="宋体" w:cs="宋体"/>
                <w:color w:val="auto"/>
                <w:kern w:val="0"/>
                <w:szCs w:val="21"/>
                <w:highlight w:val="none"/>
                <w:u w:val="single"/>
                <w:lang w:val="zh-CN"/>
              </w:rPr>
              <w:t xml:space="preserve"> 3、补救方案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w:t>
            </w:r>
            <w:r>
              <w:rPr>
                <w:rFonts w:ascii="宋体" w:hAnsi="宋体" w:cs="宋体"/>
                <w:color w:val="auto"/>
                <w:kern w:val="0"/>
                <w:szCs w:val="21"/>
                <w:highlight w:val="none"/>
                <w:u w:val="single"/>
                <w:lang w:val="zh-CN"/>
              </w:rPr>
              <w:t>1）投标文件解密失败的补救方案：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在规定时间内，因投标人之外原因</w:t>
            </w:r>
            <w:r>
              <w:rPr>
                <w:rFonts w:ascii="宋体" w:hAnsi="宋体" w:cs="宋体"/>
                <w:color w:val="auto"/>
                <w:kern w:val="0"/>
                <w:szCs w:val="21"/>
                <w:highlight w:val="none"/>
                <w:u w:val="single"/>
                <w:lang w:val="zh-CN"/>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w:t>
            </w:r>
            <w:r>
              <w:rPr>
                <w:rFonts w:ascii="宋体" w:hAnsi="宋体" w:cs="宋体"/>
                <w:color w:val="auto"/>
                <w:kern w:val="0"/>
                <w:szCs w:val="21"/>
                <w:highlight w:val="none"/>
                <w:u w:val="single"/>
                <w:lang w:val="zh-CN"/>
              </w:rPr>
              <w:t>2）评标时突发情况的补救方案</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w:t>
            </w:r>
            <w:r>
              <w:rPr>
                <w:rFonts w:ascii="宋体" w:hAnsi="宋体" w:cs="宋体"/>
                <w:color w:val="auto"/>
                <w:kern w:val="0"/>
                <w:szCs w:val="21"/>
                <w:highlight w:val="none"/>
                <w:u w:val="single"/>
                <w:lang w:val="zh-CN"/>
              </w:rPr>
              <w:t>3）除发生上述情况外，开标评标均以投标人通过交易平台网上递交的电子投标文件为准。</w:t>
            </w:r>
          </w:p>
        </w:tc>
      </w:tr>
    </w:tbl>
    <w:p>
      <w:pPr>
        <w:pStyle w:val="35"/>
        <w:spacing w:line="360" w:lineRule="auto"/>
        <w:rPr>
          <w:rFonts w:eastAsia="宋体"/>
          <w:b/>
          <w:color w:val="auto"/>
          <w:sz w:val="24"/>
          <w:highlight w:val="none"/>
        </w:rPr>
      </w:pPr>
    </w:p>
    <w:p>
      <w:pPr>
        <w:widowControl/>
        <w:jc w:val="left"/>
        <w:rPr>
          <w:rFonts w:ascii="宋体"/>
          <w:b/>
          <w:color w:val="auto"/>
          <w:sz w:val="24"/>
          <w:szCs w:val="24"/>
          <w:highlight w:val="none"/>
          <w:u w:val="single"/>
        </w:rPr>
      </w:pPr>
      <w:r>
        <w:rPr>
          <w:rFonts w:ascii="宋体"/>
          <w:b/>
          <w:color w:val="auto"/>
          <w:sz w:val="24"/>
          <w:highlight w:val="none"/>
        </w:rPr>
        <w:br w:type="page"/>
      </w:r>
    </w:p>
    <w:p>
      <w:pPr>
        <w:spacing w:line="360" w:lineRule="auto"/>
        <w:jc w:val="center"/>
        <w:outlineLvl w:val="2"/>
        <w:rPr>
          <w:rFonts w:ascii="宋体"/>
          <w:color w:val="auto"/>
          <w:sz w:val="28"/>
          <w:szCs w:val="27"/>
          <w:highlight w:val="none"/>
        </w:rPr>
      </w:pPr>
      <w:bookmarkStart w:id="66" w:name="_Toc17451101"/>
      <w:bookmarkStart w:id="67" w:name="_Toc17451578"/>
      <w:bookmarkStart w:id="68" w:name="_Toc262229161"/>
      <w:bookmarkStart w:id="69" w:name="_Toc29215"/>
      <w:bookmarkStart w:id="70" w:name="_Toc17451623"/>
      <w:bookmarkStart w:id="71" w:name="_Toc17454922"/>
      <w:bookmarkStart w:id="72" w:name="_Toc17454871"/>
      <w:bookmarkStart w:id="73" w:name="_Toc75788599"/>
      <w:bookmarkStart w:id="74" w:name="_Toc17556876"/>
      <w:bookmarkStart w:id="75" w:name="_Toc17452664"/>
      <w:bookmarkStart w:id="76" w:name="_Toc17563"/>
      <w:r>
        <w:rPr>
          <w:rFonts w:hint="eastAsia" w:ascii="宋体"/>
          <w:color w:val="auto"/>
          <w:sz w:val="28"/>
          <w:szCs w:val="27"/>
          <w:highlight w:val="none"/>
        </w:rPr>
        <w:t>二、投标须知修改表</w:t>
      </w:r>
      <w:bookmarkEnd w:id="66"/>
      <w:bookmarkEnd w:id="67"/>
      <w:bookmarkEnd w:id="68"/>
      <w:bookmarkEnd w:id="69"/>
      <w:bookmarkEnd w:id="70"/>
      <w:bookmarkEnd w:id="71"/>
      <w:bookmarkEnd w:id="72"/>
      <w:bookmarkEnd w:id="73"/>
      <w:bookmarkEnd w:id="74"/>
      <w:bookmarkEnd w:id="75"/>
      <w:bookmarkEnd w:id="76"/>
    </w:p>
    <w:p>
      <w:pPr>
        <w:pStyle w:val="40"/>
        <w:spacing w:line="360" w:lineRule="auto"/>
        <w:rPr>
          <w:rFonts w:ascii="宋体" w:eastAsia="宋体"/>
          <w:b/>
          <w:color w:val="auto"/>
          <w:sz w:val="24"/>
          <w:szCs w:val="24"/>
          <w:highlight w:val="none"/>
        </w:rPr>
      </w:pPr>
      <w:r>
        <w:rPr>
          <w:rFonts w:hint="eastAsia" w:ascii="宋体" w:eastAsia="宋体"/>
          <w:b/>
          <w:color w:val="auto"/>
          <w:sz w:val="24"/>
          <w:szCs w:val="24"/>
          <w:highlight w:val="none"/>
        </w:rPr>
        <w:t>本投标须知使用SWZB2019-01试行版招标文件范本的投标须知通用条款，与该通用条款不同之处，均在本表中列明，并以现文为准，原文不再有效。</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 xml:space="preserve">条款号：1.4.1  </w:t>
      </w:r>
      <w:r>
        <w:rPr>
          <w:rFonts w:hint="eastAsia" w:ascii="宋体" w:hAnsi="宋体"/>
          <w:b/>
          <w:bCs/>
          <w:color w:val="auto"/>
          <w:sz w:val="24"/>
          <w:highlight w:val="none"/>
        </w:rPr>
        <w:t>b)、c)、</w:t>
      </w:r>
      <w:r>
        <w:rPr>
          <w:rFonts w:hint="eastAsia" w:ascii="宋体" w:hAnsi="宋体"/>
          <w:b/>
          <w:bCs/>
          <w:color w:val="auto"/>
          <w:sz w:val="24"/>
          <w:szCs w:val="24"/>
          <w:highlight w:val="none"/>
        </w:rPr>
        <w:t>d）             修改类型：修改</w:t>
      </w:r>
    </w:p>
    <w:p>
      <w:pPr>
        <w:spacing w:line="360" w:lineRule="auto"/>
        <w:ind w:firstLine="482" w:firstLineChars="200"/>
        <w:rPr>
          <w:rFonts w:ascii="宋体" w:hAnsi="宋体"/>
          <w:bCs/>
          <w:color w:val="auto"/>
          <w:sz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w:t>
      </w:r>
      <w:r>
        <w:rPr>
          <w:rFonts w:hint="eastAsia" w:ascii="宋体" w:hAnsi="宋体"/>
          <w:bCs/>
          <w:color w:val="auto"/>
          <w:sz w:val="24"/>
          <w:highlight w:val="none"/>
        </w:rPr>
        <w:t>b)</w:t>
      </w:r>
      <w:r>
        <w:rPr>
          <w:rFonts w:hint="eastAsia" w:ascii="宋体" w:hAnsi="宋体"/>
          <w:bCs/>
          <w:color w:val="auto"/>
          <w:sz w:val="24"/>
          <w:highlight w:val="none"/>
        </w:rPr>
        <w:tab/>
      </w:r>
      <w:r>
        <w:rPr>
          <w:rFonts w:hint="eastAsia" w:ascii="宋体" w:hAnsi="宋体"/>
          <w:bCs/>
          <w:color w:val="auto"/>
          <w:sz w:val="24"/>
          <w:highlight w:val="none"/>
        </w:rPr>
        <w:t>项目负责人持有有效的安全培训考核合格证（B类）。安全培训考核合格证的颁发部门见投标人须知前附表。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c)</w:t>
      </w:r>
      <w:r>
        <w:rPr>
          <w:rFonts w:hint="eastAsia" w:ascii="宋体" w:hAnsi="宋体"/>
          <w:bCs/>
          <w:color w:val="auto"/>
          <w:sz w:val="24"/>
          <w:highlight w:val="none"/>
        </w:rPr>
        <w:tab/>
      </w:r>
      <w:r>
        <w:rPr>
          <w:rFonts w:hint="eastAsia" w:ascii="宋体" w:hAnsi="宋体"/>
          <w:bCs/>
          <w:color w:val="auto"/>
          <w:sz w:val="24"/>
          <w:highlight w:val="none"/>
        </w:rPr>
        <w:t>专职安全员具有有效的安全培训考核合格证（C证）。安全培训考核合格证的颁发部门见投标人须知前附表。</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szCs w:val="24"/>
          <w:highlight w:val="none"/>
        </w:rPr>
        <w:t>d）业绩要求：根据工程规模和特点设置。</w:t>
      </w:r>
    </w:p>
    <w:p>
      <w:pPr>
        <w:spacing w:line="360" w:lineRule="auto"/>
        <w:ind w:firstLine="482" w:firstLineChars="200"/>
        <w:rPr>
          <w:rFonts w:ascii="宋体" w:hAnsi="宋体"/>
          <w:bCs/>
          <w:color w:val="auto"/>
          <w:sz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w:t>
      </w:r>
      <w:r>
        <w:rPr>
          <w:rFonts w:hint="eastAsia" w:ascii="宋体" w:hAnsi="宋体"/>
          <w:bCs/>
          <w:color w:val="auto"/>
          <w:sz w:val="24"/>
          <w:highlight w:val="none"/>
        </w:rPr>
        <w:t>b)</w:t>
      </w:r>
      <w:r>
        <w:rPr>
          <w:rFonts w:hint="eastAsia" w:ascii="宋体" w:hAnsi="宋体"/>
          <w:bCs/>
          <w:color w:val="auto"/>
          <w:sz w:val="24"/>
          <w:highlight w:val="none"/>
        </w:rPr>
        <w:tab/>
      </w:r>
      <w:r>
        <w:rPr>
          <w:rFonts w:hint="eastAsia" w:ascii="宋体" w:hAnsi="宋体"/>
          <w:bCs/>
          <w:color w:val="auto"/>
          <w:sz w:val="24"/>
          <w:highlight w:val="none"/>
        </w:rPr>
        <w:t>项目负责人持有有效的安全生产考核合格证（B类）</w:t>
      </w:r>
      <w:r>
        <w:rPr>
          <w:rFonts w:hint="eastAsia" w:ascii="宋体" w:hAnsi="宋体" w:cs="宋体"/>
          <w:color w:val="auto"/>
          <w:sz w:val="24"/>
          <w:szCs w:val="24"/>
          <w:highlight w:val="none"/>
          <w:u w:val="single"/>
        </w:rPr>
        <w:t>或建筑施工企业项目负责人安全生产考核合格证书</w:t>
      </w:r>
      <w:r>
        <w:rPr>
          <w:rFonts w:hint="eastAsia" w:ascii="宋体" w:hAnsi="宋体"/>
          <w:bCs/>
          <w:color w:val="auto"/>
          <w:sz w:val="24"/>
          <w:highlight w:val="none"/>
        </w:rPr>
        <w:t>。安全</w:t>
      </w:r>
      <w:r>
        <w:rPr>
          <w:rFonts w:hint="eastAsia" w:ascii="宋体" w:hAnsi="宋体"/>
          <w:bCs/>
          <w:color w:val="auto"/>
          <w:sz w:val="24"/>
          <w:highlight w:val="none"/>
          <w:u w:val="single"/>
        </w:rPr>
        <w:t>生产</w:t>
      </w:r>
      <w:r>
        <w:rPr>
          <w:rFonts w:hint="eastAsia" w:ascii="宋体" w:hAnsi="宋体"/>
          <w:bCs/>
          <w:color w:val="auto"/>
          <w:sz w:val="24"/>
          <w:highlight w:val="none"/>
        </w:rPr>
        <w:t>考核合格证的颁发部门见投标人须知前附表。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c)</w:t>
      </w:r>
      <w:r>
        <w:rPr>
          <w:rFonts w:hint="eastAsia" w:ascii="宋体" w:hAnsi="宋体"/>
          <w:bCs/>
          <w:color w:val="auto"/>
          <w:sz w:val="24"/>
          <w:highlight w:val="none"/>
        </w:rPr>
        <w:tab/>
      </w:r>
      <w:r>
        <w:rPr>
          <w:rFonts w:hint="eastAsia" w:ascii="宋体" w:hAnsi="宋体"/>
          <w:bCs/>
          <w:color w:val="auto"/>
          <w:sz w:val="24"/>
          <w:highlight w:val="none"/>
        </w:rPr>
        <w:t>专职安全员具有有效的安全生产考核合格证（C证）</w:t>
      </w:r>
      <w:r>
        <w:rPr>
          <w:rFonts w:hint="eastAsia" w:ascii="宋体" w:hAnsi="宋体" w:cs="宋体"/>
          <w:color w:val="auto"/>
          <w:sz w:val="24"/>
          <w:szCs w:val="24"/>
          <w:highlight w:val="none"/>
          <w:u w:val="single"/>
        </w:rPr>
        <w:t>或提供建筑施工企业专职安全生产管理人员安全生产考核合格证书（C3类）</w:t>
      </w:r>
      <w:r>
        <w:rPr>
          <w:rFonts w:hint="eastAsia" w:ascii="宋体" w:hAnsi="宋体"/>
          <w:bCs/>
          <w:color w:val="auto"/>
          <w:sz w:val="24"/>
          <w:highlight w:val="none"/>
        </w:rPr>
        <w:t>。安全</w:t>
      </w:r>
      <w:r>
        <w:rPr>
          <w:rFonts w:hint="eastAsia" w:ascii="宋体" w:hAnsi="宋体"/>
          <w:bCs/>
          <w:color w:val="auto"/>
          <w:sz w:val="24"/>
          <w:highlight w:val="none"/>
          <w:u w:val="single"/>
        </w:rPr>
        <w:t>生产</w:t>
      </w:r>
      <w:r>
        <w:rPr>
          <w:rFonts w:hint="eastAsia" w:ascii="宋体" w:hAnsi="宋体"/>
          <w:bCs/>
          <w:color w:val="auto"/>
          <w:sz w:val="24"/>
          <w:highlight w:val="none"/>
        </w:rPr>
        <w:t>考核合格证的颁发部门见投标人须知前附表。</w:t>
      </w:r>
    </w:p>
    <w:p>
      <w:pPr>
        <w:pBdr>
          <w:bottom w:val="single" w:color="auto" w:sz="6" w:space="1"/>
        </w:pBdr>
        <w:spacing w:line="360" w:lineRule="auto"/>
        <w:ind w:firstLine="537" w:firstLineChars="224"/>
        <w:rPr>
          <w:color w:val="auto"/>
          <w:highlight w:val="none"/>
        </w:rPr>
      </w:pPr>
      <w:r>
        <w:rPr>
          <w:rFonts w:hint="eastAsia" w:ascii="宋体" w:hAnsi="宋体"/>
          <w:color w:val="auto"/>
          <w:sz w:val="24"/>
          <w:szCs w:val="24"/>
          <w:highlight w:val="none"/>
        </w:rPr>
        <w:t>d）业绩要求：无。</w:t>
      </w:r>
    </w:p>
    <w:p>
      <w:pPr>
        <w:spacing w:line="360" w:lineRule="auto"/>
        <w:ind w:firstLine="482" w:firstLineChars="200"/>
        <w:rPr>
          <w:rFonts w:ascii="宋体"/>
          <w:b/>
          <w:bCs/>
          <w:color w:val="auto"/>
          <w:sz w:val="24"/>
          <w:highlight w:val="none"/>
        </w:rPr>
      </w:pPr>
    </w:p>
    <w:p>
      <w:pPr>
        <w:spacing w:line="360" w:lineRule="auto"/>
        <w:ind w:firstLine="482" w:firstLineChars="200"/>
        <w:rPr>
          <w:rFonts w:ascii="宋体"/>
          <w:b/>
          <w:bCs/>
          <w:color w:val="auto"/>
          <w:sz w:val="24"/>
          <w:highlight w:val="none"/>
        </w:rPr>
      </w:pPr>
      <w:r>
        <w:rPr>
          <w:rFonts w:hint="eastAsia" w:ascii="宋体"/>
          <w:b/>
          <w:bCs/>
          <w:color w:val="auto"/>
          <w:sz w:val="24"/>
          <w:highlight w:val="none"/>
        </w:rPr>
        <w:t>条款号：2.1.1        修改类型：修改</w:t>
      </w:r>
    </w:p>
    <w:p>
      <w:pPr>
        <w:spacing w:line="360" w:lineRule="auto"/>
        <w:ind w:firstLine="482" w:firstLineChars="200"/>
        <w:rPr>
          <w:rFonts w:ascii="宋体"/>
          <w:bCs/>
          <w:color w:val="auto"/>
          <w:sz w:val="24"/>
          <w:highlight w:val="none"/>
        </w:rPr>
      </w:pPr>
      <w:r>
        <w:rPr>
          <w:rFonts w:hint="eastAsia" w:ascii="宋体"/>
          <w:b/>
          <w:bCs/>
          <w:color w:val="auto"/>
          <w:sz w:val="24"/>
          <w:szCs w:val="24"/>
          <w:highlight w:val="none"/>
        </w:rPr>
        <w:t>原文：</w:t>
      </w:r>
      <w:r>
        <w:rPr>
          <w:rFonts w:hint="eastAsia" w:ascii="宋体"/>
          <w:bCs/>
          <w:color w:val="auto"/>
          <w:sz w:val="24"/>
          <w:highlight w:val="none"/>
        </w:rPr>
        <w:t>2.1.1</w:t>
      </w:r>
      <w:r>
        <w:rPr>
          <w:rFonts w:hint="eastAsia" w:ascii="宋体"/>
          <w:color w:val="auto"/>
          <w:sz w:val="24"/>
          <w:highlight w:val="none"/>
        </w:rPr>
        <w:t>本招标文件包括下列文件，以及所有按本须知第7条发出的澄清或修改和按本须知第8条发出的招标答疑会会议纪要：</w:t>
      </w:r>
    </w:p>
    <w:p>
      <w:pPr>
        <w:pBdr>
          <w:bottom w:val="single" w:color="auto" w:sz="6" w:space="1"/>
        </w:pBdr>
        <w:spacing w:line="360" w:lineRule="auto"/>
        <w:ind w:firstLine="482" w:firstLineChars="200"/>
        <w:rPr>
          <w:rFonts w:ascii="宋体"/>
          <w:color w:val="auto"/>
          <w:sz w:val="24"/>
          <w:szCs w:val="24"/>
          <w:highlight w:val="none"/>
        </w:rPr>
      </w:pPr>
      <w:r>
        <w:rPr>
          <w:rFonts w:hint="eastAsia" w:ascii="宋体"/>
          <w:b/>
          <w:bCs/>
          <w:color w:val="auto"/>
          <w:sz w:val="24"/>
          <w:szCs w:val="24"/>
          <w:highlight w:val="none"/>
        </w:rPr>
        <w:t>现文：</w:t>
      </w:r>
      <w:r>
        <w:rPr>
          <w:rFonts w:hint="eastAsia" w:ascii="宋体"/>
          <w:bCs/>
          <w:color w:val="auto"/>
          <w:sz w:val="24"/>
          <w:highlight w:val="none"/>
        </w:rPr>
        <w:t>2.1.1</w:t>
      </w:r>
      <w:r>
        <w:rPr>
          <w:rFonts w:hint="eastAsia" w:ascii="宋体"/>
          <w:color w:val="auto"/>
          <w:sz w:val="24"/>
          <w:highlight w:val="none"/>
        </w:rPr>
        <w:t>本招标文件包括下列文件，以及所有按本须知第</w:t>
      </w:r>
      <w:r>
        <w:rPr>
          <w:rFonts w:ascii="宋体"/>
          <w:color w:val="auto"/>
          <w:sz w:val="24"/>
          <w:highlight w:val="none"/>
        </w:rPr>
        <w:t>2.2</w:t>
      </w:r>
      <w:r>
        <w:rPr>
          <w:rFonts w:hint="eastAsia" w:ascii="宋体"/>
          <w:color w:val="auto"/>
          <w:sz w:val="24"/>
          <w:highlight w:val="none"/>
        </w:rPr>
        <w:t>条发出的澄清或修改和按本须知第</w:t>
      </w:r>
      <w:r>
        <w:rPr>
          <w:rFonts w:ascii="宋体"/>
          <w:color w:val="auto"/>
          <w:sz w:val="24"/>
          <w:highlight w:val="none"/>
        </w:rPr>
        <w:t>2.3</w:t>
      </w:r>
      <w:r>
        <w:rPr>
          <w:rFonts w:hint="eastAsia" w:ascii="宋体"/>
          <w:color w:val="auto"/>
          <w:sz w:val="24"/>
          <w:highlight w:val="none"/>
        </w:rPr>
        <w:t>条发出的招标答疑会会议纪要：</w:t>
      </w:r>
    </w:p>
    <w:p>
      <w:pPr>
        <w:adjustRightInd w:val="0"/>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条款号：2.1.1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修改类型：修改</w:t>
      </w:r>
    </w:p>
    <w:p>
      <w:pPr>
        <w:adjustRightInd w:val="0"/>
        <w:snapToGrid w:val="0"/>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（5）工程量清单（采用综合评估法三的，应为与</w:t>
      </w:r>
      <w:r>
        <w:rPr>
          <w:rFonts w:hint="eastAsia" w:ascii="宋体" w:hAnsi="宋体" w:cs="宋体"/>
          <w:color w:val="auto"/>
          <w:sz w:val="24"/>
          <w:szCs w:val="24"/>
          <w:highlight w:val="none"/>
        </w:rPr>
        <w:t>最高投标限价相对应的</w:t>
      </w:r>
      <w:r>
        <w:rPr>
          <w:rFonts w:hint="eastAsia" w:ascii="宋体" w:hAnsi="宋体" w:cs="宋体"/>
          <w:bCs/>
          <w:color w:val="auto"/>
          <w:sz w:val="24"/>
          <w:szCs w:val="24"/>
          <w:highlight w:val="none"/>
        </w:rPr>
        <w:t>已标价工程量清单）；</w:t>
      </w:r>
    </w:p>
    <w:p>
      <w:pPr>
        <w:pBdr>
          <w:bottom w:val="single" w:color="auto" w:sz="6" w:space="1"/>
        </w:pBdr>
        <w:spacing w:line="360" w:lineRule="auto"/>
        <w:ind w:firstLine="482" w:firstLineChars="200"/>
        <w:rPr>
          <w:rFonts w:ascii="宋体"/>
          <w:b/>
          <w:bCs/>
          <w:color w:val="auto"/>
          <w:sz w:val="24"/>
          <w:highlight w:val="none"/>
        </w:rPr>
      </w:pPr>
      <w:r>
        <w:rPr>
          <w:rFonts w:hint="eastAsia" w:ascii="宋体" w:hAnsi="宋体" w:cs="宋体"/>
          <w:b/>
          <w:color w:val="auto"/>
          <w:sz w:val="24"/>
          <w:szCs w:val="24"/>
          <w:highlight w:val="none"/>
        </w:rPr>
        <w:t>现文：</w:t>
      </w:r>
      <w:r>
        <w:rPr>
          <w:rFonts w:hint="eastAsia" w:ascii="宋体"/>
          <w:color w:val="auto"/>
          <w:sz w:val="24"/>
          <w:highlight w:val="none"/>
        </w:rPr>
        <w:t>（5）工程量清单；</w:t>
      </w:r>
    </w:p>
    <w:p>
      <w:pPr>
        <w:spacing w:line="360" w:lineRule="auto"/>
        <w:ind w:firstLine="482" w:firstLineChars="200"/>
        <w:rPr>
          <w:rFonts w:ascii="宋体"/>
          <w:b/>
          <w:bCs/>
          <w:color w:val="auto"/>
          <w:sz w:val="24"/>
          <w:highlight w:val="none"/>
        </w:rPr>
      </w:pPr>
      <w:r>
        <w:rPr>
          <w:rFonts w:hint="eastAsia" w:ascii="宋体"/>
          <w:b/>
          <w:bCs/>
          <w:color w:val="auto"/>
          <w:sz w:val="24"/>
          <w:highlight w:val="none"/>
        </w:rPr>
        <w:t>条款号：2.2.1            修改类型：修改</w:t>
      </w:r>
    </w:p>
    <w:p>
      <w:pPr>
        <w:widowControl/>
        <w:snapToGrid w:val="0"/>
        <w:spacing w:line="360" w:lineRule="auto"/>
        <w:ind w:firstLine="482" w:firstLineChars="200"/>
        <w:jc w:val="left"/>
        <w:rPr>
          <w:rFonts w:ascii="宋体"/>
          <w:color w:val="auto"/>
          <w:sz w:val="24"/>
          <w:highlight w:val="none"/>
        </w:rPr>
      </w:pPr>
      <w:r>
        <w:rPr>
          <w:rFonts w:hint="eastAsia" w:ascii="宋体"/>
          <w:b/>
          <w:bCs/>
          <w:color w:val="auto"/>
          <w:sz w:val="24"/>
          <w:szCs w:val="24"/>
          <w:highlight w:val="none"/>
        </w:rPr>
        <w:t>原文：</w:t>
      </w:r>
      <w:r>
        <w:rPr>
          <w:rFonts w:hint="eastAsia" w:ascii="宋体"/>
          <w:color w:val="auto"/>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widowControl/>
        <w:pBdr>
          <w:bottom w:val="single" w:color="auto" w:sz="4" w:space="0"/>
        </w:pBdr>
        <w:snapToGrid w:val="0"/>
        <w:spacing w:line="360" w:lineRule="auto"/>
        <w:ind w:firstLine="482" w:firstLineChars="200"/>
        <w:jc w:val="left"/>
        <w:rPr>
          <w:rFonts w:ascii="宋体"/>
          <w:color w:val="auto"/>
          <w:sz w:val="24"/>
          <w:highlight w:val="none"/>
        </w:rPr>
      </w:pPr>
      <w:r>
        <w:rPr>
          <w:rFonts w:hint="eastAsia" w:ascii="宋体"/>
          <w:b/>
          <w:bCs/>
          <w:color w:val="auto"/>
          <w:sz w:val="24"/>
          <w:szCs w:val="24"/>
          <w:highlight w:val="none"/>
        </w:rPr>
        <w:t>现文：</w:t>
      </w:r>
      <w:r>
        <w:rPr>
          <w:rFonts w:hint="eastAsia" w:ascii="宋体" w:cs="宋体"/>
          <w:color w:val="auto"/>
          <w:sz w:val="24"/>
          <w:highlight w:val="none"/>
        </w:rPr>
        <w:t>网上答疑的操作指南为：投标人登录交易中心数字交易平台，进入“我是投标人（供应商）”-&gt;“我的投标”-&gt;“招标答疑提问”查询项目并提问。投标人可直接从交易中心网站“项目查询（日程安排、答疑纪要）”专区进入，下载项目的答疑纪要；也可以登录交易中心数字交易平台“我是投标人（供应商）”-&gt;“我的投标项目”-&gt;“答疑纪要”。</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条款号：2.2.2              修改类型：修改</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olor w:val="auto"/>
          <w:sz w:val="24"/>
          <w:szCs w:val="24"/>
          <w:highlight w:val="none"/>
        </w:rPr>
        <w:t>：投标人应在投标截止时间前15日停止质疑。招标人应在投标截止时间7日前解答投标人对招标文件提出的疑问，形成答疑纪要，在交易中心网站“招标答疑”专区发布。</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投标人应在投标截止时间前</w:t>
      </w:r>
      <w:r>
        <w:rPr>
          <w:rFonts w:hint="eastAsia" w:ascii="宋体" w:hAnsi="宋体" w:eastAsia="宋体"/>
          <w:color w:val="auto"/>
          <w:sz w:val="24"/>
          <w:szCs w:val="24"/>
          <w:highlight w:val="none"/>
          <w:u w:val="single"/>
        </w:rPr>
        <w:t>18</w:t>
      </w:r>
      <w:r>
        <w:rPr>
          <w:rFonts w:hint="eastAsia" w:ascii="宋体" w:hAnsi="宋体" w:eastAsia="宋体"/>
          <w:color w:val="auto"/>
          <w:sz w:val="24"/>
          <w:szCs w:val="24"/>
          <w:highlight w:val="none"/>
        </w:rPr>
        <w:t>日停止质疑。招标人应在投标截止时间</w:t>
      </w:r>
      <w:r>
        <w:rPr>
          <w:rFonts w:hint="eastAsia" w:ascii="宋体" w:hAnsi="宋体" w:eastAsia="宋体"/>
          <w:color w:val="auto"/>
          <w:sz w:val="24"/>
          <w:szCs w:val="24"/>
          <w:highlight w:val="none"/>
          <w:u w:val="single"/>
        </w:rPr>
        <w:t>15</w:t>
      </w:r>
      <w:r>
        <w:rPr>
          <w:rFonts w:hint="eastAsia" w:ascii="宋体" w:hAnsi="宋体" w:eastAsia="宋体"/>
          <w:color w:val="auto"/>
          <w:sz w:val="24"/>
          <w:szCs w:val="24"/>
          <w:highlight w:val="none"/>
        </w:rPr>
        <w:t>日前解答投标人对招标文件提出的疑问，形成答疑纪要，在交易中心网站</w:t>
      </w:r>
    </w:p>
    <w:p>
      <w:pPr>
        <w:widowControl/>
        <w:pBdr>
          <w:bottom w:val="single" w:color="auto" w:sz="4" w:space="0"/>
        </w:pBdr>
        <w:snapToGrid w:val="0"/>
        <w:spacing w:line="360" w:lineRule="auto"/>
        <w:ind w:firstLine="480" w:firstLineChars="200"/>
        <w:jc w:val="left"/>
        <w:rPr>
          <w:rFonts w:ascii="宋体"/>
          <w:b/>
          <w:bCs/>
          <w:color w:val="auto"/>
          <w:sz w:val="24"/>
          <w:highlight w:val="none"/>
        </w:rPr>
      </w:pPr>
      <w:r>
        <w:rPr>
          <w:rFonts w:hint="eastAsia" w:ascii="宋体"/>
          <w:color w:val="auto"/>
          <w:sz w:val="24"/>
          <w:highlight w:val="none"/>
        </w:rPr>
        <w:t>“招标答疑”专区发布。</w:t>
      </w:r>
    </w:p>
    <w:p>
      <w:pPr>
        <w:spacing w:line="360" w:lineRule="auto"/>
        <w:ind w:firstLine="482" w:firstLineChars="200"/>
        <w:rPr>
          <w:rFonts w:ascii="宋体"/>
          <w:b/>
          <w:bCs/>
          <w:color w:val="auto"/>
          <w:sz w:val="24"/>
          <w:highlight w:val="none"/>
        </w:rPr>
      </w:pPr>
      <w:r>
        <w:rPr>
          <w:rFonts w:hint="eastAsia" w:ascii="宋体"/>
          <w:b/>
          <w:bCs/>
          <w:color w:val="auto"/>
          <w:sz w:val="24"/>
          <w:highlight w:val="none"/>
        </w:rPr>
        <w:t>条款号：3.3.1             修改类型：修改</w:t>
      </w:r>
    </w:p>
    <w:p>
      <w:pPr>
        <w:widowControl/>
        <w:snapToGrid w:val="0"/>
        <w:spacing w:line="360" w:lineRule="auto"/>
        <w:ind w:firstLine="482" w:firstLineChars="200"/>
        <w:jc w:val="left"/>
        <w:rPr>
          <w:rFonts w:ascii="宋体"/>
          <w:color w:val="auto"/>
          <w:sz w:val="24"/>
          <w:highlight w:val="none"/>
        </w:rPr>
      </w:pPr>
      <w:r>
        <w:rPr>
          <w:rFonts w:hint="eastAsia" w:ascii="宋体"/>
          <w:b/>
          <w:bCs/>
          <w:color w:val="auto"/>
          <w:sz w:val="24"/>
          <w:szCs w:val="24"/>
          <w:highlight w:val="none"/>
        </w:rPr>
        <w:t>原文：</w:t>
      </w:r>
      <w:r>
        <w:rPr>
          <w:rFonts w:hint="eastAsia" w:ascii="宋体"/>
          <w:color w:val="auto"/>
          <w:sz w:val="24"/>
          <w:highlight w:val="none"/>
        </w:rPr>
        <w:t>3.1.1投标文件应包括下列内容：</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（1）投标函及投标函附录；</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（2）法定代表人身份证明或附有法定代表人身份证明的授权委托书；</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（3）联合体协议书（非联合体不提交）；</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（4）投标保证金（投标保函原件单独提交，投标文件中为原件复印件）；</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（5）已标价工程量清单（采用综合评估法三的，不用提交）；</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 xml:space="preserve">（6）施工组织设计（不要求技术标的可不编制，提交施工组织设计要点）； </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（7）项目管理机构；</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（8）资格审查资料；</w:t>
      </w:r>
    </w:p>
    <w:p>
      <w:pPr>
        <w:pStyle w:val="116"/>
        <w:spacing w:after="0" w:line="360" w:lineRule="auto"/>
        <w:ind w:firstLine="480" w:firstLineChars="200"/>
        <w:rPr>
          <w:rFonts w:ascii="宋体" w:eastAsia="宋体"/>
          <w:color w:val="auto"/>
          <w:highlight w:val="none"/>
        </w:rPr>
      </w:pPr>
      <w:r>
        <w:rPr>
          <w:rFonts w:hint="eastAsia" w:ascii="宋体" w:eastAsia="宋体"/>
          <w:color w:val="auto"/>
          <w:sz w:val="24"/>
          <w:highlight w:val="none"/>
        </w:rPr>
        <w:t>（9）其他应提交的材料。</w:t>
      </w:r>
    </w:p>
    <w:p>
      <w:pPr>
        <w:widowControl/>
        <w:snapToGrid w:val="0"/>
        <w:spacing w:line="360" w:lineRule="auto"/>
        <w:ind w:firstLine="482" w:firstLineChars="200"/>
        <w:jc w:val="left"/>
        <w:rPr>
          <w:rFonts w:ascii="宋体"/>
          <w:color w:val="auto"/>
          <w:sz w:val="24"/>
          <w:highlight w:val="none"/>
        </w:rPr>
      </w:pPr>
      <w:r>
        <w:rPr>
          <w:rFonts w:hint="eastAsia" w:ascii="宋体"/>
          <w:b/>
          <w:bCs/>
          <w:color w:val="auto"/>
          <w:sz w:val="24"/>
          <w:szCs w:val="24"/>
          <w:highlight w:val="none"/>
        </w:rPr>
        <w:t>现文：</w:t>
      </w:r>
      <w:r>
        <w:rPr>
          <w:rFonts w:hint="eastAsia" w:ascii="宋体"/>
          <w:color w:val="auto"/>
          <w:sz w:val="24"/>
          <w:highlight w:val="none"/>
        </w:rPr>
        <w:t>3.1.1投标文件应包括下列内容：</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（1）投标函及投标函附录；</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（2）法定代表人身份证明或附有法定代表人身份证明的授权委托书；</w:t>
      </w:r>
    </w:p>
    <w:p>
      <w:pPr>
        <w:pStyle w:val="40"/>
        <w:spacing w:after="0" w:line="360" w:lineRule="auto"/>
        <w:ind w:firstLine="480" w:firstLineChars="200"/>
        <w:rPr>
          <w:rFonts w:ascii="宋体" w:eastAsia="宋体"/>
          <w:color w:val="auto"/>
          <w:sz w:val="24"/>
          <w:highlight w:val="none"/>
        </w:rPr>
      </w:pPr>
      <w:r>
        <w:rPr>
          <w:rFonts w:hint="eastAsia" w:ascii="宋体" w:hAnsi="宋体" w:eastAsia="宋体"/>
          <w:color w:val="auto"/>
          <w:sz w:val="24"/>
          <w:highlight w:val="none"/>
        </w:rPr>
        <w:t>（3）联合体协议书（非联合体不提交）；</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4</w:t>
      </w:r>
      <w:r>
        <w:rPr>
          <w:rFonts w:hint="eastAsia" w:ascii="宋体" w:eastAsia="宋体"/>
          <w:color w:val="auto"/>
          <w:sz w:val="24"/>
          <w:highlight w:val="none"/>
        </w:rPr>
        <w:t>）投标保证金（投标保函原件单独提交，投标文件中为原件复印件）；</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5</w:t>
      </w:r>
      <w:r>
        <w:rPr>
          <w:rFonts w:hint="eastAsia" w:ascii="宋体" w:eastAsia="宋体"/>
          <w:color w:val="auto"/>
          <w:sz w:val="24"/>
          <w:highlight w:val="none"/>
        </w:rPr>
        <w:t>）已标价工程量清单；</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6</w:t>
      </w:r>
      <w:r>
        <w:rPr>
          <w:rFonts w:hint="eastAsia" w:ascii="宋体" w:eastAsia="宋体"/>
          <w:color w:val="auto"/>
          <w:sz w:val="24"/>
          <w:highlight w:val="none"/>
        </w:rPr>
        <w:t xml:space="preserve">）施工组织设计； </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7</w:t>
      </w:r>
      <w:r>
        <w:rPr>
          <w:rFonts w:hint="eastAsia" w:ascii="宋体" w:eastAsia="宋体"/>
          <w:color w:val="auto"/>
          <w:sz w:val="24"/>
          <w:highlight w:val="none"/>
        </w:rPr>
        <w:t>）项目管理机构；</w:t>
      </w:r>
    </w:p>
    <w:p>
      <w:pPr>
        <w:pStyle w:val="116"/>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w:t>
      </w:r>
      <w:r>
        <w:rPr>
          <w:rFonts w:ascii="宋体" w:eastAsia="宋体"/>
          <w:color w:val="auto"/>
          <w:sz w:val="24"/>
          <w:highlight w:val="none"/>
        </w:rPr>
        <w:t>8</w:t>
      </w:r>
      <w:r>
        <w:rPr>
          <w:rFonts w:hint="eastAsia" w:ascii="宋体" w:eastAsia="宋体"/>
          <w:color w:val="auto"/>
          <w:sz w:val="24"/>
          <w:highlight w:val="none"/>
        </w:rPr>
        <w:t>）资格审查资料；</w:t>
      </w:r>
    </w:p>
    <w:p>
      <w:pPr>
        <w:pBdr>
          <w:bottom w:val="single" w:color="auto" w:sz="6" w:space="1"/>
        </w:pBdr>
        <w:spacing w:line="360" w:lineRule="auto"/>
        <w:ind w:firstLine="480" w:firstLineChars="200"/>
        <w:rPr>
          <w:rFonts w:ascii="宋体"/>
          <w:color w:val="auto"/>
          <w:sz w:val="24"/>
          <w:szCs w:val="24"/>
          <w:highlight w:val="none"/>
        </w:rPr>
      </w:pPr>
      <w:r>
        <w:rPr>
          <w:rFonts w:hint="eastAsia" w:ascii="宋体"/>
          <w:color w:val="auto"/>
          <w:sz w:val="24"/>
          <w:highlight w:val="none"/>
        </w:rPr>
        <w:t>（</w:t>
      </w:r>
      <w:r>
        <w:rPr>
          <w:rFonts w:ascii="宋体"/>
          <w:color w:val="auto"/>
          <w:sz w:val="24"/>
          <w:highlight w:val="none"/>
        </w:rPr>
        <w:t>9</w:t>
      </w:r>
      <w:r>
        <w:rPr>
          <w:rFonts w:hint="eastAsia" w:ascii="宋体"/>
          <w:color w:val="auto"/>
          <w:sz w:val="24"/>
          <w:highlight w:val="none"/>
        </w:rPr>
        <w:t>）其他应提交的材料。</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条款号：3.2.1              修改类型：修改</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olor w:val="auto"/>
          <w:sz w:val="24"/>
          <w:szCs w:val="24"/>
          <w:highlight w:val="none"/>
        </w:rPr>
        <w:t>：3.2.1 投标人应按第五章“工程量清单”的要求填写相应表格。（此条不适用于综合评估法三）。</w:t>
      </w:r>
    </w:p>
    <w:p>
      <w:pPr>
        <w:pBdr>
          <w:bottom w:val="single" w:color="auto" w:sz="6" w:space="1"/>
        </w:pBdr>
        <w:spacing w:line="360" w:lineRule="auto"/>
        <w:ind w:firstLine="482" w:firstLineChars="200"/>
        <w:rPr>
          <w:rFonts w:ascii="宋体"/>
          <w:color w:val="auto"/>
          <w:sz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3.2.1 投</w:t>
      </w:r>
      <w:r>
        <w:rPr>
          <w:rFonts w:hint="eastAsia" w:ascii="宋体"/>
          <w:color w:val="auto"/>
          <w:sz w:val="24"/>
          <w:highlight w:val="none"/>
        </w:rPr>
        <w:t>标人应按第五章“工程量清单”的要求填写相应表格。</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条款号：3.2.2              修改类型：修改</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olor w:val="auto"/>
          <w:sz w:val="24"/>
          <w:szCs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40"/>
        <w:spacing w:after="0"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3.2.2 投标人在投标截止时间前修改投标函中的投标报价总额，应同时修改“已标价工程量清单”中的相应报价，投标报价总额为各分项金额之和。此修改须符合本章第4.3款的有关要求。</w:t>
      </w:r>
      <w:r>
        <w:rPr>
          <w:rFonts w:hint="eastAsia" w:ascii="宋体" w:hAnsi="宋体" w:eastAsia="宋体"/>
          <w:strike/>
          <w:color w:val="auto"/>
          <w:sz w:val="24"/>
          <w:szCs w:val="24"/>
          <w:highlight w:val="none"/>
        </w:rPr>
        <w:t>（此条不适用于综合评估法三）</w:t>
      </w:r>
    </w:p>
    <w:p>
      <w:pPr>
        <w:pBdr>
          <w:bottom w:val="single" w:color="auto" w:sz="6" w:space="18"/>
        </w:pBd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3.2.2采用综合评估法三的，投标人在投标截止时间前修改投标函中的投标报价总额，并根据评标办法列明的方法重新计算投标报价下浮率。此修改须符合本章第4.3款的有关要求。</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条款号：3.4.1   3.4.2            修改类型：修改</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olor w:val="auto"/>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 </w:t>
      </w:r>
      <w:r>
        <w:rPr>
          <w:rFonts w:hint="eastAsia" w:ascii="宋体" w:hAnsi="宋体" w:eastAsia="宋体" w:cs="宋体"/>
          <w:b/>
          <w:bCs/>
          <w:color w:val="auto"/>
          <w:sz w:val="24"/>
          <w:szCs w:val="24"/>
          <w:highlight w:val="none"/>
        </w:rPr>
        <w:t>现文：</w:t>
      </w:r>
      <w:r>
        <w:rPr>
          <w:rFonts w:hint="eastAsia" w:ascii="宋体" w:hAnsi="宋体" w:eastAsia="宋体"/>
          <w:color w:val="auto"/>
          <w:sz w:val="24"/>
          <w:highlight w:val="none"/>
        </w:rPr>
        <w:t>3.4.1投标人应按投标须知前附表规定的金额和时间递交投标保证金。投标保证金以现金或者支票形式提交的，必须由投标人的银行基本账户转出。</w:t>
      </w:r>
      <w:r>
        <w:rPr>
          <w:rFonts w:hint="eastAsia" w:ascii="宋体" w:hAnsi="宋体" w:eastAsia="宋体"/>
          <w:color w:val="auto"/>
          <w:sz w:val="24"/>
          <w:highlight w:val="none"/>
          <w:u w:val="single"/>
        </w:rPr>
        <w:t>投标人如采用非电子形式的投标保证保险或专业担保公司担保的形式提交投标保证金的，</w:t>
      </w:r>
      <w:r>
        <w:rPr>
          <w:rFonts w:ascii="宋体" w:hAnsi="宋体" w:eastAsia="宋体"/>
          <w:color w:val="auto"/>
          <w:sz w:val="24"/>
          <w:highlight w:val="none"/>
          <w:u w:val="single"/>
        </w:rPr>
        <w:t>在开标前不强制要求提交相关文本原件</w:t>
      </w:r>
      <w:r>
        <w:rPr>
          <w:rFonts w:hint="eastAsia" w:ascii="宋体" w:hAnsi="宋体" w:eastAsia="宋体"/>
          <w:color w:val="auto"/>
          <w:sz w:val="24"/>
          <w:highlight w:val="none"/>
          <w:u w:val="single"/>
        </w:rPr>
        <w:t>，但投标人应在投标文件中提交投标保函、投标保证保险或专业担保公司担保的文本扫描件并加盖投标人电子印章。如投标人选择在开标前提交纸质原件的，可在投标截止时间前单独密封递交至开标室。如采用电子投标保函方式提交投标保证金，具体操作详见广州公共资源交易中心电子保函操作指引（http://www.gzggzy.cn/fwznbszyjsgc/906927.jhtml）。</w:t>
      </w:r>
      <w:r>
        <w:rPr>
          <w:rFonts w:hint="eastAsia" w:ascii="宋体" w:hAnsi="宋体" w:eastAsia="宋体"/>
          <w:color w:val="auto"/>
          <w:sz w:val="24"/>
          <w:highlight w:val="none"/>
        </w:rPr>
        <w:t>联合体投标的，其投标担保由牵头人递交，并应符合投标人须知前附表的规定。</w:t>
      </w:r>
    </w:p>
    <w:p>
      <w:pPr>
        <w:pBdr>
          <w:bottom w:val="single" w:color="auto" w:sz="6" w:space="1"/>
        </w:pBdr>
        <w:spacing w:line="360" w:lineRule="auto"/>
        <w:ind w:firstLine="480" w:firstLineChars="200"/>
        <w:rPr>
          <w:rFonts w:ascii="宋体"/>
          <w:b/>
          <w:bCs/>
          <w:color w:val="auto"/>
          <w:sz w:val="24"/>
          <w:szCs w:val="24"/>
          <w:highlight w:val="none"/>
        </w:rPr>
      </w:pPr>
      <w:r>
        <w:rPr>
          <w:rFonts w:hint="eastAsia" w:ascii="宋体" w:hAnsi="宋体"/>
          <w:color w:val="auto"/>
          <w:sz w:val="24"/>
          <w:highlight w:val="none"/>
        </w:rPr>
        <w:t>3.4.2投标保证金采用银行投标保函或投标保证保险</w:t>
      </w:r>
      <w:r>
        <w:rPr>
          <w:rFonts w:hint="eastAsia" w:ascii="宋体" w:hAnsi="宋体"/>
          <w:color w:val="auto"/>
          <w:sz w:val="24"/>
          <w:highlight w:val="none"/>
          <w:u w:val="single"/>
        </w:rPr>
        <w:t>或专业担保公司担保</w:t>
      </w:r>
      <w:r>
        <w:rPr>
          <w:rFonts w:hint="eastAsia" w:ascii="宋体" w:hAnsi="宋体"/>
          <w:color w:val="auto"/>
          <w:sz w:val="24"/>
          <w:highlight w:val="none"/>
        </w:rPr>
        <w:t>的形式。投标人在递交投标文件的同时，应按投标人须知前附表规定的金额、担保形式和第八章“投标文件格式”规定的投标保证金格式（或银行规定的格式或保险公司规定的格式</w:t>
      </w:r>
      <w:r>
        <w:rPr>
          <w:rFonts w:hint="eastAsia" w:ascii="宋体" w:hAnsi="宋体"/>
          <w:color w:val="auto"/>
          <w:sz w:val="24"/>
          <w:highlight w:val="none"/>
          <w:u w:val="single"/>
        </w:rPr>
        <w:t>或专业担保公司担保格式</w:t>
      </w:r>
      <w:r>
        <w:rPr>
          <w:rFonts w:hint="eastAsia" w:ascii="宋体" w:hAnsi="宋体"/>
          <w:color w:val="auto"/>
          <w:sz w:val="24"/>
          <w:highlight w:val="none"/>
        </w:rPr>
        <w:t>）递交投标保证金，并作为其投标文件的组成部分。联合体投标的，其投标保证金由牵头人递交，并应符合投标人须知前附表的规定。</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条款号：3.5             修改类型：修改</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原文：3.5 资格审查资料</w:t>
      </w:r>
    </w:p>
    <w:p>
      <w:pPr>
        <w:pStyle w:val="40"/>
        <w:spacing w:after="0" w:line="360" w:lineRule="auto"/>
        <w:ind w:firstLine="480" w:firstLineChars="200"/>
        <w:rPr>
          <w:color w:val="auto"/>
          <w:highlight w:val="none"/>
        </w:rPr>
      </w:pPr>
      <w:r>
        <w:rPr>
          <w:rFonts w:hint="eastAsia" w:ascii="宋体" w:hAnsi="宋体" w:eastAsia="宋体"/>
          <w:color w:val="auto"/>
          <w:sz w:val="24"/>
          <w:highlight w:val="none"/>
        </w:rPr>
        <w:t>3.5.1 “投标人基本情况表”应附投标人营业执照副本、资质证书副本和安全生产许可证等材料的复印件。</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3.5.2 项目负责人建造师证和安全培训考核合格证（B证）复印件。</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3.5.3专职安全员安全培训考核合格证（C证）复印件。</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3.5.4 “近年完成的类似项目情况表”应附中标通知书、合同协议书以及合同工程完工证书（或工程竣工证书副本）的复印件。每张表格只填写一个项目，并标明序号。</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3.5.6 投标人须知前附表规定接受联合体投标的，本章第3.5.1项至第3.5.5项规定的表格和资料应包括联合体各方相关情况。</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3.5.7资审要求的其他材料。</w:t>
      </w:r>
    </w:p>
    <w:p>
      <w:pPr>
        <w:pStyle w:val="40"/>
        <w:spacing w:after="0" w:line="360" w:lineRule="auto"/>
        <w:ind w:firstLineChars="200"/>
        <w:rPr>
          <w:rFonts w:ascii="宋体" w:hAnsi="宋体" w:eastAsia="宋体"/>
          <w:i/>
          <w:color w:val="auto"/>
          <w:sz w:val="21"/>
          <w:szCs w:val="21"/>
          <w:highlight w:val="none"/>
        </w:rPr>
      </w:pPr>
      <w:r>
        <w:rPr>
          <w:rFonts w:hint="eastAsia" w:ascii="宋体" w:hAnsi="宋体" w:eastAsia="宋体"/>
          <w:i/>
          <w:color w:val="auto"/>
          <w:sz w:val="21"/>
          <w:szCs w:val="21"/>
          <w:highlight w:val="none"/>
        </w:rPr>
        <w:t>（说明：3.5.</w:t>
      </w:r>
      <w:r>
        <w:rPr>
          <w:rFonts w:hint="eastAsia" w:ascii="宋体" w:hAnsi="宋体" w:eastAsia="宋体"/>
          <w:i/>
          <w:color w:val="auto"/>
          <w:szCs w:val="21"/>
          <w:highlight w:val="none"/>
        </w:rPr>
        <w:t>4</w:t>
      </w:r>
      <w:r>
        <w:rPr>
          <w:rFonts w:ascii="宋体" w:hAnsi="宋体" w:eastAsia="宋体"/>
          <w:i/>
          <w:color w:val="auto"/>
          <w:sz w:val="21"/>
          <w:szCs w:val="21"/>
          <w:highlight w:val="none"/>
        </w:rPr>
        <w:t xml:space="preserve"> </w:t>
      </w:r>
      <w:r>
        <w:rPr>
          <w:rFonts w:hint="eastAsia" w:ascii="宋体" w:hAnsi="宋体" w:eastAsia="宋体"/>
          <w:i/>
          <w:color w:val="auto"/>
          <w:sz w:val="21"/>
          <w:szCs w:val="21"/>
          <w:highlight w:val="none"/>
        </w:rPr>
        <w:t>~</w:t>
      </w:r>
      <w:r>
        <w:rPr>
          <w:rFonts w:ascii="宋体" w:hAnsi="宋体" w:eastAsia="宋体"/>
          <w:i/>
          <w:color w:val="auto"/>
          <w:sz w:val="21"/>
          <w:szCs w:val="21"/>
          <w:highlight w:val="none"/>
        </w:rPr>
        <w:t xml:space="preserve"> </w:t>
      </w:r>
      <w:r>
        <w:rPr>
          <w:rFonts w:hint="eastAsia" w:ascii="宋体" w:hAnsi="宋体" w:eastAsia="宋体"/>
          <w:i/>
          <w:color w:val="auto"/>
          <w:sz w:val="21"/>
          <w:szCs w:val="21"/>
          <w:highlight w:val="none"/>
        </w:rPr>
        <w:t>3.5.</w:t>
      </w:r>
      <w:r>
        <w:rPr>
          <w:rFonts w:hint="eastAsia" w:ascii="宋体" w:hAnsi="宋体" w:eastAsia="宋体"/>
          <w:i/>
          <w:color w:val="auto"/>
          <w:szCs w:val="21"/>
          <w:highlight w:val="none"/>
        </w:rPr>
        <w:t>6</w:t>
      </w:r>
      <w:r>
        <w:rPr>
          <w:rFonts w:hint="eastAsia" w:ascii="宋体" w:hAnsi="宋体" w:eastAsia="宋体"/>
          <w:i/>
          <w:color w:val="auto"/>
          <w:sz w:val="21"/>
          <w:szCs w:val="21"/>
          <w:highlight w:val="none"/>
        </w:rPr>
        <w:t>为可选项。若资格条件里没有业绩等方面的要求，可不做要求）</w:t>
      </w:r>
    </w:p>
    <w:p>
      <w:pPr>
        <w:pStyle w:val="40"/>
        <w:spacing w:after="0"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现文：3.5 资格审查资料</w:t>
      </w:r>
    </w:p>
    <w:p>
      <w:pPr>
        <w:pStyle w:val="40"/>
        <w:spacing w:after="0" w:line="360" w:lineRule="auto"/>
        <w:ind w:firstLine="480" w:firstLineChars="200"/>
        <w:rPr>
          <w:color w:val="auto"/>
          <w:highlight w:val="none"/>
        </w:rPr>
      </w:pPr>
      <w:r>
        <w:rPr>
          <w:rFonts w:hint="eastAsia" w:ascii="宋体" w:hAnsi="宋体" w:eastAsia="宋体"/>
          <w:color w:val="auto"/>
          <w:sz w:val="24"/>
          <w:highlight w:val="none"/>
        </w:rPr>
        <w:t>3.5.1 “投标人基本情况表”应附投标人营业执照副本、资质证书副本和安全生产许可证等材料的</w:t>
      </w:r>
      <w:r>
        <w:rPr>
          <w:rFonts w:hint="eastAsia" w:ascii="宋体" w:hAnsi="宋体" w:eastAsia="宋体"/>
          <w:color w:val="auto"/>
          <w:sz w:val="24"/>
          <w:highlight w:val="none"/>
          <w:u w:val="single"/>
        </w:rPr>
        <w:t>扫描件</w:t>
      </w:r>
      <w:r>
        <w:rPr>
          <w:rFonts w:hint="eastAsia" w:ascii="宋体" w:hAnsi="宋体" w:eastAsia="宋体"/>
          <w:color w:val="auto"/>
          <w:sz w:val="24"/>
          <w:highlight w:val="none"/>
        </w:rPr>
        <w:t>。</w:t>
      </w:r>
    </w:p>
    <w:p>
      <w:pPr>
        <w:pStyle w:val="40"/>
        <w:spacing w:after="0"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3.5.2 项目负责人建造师证和安全</w:t>
      </w:r>
      <w:r>
        <w:rPr>
          <w:rFonts w:hint="eastAsia" w:ascii="宋体" w:hAnsi="宋体" w:eastAsia="宋体"/>
          <w:color w:val="auto"/>
          <w:sz w:val="24"/>
          <w:highlight w:val="none"/>
          <w:u w:val="single"/>
        </w:rPr>
        <w:t>生产</w:t>
      </w:r>
      <w:r>
        <w:rPr>
          <w:rFonts w:hint="eastAsia" w:ascii="宋体" w:hAnsi="宋体" w:eastAsia="宋体"/>
          <w:color w:val="auto"/>
          <w:sz w:val="24"/>
          <w:highlight w:val="none"/>
        </w:rPr>
        <w:t>考核合格证（B证）</w:t>
      </w:r>
      <w:r>
        <w:rPr>
          <w:rFonts w:hint="eastAsia" w:ascii="宋体" w:hAnsi="宋体" w:eastAsia="宋体"/>
          <w:color w:val="auto"/>
          <w:sz w:val="24"/>
          <w:highlight w:val="none"/>
          <w:u w:val="single"/>
        </w:rPr>
        <w:t>或建筑施工企业项目负责人安全生产考核合格证书扫描件。</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3.5.3专职安全员安全</w:t>
      </w:r>
      <w:r>
        <w:rPr>
          <w:rFonts w:hint="eastAsia" w:ascii="宋体" w:hAnsi="宋体" w:eastAsia="宋体"/>
          <w:color w:val="auto"/>
          <w:sz w:val="24"/>
          <w:highlight w:val="none"/>
          <w:u w:val="single"/>
        </w:rPr>
        <w:t>生产</w:t>
      </w:r>
      <w:r>
        <w:rPr>
          <w:rFonts w:hint="eastAsia" w:ascii="宋体" w:hAnsi="宋体" w:eastAsia="宋体"/>
          <w:color w:val="auto"/>
          <w:sz w:val="24"/>
          <w:highlight w:val="none"/>
        </w:rPr>
        <w:t>考核合格证（C证）</w:t>
      </w:r>
      <w:r>
        <w:rPr>
          <w:rFonts w:hint="eastAsia" w:ascii="宋体" w:hAnsi="宋体" w:eastAsia="宋体"/>
          <w:color w:val="auto"/>
          <w:sz w:val="24"/>
          <w:highlight w:val="none"/>
          <w:u w:val="single"/>
        </w:rPr>
        <w:t>或建筑施工企业专职安全生产管理人员安全生产考核合格证书（C3类）扫描</w:t>
      </w:r>
      <w:r>
        <w:rPr>
          <w:rFonts w:hint="eastAsia" w:ascii="宋体" w:hAnsi="宋体" w:eastAsia="宋体"/>
          <w:color w:val="auto"/>
          <w:sz w:val="24"/>
          <w:highlight w:val="none"/>
        </w:rPr>
        <w:t>件。</w:t>
      </w:r>
    </w:p>
    <w:p>
      <w:pPr>
        <w:pStyle w:val="40"/>
        <w:spacing w:after="0" w:line="360" w:lineRule="auto"/>
        <w:ind w:firstLine="480" w:firstLineChars="200"/>
        <w:rPr>
          <w:rFonts w:ascii="宋体" w:hAnsi="宋体" w:eastAsia="宋体"/>
          <w:strike/>
          <w:color w:val="auto"/>
          <w:sz w:val="24"/>
          <w:highlight w:val="none"/>
        </w:rPr>
      </w:pPr>
      <w:r>
        <w:rPr>
          <w:rFonts w:hint="eastAsia" w:ascii="宋体" w:hAnsi="宋体" w:eastAsia="宋体"/>
          <w:strike/>
          <w:color w:val="auto"/>
          <w:sz w:val="24"/>
          <w:highlight w:val="none"/>
        </w:rPr>
        <w:t>3.5.4 “近年完成的类似项目情况表”应附中标通知书、合同协议书以及合同工程完工证书（或工程竣工证书副本）的复印件。每张表格只填写一个项目，并标明序号。</w:t>
      </w:r>
    </w:p>
    <w:p>
      <w:pPr>
        <w:pStyle w:val="40"/>
        <w:spacing w:after="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3.5.6 投标人须知前附表规定接受联合体投标的，本章第3.5.1项至第3.5.5项规定的表格和资料应包括联合体各方相关情况。</w:t>
      </w:r>
    </w:p>
    <w:p>
      <w:pPr>
        <w:pBdr>
          <w:bottom w:val="single" w:color="auto" w:sz="6" w:space="1"/>
        </w:pBdr>
        <w:spacing w:line="360" w:lineRule="auto"/>
        <w:ind w:firstLine="480" w:firstLineChars="200"/>
        <w:rPr>
          <w:rFonts w:ascii="宋体"/>
          <w:color w:val="auto"/>
          <w:sz w:val="24"/>
          <w:szCs w:val="24"/>
          <w:highlight w:val="none"/>
        </w:rPr>
      </w:pPr>
      <w:r>
        <w:rPr>
          <w:rFonts w:hint="eastAsia" w:ascii="宋体" w:hAnsi="宋体"/>
          <w:color w:val="auto"/>
          <w:sz w:val="24"/>
          <w:highlight w:val="none"/>
        </w:rPr>
        <w:t>3.5.7资审要求的其他材料。</w:t>
      </w:r>
    </w:p>
    <w:p>
      <w:pPr>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条款号：</w:t>
      </w:r>
      <w:r>
        <w:rPr>
          <w:rFonts w:hint="eastAsia" w:ascii="宋体" w:hAnsi="宋体" w:cs="宋体"/>
          <w:b/>
          <w:bCs/>
          <w:color w:val="auto"/>
          <w:sz w:val="24"/>
          <w:highlight w:val="none"/>
        </w:rPr>
        <w:t xml:space="preserve">3.5.5 </w:t>
      </w:r>
      <w:r>
        <w:rPr>
          <w:rFonts w:hint="eastAsia" w:ascii="宋体" w:hAnsi="宋体" w:cs="宋体"/>
          <w:color w:val="auto"/>
          <w:sz w:val="24"/>
          <w:szCs w:val="24"/>
          <w:highlight w:val="none"/>
        </w:rPr>
        <w:t xml:space="preserve">                  修改类型：增加</w:t>
      </w:r>
    </w:p>
    <w:p>
      <w:pPr>
        <w:pBdr>
          <w:bottom w:val="single" w:color="auto" w:sz="6" w:space="1"/>
        </w:pBdr>
        <w:spacing w:line="360" w:lineRule="auto"/>
        <w:ind w:firstLine="482" w:firstLineChars="200"/>
        <w:rPr>
          <w:rFonts w:ascii="宋体" w:hAnsi="宋体"/>
          <w:color w:val="auto"/>
          <w:sz w:val="24"/>
          <w:highlight w:val="none"/>
        </w:rPr>
      </w:pPr>
      <w:r>
        <w:rPr>
          <w:rFonts w:hint="eastAsia" w:ascii="宋体" w:hAnsi="宋体" w:cs="宋体"/>
          <w:b/>
          <w:bCs/>
          <w:color w:val="auto"/>
          <w:sz w:val="24"/>
          <w:szCs w:val="24"/>
          <w:highlight w:val="none"/>
        </w:rPr>
        <w:t>现文：3.5.5 社保要求：</w:t>
      </w:r>
      <w:r>
        <w:rPr>
          <w:rFonts w:hint="eastAsia" w:ascii="宋体" w:hAnsi="宋体" w:cs="宋体"/>
          <w:color w:val="auto"/>
          <w:sz w:val="24"/>
          <w:highlight w:val="none"/>
        </w:rPr>
        <w:t>授权的委托代理人及项目部主要组成人员（项目负责人、技术负责人、专职安全员）</w:t>
      </w:r>
      <w:r>
        <w:rPr>
          <w:rFonts w:hint="eastAsia" w:ascii="宋体" w:hAnsi="宋体" w:cs="宋体"/>
          <w:color w:val="auto"/>
          <w:sz w:val="24"/>
          <w:szCs w:val="24"/>
          <w:highlight w:val="none"/>
          <w:u w:val="single"/>
        </w:rPr>
        <w:t>在</w:t>
      </w:r>
      <w:r>
        <w:rPr>
          <w:rFonts w:hint="eastAsia"/>
          <w:color w:val="auto"/>
          <w:sz w:val="24"/>
          <w:szCs w:val="24"/>
          <w:highlight w:val="none"/>
          <w:u w:val="single"/>
        </w:rPr>
        <w:t>本单位交纳的社保证明文件（以加盖社会保险基金管理中心印章的相关资料为准），退休返聘人员需提供退休及返聘证明）</w:t>
      </w:r>
    </w:p>
    <w:p>
      <w:pPr>
        <w:pStyle w:val="40"/>
        <w:rPr>
          <w:rFonts w:ascii="宋体" w:hAnsi="宋体" w:eastAsia="宋体"/>
          <w:b/>
          <w:bCs/>
          <w:color w:val="auto"/>
          <w:kern w:val="2"/>
          <w:sz w:val="24"/>
          <w:szCs w:val="24"/>
          <w:highlight w:val="none"/>
        </w:rPr>
      </w:pPr>
      <w:r>
        <w:rPr>
          <w:rFonts w:hint="eastAsia" w:ascii="宋体" w:hAnsi="宋体" w:eastAsia="宋体"/>
          <w:b/>
          <w:bCs/>
          <w:color w:val="auto"/>
          <w:kern w:val="2"/>
          <w:sz w:val="24"/>
          <w:szCs w:val="24"/>
          <w:highlight w:val="none"/>
        </w:rPr>
        <w:t>条款号：4.2.1             修改类型：修改</w:t>
      </w:r>
    </w:p>
    <w:p>
      <w:pPr>
        <w:pStyle w:val="40"/>
        <w:spacing w:after="0" w:line="360" w:lineRule="auto"/>
        <w:ind w:firstLine="482" w:firstLineChars="200"/>
        <w:rPr>
          <w:rFonts w:ascii="宋体" w:hAnsi="宋体" w:eastAsia="宋体" w:cs="仿宋_GB2312"/>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s="仿宋_GB2312"/>
          <w:b/>
          <w:bCs/>
          <w:color w:val="auto"/>
          <w:sz w:val="24"/>
          <w:szCs w:val="24"/>
          <w:highlight w:val="none"/>
        </w:rPr>
        <w:t>：</w:t>
      </w:r>
      <w:r>
        <w:rPr>
          <w:rFonts w:hint="eastAsia" w:ascii="宋体" w:hAnsi="宋体" w:eastAsia="宋体" w:cs="仿宋_GB2312"/>
          <w:color w:val="auto"/>
          <w:sz w:val="24"/>
          <w:szCs w:val="24"/>
          <w:highlight w:val="none"/>
        </w:rPr>
        <w:t>4.2.1投标人代表应按投标须知前附表所规定的时间和地点向招标人递交投标文件。</w:t>
      </w:r>
    </w:p>
    <w:p>
      <w:pPr>
        <w:pBdr>
          <w:bottom w:val="single" w:color="auto" w:sz="6" w:space="1"/>
        </w:pBdr>
        <w:spacing w:line="360" w:lineRule="auto"/>
        <w:ind w:firstLine="482" w:firstLineChars="200"/>
        <w:rPr>
          <w:rFonts w:ascii="宋体"/>
          <w:b/>
          <w:bCs/>
          <w:color w:val="auto"/>
          <w:sz w:val="24"/>
          <w:highlight w:val="none"/>
        </w:rPr>
      </w:pPr>
      <w:r>
        <w:rPr>
          <w:rFonts w:hint="eastAsia" w:ascii="宋体" w:hAnsi="宋体" w:cs="仿宋_GB2312"/>
          <w:b/>
          <w:bCs/>
          <w:color w:val="auto"/>
          <w:kern w:val="0"/>
          <w:sz w:val="24"/>
          <w:szCs w:val="24"/>
          <w:highlight w:val="none"/>
        </w:rPr>
        <w:t>现文：</w:t>
      </w:r>
      <w:r>
        <w:rPr>
          <w:rFonts w:hint="eastAsia" w:ascii="宋体" w:hAnsi="宋体" w:cs="仿宋_GB2312"/>
          <w:color w:val="auto"/>
          <w:kern w:val="0"/>
          <w:sz w:val="24"/>
          <w:szCs w:val="24"/>
          <w:highlight w:val="none"/>
        </w:rPr>
        <w:t>4.2.1投标人代表应按投标须知前附表所规定的时间</w:t>
      </w:r>
      <w:r>
        <w:rPr>
          <w:rFonts w:hint="eastAsia" w:ascii="宋体" w:hAnsi="宋体"/>
          <w:color w:val="auto"/>
          <w:sz w:val="24"/>
          <w:szCs w:val="24"/>
          <w:highlight w:val="none"/>
        </w:rPr>
        <w:t>和</w:t>
      </w:r>
      <w:r>
        <w:rPr>
          <w:rFonts w:hint="eastAsia" w:ascii="宋体" w:hAnsi="宋体"/>
          <w:color w:val="auto"/>
          <w:sz w:val="24"/>
          <w:szCs w:val="24"/>
          <w:highlight w:val="none"/>
          <w:u w:val="single"/>
        </w:rPr>
        <w:t>交易平台</w:t>
      </w:r>
      <w:r>
        <w:rPr>
          <w:rFonts w:hint="eastAsia" w:ascii="宋体" w:hAnsi="宋体"/>
          <w:color w:val="auto"/>
          <w:sz w:val="24"/>
          <w:szCs w:val="24"/>
          <w:highlight w:val="none"/>
        </w:rPr>
        <w:t>向招标人递交</w:t>
      </w:r>
      <w:r>
        <w:rPr>
          <w:rFonts w:hint="eastAsia" w:ascii="宋体" w:hAnsi="宋体"/>
          <w:color w:val="auto"/>
          <w:sz w:val="24"/>
          <w:szCs w:val="24"/>
          <w:highlight w:val="none"/>
          <w:u w:val="single"/>
        </w:rPr>
        <w:t>电子</w:t>
      </w:r>
      <w:r>
        <w:rPr>
          <w:rFonts w:hint="eastAsia" w:ascii="宋体" w:hAnsi="宋体"/>
          <w:color w:val="auto"/>
          <w:sz w:val="24"/>
          <w:szCs w:val="24"/>
          <w:highlight w:val="none"/>
        </w:rPr>
        <w:t>投标文件</w:t>
      </w:r>
      <w:r>
        <w:rPr>
          <w:rFonts w:hint="eastAsia" w:ascii="宋体" w:hAnsi="宋体" w:cs="仿宋_GB2312"/>
          <w:color w:val="auto"/>
          <w:kern w:val="0"/>
          <w:sz w:val="24"/>
          <w:szCs w:val="24"/>
          <w:highlight w:val="none"/>
        </w:rPr>
        <w:t>。</w:t>
      </w:r>
    </w:p>
    <w:p>
      <w:pPr>
        <w:spacing w:line="360" w:lineRule="auto"/>
        <w:ind w:firstLine="482" w:firstLineChars="200"/>
        <w:rPr>
          <w:rFonts w:ascii="宋体"/>
          <w:b/>
          <w:bCs/>
          <w:color w:val="auto"/>
          <w:sz w:val="24"/>
          <w:highlight w:val="none"/>
        </w:rPr>
      </w:pPr>
      <w:r>
        <w:rPr>
          <w:rFonts w:hint="eastAsia" w:ascii="宋体"/>
          <w:b/>
          <w:bCs/>
          <w:color w:val="auto"/>
          <w:sz w:val="24"/>
          <w:highlight w:val="none"/>
        </w:rPr>
        <w:t>条款号：4.3.2       修改类型：修改</w:t>
      </w:r>
    </w:p>
    <w:p>
      <w:pPr>
        <w:spacing w:line="360" w:lineRule="auto"/>
        <w:ind w:firstLine="482" w:firstLineChars="200"/>
        <w:rPr>
          <w:rFonts w:ascii="宋体"/>
          <w:color w:val="auto"/>
          <w:sz w:val="24"/>
          <w:szCs w:val="24"/>
          <w:highlight w:val="none"/>
        </w:rPr>
      </w:pPr>
      <w:r>
        <w:rPr>
          <w:rFonts w:hint="eastAsia" w:ascii="宋体"/>
          <w:b/>
          <w:bCs/>
          <w:color w:val="auto"/>
          <w:sz w:val="24"/>
          <w:szCs w:val="24"/>
          <w:highlight w:val="none"/>
        </w:rPr>
        <w:t>原文：</w:t>
      </w:r>
      <w:r>
        <w:rPr>
          <w:rFonts w:hint="eastAsia" w:ascii="宋体"/>
          <w:color w:val="auto"/>
          <w:sz w:val="24"/>
          <w:szCs w:val="24"/>
          <w:highlight w:val="none"/>
        </w:rPr>
        <w:t>4.3.2招标人可按本须知第2.4条规定以招标文件修改的方式，酌情延长递交投标文件的截止时间。在此情况下，投标人的所有权利和义务以及投标人受制约的截止时间，均以延长后新的投标截止时间为准。</w:t>
      </w:r>
    </w:p>
    <w:p>
      <w:pPr>
        <w:pBdr>
          <w:bottom w:val="single" w:color="auto" w:sz="6" w:space="1"/>
        </w:pBdr>
        <w:spacing w:line="360" w:lineRule="auto"/>
        <w:ind w:firstLine="482" w:firstLineChars="200"/>
        <w:rPr>
          <w:rFonts w:ascii="宋体"/>
          <w:color w:val="auto"/>
          <w:sz w:val="24"/>
          <w:szCs w:val="24"/>
          <w:highlight w:val="none"/>
        </w:rPr>
      </w:pPr>
      <w:r>
        <w:rPr>
          <w:rFonts w:hint="eastAsia" w:ascii="宋体"/>
          <w:b/>
          <w:bCs/>
          <w:color w:val="auto"/>
          <w:sz w:val="24"/>
          <w:szCs w:val="24"/>
          <w:highlight w:val="none"/>
        </w:rPr>
        <w:t>现文：</w:t>
      </w:r>
      <w:r>
        <w:rPr>
          <w:rFonts w:hint="eastAsia" w:ascii="宋体"/>
          <w:color w:val="auto"/>
          <w:sz w:val="24"/>
          <w:szCs w:val="24"/>
          <w:highlight w:val="none"/>
        </w:rPr>
        <w:t>4.3.2招标人可按本须知第2.</w:t>
      </w:r>
      <w:r>
        <w:rPr>
          <w:rFonts w:ascii="宋体"/>
          <w:color w:val="auto"/>
          <w:sz w:val="24"/>
          <w:szCs w:val="24"/>
          <w:highlight w:val="none"/>
        </w:rPr>
        <w:t>3</w:t>
      </w:r>
      <w:r>
        <w:rPr>
          <w:rFonts w:hint="eastAsia" w:ascii="宋体"/>
          <w:color w:val="auto"/>
          <w:sz w:val="24"/>
          <w:szCs w:val="24"/>
          <w:highlight w:val="none"/>
        </w:rPr>
        <w:t>条规定以招标文件修改的方式，酌情延长递交投标文件的截止时间。在此情况下，投标人的所有权利和义务以及投标人受制约的截止时间，均以延长后新的投标截止时间为准。</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条款号：4.5.1             修改类型：修改</w:t>
      </w:r>
    </w:p>
    <w:p>
      <w:pPr>
        <w:spacing w:line="360" w:lineRule="auto"/>
        <w:ind w:firstLine="540" w:firstLineChars="224"/>
        <w:rPr>
          <w:rFonts w:ascii="宋体" w:hAnsi="宋体" w:cs="宋体"/>
          <w:color w:val="auto"/>
          <w:sz w:val="24"/>
          <w:szCs w:val="24"/>
          <w:highlight w:val="none"/>
        </w:rPr>
      </w:pPr>
      <w:r>
        <w:rPr>
          <w:rFonts w:hint="eastAsia" w:ascii="宋体" w:hAnsi="宋体"/>
          <w:b/>
          <w:bCs/>
          <w:color w:val="auto"/>
          <w:sz w:val="24"/>
          <w:szCs w:val="24"/>
          <w:highlight w:val="none"/>
        </w:rPr>
        <w:t>原文：</w:t>
      </w:r>
      <w:r>
        <w:rPr>
          <w:rFonts w:hint="eastAsia" w:ascii="宋体" w:hAnsi="宋体" w:cs="宋体"/>
          <w:color w:val="auto"/>
          <w:sz w:val="24"/>
          <w:highlight w:val="none"/>
        </w:rPr>
        <w:t>投标人在递交投标文件以后，在规定的投标截止时间之前，可以撤回或替换已递交的投标文件。</w:t>
      </w:r>
    </w:p>
    <w:p>
      <w:pPr>
        <w:pBdr>
          <w:bottom w:val="single" w:color="auto" w:sz="6" w:space="1"/>
        </w:pBdr>
        <w:spacing w:line="360" w:lineRule="auto"/>
        <w:ind w:firstLine="540" w:firstLineChars="224"/>
        <w:rPr>
          <w:rFonts w:ascii="宋体" w:hAnsi="宋体" w:cs="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s="宋体"/>
          <w:color w:val="auto"/>
          <w:sz w:val="24"/>
          <w:highlight w:val="none"/>
        </w:rPr>
        <w:t>投标人在递交投标文件以后，在规定的投标截止时间之前，可以撤回或替换已递交的投标文件</w:t>
      </w:r>
      <w:r>
        <w:rPr>
          <w:rFonts w:hint="eastAsia" w:ascii="宋体" w:hAnsi="宋体" w:cs="宋体"/>
          <w:color w:val="auto"/>
          <w:sz w:val="24"/>
          <w:highlight w:val="none"/>
          <w:u w:val="single"/>
        </w:rPr>
        <w:t>。投标截止时间前未完成投标文件传输的，视为投标人撤回投标文件。</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条款号：4.7             修改类型：修改</w:t>
      </w:r>
    </w:p>
    <w:p>
      <w:pPr>
        <w:tabs>
          <w:tab w:val="left" w:pos="105"/>
        </w:tabs>
        <w:spacing w:line="360" w:lineRule="auto"/>
        <w:ind w:firstLine="482" w:firstLineChars="200"/>
        <w:rPr>
          <w:rFonts w:ascii="宋体" w:hAnsi="宋体" w:cs="宋体"/>
          <w:color w:val="auto"/>
          <w:sz w:val="24"/>
          <w:szCs w:val="24"/>
          <w:highlight w:val="none"/>
        </w:rPr>
      </w:pPr>
      <w:r>
        <w:rPr>
          <w:rFonts w:hint="eastAsia" w:ascii="宋体" w:hAnsi="宋体"/>
          <w:b/>
          <w:bCs/>
          <w:color w:val="auto"/>
          <w:sz w:val="24"/>
          <w:szCs w:val="24"/>
          <w:highlight w:val="none"/>
        </w:rPr>
        <w:t>原文：</w:t>
      </w:r>
      <w:r>
        <w:rPr>
          <w:rFonts w:hint="eastAsia" w:ascii="宋体" w:hAnsi="宋体" w:cs="宋体"/>
          <w:color w:val="auto"/>
          <w:sz w:val="24"/>
          <w:highlight w:val="none"/>
        </w:rPr>
        <w:t>4.7.1投标人须对在投标须知前附表规定的时间内完成电子投标文件解密。超过时间未解密的投标文件将作为放弃投标处理。</w:t>
      </w:r>
    </w:p>
    <w:p>
      <w:pPr>
        <w:pBdr>
          <w:bottom w:val="single" w:color="auto" w:sz="6" w:space="1"/>
        </w:pBdr>
        <w:spacing w:line="360" w:lineRule="auto"/>
        <w:ind w:firstLine="540" w:firstLineChars="224"/>
        <w:rPr>
          <w:rFonts w:ascii="宋体" w:hAnsi="宋体" w:cs="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s="宋体"/>
          <w:color w:val="auto"/>
          <w:sz w:val="24"/>
          <w:szCs w:val="24"/>
          <w:highlight w:val="none"/>
          <w:u w:val="single"/>
        </w:rPr>
        <w:t>4.7.1投标人必须在投标须知前附表规定的时间内对投标文件进行解密。因投标人原因造成投标文件未解密或未在规定的时间内解密的，视为撤销其投标文件。电子投标文件解密</w:t>
      </w:r>
      <w:r>
        <w:rPr>
          <w:rFonts w:hint="eastAsia" w:ascii="宋体" w:hAnsi="宋体" w:cs="宋体"/>
          <w:color w:val="auto"/>
          <w:kern w:val="0"/>
          <w:sz w:val="24"/>
          <w:szCs w:val="24"/>
          <w:highlight w:val="none"/>
          <w:u w:val="single"/>
        </w:rPr>
        <w:t>应按照</w:t>
      </w:r>
      <w:r>
        <w:rPr>
          <w:rFonts w:hint="eastAsia" w:ascii="宋体" w:hAnsi="宋体" w:cs="宋体"/>
          <w:color w:val="auto"/>
          <w:sz w:val="24"/>
          <w:szCs w:val="24"/>
          <w:highlight w:val="none"/>
          <w:u w:val="single"/>
        </w:rPr>
        <w:t>广州公共资源</w:t>
      </w:r>
      <w:r>
        <w:rPr>
          <w:rFonts w:hint="eastAsia" w:ascii="宋体" w:hAnsi="宋体" w:cs="宋体"/>
          <w:color w:val="auto"/>
          <w:kern w:val="0"/>
          <w:sz w:val="24"/>
          <w:szCs w:val="24"/>
          <w:highlight w:val="none"/>
          <w:u w:val="single"/>
        </w:rPr>
        <w:t>交易平台关于全流程电子化项目的相关指南进行操作。</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条款号：5.1 开标时间和地点             修改类型：修改</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s="仿宋_GB2312"/>
          <w:color w:val="auto"/>
          <w:sz w:val="24"/>
          <w:szCs w:val="24"/>
          <w:highlight w:val="none"/>
        </w:rPr>
        <w:t>投标人在本章第4.2.1款规定的投标截止时间（开标时间）和投标人须知前附表规定的地点公开开标，并邀请所有投标人的法定代表人或其委托代理人准时参加</w:t>
      </w:r>
      <w:r>
        <w:rPr>
          <w:rFonts w:hint="eastAsia" w:ascii="宋体" w:hAnsi="宋体" w:eastAsia="宋体"/>
          <w:color w:val="auto"/>
          <w:sz w:val="24"/>
          <w:szCs w:val="24"/>
          <w:highlight w:val="none"/>
        </w:rPr>
        <w:t>。</w:t>
      </w:r>
    </w:p>
    <w:p>
      <w:pPr>
        <w:spacing w:line="360" w:lineRule="auto"/>
        <w:ind w:firstLine="482" w:firstLineChars="200"/>
        <w:rPr>
          <w:rFonts w:ascii="宋体"/>
          <w:color w:val="auto"/>
          <w:sz w:val="24"/>
          <w:szCs w:val="24"/>
          <w:highlight w:val="none"/>
        </w:rPr>
      </w:pPr>
      <w:r>
        <w:rPr>
          <w:rFonts w:hint="eastAsia" w:ascii="宋体" w:hAnsi="宋体"/>
          <w:b/>
          <w:bCs/>
          <w:color w:val="auto"/>
          <w:sz w:val="24"/>
          <w:szCs w:val="24"/>
          <w:highlight w:val="none"/>
        </w:rPr>
        <w:t>现文：</w:t>
      </w:r>
      <w:r>
        <w:rPr>
          <w:rFonts w:hint="eastAsia" w:ascii="宋体" w:hAnsi="宋体" w:cs="仿宋_GB2312"/>
          <w:color w:val="auto"/>
          <w:sz w:val="24"/>
          <w:szCs w:val="24"/>
          <w:highlight w:val="none"/>
        </w:rPr>
        <w:t>投标人在本章第4.2.1款规定的投标截止时间（开标时间）和投标人须知前附表规定的地点公开开标，并邀请所有投标人的法定代表人或其委托代理人准时参加。</w:t>
      </w:r>
      <w:r>
        <w:rPr>
          <w:rFonts w:hint="eastAsia" w:ascii="宋体" w:hAnsi="宋体" w:cs="宋体"/>
          <w:color w:val="auto"/>
          <w:sz w:val="24"/>
          <w:szCs w:val="24"/>
          <w:highlight w:val="none"/>
          <w:u w:val="single"/>
          <w:lang w:bidi="ar"/>
        </w:rPr>
        <w:t>若投标人不参加开标会的，其投标文件在开标现场的投标人或招标人代表、招标代理机构代表及交易中心代表见证下公开开启、解密、公布，并视同该投标人认可开标结果。</w:t>
      </w:r>
    </w:p>
    <w:p>
      <w:pPr>
        <w:spacing w:before="120" w:beforeLines="50" w:line="360" w:lineRule="auto"/>
        <w:ind w:firstLine="482" w:firstLineChars="200"/>
        <w:rPr>
          <w:rFonts w:ascii="宋体"/>
          <w:b/>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 xml:space="preserve">5.2.1 </w:t>
      </w:r>
      <w:r>
        <w:rPr>
          <w:rFonts w:ascii="宋体" w:hAnsi="宋体"/>
          <w:b/>
          <w:bCs/>
          <w:color w:val="auto"/>
          <w:sz w:val="24"/>
          <w:highlight w:val="none"/>
        </w:rPr>
        <w:t xml:space="preserve">                               </w:t>
      </w:r>
      <w:r>
        <w:rPr>
          <w:rFonts w:hint="eastAsia" w:ascii="宋体" w:hAnsi="宋体"/>
          <w:b/>
          <w:color w:val="auto"/>
          <w:sz w:val="24"/>
          <w:szCs w:val="24"/>
          <w:highlight w:val="none"/>
        </w:rPr>
        <w:t>修改类型：修改</w:t>
      </w:r>
    </w:p>
    <w:p>
      <w:pPr>
        <w:spacing w:line="360" w:lineRule="auto"/>
        <w:ind w:firstLine="482" w:firstLineChars="200"/>
        <w:rPr>
          <w:rFonts w:ascii="宋体"/>
          <w:color w:val="auto"/>
          <w:sz w:val="24"/>
          <w:szCs w:val="24"/>
          <w:highlight w:val="none"/>
        </w:rPr>
      </w:pPr>
      <w:r>
        <w:rPr>
          <w:rFonts w:hint="eastAsia" w:ascii="宋体" w:hAnsi="宋体" w:cs="仿宋_GB2312"/>
          <w:b/>
          <w:color w:val="auto"/>
          <w:sz w:val="24"/>
          <w:szCs w:val="24"/>
          <w:highlight w:val="none"/>
        </w:rPr>
        <w:t>原文：</w:t>
      </w:r>
      <w:r>
        <w:rPr>
          <w:rFonts w:hint="eastAsia" w:ascii="宋体" w:hAnsi="宋体" w:cs="宋体"/>
          <w:color w:val="auto"/>
          <w:sz w:val="24"/>
          <w:szCs w:val="24"/>
          <w:highlight w:val="none"/>
        </w:rPr>
        <w:t>招标人按投标须知前附表第4.2.1项所规定的时间和地点公开开标，并邀请所有投标人参加，不参加视为认可唱标结果。</w:t>
      </w:r>
    </w:p>
    <w:p>
      <w:pPr>
        <w:pBdr>
          <w:bottom w:val="single" w:color="auto" w:sz="6" w:space="1"/>
        </w:pBdr>
        <w:spacing w:line="360" w:lineRule="auto"/>
        <w:ind w:firstLine="482" w:firstLineChars="200"/>
        <w:rPr>
          <w:rFonts w:ascii="宋体" w:hAnsi="宋体" w:cs="宋体"/>
          <w:color w:val="auto"/>
          <w:sz w:val="24"/>
          <w:szCs w:val="24"/>
          <w:highlight w:val="none"/>
          <w:u w:val="single"/>
          <w:lang w:bidi="ar"/>
        </w:rPr>
      </w:pPr>
      <w:r>
        <w:rPr>
          <w:rFonts w:hint="eastAsia" w:ascii="宋体" w:hAnsi="宋体" w:cs="仿宋_GB2312"/>
          <w:b/>
          <w:color w:val="auto"/>
          <w:sz w:val="24"/>
          <w:szCs w:val="24"/>
          <w:highlight w:val="none"/>
        </w:rPr>
        <w:t>现文：</w:t>
      </w:r>
      <w:r>
        <w:rPr>
          <w:rFonts w:hint="eastAsia" w:ascii="宋体" w:hAnsi="宋体" w:cs="宋体"/>
          <w:color w:val="auto"/>
          <w:sz w:val="24"/>
          <w:szCs w:val="24"/>
          <w:highlight w:val="none"/>
        </w:rPr>
        <w:t>招标人按投标须知前附表第4.2.1项所规定的时间和地点公开开标，并邀请所有投标人参加，不参加视为认可唱标结果。</w:t>
      </w:r>
      <w:r>
        <w:rPr>
          <w:rFonts w:hint="eastAsia" w:ascii="宋体" w:hAnsi="宋体" w:cs="仿宋_GB2312"/>
          <w:color w:val="auto"/>
          <w:sz w:val="24"/>
          <w:szCs w:val="24"/>
          <w:highlight w:val="none"/>
        </w:rPr>
        <w:t>开标方式采用电子开标和现场开标两种模式，投标人可选择在开标室参与开标或准时在线参加开标。参加在线开标的投标人登录交易平台实时查看开标、唱标情况。交易平台生成开标记录并向社会公众公布。</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条款号：5.2.2              修改类型：修改</w:t>
      </w:r>
    </w:p>
    <w:p>
      <w:pPr>
        <w:pStyle w:val="40"/>
        <w:spacing w:after="0"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s="仿宋_GB2312"/>
          <w:color w:val="auto"/>
          <w:sz w:val="24"/>
          <w:szCs w:val="24"/>
          <w:highlight w:val="none"/>
        </w:rPr>
        <w:t>5.2.2唱标前公开摇取评标基准价下浮率（下浮率取值范围在2%~5%，按0.5%设定级差）（</w:t>
      </w:r>
      <w:r>
        <w:rPr>
          <w:rFonts w:hint="eastAsia" w:ascii="宋体" w:hAnsi="宋体" w:eastAsia="宋体"/>
          <w:color w:val="auto"/>
          <w:sz w:val="24"/>
          <w:szCs w:val="24"/>
          <w:highlight w:val="none"/>
        </w:rPr>
        <w:t>经评审的最低投标价法</w:t>
      </w:r>
      <w:r>
        <w:rPr>
          <w:rFonts w:hint="eastAsia" w:ascii="宋体" w:hAnsi="宋体" w:eastAsia="宋体" w:cs="仿宋_GB2312"/>
          <w:color w:val="auto"/>
          <w:sz w:val="24"/>
          <w:szCs w:val="24"/>
          <w:highlight w:val="none"/>
        </w:rPr>
        <w:t>不需要摇评标基准价下浮率）</w:t>
      </w:r>
      <w:r>
        <w:rPr>
          <w:rFonts w:hint="eastAsia" w:ascii="宋体" w:hAnsi="宋体" w:eastAsia="宋体"/>
          <w:color w:val="auto"/>
          <w:sz w:val="24"/>
          <w:szCs w:val="24"/>
          <w:highlight w:val="none"/>
        </w:rPr>
        <w:t>。</w:t>
      </w:r>
    </w:p>
    <w:p>
      <w:pPr>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s="仿宋_GB2312"/>
          <w:color w:val="auto"/>
          <w:sz w:val="24"/>
          <w:szCs w:val="24"/>
          <w:highlight w:val="none"/>
        </w:rPr>
        <w:t>5.2.2唱标前公开摇取评标基准价下浮率（下浮率取值范围在2%~5%，按0.5%设定级差）</w:t>
      </w:r>
      <w:r>
        <w:rPr>
          <w:rFonts w:hint="eastAsia" w:ascii="宋体" w:hAnsi="宋体" w:cs="仿宋_GB2312"/>
          <w:strike/>
          <w:color w:val="auto"/>
          <w:sz w:val="24"/>
          <w:szCs w:val="24"/>
          <w:highlight w:val="none"/>
        </w:rPr>
        <w:t>（</w:t>
      </w:r>
      <w:r>
        <w:rPr>
          <w:rFonts w:hint="eastAsia" w:ascii="宋体" w:hAnsi="宋体"/>
          <w:strike/>
          <w:color w:val="auto"/>
          <w:sz w:val="24"/>
          <w:szCs w:val="24"/>
          <w:highlight w:val="none"/>
        </w:rPr>
        <w:t>经评审的最低投标价法</w:t>
      </w:r>
      <w:r>
        <w:rPr>
          <w:rFonts w:hint="eastAsia" w:ascii="宋体" w:hAnsi="宋体" w:cs="仿宋_GB2312"/>
          <w:strike/>
          <w:color w:val="auto"/>
          <w:sz w:val="24"/>
          <w:szCs w:val="24"/>
          <w:highlight w:val="none"/>
        </w:rPr>
        <w:t>不需要摇评标基准价下浮率）</w:t>
      </w:r>
      <w:r>
        <w:rPr>
          <w:rFonts w:hint="eastAsia" w:ascii="宋体" w:hAnsi="宋体"/>
          <w:color w:val="auto"/>
          <w:sz w:val="24"/>
          <w:szCs w:val="24"/>
          <w:highlight w:val="none"/>
        </w:rPr>
        <w:t>。</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条款号：5.2.3              修改类型：修改</w:t>
      </w:r>
    </w:p>
    <w:p>
      <w:pPr>
        <w:pStyle w:val="40"/>
        <w:spacing w:after="0" w:line="360" w:lineRule="auto"/>
        <w:ind w:firstLine="482" w:firstLineChars="200"/>
        <w:rPr>
          <w:rFonts w:ascii="宋体" w:hAnsi="宋体" w:eastAsia="宋体" w:cs="仿宋_GB2312"/>
          <w:color w:val="auto"/>
          <w:kern w:val="2"/>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s="仿宋_GB2312"/>
          <w:color w:val="auto"/>
          <w:sz w:val="24"/>
          <w:szCs w:val="24"/>
          <w:highlight w:val="none"/>
        </w:rPr>
        <w:t>5.</w:t>
      </w:r>
      <w:r>
        <w:rPr>
          <w:rFonts w:hint="eastAsia" w:ascii="宋体" w:hAnsi="宋体" w:eastAsia="宋体" w:cs="仿宋_GB2312"/>
          <w:color w:val="auto"/>
          <w:kern w:val="2"/>
          <w:sz w:val="24"/>
          <w:szCs w:val="24"/>
          <w:highlight w:val="none"/>
        </w:rPr>
        <w:t>2.3招标人在招标文件要求的递交投标文件截止时间前收到的投标文件，在开标前未完成投标人解密的，其视为投标人放弃投标。</w:t>
      </w:r>
    </w:p>
    <w:p>
      <w:pPr>
        <w:pBdr>
          <w:bottom w:val="single" w:color="auto" w:sz="6" w:space="1"/>
        </w:pBdr>
        <w:spacing w:line="360" w:lineRule="auto"/>
        <w:ind w:firstLine="422" w:firstLineChars="200"/>
        <w:rPr>
          <w:rFonts w:ascii="宋体" w:hAnsi="宋体"/>
          <w:color w:val="auto"/>
          <w:highlight w:val="none"/>
        </w:rPr>
      </w:pPr>
      <w:r>
        <w:rPr>
          <w:rFonts w:hint="eastAsia" w:ascii="宋体" w:hAnsi="宋体" w:cs="仿宋_GB2312"/>
          <w:b/>
          <w:bCs/>
          <w:color w:val="auto"/>
          <w:highlight w:val="none"/>
        </w:rPr>
        <w:t>现文：</w:t>
      </w:r>
      <w:r>
        <w:rPr>
          <w:rFonts w:hint="eastAsia" w:ascii="宋体" w:hAnsi="宋体" w:cs="仿宋_GB2312"/>
          <w:color w:val="auto"/>
          <w:highlight w:val="none"/>
        </w:rPr>
        <w:t>5.2.3招标人在招标文件要求的递交投标文件截止时间前收到的投标文件，在</w:t>
      </w:r>
      <w:r>
        <w:rPr>
          <w:rFonts w:hint="eastAsia" w:ascii="宋体" w:hAnsi="宋体" w:cs="仿宋_GB2312"/>
          <w:color w:val="auto"/>
          <w:highlight w:val="none"/>
          <w:u w:val="single"/>
        </w:rPr>
        <w:t>规定的时间内</w:t>
      </w:r>
      <w:r>
        <w:rPr>
          <w:rFonts w:hint="eastAsia" w:ascii="宋体" w:hAnsi="宋体" w:cs="仿宋_GB2312"/>
          <w:color w:val="auto"/>
          <w:highlight w:val="none"/>
        </w:rPr>
        <w:t>未完成投标人解密的，其</w:t>
      </w:r>
      <w:r>
        <w:rPr>
          <w:rFonts w:hint="eastAsia" w:ascii="宋体" w:hAnsi="宋体"/>
          <w:color w:val="auto"/>
          <w:highlight w:val="none"/>
        </w:rPr>
        <w:t>视为投标人放弃投标。</w:t>
      </w:r>
    </w:p>
    <w:p>
      <w:pPr>
        <w:tabs>
          <w:tab w:val="left" w:pos="105"/>
        </w:tabs>
        <w:spacing w:line="360" w:lineRule="auto"/>
        <w:ind w:firstLine="482" w:firstLineChars="200"/>
        <w:rPr>
          <w:rFonts w:ascii="宋体" w:hAnsi="宋体" w:cs="仿宋_GB2312"/>
          <w:b/>
          <w:color w:val="auto"/>
          <w:sz w:val="24"/>
          <w:szCs w:val="24"/>
          <w:highlight w:val="none"/>
        </w:rPr>
      </w:pPr>
      <w:r>
        <w:rPr>
          <w:rFonts w:hint="eastAsia" w:ascii="宋体" w:hAnsi="宋体" w:cs="仿宋_GB2312"/>
          <w:b/>
          <w:color w:val="auto"/>
          <w:sz w:val="24"/>
          <w:szCs w:val="24"/>
          <w:highlight w:val="none"/>
        </w:rPr>
        <w:t>条款号：5.3.1                                修改类型：修改</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原文：投标人对开标有异议的，应当在开标现场提出，招标人当场作出答复，并制作记录。</w:t>
      </w:r>
    </w:p>
    <w:p>
      <w:pPr>
        <w:pBdr>
          <w:bottom w:val="single" w:color="000000" w:sz="6" w:space="1"/>
        </w:pBdr>
        <w:spacing w:line="460" w:lineRule="exact"/>
        <w:ind w:firstLine="482" w:firstLineChars="200"/>
        <w:rPr>
          <w:rFonts w:ascii="宋体" w:hAnsi="宋体" w:cs="仿宋_GB2312"/>
          <w:color w:val="auto"/>
          <w:sz w:val="24"/>
          <w:szCs w:val="24"/>
          <w:highlight w:val="none"/>
          <w:u w:val="single"/>
        </w:rPr>
      </w:pPr>
      <w:r>
        <w:rPr>
          <w:rFonts w:hint="eastAsia" w:ascii="宋体" w:hAnsi="宋体" w:cs="仿宋_GB2312"/>
          <w:b/>
          <w:bCs/>
          <w:color w:val="auto"/>
          <w:sz w:val="24"/>
          <w:szCs w:val="24"/>
          <w:highlight w:val="none"/>
        </w:rPr>
        <w:t>现文</w:t>
      </w:r>
      <w:r>
        <w:rPr>
          <w:rFonts w:hint="eastAsia" w:ascii="宋体" w:hAnsi="宋体" w:cs="仿宋_GB2312"/>
          <w:color w:val="auto"/>
          <w:sz w:val="24"/>
          <w:szCs w:val="24"/>
          <w:highlight w:val="none"/>
        </w:rPr>
        <w:t>：投标人对开标有异议的，</w:t>
      </w:r>
      <w:r>
        <w:rPr>
          <w:rFonts w:hint="eastAsia" w:ascii="宋体" w:hAnsi="宋体" w:cs="仿宋_GB2312"/>
          <w:color w:val="auto"/>
          <w:sz w:val="24"/>
          <w:szCs w:val="24"/>
          <w:highlight w:val="none"/>
          <w:u w:val="single"/>
        </w:rPr>
        <w:t>参加现场开标的应当在开标现场提出，招标人当场作出答复，并制作记录。参加在线开标的，投标人应通过交易平台在线提出，招标人应通过交易平台答复，答复后方可结束开标。</w:t>
      </w:r>
    </w:p>
    <w:p>
      <w:pPr>
        <w:pStyle w:val="2"/>
        <w:ind w:left="199" w:leftChars="95" w:firstLine="229" w:firstLineChars="95"/>
        <w:rPr>
          <w:rFonts w:ascii="宋体" w:hAnsi="宋体"/>
          <w:b/>
          <w:bCs/>
          <w:color w:val="auto"/>
          <w:sz w:val="24"/>
          <w:highlight w:val="none"/>
        </w:rPr>
      </w:pPr>
      <w:r>
        <w:rPr>
          <w:rFonts w:hint="eastAsia" w:ascii="宋体" w:hAnsi="宋体"/>
          <w:b/>
          <w:bCs/>
          <w:color w:val="auto"/>
          <w:sz w:val="24"/>
          <w:highlight w:val="none"/>
        </w:rPr>
        <w:t>条款号：7.4.1              修改类型：修改</w:t>
      </w:r>
    </w:p>
    <w:p>
      <w:pPr>
        <w:snapToGri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pacing w:line="360" w:lineRule="auto"/>
        <w:ind w:firstLine="482" w:firstLineChars="200"/>
        <w:rPr>
          <w:rFonts w:asci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highlight w:val="none"/>
        </w:rPr>
        <w:t>7.4.1在签订合同后，中标人应按投标人须知前附表规定的担保形式和招标文件第四章“合同条款及格式”规定的或者事先经过招标人书面认可的履约担保格式向招标人提交履约担保。履约担保金额为中标合同金额的</w:t>
      </w:r>
      <w:r>
        <w:rPr>
          <w:rFonts w:ascii="宋体" w:hAnsi="宋体"/>
          <w:color w:val="auto"/>
          <w:sz w:val="24"/>
          <w:highlight w:val="none"/>
        </w:rPr>
        <w:t>5</w:t>
      </w:r>
      <w:r>
        <w:rPr>
          <w:rFonts w:hint="eastAsia" w:ascii="宋体" w:hAnsi="宋体"/>
          <w:color w:val="auto"/>
          <w:sz w:val="24"/>
          <w:highlight w:val="none"/>
        </w:rPr>
        <w:t>%。</w:t>
      </w:r>
      <w:r>
        <w:rPr>
          <w:rFonts w:hint="eastAsia" w:ascii="宋体" w:hAnsi="宋体"/>
          <w:color w:val="auto"/>
          <w:sz w:val="24"/>
          <w:highlight w:val="none"/>
          <w:u w:val="single"/>
        </w:rPr>
        <w:t>联合体中标的，其履约担保由投标人（联合体中牵头人）的名义提交。</w:t>
      </w:r>
    </w:p>
    <w:p>
      <w:pPr>
        <w:spacing w:line="360" w:lineRule="auto"/>
        <w:rPr>
          <w:rFonts w:ascii="宋体"/>
          <w:color w:val="auto"/>
          <w:sz w:val="24"/>
          <w:szCs w:val="24"/>
          <w:highlight w:val="none"/>
        </w:rPr>
      </w:pPr>
      <w:r>
        <w:rPr>
          <w:rFonts w:hint="eastAsia" w:ascii="宋体"/>
          <w:color w:val="auto"/>
          <w:sz w:val="24"/>
          <w:szCs w:val="24"/>
          <w:highlight w:val="none"/>
        </w:rPr>
        <w:t>注：以上修改，仅限于本范本中有可供选择条款的情形。</w:t>
      </w:r>
    </w:p>
    <w:p>
      <w:pPr>
        <w:spacing w:line="360" w:lineRule="auto"/>
        <w:rPr>
          <w:rFonts w:ascii="宋体"/>
          <w:color w:val="auto"/>
          <w:sz w:val="24"/>
          <w:szCs w:val="24"/>
          <w:highlight w:val="none"/>
        </w:rPr>
      </w:pPr>
      <w:r>
        <w:rPr>
          <w:rFonts w:hint="eastAsia" w:ascii="宋体"/>
          <w:color w:val="auto"/>
          <w:sz w:val="24"/>
          <w:szCs w:val="24"/>
          <w:highlight w:val="none"/>
        </w:rPr>
        <w:t>（以下无正文）</w:t>
      </w:r>
    </w:p>
    <w:p>
      <w:pPr>
        <w:pStyle w:val="35"/>
        <w:spacing w:line="360" w:lineRule="auto"/>
        <w:rPr>
          <w:rFonts w:eastAsia="宋体"/>
          <w:b/>
          <w:color w:val="auto"/>
          <w:sz w:val="24"/>
          <w:highlight w:val="none"/>
        </w:rPr>
      </w:pPr>
    </w:p>
    <w:p>
      <w:pPr>
        <w:widowControl/>
        <w:jc w:val="center"/>
        <w:rPr>
          <w:rFonts w:ascii="宋体"/>
          <w:color w:val="auto"/>
          <w:sz w:val="28"/>
          <w:szCs w:val="27"/>
          <w:highlight w:val="none"/>
        </w:rPr>
      </w:pPr>
      <w:r>
        <w:rPr>
          <w:rFonts w:ascii="宋体"/>
          <w:b/>
          <w:color w:val="auto"/>
          <w:sz w:val="24"/>
          <w:highlight w:val="none"/>
        </w:rPr>
        <w:br w:type="page"/>
      </w:r>
      <w:bookmarkStart w:id="77" w:name="_Toc17451579"/>
      <w:bookmarkStart w:id="78" w:name="_Toc17451102"/>
      <w:bookmarkStart w:id="79" w:name="_Toc17454872"/>
      <w:bookmarkStart w:id="80" w:name="_Toc17556877"/>
      <w:bookmarkStart w:id="81" w:name="_Toc17454923"/>
      <w:bookmarkStart w:id="82" w:name="_Toc17451624"/>
      <w:bookmarkStart w:id="83" w:name="_Toc17452665"/>
      <w:r>
        <w:rPr>
          <w:rFonts w:hint="eastAsia" w:ascii="宋体"/>
          <w:color w:val="auto"/>
          <w:sz w:val="28"/>
          <w:szCs w:val="27"/>
          <w:highlight w:val="none"/>
        </w:rPr>
        <w:t>三、投标须知通用条款</w:t>
      </w:r>
      <w:bookmarkEnd w:id="77"/>
      <w:bookmarkEnd w:id="78"/>
      <w:bookmarkEnd w:id="79"/>
      <w:bookmarkEnd w:id="80"/>
      <w:bookmarkEnd w:id="81"/>
      <w:bookmarkEnd w:id="82"/>
      <w:bookmarkEnd w:id="83"/>
    </w:p>
    <w:p>
      <w:pPr>
        <w:jc w:val="center"/>
        <w:outlineLvl w:val="3"/>
        <w:rPr>
          <w:rFonts w:ascii="宋体"/>
          <w:b/>
          <w:color w:val="auto"/>
          <w:sz w:val="30"/>
          <w:szCs w:val="30"/>
          <w:highlight w:val="none"/>
        </w:rPr>
      </w:pPr>
      <w:bookmarkStart w:id="84" w:name="_Toc262229163"/>
      <w:bookmarkStart w:id="85" w:name="_Toc85505512"/>
      <w:bookmarkStart w:id="86" w:name="_Toc101777612"/>
      <w:r>
        <w:rPr>
          <w:rFonts w:hint="eastAsia" w:ascii="宋体"/>
          <w:b/>
          <w:color w:val="auto"/>
          <w:sz w:val="30"/>
          <w:szCs w:val="30"/>
          <w:highlight w:val="none"/>
        </w:rPr>
        <w:t>（一）总则</w:t>
      </w:r>
      <w:bookmarkEnd w:id="84"/>
      <w:bookmarkEnd w:id="85"/>
      <w:bookmarkEnd w:id="86"/>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1.1 项目概况</w:t>
      </w:r>
    </w:p>
    <w:p>
      <w:pPr>
        <w:spacing w:line="360" w:lineRule="auto"/>
        <w:ind w:firstLine="480" w:firstLineChars="200"/>
        <w:rPr>
          <w:rFonts w:ascii="宋体"/>
          <w:bCs/>
          <w:color w:val="auto"/>
          <w:sz w:val="24"/>
          <w:highlight w:val="none"/>
        </w:rPr>
      </w:pPr>
      <w:r>
        <w:rPr>
          <w:rFonts w:hint="eastAsia" w:ascii="宋体"/>
          <w:bCs/>
          <w:color w:val="auto"/>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 本招标项目招标人：见投标人须知前附表。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1.1.3 本标段招标代理机构：见投标人须知前附表。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1.1.4 本招标项目名称：见投标人须知前附表。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1.1.5 本标段建设地点：见投标人须知前附表。</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1.2 资金来源和落实情况</w:t>
      </w:r>
    </w:p>
    <w:p>
      <w:pPr>
        <w:spacing w:line="360" w:lineRule="auto"/>
        <w:ind w:firstLine="480" w:firstLineChars="200"/>
        <w:rPr>
          <w:rFonts w:ascii="宋体"/>
          <w:bCs/>
          <w:color w:val="auto"/>
          <w:sz w:val="24"/>
          <w:highlight w:val="none"/>
        </w:rPr>
      </w:pPr>
      <w:r>
        <w:rPr>
          <w:rFonts w:hint="eastAsia" w:ascii="宋体"/>
          <w:bCs/>
          <w:color w:val="auto"/>
          <w:sz w:val="24"/>
          <w:highlight w:val="none"/>
        </w:rPr>
        <w:t>1.2.1 本招标项目的资金来源及出资比例：见投标人须知前附表。</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1.3 招标范围、计划工期和质量要求</w:t>
      </w:r>
    </w:p>
    <w:p>
      <w:pPr>
        <w:spacing w:line="360" w:lineRule="auto"/>
        <w:ind w:firstLine="480" w:firstLineChars="200"/>
        <w:rPr>
          <w:rFonts w:ascii="宋体"/>
          <w:bCs/>
          <w:color w:val="auto"/>
          <w:sz w:val="24"/>
          <w:highlight w:val="none"/>
        </w:rPr>
      </w:pPr>
      <w:r>
        <w:rPr>
          <w:rFonts w:hint="eastAsia" w:ascii="宋体"/>
          <w:bCs/>
          <w:color w:val="auto"/>
          <w:sz w:val="24"/>
          <w:highlight w:val="none"/>
        </w:rPr>
        <w:t>1.3.1 本次招标范围：见投标人须知前附表。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1.3.2 本标段的计划工期：见投标人须知前附表。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1.3.3 本标段的质量要求：见投标人须知前附表。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1.3.4 本招标项目的承包方式：见投标人须知前附表。</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1.4 投标人资格要求</w:t>
      </w:r>
    </w:p>
    <w:p>
      <w:pPr>
        <w:spacing w:line="360" w:lineRule="auto"/>
        <w:ind w:firstLine="480" w:firstLineChars="200"/>
        <w:rPr>
          <w:rFonts w:ascii="宋体"/>
          <w:bCs/>
          <w:color w:val="auto"/>
          <w:sz w:val="24"/>
          <w:highlight w:val="none"/>
        </w:rPr>
      </w:pPr>
      <w:r>
        <w:rPr>
          <w:rFonts w:hint="eastAsia" w:ascii="宋体"/>
          <w:bCs/>
          <w:color w:val="auto"/>
          <w:sz w:val="24"/>
          <w:highlight w:val="none"/>
        </w:rPr>
        <w:t>1.4.1 投标人应具备承担本项目施工的资质条件、能力和信誉。</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（1）资质条件：见投标人须知前附表； </w:t>
      </w:r>
    </w:p>
    <w:p>
      <w:pPr>
        <w:spacing w:line="360" w:lineRule="auto"/>
        <w:ind w:firstLine="480" w:firstLineChars="200"/>
        <w:rPr>
          <w:rFonts w:ascii="宋体"/>
          <w:bCs/>
          <w:color w:val="auto"/>
          <w:sz w:val="24"/>
          <w:highlight w:val="none"/>
        </w:rPr>
      </w:pPr>
      <w:r>
        <w:rPr>
          <w:rFonts w:hint="eastAsia" w:ascii="宋体"/>
          <w:bCs/>
          <w:color w:val="auto"/>
          <w:sz w:val="24"/>
          <w:highlight w:val="none"/>
        </w:rPr>
        <w:t>（2）项目负责人资格：见投标人须知前附表；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（3）其他要求：</w:t>
      </w:r>
    </w:p>
    <w:p>
      <w:pPr>
        <w:spacing w:line="360" w:lineRule="auto"/>
        <w:ind w:firstLine="480" w:firstLineChars="200"/>
        <w:rPr>
          <w:rFonts w:ascii="宋体"/>
          <w:bCs/>
          <w:color w:val="auto"/>
          <w:sz w:val="24"/>
          <w:highlight w:val="none"/>
        </w:rPr>
      </w:pPr>
      <w:r>
        <w:rPr>
          <w:rFonts w:hint="eastAsia" w:ascii="宋体"/>
          <w:bCs/>
          <w:color w:val="auto"/>
          <w:sz w:val="24"/>
          <w:highlight w:val="none"/>
        </w:rPr>
        <w:t>a)</w:t>
      </w:r>
      <w:r>
        <w:rPr>
          <w:rFonts w:hint="eastAsia" w:ascii="宋体"/>
          <w:bCs/>
          <w:color w:val="auto"/>
          <w:sz w:val="24"/>
          <w:highlight w:val="none"/>
        </w:rPr>
        <w:tab/>
      </w:r>
      <w:r>
        <w:rPr>
          <w:rFonts w:hint="eastAsia" w:ascii="宋体"/>
          <w:bCs/>
          <w:color w:val="auto"/>
          <w:sz w:val="24"/>
          <w:highlight w:val="none"/>
        </w:rPr>
        <w:t>投标人必须具备独立法人资格，具有有效的安全生产许可证。</w:t>
      </w:r>
    </w:p>
    <w:p>
      <w:pPr>
        <w:spacing w:line="360" w:lineRule="auto"/>
        <w:ind w:firstLine="480" w:firstLineChars="200"/>
        <w:rPr>
          <w:rFonts w:ascii="宋体"/>
          <w:bCs/>
          <w:color w:val="auto"/>
          <w:sz w:val="24"/>
          <w:highlight w:val="none"/>
        </w:rPr>
      </w:pPr>
      <w:r>
        <w:rPr>
          <w:rFonts w:hint="eastAsia" w:ascii="宋体"/>
          <w:bCs/>
          <w:color w:val="auto"/>
          <w:sz w:val="24"/>
          <w:highlight w:val="none"/>
        </w:rPr>
        <w:t>b)</w:t>
      </w:r>
      <w:r>
        <w:rPr>
          <w:rFonts w:hint="eastAsia" w:ascii="宋体"/>
          <w:bCs/>
          <w:color w:val="auto"/>
          <w:sz w:val="24"/>
          <w:highlight w:val="none"/>
        </w:rPr>
        <w:tab/>
      </w:r>
      <w:r>
        <w:rPr>
          <w:rFonts w:hint="eastAsia" w:ascii="宋体"/>
          <w:bCs/>
          <w:color w:val="auto"/>
          <w:sz w:val="24"/>
          <w:highlight w:val="none"/>
        </w:rPr>
        <w:t>项目负责人持有有效的安全培训考核合格证（B类）。安全培训考核合格证的颁发部门见投标人须知前附表。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c)</w:t>
      </w:r>
      <w:r>
        <w:rPr>
          <w:rFonts w:hint="eastAsia" w:ascii="宋体"/>
          <w:bCs/>
          <w:color w:val="auto"/>
          <w:sz w:val="24"/>
          <w:highlight w:val="none"/>
        </w:rPr>
        <w:tab/>
      </w:r>
      <w:r>
        <w:rPr>
          <w:rFonts w:hint="eastAsia" w:ascii="宋体"/>
          <w:bCs/>
          <w:color w:val="auto"/>
          <w:sz w:val="24"/>
          <w:highlight w:val="none"/>
        </w:rPr>
        <w:t>专职安全员具有有效的安全培训考核合格证（C证）。安全培训考核合格证的颁发部门见投标人须知前附表。</w:t>
      </w:r>
    </w:p>
    <w:p>
      <w:pPr>
        <w:spacing w:line="360" w:lineRule="auto"/>
        <w:ind w:firstLine="537" w:firstLineChars="224"/>
        <w:rPr>
          <w:rFonts w:ascii="宋体" w:hAnsi="宋体"/>
          <w:color w:val="auto"/>
          <w:sz w:val="24"/>
          <w:szCs w:val="24"/>
          <w:highlight w:val="none"/>
        </w:rPr>
      </w:pPr>
      <w:r>
        <w:rPr>
          <w:rFonts w:hint="eastAsia" w:ascii="宋体"/>
          <w:bCs/>
          <w:color w:val="auto"/>
          <w:sz w:val="24"/>
          <w:highlight w:val="none"/>
        </w:rPr>
        <w:t>d）业绩要求：</w:t>
      </w:r>
      <w:r>
        <w:rPr>
          <w:rFonts w:hint="eastAsia" w:ascii="宋体" w:hAnsi="宋体"/>
          <w:color w:val="auto"/>
          <w:sz w:val="24"/>
          <w:szCs w:val="24"/>
          <w:highlight w:val="none"/>
        </w:rPr>
        <w:t>根据工程规模和特点设置。</w:t>
      </w:r>
    </w:p>
    <w:p>
      <w:pPr>
        <w:spacing w:line="360" w:lineRule="auto"/>
        <w:ind w:firstLine="480" w:firstLineChars="200"/>
        <w:rPr>
          <w:rFonts w:ascii="宋体"/>
          <w:bCs/>
          <w:i/>
          <w:color w:val="auto"/>
          <w:sz w:val="24"/>
          <w:highlight w:val="none"/>
        </w:rPr>
      </w:pPr>
      <w:r>
        <w:rPr>
          <w:rFonts w:hint="eastAsia" w:ascii="宋体"/>
          <w:bCs/>
          <w:color w:val="auto"/>
          <w:sz w:val="24"/>
          <w:highlight w:val="none"/>
        </w:rPr>
        <w:t>e)其他要求详见投标人须知前附表。</w:t>
      </w:r>
    </w:p>
    <w:p>
      <w:pPr>
        <w:spacing w:line="360" w:lineRule="auto"/>
        <w:ind w:firstLine="480" w:firstLineChars="200"/>
        <w:rPr>
          <w:rFonts w:ascii="宋体"/>
          <w:bCs/>
          <w:color w:val="auto"/>
          <w:sz w:val="24"/>
          <w:highlight w:val="none"/>
        </w:rPr>
      </w:pPr>
      <w:r>
        <w:rPr>
          <w:rFonts w:hint="eastAsia" w:ascii="宋体"/>
          <w:bCs/>
          <w:color w:val="auto"/>
          <w:sz w:val="24"/>
          <w:highlight w:val="none"/>
        </w:rPr>
        <w:t>1.4.2 本招标项目是否接受联合体投标以招标公告为准。</w:t>
      </w:r>
    </w:p>
    <w:p>
      <w:pPr>
        <w:spacing w:line="360" w:lineRule="auto"/>
        <w:ind w:firstLine="480" w:firstLineChars="200"/>
        <w:rPr>
          <w:rFonts w:ascii="宋体"/>
          <w:bCs/>
          <w:color w:val="auto"/>
          <w:sz w:val="24"/>
          <w:highlight w:val="none"/>
        </w:rPr>
      </w:pPr>
      <w:r>
        <w:rPr>
          <w:rFonts w:hint="eastAsia" w:ascii="宋体"/>
          <w:bCs/>
          <w:color w:val="auto"/>
          <w:sz w:val="24"/>
          <w:highlight w:val="none"/>
        </w:rPr>
        <w:t>1.4.3 投标人不得存在下列情形之一：</w:t>
      </w:r>
    </w:p>
    <w:p>
      <w:pPr>
        <w:spacing w:line="360" w:lineRule="auto"/>
        <w:ind w:firstLine="480" w:firstLineChars="200"/>
        <w:rPr>
          <w:rFonts w:ascii="宋体"/>
          <w:bCs/>
          <w:color w:val="auto"/>
          <w:sz w:val="24"/>
          <w:highlight w:val="none"/>
        </w:rPr>
      </w:pPr>
      <w:r>
        <w:rPr>
          <w:rFonts w:hint="eastAsia" w:ascii="宋体"/>
          <w:bCs/>
          <w:color w:val="auto"/>
          <w:sz w:val="24"/>
          <w:highlight w:val="none"/>
        </w:rPr>
        <w:t>（1）为招标人不具有独立法人资格的附属机构（单位）；</w:t>
      </w:r>
    </w:p>
    <w:p>
      <w:pPr>
        <w:spacing w:line="360" w:lineRule="auto"/>
        <w:ind w:firstLine="480" w:firstLineChars="200"/>
        <w:rPr>
          <w:rFonts w:ascii="宋体"/>
          <w:bCs/>
          <w:color w:val="auto"/>
          <w:sz w:val="24"/>
          <w:highlight w:val="none"/>
        </w:rPr>
      </w:pPr>
      <w:r>
        <w:rPr>
          <w:rFonts w:hint="eastAsia" w:ascii="宋体"/>
          <w:bCs/>
          <w:color w:val="auto"/>
          <w:sz w:val="24"/>
          <w:highlight w:val="none"/>
        </w:rPr>
        <w:t>（2）为本次招标项目前期准备提供设计或咨询服务的；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（3）为本次招标项目的监理人；</w:t>
      </w:r>
    </w:p>
    <w:p>
      <w:pPr>
        <w:spacing w:line="360" w:lineRule="auto"/>
        <w:ind w:firstLine="480" w:firstLineChars="200"/>
        <w:rPr>
          <w:rFonts w:ascii="宋体"/>
          <w:bCs/>
          <w:color w:val="auto"/>
          <w:sz w:val="24"/>
          <w:highlight w:val="none"/>
        </w:rPr>
      </w:pPr>
      <w:r>
        <w:rPr>
          <w:rFonts w:hint="eastAsia" w:ascii="宋体"/>
          <w:bCs/>
          <w:color w:val="auto"/>
          <w:sz w:val="24"/>
          <w:highlight w:val="none"/>
        </w:rPr>
        <w:t>（4）为本次招标项目的代建人；</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（5）为本次招标项目提供招标代理服务的； </w:t>
      </w:r>
    </w:p>
    <w:p>
      <w:pPr>
        <w:spacing w:line="360" w:lineRule="auto"/>
        <w:ind w:firstLine="480" w:firstLineChars="200"/>
        <w:rPr>
          <w:rFonts w:ascii="宋体"/>
          <w:bCs/>
          <w:color w:val="auto"/>
          <w:sz w:val="24"/>
          <w:highlight w:val="none"/>
        </w:rPr>
      </w:pPr>
      <w:r>
        <w:rPr>
          <w:rFonts w:hint="eastAsia" w:ascii="宋体"/>
          <w:bCs/>
          <w:color w:val="auto"/>
          <w:sz w:val="24"/>
          <w:highlight w:val="none"/>
        </w:rPr>
        <w:t>（6）与本次招标项目的监理人或代建人或招标代理机构同为一个法定代表人的；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（7）与本次招标项目的监理人或代建人或招标代理机构相互控股或参股的；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（8）与本次招标项目的监理人或代建人或招标代理机构相互任职或工作的；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（9）被责令停业的；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（10）被暂停或取消投标资格的；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（11）财产被接管或冻结的；</w:t>
      </w:r>
    </w:p>
    <w:p>
      <w:pPr>
        <w:spacing w:line="360" w:lineRule="auto"/>
        <w:ind w:firstLine="480" w:firstLineChars="200"/>
        <w:rPr>
          <w:rFonts w:ascii="宋体"/>
          <w:bCs/>
          <w:color w:val="auto"/>
          <w:sz w:val="24"/>
          <w:highlight w:val="none"/>
        </w:rPr>
      </w:pPr>
      <w:r>
        <w:rPr>
          <w:rFonts w:hint="eastAsia" w:ascii="宋体"/>
          <w:bCs/>
          <w:color w:val="auto"/>
          <w:sz w:val="24"/>
          <w:highlight w:val="none"/>
        </w:rPr>
        <w:t>（12）单位负责人为同一人或者存在控股、管理关系的不同单位，同时参加本招标项目投标。</w:t>
      </w:r>
    </w:p>
    <w:p>
      <w:pPr>
        <w:spacing w:line="360" w:lineRule="auto"/>
        <w:ind w:firstLine="480" w:firstLineChars="200"/>
        <w:rPr>
          <w:rFonts w:ascii="宋体"/>
          <w:bCs/>
          <w:color w:val="auto"/>
          <w:sz w:val="24"/>
          <w:highlight w:val="none"/>
        </w:rPr>
      </w:pPr>
      <w:r>
        <w:rPr>
          <w:rFonts w:hint="eastAsia" w:ascii="宋体"/>
          <w:bCs/>
          <w:color w:val="auto"/>
          <w:sz w:val="24"/>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482" w:firstLineChars="200"/>
        <w:rPr>
          <w:rFonts w:ascii="宋体"/>
          <w:b/>
          <w:bCs/>
          <w:color w:val="auto"/>
          <w:sz w:val="24"/>
          <w:szCs w:val="24"/>
          <w:highlight w:val="none"/>
        </w:rPr>
      </w:pPr>
      <w:r>
        <w:rPr>
          <w:rFonts w:hint="eastAsia" w:ascii="宋体"/>
          <w:b/>
          <w:bCs/>
          <w:color w:val="auto"/>
          <w:sz w:val="24"/>
          <w:szCs w:val="24"/>
          <w:highlight w:val="none"/>
        </w:rPr>
        <w:t>1.5 费用承担</w:t>
      </w:r>
    </w:p>
    <w:p>
      <w:pPr>
        <w:spacing w:line="360" w:lineRule="auto"/>
        <w:ind w:firstLine="480" w:firstLineChars="200"/>
        <w:rPr>
          <w:rFonts w:ascii="宋体"/>
          <w:bCs/>
          <w:color w:val="auto"/>
          <w:sz w:val="24"/>
          <w:highlight w:val="none"/>
        </w:rPr>
      </w:pPr>
      <w:r>
        <w:rPr>
          <w:rFonts w:hint="eastAsia" w:ascii="宋体"/>
          <w:bCs/>
          <w:color w:val="auto"/>
          <w:sz w:val="24"/>
          <w:highlight w:val="none"/>
        </w:rPr>
        <w:t>投标人准备和参加投标活动发生的费用自理。</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1.6 保密</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参与招标投标活动的各方应对招标文件和投标文件中的商业和技术等秘密保密，违者应对由此造成的后果承担法律责任。 </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1.7 语言文字</w:t>
      </w:r>
    </w:p>
    <w:p>
      <w:pPr>
        <w:spacing w:line="360" w:lineRule="auto"/>
        <w:ind w:firstLine="480" w:firstLineChars="200"/>
        <w:rPr>
          <w:rFonts w:ascii="宋体"/>
          <w:bCs/>
          <w:color w:val="auto"/>
          <w:sz w:val="24"/>
          <w:highlight w:val="none"/>
        </w:rPr>
      </w:pPr>
      <w:r>
        <w:rPr>
          <w:rFonts w:hint="eastAsia" w:ascii="宋体"/>
          <w:bCs/>
          <w:color w:val="auto"/>
          <w:sz w:val="24"/>
          <w:highlight w:val="none"/>
        </w:rPr>
        <w:t>除专用术语外，与招标投标有关的语言均使用中文。必要时专用术语应附有中文注释。</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1.8 计量单位</w:t>
      </w:r>
    </w:p>
    <w:p>
      <w:pPr>
        <w:spacing w:line="360" w:lineRule="auto"/>
        <w:ind w:firstLine="480" w:firstLineChars="200"/>
        <w:rPr>
          <w:rFonts w:ascii="宋体"/>
          <w:bCs/>
          <w:color w:val="auto"/>
          <w:sz w:val="24"/>
          <w:highlight w:val="none"/>
        </w:rPr>
      </w:pPr>
      <w:r>
        <w:rPr>
          <w:rFonts w:hint="eastAsia" w:ascii="宋体"/>
          <w:bCs/>
          <w:color w:val="auto"/>
          <w:sz w:val="24"/>
          <w:highlight w:val="none"/>
        </w:rPr>
        <w:t>所有计量均采用中华人民共和国法定计量单位。</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1.9 踏勘现场</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1.9.1 投标人按投标人须知前附表规定的时间、地点自行踏勘项目现场。 </w:t>
      </w:r>
    </w:p>
    <w:p>
      <w:pPr>
        <w:spacing w:line="360" w:lineRule="auto"/>
        <w:ind w:firstLine="480" w:firstLineChars="200"/>
        <w:rPr>
          <w:rFonts w:ascii="宋体"/>
          <w:bCs/>
          <w:color w:val="auto"/>
          <w:sz w:val="24"/>
          <w:highlight w:val="none"/>
        </w:rPr>
      </w:pPr>
      <w:r>
        <w:rPr>
          <w:rFonts w:hint="eastAsia" w:ascii="宋体"/>
          <w:bCs/>
          <w:color w:val="auto"/>
          <w:sz w:val="24"/>
          <w:highlight w:val="none"/>
        </w:rPr>
        <w:t>1.9.2 投标人踏勘现场发生的费用自理。</w:t>
      </w:r>
    </w:p>
    <w:p>
      <w:pPr>
        <w:spacing w:line="360" w:lineRule="auto"/>
        <w:ind w:firstLine="480" w:firstLineChars="200"/>
        <w:rPr>
          <w:rFonts w:ascii="宋体"/>
          <w:bCs/>
          <w:color w:val="auto"/>
          <w:sz w:val="24"/>
          <w:highlight w:val="none"/>
        </w:rPr>
      </w:pPr>
      <w:r>
        <w:rPr>
          <w:rFonts w:hint="eastAsia" w:ascii="宋体"/>
          <w:bCs/>
          <w:color w:val="auto"/>
          <w:sz w:val="24"/>
          <w:highlight w:val="none"/>
        </w:rPr>
        <w:t>1.9.3 除招标人的原因外，投标人自行负责在踏勘现场中所发生的人员伤亡和财产损失。</w:t>
      </w:r>
    </w:p>
    <w:p>
      <w:pPr>
        <w:spacing w:line="360" w:lineRule="auto"/>
        <w:ind w:firstLine="480" w:firstLineChars="200"/>
        <w:rPr>
          <w:rFonts w:ascii="宋体"/>
          <w:bCs/>
          <w:color w:val="auto"/>
          <w:sz w:val="24"/>
          <w:highlight w:val="none"/>
        </w:rPr>
      </w:pPr>
      <w:r>
        <w:rPr>
          <w:rFonts w:hint="eastAsia" w:ascii="宋体"/>
          <w:bCs/>
          <w:color w:val="auto"/>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b/>
          <w:color w:val="auto"/>
          <w:sz w:val="24"/>
          <w:highlight w:val="none"/>
        </w:rPr>
      </w:pPr>
      <w:r>
        <w:rPr>
          <w:rFonts w:hint="eastAsia" w:ascii="宋体"/>
          <w:b/>
          <w:color w:val="auto"/>
          <w:sz w:val="24"/>
          <w:highlight w:val="none"/>
        </w:rPr>
        <w:t>1.10投标预备会</w:t>
      </w:r>
    </w:p>
    <w:p>
      <w:pPr>
        <w:spacing w:line="360" w:lineRule="auto"/>
        <w:ind w:firstLine="480" w:firstLineChars="200"/>
        <w:rPr>
          <w:rFonts w:ascii="宋体"/>
          <w:bCs/>
          <w:color w:val="auto"/>
          <w:sz w:val="24"/>
          <w:highlight w:val="none"/>
        </w:rPr>
      </w:pPr>
      <w:r>
        <w:rPr>
          <w:rFonts w:hint="eastAsia" w:ascii="宋体"/>
          <w:bCs/>
          <w:color w:val="auto"/>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bCs/>
          <w:color w:val="auto"/>
          <w:sz w:val="24"/>
          <w:highlight w:val="none"/>
        </w:rPr>
      </w:pPr>
      <w:r>
        <w:rPr>
          <w:rFonts w:hint="eastAsia" w:ascii="宋体"/>
          <w:bCs/>
          <w:color w:val="auto"/>
          <w:sz w:val="24"/>
          <w:highlight w:val="none"/>
        </w:rPr>
        <w:t>1.10.2 投标人应在投标人须知前附表规定的时间前，在交易中心网站上提出须澄清的问题。</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1.11 偏离</w:t>
      </w:r>
    </w:p>
    <w:p>
      <w:pPr>
        <w:spacing w:line="360" w:lineRule="auto"/>
        <w:ind w:firstLine="480" w:firstLineChars="200"/>
        <w:rPr>
          <w:rFonts w:ascii="宋体"/>
          <w:bCs/>
          <w:color w:val="auto"/>
          <w:sz w:val="24"/>
          <w:highlight w:val="none"/>
        </w:rPr>
      </w:pPr>
      <w:r>
        <w:rPr>
          <w:rFonts w:hint="eastAsia" w:ascii="宋体"/>
          <w:bCs/>
          <w:color w:val="auto"/>
          <w:sz w:val="24"/>
          <w:highlight w:val="none"/>
        </w:rPr>
        <w:t>投标人须知前附表允许投标文件偏离招标文件某些要求的，偏离应当符合招标文件规定的偏离范围和幅度。</w:t>
      </w:r>
    </w:p>
    <w:p>
      <w:pPr>
        <w:jc w:val="center"/>
        <w:outlineLvl w:val="3"/>
        <w:rPr>
          <w:rFonts w:ascii="宋体"/>
          <w:b/>
          <w:color w:val="auto"/>
          <w:sz w:val="30"/>
          <w:szCs w:val="30"/>
          <w:highlight w:val="none"/>
        </w:rPr>
      </w:pPr>
      <w:bookmarkStart w:id="87" w:name="_Toc262229164"/>
      <w:r>
        <w:rPr>
          <w:rFonts w:hint="eastAsia" w:ascii="宋体"/>
          <w:b/>
          <w:color w:val="auto"/>
          <w:sz w:val="30"/>
          <w:szCs w:val="30"/>
          <w:highlight w:val="none"/>
        </w:rPr>
        <w:t>（二）招标文件</w:t>
      </w:r>
      <w:bookmarkEnd w:id="87"/>
    </w:p>
    <w:p>
      <w:pPr>
        <w:tabs>
          <w:tab w:val="left" w:pos="105"/>
        </w:tabs>
        <w:spacing w:line="360" w:lineRule="auto"/>
        <w:ind w:firstLine="482" w:firstLineChars="200"/>
        <w:rPr>
          <w:rFonts w:ascii="宋体"/>
          <w:b/>
          <w:color w:val="auto"/>
          <w:sz w:val="24"/>
          <w:highlight w:val="none"/>
        </w:rPr>
      </w:pPr>
      <w:r>
        <w:rPr>
          <w:rFonts w:hint="eastAsia" w:ascii="宋体"/>
          <w:b/>
          <w:color w:val="auto"/>
          <w:sz w:val="24"/>
          <w:highlight w:val="none"/>
        </w:rPr>
        <w:t>2.1 招标文件的组成</w:t>
      </w:r>
    </w:p>
    <w:p>
      <w:pPr>
        <w:spacing w:line="360" w:lineRule="auto"/>
        <w:ind w:firstLine="480" w:firstLineChars="200"/>
        <w:rPr>
          <w:rFonts w:ascii="宋体"/>
          <w:bCs/>
          <w:color w:val="auto"/>
          <w:sz w:val="24"/>
          <w:highlight w:val="none"/>
        </w:rPr>
      </w:pPr>
      <w:r>
        <w:rPr>
          <w:rFonts w:hint="eastAsia" w:ascii="宋体"/>
          <w:bCs/>
          <w:color w:val="auto"/>
          <w:sz w:val="24"/>
          <w:highlight w:val="none"/>
        </w:rPr>
        <w:t>2.1.1</w:t>
      </w:r>
      <w:r>
        <w:rPr>
          <w:rFonts w:hint="eastAsia" w:ascii="宋体"/>
          <w:color w:val="auto"/>
          <w:sz w:val="24"/>
          <w:highlight w:val="none"/>
        </w:rPr>
        <w:t>本招标文件包括下列文件，以及所有按本须知第7条发出的澄清或修改和按本须知第8条发出的招标答疑会会议纪要：</w:t>
      </w:r>
    </w:p>
    <w:p>
      <w:pPr>
        <w:spacing w:line="360" w:lineRule="auto"/>
        <w:ind w:firstLine="480" w:firstLineChars="200"/>
        <w:rPr>
          <w:rFonts w:ascii="宋体"/>
          <w:bCs/>
          <w:color w:val="auto"/>
          <w:sz w:val="24"/>
          <w:highlight w:val="none"/>
        </w:rPr>
      </w:pPr>
      <w:r>
        <w:rPr>
          <w:rFonts w:hint="eastAsia" w:ascii="宋体"/>
          <w:bCs/>
          <w:color w:val="auto"/>
          <w:sz w:val="24"/>
          <w:highlight w:val="none"/>
        </w:rPr>
        <w:t>（1）招标公告（或投标邀请书）；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（2）投标人须知；</w:t>
      </w:r>
    </w:p>
    <w:p>
      <w:pPr>
        <w:spacing w:line="360" w:lineRule="auto"/>
        <w:ind w:firstLine="480" w:firstLineChars="200"/>
        <w:rPr>
          <w:rFonts w:ascii="宋体"/>
          <w:bCs/>
          <w:color w:val="auto"/>
          <w:sz w:val="24"/>
          <w:highlight w:val="none"/>
        </w:rPr>
      </w:pPr>
      <w:r>
        <w:rPr>
          <w:rFonts w:hint="eastAsia" w:ascii="宋体"/>
          <w:bCs/>
          <w:color w:val="auto"/>
          <w:sz w:val="24"/>
          <w:highlight w:val="none"/>
        </w:rPr>
        <w:t>（3）评标办法；</w:t>
      </w:r>
    </w:p>
    <w:p>
      <w:pPr>
        <w:spacing w:line="360" w:lineRule="auto"/>
        <w:ind w:firstLine="480" w:firstLineChars="200"/>
        <w:rPr>
          <w:rFonts w:ascii="宋体"/>
          <w:bCs/>
          <w:color w:val="auto"/>
          <w:sz w:val="24"/>
          <w:highlight w:val="none"/>
        </w:rPr>
      </w:pPr>
      <w:r>
        <w:rPr>
          <w:rFonts w:hint="eastAsia" w:ascii="宋体"/>
          <w:bCs/>
          <w:color w:val="auto"/>
          <w:sz w:val="24"/>
          <w:highlight w:val="none"/>
        </w:rPr>
        <w:t>（4）合同条款及格式；</w:t>
      </w:r>
    </w:p>
    <w:p>
      <w:pPr>
        <w:spacing w:line="360" w:lineRule="auto"/>
        <w:ind w:firstLine="480" w:firstLineChars="200"/>
        <w:rPr>
          <w:rFonts w:ascii="宋体"/>
          <w:bCs/>
          <w:color w:val="auto"/>
          <w:sz w:val="24"/>
          <w:highlight w:val="none"/>
        </w:rPr>
      </w:pPr>
      <w:r>
        <w:rPr>
          <w:rFonts w:hint="eastAsia" w:ascii="宋体"/>
          <w:bCs/>
          <w:color w:val="auto"/>
          <w:sz w:val="24"/>
          <w:highlight w:val="none"/>
        </w:rPr>
        <w:t>（5）工程量清单（采用综合评估法三的，应为与</w:t>
      </w:r>
      <w:r>
        <w:rPr>
          <w:rFonts w:hint="eastAsia" w:ascii="宋体"/>
          <w:color w:val="auto"/>
          <w:sz w:val="24"/>
          <w:highlight w:val="none"/>
        </w:rPr>
        <w:t>最高投标限价相对应的</w:t>
      </w:r>
      <w:r>
        <w:rPr>
          <w:rFonts w:hint="eastAsia" w:ascii="宋体"/>
          <w:bCs/>
          <w:color w:val="auto"/>
          <w:sz w:val="24"/>
          <w:highlight w:val="none"/>
        </w:rPr>
        <w:t xml:space="preserve">已标价工程量清单）； </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（6）图纸； </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（7）技术标准和要求； </w:t>
      </w:r>
    </w:p>
    <w:p>
      <w:pPr>
        <w:spacing w:line="360" w:lineRule="auto"/>
        <w:ind w:firstLine="480" w:firstLineChars="200"/>
        <w:rPr>
          <w:rFonts w:ascii="宋体"/>
          <w:bCs/>
          <w:color w:val="auto"/>
          <w:sz w:val="24"/>
          <w:highlight w:val="none"/>
        </w:rPr>
      </w:pPr>
      <w:r>
        <w:rPr>
          <w:rFonts w:hint="eastAsia" w:ascii="宋体"/>
          <w:bCs/>
          <w:color w:val="auto"/>
          <w:sz w:val="24"/>
          <w:highlight w:val="none"/>
        </w:rPr>
        <w:t>（8）投标文件格式；</w:t>
      </w:r>
    </w:p>
    <w:p>
      <w:pPr>
        <w:spacing w:line="360" w:lineRule="auto"/>
        <w:ind w:firstLine="480" w:firstLineChars="200"/>
        <w:rPr>
          <w:rFonts w:ascii="宋体"/>
          <w:bCs/>
          <w:color w:val="auto"/>
          <w:sz w:val="24"/>
          <w:highlight w:val="none"/>
        </w:rPr>
      </w:pPr>
      <w:r>
        <w:rPr>
          <w:rFonts w:hint="eastAsia" w:ascii="宋体"/>
          <w:bCs/>
          <w:color w:val="auto"/>
          <w:sz w:val="24"/>
          <w:highlight w:val="none"/>
        </w:rPr>
        <w:t>（9</w:t>
      </w:r>
      <w:r>
        <w:rPr>
          <w:rFonts w:ascii="宋体"/>
          <w:bCs/>
          <w:color w:val="auto"/>
          <w:sz w:val="24"/>
          <w:highlight w:val="none"/>
        </w:rPr>
        <w:t>）</w:t>
      </w:r>
      <w:r>
        <w:rPr>
          <w:rFonts w:hint="eastAsia" w:ascii="宋体"/>
          <w:bCs/>
          <w:color w:val="auto"/>
          <w:sz w:val="24"/>
          <w:highlight w:val="none"/>
        </w:rPr>
        <w:t>否决性条款汇总.</w:t>
      </w:r>
    </w:p>
    <w:p>
      <w:pPr>
        <w:spacing w:line="360" w:lineRule="auto"/>
        <w:ind w:firstLine="480" w:firstLineChars="200"/>
        <w:rPr>
          <w:rFonts w:ascii="宋体"/>
          <w:bCs/>
          <w:color w:val="auto"/>
          <w:sz w:val="24"/>
          <w:highlight w:val="none"/>
        </w:rPr>
      </w:pPr>
      <w:r>
        <w:rPr>
          <w:rFonts w:hint="eastAsia" w:ascii="宋体"/>
          <w:bCs/>
          <w:color w:val="auto"/>
          <w:sz w:val="24"/>
          <w:highlight w:val="none"/>
        </w:rPr>
        <w:t>（10）</w:t>
      </w:r>
      <w:r>
        <w:rPr>
          <w:rFonts w:hint="eastAsia" w:ascii="宋体"/>
          <w:bCs/>
          <w:color w:val="auto"/>
          <w:sz w:val="24"/>
          <w:szCs w:val="24"/>
          <w:highlight w:val="none"/>
        </w:rPr>
        <w:t>最高投标限价（招标控制价）</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（11）投标人须知前附表规定的其他材料。</w:t>
      </w:r>
    </w:p>
    <w:p>
      <w:pPr>
        <w:spacing w:line="360" w:lineRule="auto"/>
        <w:ind w:firstLine="480" w:firstLineChars="200"/>
        <w:rPr>
          <w:rFonts w:ascii="宋体"/>
          <w:bCs/>
          <w:color w:val="auto"/>
          <w:sz w:val="24"/>
          <w:highlight w:val="none"/>
        </w:rPr>
      </w:pPr>
      <w:r>
        <w:rPr>
          <w:rFonts w:hint="eastAsia" w:ascii="宋体"/>
          <w:bCs/>
          <w:color w:val="auto"/>
          <w:sz w:val="24"/>
          <w:highlight w:val="none"/>
        </w:rPr>
        <w:t>2.1.2根据本章第1.10款、第2.2款和第2.3款对招标文件所作的澄清、修改，构成招标文件的组成部分。</w:t>
      </w:r>
    </w:p>
    <w:p>
      <w:pPr>
        <w:spacing w:line="360" w:lineRule="auto"/>
        <w:ind w:firstLine="480" w:firstLineChars="200"/>
        <w:rPr>
          <w:rFonts w:ascii="宋体"/>
          <w:bCs/>
          <w:color w:val="auto"/>
          <w:sz w:val="24"/>
          <w:highlight w:val="none"/>
        </w:rPr>
      </w:pPr>
      <w:r>
        <w:rPr>
          <w:rFonts w:hint="eastAsia" w:ascii="宋体"/>
          <w:bCs/>
          <w:color w:val="auto"/>
          <w:sz w:val="24"/>
          <w:highlight w:val="none"/>
        </w:rPr>
        <w:t>2.1.3招标人（或委托招标代理机构）使用广东省内依法设立的电子认证服务机构签发的电子签章认证证书对电子形式的招标文件进行</w:t>
      </w:r>
      <w:r>
        <w:rPr>
          <w:rFonts w:hint="eastAsia" w:ascii="宋体"/>
          <w:bCs/>
          <w:strike/>
          <w:color w:val="auto"/>
          <w:sz w:val="24"/>
          <w:highlight w:val="none"/>
        </w:rPr>
        <w:t>电子签名及</w:t>
      </w:r>
      <w:r>
        <w:rPr>
          <w:rFonts w:hint="eastAsia" w:ascii="宋体"/>
          <w:bCs/>
          <w:color w:val="auto"/>
          <w:sz w:val="24"/>
          <w:highlight w:val="none"/>
        </w:rPr>
        <w:t>电子签章。该电子签章对招标人手写签名或者盖章同等的法律效力。</w:t>
      </w:r>
    </w:p>
    <w:p>
      <w:pPr>
        <w:spacing w:line="360" w:lineRule="auto"/>
        <w:ind w:firstLine="480" w:firstLineChars="200"/>
        <w:rPr>
          <w:rFonts w:ascii="宋体"/>
          <w:bCs/>
          <w:color w:val="auto"/>
          <w:sz w:val="24"/>
          <w:highlight w:val="none"/>
        </w:rPr>
      </w:pPr>
      <w:r>
        <w:rPr>
          <w:rFonts w:hint="eastAsia" w:ascii="宋体"/>
          <w:bCs/>
          <w:color w:val="auto"/>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bCs/>
          <w:color w:val="auto"/>
          <w:sz w:val="24"/>
          <w:highlight w:val="none"/>
        </w:rPr>
      </w:pPr>
      <w:r>
        <w:rPr>
          <w:rFonts w:ascii="宋体"/>
          <w:bCs/>
          <w:color w:val="auto"/>
          <w:sz w:val="24"/>
          <w:highlight w:val="none"/>
        </w:rPr>
        <w:t>2.1.5</w:t>
      </w:r>
      <w:r>
        <w:rPr>
          <w:rFonts w:hint="eastAsia" w:ascii="宋体"/>
          <w:bCs/>
          <w:color w:val="auto"/>
          <w:sz w:val="24"/>
          <w:highlight w:val="none"/>
        </w:rPr>
        <w:t>招标人应在招标文件中明确投标文件主要内容编制的格式要求。</w:t>
      </w:r>
    </w:p>
    <w:p>
      <w:pPr>
        <w:widowControl/>
        <w:snapToGrid w:val="0"/>
        <w:spacing w:line="360" w:lineRule="auto"/>
        <w:ind w:firstLine="482" w:firstLineChars="200"/>
        <w:jc w:val="left"/>
        <w:rPr>
          <w:rFonts w:ascii="宋体"/>
          <w:color w:val="auto"/>
          <w:sz w:val="24"/>
          <w:highlight w:val="none"/>
        </w:rPr>
      </w:pPr>
      <w:r>
        <w:rPr>
          <w:rFonts w:hint="eastAsia" w:ascii="宋体"/>
          <w:b/>
          <w:bCs/>
          <w:color w:val="auto"/>
          <w:sz w:val="24"/>
          <w:highlight w:val="none"/>
        </w:rPr>
        <w:t>2.2招标答疑</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szCs w:val="21"/>
          <w:highlight w:val="none"/>
        </w:rPr>
        <w:t>2.2.1</w:t>
      </w:r>
      <w:r>
        <w:rPr>
          <w:rFonts w:hint="eastAsia" w:ascii="宋体" w:eastAsia="宋体"/>
          <w:color w:val="auto"/>
          <w:sz w:val="24"/>
          <w:highlight w:val="none"/>
        </w:rPr>
        <w:t xml:space="preserve"> 招标答疑采用网上答疑方式进行。投标人若对招标文件（包括招标图纸、清单、招标控制价）有疑问的，可在规定的时间内通过</w:t>
      </w:r>
      <w:r>
        <w:rPr>
          <w:rFonts w:hint="eastAsia" w:ascii="宋体" w:eastAsia="宋体"/>
          <w:color w:val="auto"/>
          <w:sz w:val="24"/>
          <w:szCs w:val="24"/>
          <w:highlight w:val="none"/>
        </w:rPr>
        <w:t>广州公共资源交易中心网站</w:t>
      </w:r>
      <w:r>
        <w:rPr>
          <w:rFonts w:hint="eastAsia" w:ascii="宋体" w:eastAsia="宋体"/>
          <w:color w:val="auto"/>
          <w:sz w:val="24"/>
          <w:highlight w:val="none"/>
        </w:rPr>
        <w:t>凭密码进入提问区域将问题提交给招标人或招标代理人，提交问题时一律不得署名。</w:t>
      </w:r>
    </w:p>
    <w:p>
      <w:pPr>
        <w:spacing w:line="360" w:lineRule="auto"/>
        <w:ind w:firstLine="480" w:firstLineChars="200"/>
        <w:rPr>
          <w:rFonts w:ascii="宋体"/>
          <w:color w:val="auto"/>
          <w:sz w:val="24"/>
          <w:highlight w:val="none"/>
        </w:rPr>
      </w:pPr>
      <w:r>
        <w:rPr>
          <w:rFonts w:hint="eastAsia" w:ascii="宋体"/>
          <w:color w:val="auto"/>
          <w:sz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480" w:firstLineChars="200"/>
        <w:rPr>
          <w:rFonts w:ascii="宋体"/>
          <w:color w:val="auto"/>
          <w:sz w:val="24"/>
          <w:highlight w:val="none"/>
        </w:rPr>
      </w:pPr>
      <w:r>
        <w:rPr>
          <w:rFonts w:hint="eastAsia" w:ascii="宋体"/>
          <w:color w:val="auto"/>
          <w:sz w:val="24"/>
          <w:highlight w:val="none"/>
        </w:rPr>
        <w:t>2.2.2投标人应在投标截止时间前15日停止质疑。招标人应在投标截止时间7日前解答投标人对招标文件提出的疑问，形成答疑纪要，在交易中心网站“招标答疑”专区发布。</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szCs w:val="24"/>
          <w:highlight w:val="none"/>
        </w:rPr>
        <w:t>2.2.3</w:t>
      </w:r>
      <w:r>
        <w:rPr>
          <w:rFonts w:hint="eastAsia" w:ascii="宋体" w:eastAsia="宋体"/>
          <w:color w:val="auto"/>
          <w:sz w:val="24"/>
          <w:highlight w:val="none"/>
        </w:rPr>
        <w:t>招标答疑纪要一经在广州公共资源交易中心网站发布，视作已发放给所有投标人。</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2.2.4招标答疑纪要为招标文件的一部分。</w:t>
      </w:r>
      <w:r>
        <w:rPr>
          <w:rFonts w:hint="eastAsia" w:ascii="宋体" w:eastAsia="宋体"/>
          <w:color w:val="auto"/>
          <w:sz w:val="24"/>
          <w:szCs w:val="24"/>
          <w:highlight w:val="none"/>
        </w:rPr>
        <w:t>投标人可在广州公共资源交易中心网站浏览、下载招标答疑纪要。</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2.2.5若招标答疑纪要与招标文件有矛盾时，以</w:t>
      </w:r>
      <w:r>
        <w:rPr>
          <w:rFonts w:hint="eastAsia" w:ascii="宋体" w:eastAsia="宋体"/>
          <w:color w:val="auto"/>
          <w:sz w:val="24"/>
          <w:szCs w:val="24"/>
          <w:highlight w:val="none"/>
        </w:rPr>
        <w:t>广州公共资源交易中心网站</w:t>
      </w:r>
      <w:r>
        <w:rPr>
          <w:rFonts w:hint="eastAsia" w:ascii="宋体" w:eastAsia="宋体"/>
          <w:color w:val="auto"/>
          <w:sz w:val="24"/>
          <w:highlight w:val="none"/>
        </w:rPr>
        <w:t>最后发布的答疑纪要为准。</w:t>
      </w:r>
    </w:p>
    <w:p>
      <w:pPr>
        <w:tabs>
          <w:tab w:val="left" w:pos="105"/>
        </w:tabs>
        <w:spacing w:line="360" w:lineRule="auto"/>
        <w:ind w:firstLine="482" w:firstLineChars="200"/>
        <w:rPr>
          <w:rFonts w:ascii="宋体"/>
          <w:b/>
          <w:color w:val="auto"/>
          <w:sz w:val="24"/>
          <w:highlight w:val="none"/>
        </w:rPr>
      </w:pPr>
      <w:r>
        <w:rPr>
          <w:rFonts w:hint="eastAsia" w:ascii="宋体"/>
          <w:b/>
          <w:color w:val="auto"/>
          <w:sz w:val="24"/>
          <w:highlight w:val="none"/>
        </w:rPr>
        <w:t>2.3</w:t>
      </w:r>
      <w:r>
        <w:rPr>
          <w:rFonts w:ascii="宋体"/>
          <w:b/>
          <w:color w:val="auto"/>
          <w:sz w:val="24"/>
          <w:szCs w:val="24"/>
          <w:highlight w:val="none"/>
        </w:rPr>
        <w:t>招标文件的</w:t>
      </w:r>
      <w:r>
        <w:rPr>
          <w:rFonts w:hint="eastAsia" w:ascii="宋体"/>
          <w:b/>
          <w:color w:val="auto"/>
          <w:sz w:val="24"/>
          <w:szCs w:val="24"/>
          <w:highlight w:val="none"/>
        </w:rPr>
        <w:t>澄清与</w:t>
      </w:r>
      <w:r>
        <w:rPr>
          <w:rFonts w:ascii="宋体"/>
          <w:b/>
          <w:color w:val="auto"/>
          <w:sz w:val="24"/>
          <w:szCs w:val="24"/>
          <w:highlight w:val="none"/>
        </w:rPr>
        <w:t>修改</w:t>
      </w:r>
    </w:p>
    <w:p>
      <w:pPr>
        <w:spacing w:line="360" w:lineRule="auto"/>
        <w:ind w:firstLine="480" w:firstLineChars="200"/>
        <w:rPr>
          <w:rFonts w:ascii="宋体"/>
          <w:bCs/>
          <w:color w:val="auto"/>
          <w:sz w:val="24"/>
          <w:highlight w:val="none"/>
        </w:rPr>
      </w:pPr>
      <w:r>
        <w:rPr>
          <w:rFonts w:hint="eastAsia" w:ascii="宋体"/>
          <w:bCs/>
          <w:color w:val="auto"/>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bCs/>
          <w:color w:val="auto"/>
          <w:sz w:val="24"/>
          <w:highlight w:val="none"/>
        </w:rPr>
      </w:pPr>
      <w:r>
        <w:rPr>
          <w:rFonts w:hint="eastAsia" w:ascii="宋体"/>
          <w:bCs/>
          <w:color w:val="auto"/>
          <w:sz w:val="24"/>
          <w:highlight w:val="none"/>
        </w:rPr>
        <w:t>2.3.2投标人应及时通过广州公共资源交易中心网站浏览、下载招标文件修改。</w:t>
      </w:r>
    </w:p>
    <w:p>
      <w:pPr>
        <w:pStyle w:val="40"/>
        <w:spacing w:before="50" w:after="50" w:line="360" w:lineRule="auto"/>
        <w:ind w:firstLine="480" w:firstLineChars="200"/>
        <w:rPr>
          <w:rFonts w:ascii="宋体" w:eastAsia="宋体"/>
          <w:color w:val="auto"/>
          <w:sz w:val="24"/>
          <w:highlight w:val="none"/>
        </w:rPr>
      </w:pPr>
      <w:r>
        <w:rPr>
          <w:rFonts w:hint="eastAsia" w:ascii="宋体" w:eastAsia="宋体"/>
          <w:color w:val="auto"/>
          <w:sz w:val="24"/>
          <w:highlight w:val="none"/>
        </w:rPr>
        <w:t>2.3.3招标文件的澄清或修改在广州公共资源交易中心网站发布。招标文件的澄清或修改一经在广州公共资源交易中心网站发布，视作已发放给所有投标人。</w:t>
      </w:r>
    </w:p>
    <w:p>
      <w:pPr>
        <w:pStyle w:val="40"/>
        <w:spacing w:before="50" w:after="50" w:line="360" w:lineRule="auto"/>
        <w:ind w:firstLine="480" w:firstLineChars="200"/>
        <w:rPr>
          <w:rFonts w:ascii="宋体" w:eastAsia="宋体"/>
          <w:color w:val="auto"/>
          <w:sz w:val="24"/>
          <w:highlight w:val="none"/>
        </w:rPr>
      </w:pPr>
      <w:r>
        <w:rPr>
          <w:rFonts w:hint="eastAsia" w:ascii="宋体" w:eastAsia="宋体"/>
          <w:color w:val="auto"/>
          <w:sz w:val="24"/>
          <w:highlight w:val="none"/>
        </w:rPr>
        <w:t>2.3.4招标文件的澄清、修改作为招标文件的组成部分，具有约束作用。</w:t>
      </w:r>
    </w:p>
    <w:p>
      <w:pPr>
        <w:spacing w:line="360" w:lineRule="auto"/>
        <w:ind w:firstLine="480" w:firstLineChars="200"/>
        <w:rPr>
          <w:rFonts w:ascii="宋体"/>
          <w:bCs/>
          <w:color w:val="auto"/>
          <w:sz w:val="24"/>
          <w:highlight w:val="none"/>
        </w:rPr>
      </w:pPr>
      <w:r>
        <w:rPr>
          <w:rFonts w:hint="eastAsia" w:ascii="宋体"/>
          <w:color w:val="auto"/>
          <w:sz w:val="24"/>
          <w:highlight w:val="none"/>
        </w:rPr>
        <w:t>2.3.5招标文件的澄清、修改均以广州公共资源交易中心网站</w:t>
      </w:r>
      <w:r>
        <w:rPr>
          <w:rFonts w:hint="eastAsia" w:ascii="宋体"/>
          <w:color w:val="auto"/>
          <w:sz w:val="24"/>
          <w:szCs w:val="24"/>
          <w:highlight w:val="none"/>
        </w:rPr>
        <w:t>发布</w:t>
      </w:r>
      <w:r>
        <w:rPr>
          <w:rFonts w:hint="eastAsia" w:ascii="宋体"/>
          <w:color w:val="auto"/>
          <w:sz w:val="24"/>
          <w:highlight w:val="none"/>
        </w:rPr>
        <w:t>的内容为准。当招标文件的澄清、修改在同一内容的表述不一致时，以广州公共资源交易中心网站最后发布的内容为准。</w:t>
      </w:r>
    </w:p>
    <w:p>
      <w:pPr>
        <w:jc w:val="center"/>
        <w:outlineLvl w:val="3"/>
        <w:rPr>
          <w:rFonts w:ascii="宋体"/>
          <w:b/>
          <w:color w:val="auto"/>
          <w:sz w:val="30"/>
          <w:szCs w:val="30"/>
          <w:highlight w:val="none"/>
        </w:rPr>
      </w:pPr>
      <w:bookmarkStart w:id="88" w:name="_Toc101777614"/>
      <w:bookmarkStart w:id="89" w:name="_Toc262229165"/>
      <w:r>
        <w:rPr>
          <w:rFonts w:hint="eastAsia" w:ascii="宋体"/>
          <w:b/>
          <w:color w:val="auto"/>
          <w:sz w:val="30"/>
          <w:szCs w:val="30"/>
          <w:highlight w:val="none"/>
        </w:rPr>
        <w:t>（三）投标文件的编制</w:t>
      </w:r>
      <w:bookmarkEnd w:id="88"/>
      <w:bookmarkEnd w:id="89"/>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3.1 投标文件的组成</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3.1.1投标文件应包括下列内容：</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（1）投标函及投标函附录；</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（2）法定代表人身份证明或附有法定代表人身份证明的授权委托书；</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（3）联合体协议书（非联合体不提交）；</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（4）投标保证金（投标保函原件单独提交，投标文件中为原件复印件）；</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（5）已标价工程量清单（采用综合评估法三的，不用提交）；</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 xml:space="preserve">（6）施工组织设计（不要求技术标的可不编制，提交施工组织设计要点）； </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（7）项目管理机构；</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（8）资格审查资料；</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（9）其他应提交的材料。</w:t>
      </w:r>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3.2 投标报价</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3.2.1 投标人应按第五章“工程量清单”的要求填写相应表格。（此条不适用于综合评估法三）</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3.2.3投标人的投标报价不得超过最高投标限价，最高投标限价见投标人须知前附表。</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3.3 投标有效期</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3.3.1 除投标人须知前附表另有规定外，投标有效期为60天。</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3.3.2在投标有效期内，投标人撤销或修改其投标文件的，应承担招标文件和法律规定的责任。</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3.4 投标保证金</w:t>
      </w:r>
    </w:p>
    <w:p>
      <w:pPr>
        <w:pStyle w:val="40"/>
        <w:spacing w:after="0" w:line="360" w:lineRule="auto"/>
        <w:ind w:firstLine="480" w:firstLineChars="200"/>
        <w:rPr>
          <w:rFonts w:ascii="宋体" w:eastAsia="宋体"/>
          <w:b/>
          <w:bCs/>
          <w:color w:val="auto"/>
          <w:sz w:val="24"/>
          <w:highlight w:val="none"/>
        </w:rPr>
      </w:pPr>
      <w:r>
        <w:rPr>
          <w:rFonts w:hint="eastAsia" w:ascii="宋体" w:eastAsia="宋体"/>
          <w:color w:val="auto"/>
          <w:sz w:val="24"/>
          <w:highlight w:val="none"/>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3.4.2投标保证金委托广州公共资源交易中心代收的形式，收取办法如下：</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（1）招标人委托广州公共资源交易中心具体实施保证金的收取和退还工作</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（2）所有投标保证金必须由投标单位的银行基本账户转出。</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（3）投标保证金的缴纳情况以广州公共资源交易中心数据库记录的信息为准。</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（4）缴费的操作详见广州公共资源交易中心公布的《投标人基本账户保证金操作指引》。</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3.4.2招标人收取的，由招标人在前附表中明确具体要求。</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3.4.3要求提交投标保证金的,投标人不按本章第3.4.1项要求提交投标保证金的，评标委员会将否决其投标。</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3.4.4 招标人与中标人签订合同后5个工作日内，向未中标的投标人和中标人退还投标保证金。</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 xml:space="preserve">3.4.5 有下列情形之一的，投标保证金将不予退还： </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（1）投标人在规定的投标有效期内撤销或修改其投标文件；</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（2）中标人在收到中标通知书后，无正当理由拒签合同协议书或未按招标文件规定提交履约担保。</w:t>
      </w:r>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3.5 资格审查资料</w:t>
      </w:r>
    </w:p>
    <w:p>
      <w:pPr>
        <w:pStyle w:val="40"/>
        <w:spacing w:after="0" w:line="360" w:lineRule="auto"/>
        <w:ind w:firstLine="480" w:firstLineChars="200"/>
        <w:rPr>
          <w:rFonts w:ascii="宋体" w:eastAsia="宋体"/>
          <w:color w:val="auto"/>
          <w:highlight w:val="none"/>
        </w:rPr>
      </w:pPr>
      <w:r>
        <w:rPr>
          <w:rFonts w:hint="eastAsia" w:ascii="宋体" w:eastAsia="宋体"/>
          <w:color w:val="auto"/>
          <w:sz w:val="24"/>
          <w:highlight w:val="none"/>
        </w:rPr>
        <w:t>3.5.1 “投标人基本情况表”应附投标人营业执照副本、资质证书副本和安全生产许可证等材料的复印件。</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3.5.2 项目负责人建造师证和安全培训考核合格证（B证）复印件。</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3.5.3专职安全员安全培训考核合格证（C证）复印件。</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3.5.4 “近年完成的类似项目情况表”应附中标通知书、合同协议书以及合同工程完工证书（或工程竣工证书副本）的复印件。每张表格只填写一个项目，并标明序号。</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3.5.6 投标人须知前附表规定接受联合体投标的，本章第3.5.1项至第3.5.5项规定的表格和资料应包括联合体各方相关情况。</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3.5.7资审要求的其他材料。</w:t>
      </w:r>
    </w:p>
    <w:p>
      <w:pPr>
        <w:pStyle w:val="40"/>
        <w:spacing w:after="0" w:line="360" w:lineRule="auto"/>
        <w:ind w:firstLineChars="200"/>
        <w:rPr>
          <w:rFonts w:ascii="宋体" w:eastAsia="宋体"/>
          <w:color w:val="auto"/>
          <w:sz w:val="21"/>
          <w:szCs w:val="21"/>
          <w:highlight w:val="none"/>
        </w:rPr>
      </w:pPr>
      <w:r>
        <w:rPr>
          <w:rFonts w:hint="eastAsia" w:ascii="宋体" w:eastAsia="宋体"/>
          <w:color w:val="auto"/>
          <w:sz w:val="21"/>
          <w:szCs w:val="21"/>
          <w:highlight w:val="none"/>
        </w:rPr>
        <w:t>（说明：3.5.</w:t>
      </w:r>
      <w:r>
        <w:rPr>
          <w:rFonts w:hint="eastAsia" w:ascii="宋体" w:eastAsia="宋体"/>
          <w:color w:val="auto"/>
          <w:szCs w:val="21"/>
          <w:highlight w:val="none"/>
        </w:rPr>
        <w:t>4</w:t>
      </w:r>
      <w:r>
        <w:rPr>
          <w:rFonts w:hint="eastAsia" w:ascii="宋体" w:eastAsia="宋体"/>
          <w:color w:val="auto"/>
          <w:sz w:val="21"/>
          <w:szCs w:val="21"/>
          <w:highlight w:val="none"/>
        </w:rPr>
        <w:t>~3.5.</w:t>
      </w:r>
      <w:r>
        <w:rPr>
          <w:rFonts w:hint="eastAsia" w:ascii="宋体" w:eastAsia="宋体"/>
          <w:color w:val="auto"/>
          <w:szCs w:val="21"/>
          <w:highlight w:val="none"/>
        </w:rPr>
        <w:t>6</w:t>
      </w:r>
      <w:r>
        <w:rPr>
          <w:rFonts w:hint="eastAsia" w:ascii="宋体" w:eastAsia="宋体"/>
          <w:color w:val="auto"/>
          <w:sz w:val="21"/>
          <w:szCs w:val="21"/>
          <w:highlight w:val="none"/>
        </w:rPr>
        <w:t>为可选项。若资格条件里没有业绩等方面的要求，可不做要求）</w:t>
      </w:r>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3.6 投标文件的编制</w:t>
      </w:r>
    </w:p>
    <w:p>
      <w:pPr>
        <w:pStyle w:val="40"/>
        <w:spacing w:after="0" w:line="360" w:lineRule="auto"/>
        <w:ind w:firstLine="480" w:firstLineChars="200"/>
        <w:rPr>
          <w:rFonts w:ascii="宋体" w:eastAsia="宋体"/>
          <w:color w:val="auto"/>
          <w:sz w:val="24"/>
          <w:szCs w:val="24"/>
          <w:highlight w:val="none"/>
        </w:rPr>
      </w:pPr>
      <w:r>
        <w:rPr>
          <w:rFonts w:hint="eastAsia" w:ascii="宋体" w:eastAsia="宋体"/>
          <w:color w:val="auto"/>
          <w:sz w:val="24"/>
          <w:szCs w:val="24"/>
          <w:highlight w:val="none"/>
        </w:rPr>
        <w:t>3.6.1投标人应使用符合《广东省工程造价文件数据交换标准（电子评标部分） 交易中心实施</w:t>
      </w:r>
      <w:r>
        <w:rPr>
          <w:rFonts w:hint="eastAsia" w:ascii="宋体" w:eastAsia="宋体"/>
          <w:color w:val="auto"/>
          <w:sz w:val="24"/>
          <w:highlight w:val="none"/>
        </w:rPr>
        <w:t>细则</w:t>
      </w:r>
      <w:r>
        <w:rPr>
          <w:rFonts w:hint="eastAsia" w:ascii="宋体" w:eastAsia="宋体"/>
          <w:color w:val="auto"/>
          <w:sz w:val="24"/>
          <w:szCs w:val="24"/>
          <w:highlight w:val="none"/>
        </w:rPr>
        <w:t>》的计价软件制作工程量清单报价表和单价分析表（如本招标文件要求单价分析表）。</w:t>
      </w:r>
    </w:p>
    <w:p>
      <w:pPr>
        <w:pStyle w:val="40"/>
        <w:spacing w:after="0" w:line="360" w:lineRule="auto"/>
        <w:ind w:firstLine="480" w:firstLineChars="200"/>
        <w:rPr>
          <w:rFonts w:ascii="宋体" w:eastAsia="宋体"/>
          <w:color w:val="auto"/>
          <w:sz w:val="24"/>
          <w:highlight w:val="none"/>
        </w:rPr>
      </w:pPr>
      <w:r>
        <w:rPr>
          <w:rFonts w:hint="eastAsia" w:ascii="宋体"/>
          <w:color w:val="auto"/>
          <w:sz w:val="24"/>
          <w:szCs w:val="24"/>
          <w:highlight w:val="none"/>
        </w:rPr>
        <w:t>3.6.2投标人应使用广州市水务工程（给排水专业）的投标文件管理软件进行投标文件的合成、</w:t>
      </w:r>
      <w:r>
        <w:rPr>
          <w:rFonts w:hint="eastAsia" w:ascii="宋体"/>
          <w:strike/>
          <w:color w:val="auto"/>
          <w:sz w:val="24"/>
          <w:szCs w:val="24"/>
          <w:highlight w:val="none"/>
        </w:rPr>
        <w:t>电子签名</w:t>
      </w:r>
      <w:r>
        <w:rPr>
          <w:rFonts w:hint="eastAsia" w:ascii="宋体" w:cs="仿宋_GB2312"/>
          <w:strike/>
          <w:color w:val="auto"/>
          <w:sz w:val="24"/>
          <w:szCs w:val="24"/>
          <w:highlight w:val="none"/>
        </w:rPr>
        <w:t>、</w:t>
      </w:r>
      <w:r>
        <w:rPr>
          <w:rFonts w:hint="eastAsia" w:ascii="宋体" w:cs="仿宋_GB2312"/>
          <w:color w:val="auto"/>
          <w:sz w:val="24"/>
          <w:szCs w:val="24"/>
          <w:highlight w:val="none"/>
        </w:rPr>
        <w:t>电子签章及加密打包工作，所有电子投标文件不</w:t>
      </w:r>
      <w:r>
        <w:rPr>
          <w:rFonts w:hint="eastAsia" w:ascii="宋体" w:eastAsia="宋体"/>
          <w:color w:val="auto"/>
          <w:sz w:val="24"/>
          <w:highlight w:val="none"/>
        </w:rPr>
        <w:t>能进行压缩处理。电子投标文件统一采用网络上传的形式，投标人需登录交易中心网站投标人服务区在投标截止时间前完整上传至交易中心的电子评标系统。</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3.6.3投标人应使用依法设立的电子认证服务提供者签发的电子签章认证证书对电子投标文件进行电子签章。该电子签章与盖单位章具有同等的法律效力。</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3.6.4除工程量清单报价表相关的内容、《投标函附录》外，投标文件的其他内容均以电子文件（纸质原件的扫描件）编制，其格式要求详见第八章投标文件格式说明。</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3.6.5投标文件应按上述的编排要求编制。如因不按上述编排要求编制而所引起系统无法检索、读取相关信息时，其后果将由投标人自行承担。</w:t>
      </w:r>
    </w:p>
    <w:p>
      <w:pPr>
        <w:pStyle w:val="40"/>
        <w:spacing w:after="0" w:line="360" w:lineRule="auto"/>
        <w:ind w:firstLine="480" w:firstLineChars="200"/>
        <w:rPr>
          <w:rFonts w:ascii="宋体" w:eastAsia="宋体"/>
          <w:color w:val="auto"/>
          <w:sz w:val="24"/>
          <w:highlight w:val="none"/>
        </w:rPr>
      </w:pPr>
      <w:r>
        <w:rPr>
          <w:rFonts w:hint="eastAsia" w:ascii="宋体" w:eastAsia="宋体"/>
          <w:color w:val="auto"/>
          <w:sz w:val="24"/>
          <w:highlight w:val="none"/>
        </w:rPr>
        <w:t>（给排水项目投标文件按交易中心的投标文件制作工具编制）</w:t>
      </w:r>
    </w:p>
    <w:p>
      <w:pPr>
        <w:pStyle w:val="40"/>
        <w:spacing w:after="0" w:line="360" w:lineRule="auto"/>
        <w:ind w:firstLine="482" w:firstLineChars="200"/>
        <w:rPr>
          <w:rFonts w:ascii="宋体" w:eastAsia="宋体"/>
          <w:b/>
          <w:bCs/>
          <w:color w:val="auto"/>
          <w:sz w:val="24"/>
          <w:highlight w:val="none"/>
        </w:rPr>
      </w:pPr>
    </w:p>
    <w:p>
      <w:pPr>
        <w:jc w:val="center"/>
        <w:outlineLvl w:val="3"/>
        <w:rPr>
          <w:rFonts w:ascii="宋体"/>
          <w:b/>
          <w:color w:val="auto"/>
          <w:sz w:val="30"/>
          <w:szCs w:val="30"/>
          <w:highlight w:val="none"/>
        </w:rPr>
      </w:pPr>
      <w:bookmarkStart w:id="90" w:name="_Toc262229166"/>
      <w:bookmarkStart w:id="91" w:name="_Toc101777615"/>
      <w:r>
        <w:rPr>
          <w:rFonts w:hint="eastAsia" w:ascii="宋体"/>
          <w:b/>
          <w:color w:val="auto"/>
          <w:sz w:val="30"/>
          <w:szCs w:val="30"/>
          <w:highlight w:val="none"/>
        </w:rPr>
        <w:t>（四）投标文件的递交</w:t>
      </w:r>
      <w:bookmarkEnd w:id="90"/>
      <w:bookmarkEnd w:id="91"/>
    </w:p>
    <w:p>
      <w:pPr>
        <w:pStyle w:val="40"/>
        <w:spacing w:after="0" w:line="360" w:lineRule="auto"/>
        <w:ind w:firstLine="482" w:firstLineChars="200"/>
        <w:rPr>
          <w:rFonts w:ascii="宋体" w:eastAsia="宋体"/>
          <w:b/>
          <w:bCs/>
          <w:color w:val="auto"/>
          <w:sz w:val="24"/>
          <w:highlight w:val="none"/>
        </w:rPr>
      </w:pPr>
      <w:r>
        <w:rPr>
          <w:rFonts w:hint="eastAsia" w:ascii="宋体" w:eastAsia="宋体"/>
          <w:b/>
          <w:bCs/>
          <w:color w:val="auto"/>
          <w:sz w:val="24"/>
          <w:highlight w:val="none"/>
        </w:rPr>
        <w:t xml:space="preserve">4.1 </w:t>
      </w:r>
      <w:r>
        <w:rPr>
          <w:rFonts w:hint="eastAsia" w:ascii="宋体" w:eastAsia="宋体"/>
          <w:b/>
          <w:color w:val="auto"/>
          <w:sz w:val="24"/>
          <w:szCs w:val="24"/>
          <w:highlight w:val="none"/>
        </w:rPr>
        <w:t>投标文件的包封、密封和标志</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4.1.1投标文件的密封要求：投标人应使用</w:t>
      </w:r>
      <w:r>
        <w:rPr>
          <w:rFonts w:hint="eastAsia" w:ascii="宋体"/>
          <w:color w:val="auto"/>
          <w:sz w:val="24"/>
          <w:szCs w:val="24"/>
          <w:highlight w:val="none"/>
        </w:rPr>
        <w:t>广州市水务工程（给排水专业）的投标文件管理软件</w:t>
      </w:r>
      <w:r>
        <w:rPr>
          <w:rFonts w:hint="eastAsia" w:ascii="宋体"/>
          <w:color w:val="auto"/>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color w:val="auto"/>
          <w:sz w:val="24"/>
          <w:szCs w:val="24"/>
          <w:highlight w:val="none"/>
        </w:rPr>
      </w:pPr>
      <w:r>
        <w:rPr>
          <w:rFonts w:hint="eastAsia" w:ascii="宋体"/>
          <w:color w:val="auto"/>
          <w:sz w:val="24"/>
          <w:szCs w:val="21"/>
          <w:highlight w:val="none"/>
        </w:rPr>
        <w:t>4.1.2投标文件的电子签章要求： 电子投标文件必须包含完整的投标人电子签章</w:t>
      </w:r>
    </w:p>
    <w:p>
      <w:pPr>
        <w:spacing w:line="360" w:lineRule="auto"/>
        <w:ind w:firstLine="482" w:firstLineChars="200"/>
        <w:rPr>
          <w:rFonts w:ascii="宋体"/>
          <w:b/>
          <w:bCs/>
          <w:color w:val="auto"/>
          <w:sz w:val="24"/>
          <w:highlight w:val="none"/>
        </w:rPr>
      </w:pPr>
      <w:r>
        <w:rPr>
          <w:rFonts w:hint="eastAsia" w:ascii="宋体"/>
          <w:b/>
          <w:bCs/>
          <w:color w:val="auto"/>
          <w:sz w:val="24"/>
          <w:highlight w:val="none"/>
        </w:rPr>
        <w:t>4.2投标文件的递交和接收</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4.2.1投标人代表应按投标须知前附表所规定的时间和地点向招标人递交投标文件。</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4.2.2投标人应凭以下资料递交投标文件：</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（1）使用制作该投标文件的投标人电子签章认证证书；</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（2）投标人应使用制作该投标文件的电子签章认证证书递交投标文件。</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4.2</w:t>
      </w:r>
      <w:r>
        <w:rPr>
          <w:rFonts w:hint="eastAsia" w:ascii="宋体"/>
          <w:color w:val="auto"/>
          <w:sz w:val="24"/>
          <w:highlight w:val="none"/>
        </w:rPr>
        <w:t>.3</w:t>
      </w:r>
      <w:r>
        <w:rPr>
          <w:rFonts w:hint="eastAsia" w:ascii="宋体"/>
          <w:color w:val="auto"/>
          <w:sz w:val="24"/>
          <w:szCs w:val="24"/>
          <w:highlight w:val="none"/>
        </w:rPr>
        <w:t>若出现以下情况，招标人将拒绝接收投标文件：</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（2）投标文件未按招标文件要求进行电子签章，并进行加密的；</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（3）电子投标文件中投标人电子签章不完整的；</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（4）电子投标文件损坏或格式不正确的；</w:t>
      </w:r>
    </w:p>
    <w:p>
      <w:pPr>
        <w:spacing w:line="360" w:lineRule="auto"/>
        <w:ind w:firstLine="523" w:firstLineChars="218"/>
        <w:rPr>
          <w:rFonts w:ascii="宋体"/>
          <w:color w:val="auto"/>
          <w:sz w:val="24"/>
          <w:szCs w:val="24"/>
          <w:highlight w:val="none"/>
        </w:rPr>
      </w:pPr>
      <w:r>
        <w:rPr>
          <w:rFonts w:hint="eastAsia" w:ascii="宋体"/>
          <w:color w:val="auto"/>
          <w:sz w:val="24"/>
          <w:szCs w:val="24"/>
          <w:highlight w:val="none"/>
        </w:rPr>
        <w:t>（5）电子投标文件未加密的。</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4.2</w:t>
      </w:r>
      <w:r>
        <w:rPr>
          <w:rFonts w:hint="eastAsia" w:ascii="宋体"/>
          <w:color w:val="auto"/>
          <w:sz w:val="24"/>
          <w:highlight w:val="none"/>
        </w:rPr>
        <w:t xml:space="preserve">.4 </w:t>
      </w:r>
      <w:r>
        <w:rPr>
          <w:rFonts w:hint="eastAsia" w:ascii="宋体"/>
          <w:color w:val="auto"/>
          <w:sz w:val="24"/>
          <w:szCs w:val="24"/>
          <w:highlight w:val="none"/>
        </w:rPr>
        <w:t>投标截止前，招标人拒绝接收符合条件的投标文件，投标人可向招标监督机构投诉。</w:t>
      </w:r>
    </w:p>
    <w:p>
      <w:pPr>
        <w:spacing w:line="360" w:lineRule="auto"/>
        <w:ind w:firstLine="480" w:firstLineChars="200"/>
        <w:rPr>
          <w:rFonts w:ascii="宋体"/>
          <w:b/>
          <w:bCs/>
          <w:color w:val="auto"/>
          <w:sz w:val="24"/>
          <w:highlight w:val="none"/>
        </w:rPr>
      </w:pPr>
      <w:r>
        <w:rPr>
          <w:rFonts w:hint="eastAsia" w:ascii="宋体"/>
          <w:color w:val="auto"/>
          <w:sz w:val="24"/>
          <w:szCs w:val="24"/>
          <w:highlight w:val="none"/>
        </w:rPr>
        <w:t>4.3</w:t>
      </w:r>
      <w:r>
        <w:rPr>
          <w:rFonts w:hint="eastAsia" w:ascii="宋体"/>
          <w:b/>
          <w:bCs/>
          <w:color w:val="auto"/>
          <w:sz w:val="24"/>
          <w:highlight w:val="none"/>
        </w:rPr>
        <w:t>投标文件递交的截止时间</w:t>
      </w:r>
    </w:p>
    <w:p>
      <w:pPr>
        <w:spacing w:line="360" w:lineRule="auto"/>
        <w:ind w:firstLine="480" w:firstLineChars="200"/>
        <w:rPr>
          <w:rFonts w:ascii="宋体"/>
          <w:b/>
          <w:bCs/>
          <w:color w:val="auto"/>
          <w:sz w:val="24"/>
          <w:highlight w:val="none"/>
        </w:rPr>
      </w:pPr>
      <w:r>
        <w:rPr>
          <w:rFonts w:hint="eastAsia" w:ascii="宋体"/>
          <w:color w:val="auto"/>
          <w:sz w:val="24"/>
          <w:szCs w:val="24"/>
          <w:highlight w:val="none"/>
        </w:rPr>
        <w:t>4.3</w:t>
      </w:r>
      <w:r>
        <w:rPr>
          <w:rFonts w:hint="eastAsia" w:ascii="宋体"/>
          <w:color w:val="auto"/>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color w:val="auto"/>
          <w:sz w:val="24"/>
          <w:highlight w:val="none"/>
        </w:rPr>
      </w:pPr>
      <w:r>
        <w:rPr>
          <w:rFonts w:hint="eastAsia" w:ascii="宋体"/>
          <w:color w:val="auto"/>
          <w:sz w:val="24"/>
          <w:szCs w:val="24"/>
          <w:highlight w:val="none"/>
        </w:rPr>
        <w:t>4.3</w:t>
      </w:r>
      <w:r>
        <w:rPr>
          <w:rFonts w:hint="eastAsia" w:ascii="宋体"/>
          <w:color w:val="auto"/>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rPr>
          <w:rFonts w:ascii="宋体"/>
          <w:color w:val="auto"/>
          <w:sz w:val="24"/>
          <w:highlight w:val="none"/>
        </w:rPr>
      </w:pPr>
      <w:r>
        <w:rPr>
          <w:rFonts w:hint="eastAsia" w:ascii="宋体"/>
          <w:color w:val="auto"/>
          <w:sz w:val="24"/>
          <w:szCs w:val="24"/>
          <w:highlight w:val="none"/>
        </w:rPr>
        <w:t xml:space="preserve">    4.3</w:t>
      </w:r>
      <w:r>
        <w:rPr>
          <w:rFonts w:hint="eastAsia" w:ascii="宋体"/>
          <w:color w:val="auto"/>
          <w:sz w:val="24"/>
          <w:highlight w:val="none"/>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b/>
          <w:bCs/>
          <w:color w:val="auto"/>
          <w:sz w:val="24"/>
          <w:highlight w:val="none"/>
        </w:rPr>
      </w:pPr>
      <w:r>
        <w:rPr>
          <w:rFonts w:hint="eastAsia" w:ascii="宋体"/>
          <w:color w:val="auto"/>
          <w:sz w:val="24"/>
          <w:szCs w:val="24"/>
          <w:highlight w:val="none"/>
        </w:rPr>
        <w:t>4.4</w:t>
      </w:r>
      <w:r>
        <w:rPr>
          <w:rFonts w:hint="eastAsia" w:ascii="宋体"/>
          <w:b/>
          <w:bCs/>
          <w:color w:val="auto"/>
          <w:sz w:val="24"/>
          <w:highlight w:val="none"/>
        </w:rPr>
        <w:t xml:space="preserve"> 迟交的投标文件</w:t>
      </w:r>
    </w:p>
    <w:p>
      <w:pPr>
        <w:spacing w:line="360" w:lineRule="auto"/>
        <w:ind w:firstLine="480" w:firstLineChars="200"/>
        <w:rPr>
          <w:rFonts w:ascii="宋体"/>
          <w:color w:val="auto"/>
          <w:sz w:val="24"/>
          <w:highlight w:val="none"/>
        </w:rPr>
      </w:pPr>
      <w:r>
        <w:rPr>
          <w:rFonts w:hint="eastAsia" w:ascii="宋体"/>
          <w:color w:val="auto"/>
          <w:sz w:val="24"/>
          <w:szCs w:val="24"/>
          <w:highlight w:val="none"/>
        </w:rPr>
        <w:t>4.4</w:t>
      </w:r>
      <w:r>
        <w:rPr>
          <w:rFonts w:hint="eastAsia" w:ascii="宋体"/>
          <w:color w:val="auto"/>
          <w:sz w:val="24"/>
          <w:highlight w:val="none"/>
        </w:rPr>
        <w:t>.1投标截止时间到达后，电子评标系统将不允许投标人上传投标文件。</w:t>
      </w:r>
    </w:p>
    <w:p>
      <w:pPr>
        <w:spacing w:line="360" w:lineRule="auto"/>
        <w:ind w:firstLine="480" w:firstLineChars="200"/>
        <w:rPr>
          <w:rFonts w:ascii="宋体"/>
          <w:b/>
          <w:bCs/>
          <w:color w:val="auto"/>
          <w:sz w:val="24"/>
          <w:highlight w:val="none"/>
        </w:rPr>
      </w:pPr>
      <w:r>
        <w:rPr>
          <w:rFonts w:hint="eastAsia" w:ascii="宋体"/>
          <w:color w:val="auto"/>
          <w:sz w:val="24"/>
          <w:szCs w:val="24"/>
          <w:highlight w:val="none"/>
        </w:rPr>
        <w:t>4.5</w:t>
      </w:r>
      <w:r>
        <w:rPr>
          <w:rFonts w:hint="eastAsia" w:ascii="宋体"/>
          <w:b/>
          <w:bCs/>
          <w:color w:val="auto"/>
          <w:sz w:val="24"/>
          <w:highlight w:val="none"/>
        </w:rPr>
        <w:t xml:space="preserve"> 投标文件的补充、修改与撤回</w:t>
      </w:r>
    </w:p>
    <w:p>
      <w:pPr>
        <w:spacing w:line="360" w:lineRule="auto"/>
        <w:ind w:firstLine="480" w:firstLineChars="200"/>
        <w:rPr>
          <w:rFonts w:ascii="宋体"/>
          <w:color w:val="auto"/>
          <w:sz w:val="24"/>
          <w:highlight w:val="none"/>
        </w:rPr>
      </w:pPr>
      <w:r>
        <w:rPr>
          <w:rFonts w:hint="eastAsia" w:ascii="宋体"/>
          <w:color w:val="auto"/>
          <w:sz w:val="24"/>
          <w:szCs w:val="24"/>
          <w:highlight w:val="none"/>
        </w:rPr>
        <w:t>4.5</w:t>
      </w:r>
      <w:r>
        <w:rPr>
          <w:rFonts w:hint="eastAsia" w:ascii="宋体"/>
          <w:color w:val="auto"/>
          <w:sz w:val="24"/>
          <w:highlight w:val="none"/>
        </w:rPr>
        <w:t>.1 投标人在递交投标文件以后，在规定的投标截止时间之前，可以撤回或替换已递交的投标文件。</w:t>
      </w:r>
    </w:p>
    <w:p>
      <w:pPr>
        <w:spacing w:line="360" w:lineRule="auto"/>
        <w:ind w:firstLine="480" w:firstLineChars="200"/>
        <w:rPr>
          <w:rFonts w:ascii="宋体"/>
          <w:color w:val="auto"/>
          <w:sz w:val="24"/>
          <w:highlight w:val="none"/>
        </w:rPr>
      </w:pPr>
      <w:r>
        <w:rPr>
          <w:rFonts w:hint="eastAsia" w:ascii="宋体"/>
          <w:color w:val="auto"/>
          <w:sz w:val="24"/>
          <w:szCs w:val="24"/>
          <w:highlight w:val="none"/>
        </w:rPr>
        <w:t>4.5</w:t>
      </w:r>
      <w:r>
        <w:rPr>
          <w:rFonts w:hint="eastAsia" w:ascii="宋体"/>
          <w:color w:val="auto"/>
          <w:sz w:val="24"/>
          <w:highlight w:val="none"/>
        </w:rPr>
        <w:t>.3 在投标截止时间之后，投标人不得补充、修改和更换投标文件。</w:t>
      </w:r>
    </w:p>
    <w:p>
      <w:pPr>
        <w:snapToGrid w:val="0"/>
        <w:spacing w:line="360" w:lineRule="auto"/>
        <w:ind w:firstLine="480" w:firstLineChars="200"/>
        <w:rPr>
          <w:rFonts w:ascii="宋体"/>
          <w:color w:val="auto"/>
          <w:sz w:val="24"/>
          <w:highlight w:val="none"/>
        </w:rPr>
      </w:pPr>
      <w:r>
        <w:rPr>
          <w:rFonts w:hint="eastAsia" w:ascii="宋体"/>
          <w:color w:val="auto"/>
          <w:sz w:val="24"/>
          <w:szCs w:val="24"/>
          <w:highlight w:val="none"/>
        </w:rPr>
        <w:t>4.5</w:t>
      </w:r>
      <w:r>
        <w:rPr>
          <w:rFonts w:hint="eastAsia" w:ascii="宋体"/>
          <w:color w:val="auto"/>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b/>
          <w:color w:val="auto"/>
          <w:sz w:val="24"/>
          <w:highlight w:val="none"/>
        </w:rPr>
      </w:pPr>
      <w:r>
        <w:rPr>
          <w:rFonts w:hint="eastAsia" w:ascii="宋体"/>
          <w:color w:val="auto"/>
          <w:sz w:val="24"/>
          <w:szCs w:val="24"/>
          <w:highlight w:val="none"/>
        </w:rPr>
        <w:t>4.6</w:t>
      </w:r>
      <w:r>
        <w:rPr>
          <w:rFonts w:hint="eastAsia" w:ascii="宋体"/>
          <w:b/>
          <w:color w:val="auto"/>
          <w:sz w:val="24"/>
          <w:highlight w:val="none"/>
        </w:rPr>
        <w:t xml:space="preserve"> 投标信息录入</w:t>
      </w:r>
    </w:p>
    <w:p>
      <w:pPr>
        <w:spacing w:line="360" w:lineRule="auto"/>
        <w:ind w:firstLine="480" w:firstLineChars="200"/>
        <w:rPr>
          <w:rFonts w:ascii="宋体"/>
          <w:color w:val="auto"/>
          <w:sz w:val="24"/>
          <w:highlight w:val="none"/>
        </w:rPr>
      </w:pPr>
      <w:r>
        <w:rPr>
          <w:rFonts w:hint="eastAsia" w:ascii="宋体"/>
          <w:color w:val="auto"/>
          <w:sz w:val="24"/>
          <w:szCs w:val="24"/>
          <w:highlight w:val="none"/>
        </w:rPr>
        <w:t>4.6</w:t>
      </w:r>
      <w:r>
        <w:rPr>
          <w:rFonts w:hint="eastAsia" w:ascii="宋体"/>
          <w:color w:val="auto"/>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b/>
          <w:color w:val="auto"/>
          <w:sz w:val="24"/>
          <w:highlight w:val="none"/>
        </w:rPr>
      </w:pPr>
      <w:r>
        <w:rPr>
          <w:rFonts w:hint="eastAsia" w:ascii="宋体"/>
          <w:color w:val="auto"/>
          <w:sz w:val="24"/>
          <w:szCs w:val="24"/>
          <w:highlight w:val="none"/>
        </w:rPr>
        <w:t>4.7</w:t>
      </w:r>
      <w:r>
        <w:rPr>
          <w:rFonts w:hint="eastAsia" w:ascii="宋体"/>
          <w:b/>
          <w:color w:val="auto"/>
          <w:sz w:val="24"/>
          <w:highlight w:val="none"/>
        </w:rPr>
        <w:t xml:space="preserve"> 投标文件的解密</w:t>
      </w:r>
    </w:p>
    <w:p>
      <w:pPr>
        <w:tabs>
          <w:tab w:val="left" w:pos="105"/>
        </w:tabs>
        <w:spacing w:line="360" w:lineRule="auto"/>
        <w:ind w:firstLine="480" w:firstLineChars="200"/>
        <w:rPr>
          <w:rFonts w:ascii="宋体"/>
          <w:color w:val="auto"/>
          <w:sz w:val="24"/>
          <w:szCs w:val="24"/>
          <w:highlight w:val="none"/>
        </w:rPr>
      </w:pPr>
      <w:r>
        <w:rPr>
          <w:rFonts w:hint="eastAsia" w:ascii="宋体"/>
          <w:color w:val="auto"/>
          <w:sz w:val="24"/>
          <w:szCs w:val="24"/>
          <w:highlight w:val="none"/>
        </w:rPr>
        <w:t>4.7</w:t>
      </w:r>
      <w:r>
        <w:rPr>
          <w:rFonts w:hint="eastAsia" w:ascii="宋体" w:cs="仿宋_GB2312"/>
          <w:color w:val="auto"/>
          <w:sz w:val="24"/>
          <w:szCs w:val="24"/>
          <w:highlight w:val="none"/>
        </w:rPr>
        <w:t>.</w:t>
      </w:r>
      <w:r>
        <w:rPr>
          <w:rFonts w:ascii="宋体" w:cs="仿宋_GB2312"/>
          <w:color w:val="auto"/>
          <w:sz w:val="24"/>
          <w:szCs w:val="24"/>
          <w:highlight w:val="none"/>
        </w:rPr>
        <w:t>1</w:t>
      </w:r>
      <w:r>
        <w:rPr>
          <w:rFonts w:hint="eastAsia" w:ascii="宋体" w:cs="仿宋_GB2312"/>
          <w:color w:val="auto"/>
          <w:sz w:val="24"/>
          <w:szCs w:val="24"/>
          <w:highlight w:val="none"/>
        </w:rPr>
        <w:t>投标人须对在投标须知前附表规定的时间内完成电子投标文件解密。超过时间未解密的投标文件将作为放弃投标处理。</w:t>
      </w:r>
    </w:p>
    <w:p>
      <w:pPr>
        <w:jc w:val="center"/>
        <w:outlineLvl w:val="3"/>
        <w:rPr>
          <w:rFonts w:ascii="宋体"/>
          <w:b/>
          <w:color w:val="auto"/>
          <w:sz w:val="30"/>
          <w:szCs w:val="30"/>
          <w:highlight w:val="none"/>
        </w:rPr>
      </w:pPr>
      <w:r>
        <w:rPr>
          <w:rFonts w:hint="eastAsia" w:ascii="宋体"/>
          <w:b/>
          <w:color w:val="auto"/>
          <w:sz w:val="30"/>
          <w:szCs w:val="30"/>
          <w:highlight w:val="none"/>
        </w:rPr>
        <w:t>（五）开标</w:t>
      </w:r>
    </w:p>
    <w:p>
      <w:pPr>
        <w:spacing w:line="360" w:lineRule="auto"/>
        <w:ind w:firstLine="482" w:firstLineChars="200"/>
        <w:rPr>
          <w:rFonts w:ascii="宋体"/>
          <w:b/>
          <w:color w:val="auto"/>
          <w:sz w:val="24"/>
          <w:highlight w:val="none"/>
        </w:rPr>
      </w:pPr>
      <w:r>
        <w:rPr>
          <w:rFonts w:hint="eastAsia" w:ascii="宋体"/>
          <w:b/>
          <w:color w:val="auto"/>
          <w:sz w:val="24"/>
          <w:highlight w:val="none"/>
        </w:rPr>
        <w:t>5.1 开标时间和地点</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b/>
          <w:color w:val="auto"/>
          <w:sz w:val="24"/>
          <w:highlight w:val="none"/>
        </w:rPr>
      </w:pPr>
      <w:r>
        <w:rPr>
          <w:rFonts w:hint="eastAsia" w:ascii="宋体"/>
          <w:b/>
          <w:color w:val="auto"/>
          <w:sz w:val="24"/>
          <w:highlight w:val="none"/>
        </w:rPr>
        <w:t>5.2 开标程序</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5.2.2唱标前公开摇取评标基准价下浮率（下浮率取值范围在2%~5%，按0.5%设定级差）（</w:t>
      </w:r>
      <w:r>
        <w:rPr>
          <w:rFonts w:hint="eastAsia" w:ascii="宋体"/>
          <w:color w:val="auto"/>
          <w:sz w:val="24"/>
          <w:szCs w:val="24"/>
          <w:highlight w:val="none"/>
        </w:rPr>
        <w:t>经评审的最低投标价法</w:t>
      </w:r>
      <w:r>
        <w:rPr>
          <w:rFonts w:hint="eastAsia" w:ascii="宋体" w:cs="仿宋_GB2312"/>
          <w:color w:val="auto"/>
          <w:sz w:val="24"/>
          <w:szCs w:val="24"/>
          <w:highlight w:val="none"/>
        </w:rPr>
        <w:t>不需要摇评标基准价下浮率）。</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5.2.3 招标人在招标文件要求的递交投标文件截止时间前收到的投标文件，在开标前未完成投标人解密的，其</w:t>
      </w:r>
      <w:r>
        <w:rPr>
          <w:rFonts w:hint="eastAsia" w:ascii="宋体"/>
          <w:color w:val="auto"/>
          <w:sz w:val="24"/>
          <w:szCs w:val="24"/>
          <w:highlight w:val="none"/>
        </w:rPr>
        <w:t>视为投标人放弃投标。</w:t>
      </w:r>
    </w:p>
    <w:p>
      <w:pPr>
        <w:tabs>
          <w:tab w:val="left" w:pos="105"/>
        </w:tabs>
        <w:spacing w:line="360" w:lineRule="auto"/>
        <w:ind w:firstLine="480" w:firstLineChars="200"/>
        <w:rPr>
          <w:rFonts w:ascii="宋体" w:cs="仿宋_GB2312"/>
          <w:color w:val="auto"/>
          <w:sz w:val="24"/>
          <w:szCs w:val="24"/>
          <w:highlight w:val="none"/>
        </w:rPr>
      </w:pPr>
      <w:r>
        <w:rPr>
          <w:rFonts w:ascii="宋体" w:cs="仿宋_GB2312"/>
          <w:color w:val="auto"/>
          <w:sz w:val="24"/>
          <w:szCs w:val="24"/>
          <w:highlight w:val="none"/>
        </w:rPr>
        <w:t>5.2.</w:t>
      </w:r>
      <w:r>
        <w:rPr>
          <w:rFonts w:hint="eastAsia" w:ascii="宋体" w:cs="仿宋_GB2312"/>
          <w:color w:val="auto"/>
          <w:sz w:val="24"/>
          <w:szCs w:val="24"/>
          <w:highlight w:val="none"/>
        </w:rPr>
        <w:t>3招标人在开标开始时间后，使用制作该招标文件的机构业务数字证书对所有投标人电子投标文件进行招标人解密。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5.2.5招标人完成解密后按开标记录表规定的内容进行唱标。</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5.2.5唱标结束，参与开标的招标人、招标代理、投标人及有关人员对开标记录表进行签字确认。</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5.2.4投标人没有按要求提供投标保证金的，其投标无效，不参与排序和资格审查。</w:t>
      </w:r>
    </w:p>
    <w:p>
      <w:pPr>
        <w:spacing w:line="360" w:lineRule="auto"/>
        <w:ind w:firstLine="482" w:firstLineChars="200"/>
        <w:rPr>
          <w:rFonts w:ascii="宋体"/>
          <w:b/>
          <w:color w:val="auto"/>
          <w:sz w:val="24"/>
          <w:highlight w:val="none"/>
        </w:rPr>
      </w:pPr>
      <w:r>
        <w:rPr>
          <w:rFonts w:hint="eastAsia" w:ascii="宋体"/>
          <w:b/>
          <w:color w:val="auto"/>
          <w:sz w:val="24"/>
          <w:highlight w:val="none"/>
        </w:rPr>
        <w:t>5.3 开标异议</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5.3.1投标人对开标有异议的，应当在开标现场提出，招标人当场作出答复，并制作记录。</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5.3.2对开标的异议，招标人应当当场作出答复并予以书面记录，异议成立的，招标人应当及时采取纠正措施，或者提交评标委员会评审确认；异议不成立的，招标人应当当场给予解释说明。</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tabs>
          <w:tab w:val="left" w:pos="105"/>
        </w:tabs>
        <w:spacing w:line="360" w:lineRule="auto"/>
        <w:ind w:firstLine="482" w:firstLineChars="200"/>
        <w:rPr>
          <w:rFonts w:ascii="宋体" w:cs="仿宋_GB2312"/>
          <w:b/>
          <w:color w:val="auto"/>
          <w:sz w:val="24"/>
          <w:szCs w:val="24"/>
          <w:highlight w:val="none"/>
        </w:rPr>
      </w:pPr>
      <w:r>
        <w:rPr>
          <w:rFonts w:ascii="宋体" w:cs="仿宋_GB2312"/>
          <w:b/>
          <w:color w:val="auto"/>
          <w:sz w:val="24"/>
          <w:szCs w:val="24"/>
          <w:highlight w:val="none"/>
        </w:rPr>
        <w:t>5.4开标时，出现下列情形之一的，不参与资格审查和评标：</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.1未成功递交投标文件的；</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.2因投标人原因造成投标文件未解密的；</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.3未按招标文件要求提供投标保证金的；</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w:t>
      </w:r>
      <w:r>
        <w:rPr>
          <w:rFonts w:hint="eastAsia" w:ascii="宋体" w:cs="仿宋_GB2312"/>
          <w:color w:val="auto"/>
          <w:sz w:val="24"/>
          <w:szCs w:val="24"/>
          <w:highlight w:val="none"/>
        </w:rPr>
        <w:t>4</w:t>
      </w:r>
      <w:r>
        <w:rPr>
          <w:rFonts w:ascii="宋体" w:cs="仿宋_GB2312"/>
          <w:color w:val="auto"/>
          <w:sz w:val="24"/>
          <w:szCs w:val="24"/>
          <w:highlight w:val="none"/>
        </w:rPr>
        <w:t>两个（含两个）以上的投标人加密打包投标文件电脑机器码一致的；</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w:t>
      </w:r>
      <w:r>
        <w:rPr>
          <w:rFonts w:hint="eastAsia" w:ascii="宋体" w:cs="仿宋_GB2312"/>
          <w:color w:val="auto"/>
          <w:sz w:val="24"/>
          <w:szCs w:val="24"/>
          <w:highlight w:val="none"/>
        </w:rPr>
        <w:t>5</w:t>
      </w:r>
      <w:r>
        <w:rPr>
          <w:rFonts w:ascii="宋体" w:cs="仿宋_GB2312"/>
          <w:color w:val="auto"/>
          <w:sz w:val="24"/>
          <w:szCs w:val="24"/>
          <w:highlight w:val="none"/>
        </w:rPr>
        <w:t>项目负责人和安全员为同一人的；</w:t>
      </w:r>
    </w:p>
    <w:p>
      <w:pPr>
        <w:tabs>
          <w:tab w:val="left" w:pos="105"/>
        </w:tabs>
        <w:spacing w:line="360" w:lineRule="auto"/>
        <w:ind w:firstLine="480" w:firstLineChars="200"/>
        <w:rPr>
          <w:rFonts w:ascii="宋体" w:cs="仿宋_GB2312"/>
          <w:color w:val="auto"/>
          <w:sz w:val="24"/>
          <w:szCs w:val="24"/>
          <w:highlight w:val="none"/>
        </w:rPr>
      </w:pPr>
      <w:r>
        <w:rPr>
          <w:rFonts w:hint="eastAsia" w:ascii="宋体" w:cs="仿宋_GB2312"/>
          <w:color w:val="auto"/>
          <w:sz w:val="24"/>
          <w:szCs w:val="24"/>
          <w:highlight w:val="none"/>
        </w:rPr>
        <w:t>5.4</w:t>
      </w:r>
      <w:r>
        <w:rPr>
          <w:rFonts w:ascii="宋体" w:cs="仿宋_GB2312"/>
          <w:color w:val="auto"/>
          <w:sz w:val="24"/>
          <w:szCs w:val="24"/>
          <w:highlight w:val="none"/>
        </w:rPr>
        <w:t>.</w:t>
      </w:r>
      <w:r>
        <w:rPr>
          <w:rFonts w:hint="eastAsia" w:ascii="宋体" w:cs="仿宋_GB2312"/>
          <w:color w:val="auto"/>
          <w:sz w:val="24"/>
          <w:szCs w:val="24"/>
          <w:highlight w:val="none"/>
        </w:rPr>
        <w:t>6</w:t>
      </w:r>
      <w:r>
        <w:rPr>
          <w:rFonts w:ascii="宋体" w:cs="仿宋_GB2312"/>
          <w:color w:val="auto"/>
          <w:sz w:val="24"/>
          <w:szCs w:val="24"/>
          <w:highlight w:val="none"/>
        </w:rPr>
        <w:t>投标文件中的投标人、项目负责人、安全员与投标登记时的信息不一致的。</w:t>
      </w:r>
    </w:p>
    <w:p>
      <w:pPr>
        <w:jc w:val="center"/>
        <w:outlineLvl w:val="3"/>
        <w:rPr>
          <w:rFonts w:ascii="宋体"/>
          <w:b/>
          <w:color w:val="auto"/>
          <w:sz w:val="30"/>
          <w:szCs w:val="30"/>
          <w:highlight w:val="none"/>
        </w:rPr>
      </w:pPr>
      <w:r>
        <w:rPr>
          <w:rFonts w:hint="eastAsia" w:ascii="宋体"/>
          <w:b/>
          <w:color w:val="auto"/>
          <w:sz w:val="30"/>
          <w:szCs w:val="30"/>
          <w:highlight w:val="none"/>
        </w:rPr>
        <w:t>（六）评标</w:t>
      </w:r>
    </w:p>
    <w:p>
      <w:pPr>
        <w:spacing w:line="360" w:lineRule="auto"/>
        <w:ind w:firstLine="482" w:firstLineChars="200"/>
        <w:rPr>
          <w:rFonts w:ascii="宋体"/>
          <w:b/>
          <w:color w:val="auto"/>
          <w:sz w:val="24"/>
          <w:highlight w:val="none"/>
        </w:rPr>
      </w:pPr>
      <w:r>
        <w:rPr>
          <w:rFonts w:hint="eastAsia" w:ascii="宋体"/>
          <w:b/>
          <w:color w:val="auto"/>
          <w:sz w:val="24"/>
          <w:highlight w:val="none"/>
        </w:rPr>
        <w:t>6.1 评标委员会</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6.1.2 评标委员会成员有下列情形之一的，应当回避：</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（1）招标人或投标人的主要负责人的近亲属；</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（2）项目主管部门或者行政监督部门的人员；</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（3）与投标人有经济利益关系，可能影响对投标公正评审的；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（5）与投标人有其他利害关系。</w:t>
      </w:r>
    </w:p>
    <w:p>
      <w:pPr>
        <w:spacing w:line="360" w:lineRule="auto"/>
        <w:ind w:firstLine="482" w:firstLineChars="200"/>
        <w:rPr>
          <w:rFonts w:ascii="宋体"/>
          <w:b/>
          <w:color w:val="auto"/>
          <w:sz w:val="24"/>
          <w:highlight w:val="none"/>
        </w:rPr>
      </w:pPr>
      <w:r>
        <w:rPr>
          <w:rFonts w:hint="eastAsia" w:ascii="宋体"/>
          <w:b/>
          <w:color w:val="auto"/>
          <w:sz w:val="24"/>
          <w:highlight w:val="none"/>
        </w:rPr>
        <w:t>6.2 评标原则</w:t>
      </w:r>
      <w:r>
        <w:rPr>
          <w:rFonts w:hint="eastAsia" w:ascii="宋体"/>
          <w:b/>
          <w:color w:val="auto"/>
          <w:sz w:val="24"/>
          <w:highlight w:val="none"/>
        </w:rPr>
        <w:tab/>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评标活动遵循公平、公正、科学和择优的原则。</w:t>
      </w:r>
    </w:p>
    <w:p>
      <w:pPr>
        <w:spacing w:line="360" w:lineRule="auto"/>
        <w:ind w:firstLine="482" w:firstLineChars="200"/>
        <w:rPr>
          <w:rFonts w:ascii="宋体"/>
          <w:b/>
          <w:color w:val="auto"/>
          <w:sz w:val="24"/>
          <w:highlight w:val="none"/>
        </w:rPr>
      </w:pPr>
      <w:r>
        <w:rPr>
          <w:rFonts w:hint="eastAsia" w:ascii="宋体"/>
          <w:b/>
          <w:color w:val="auto"/>
          <w:sz w:val="24"/>
          <w:highlight w:val="none"/>
        </w:rPr>
        <w:t>6.3 评标</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b/>
          <w:color w:val="auto"/>
          <w:sz w:val="30"/>
          <w:szCs w:val="30"/>
          <w:highlight w:val="none"/>
        </w:rPr>
      </w:pPr>
      <w:r>
        <w:rPr>
          <w:rFonts w:hint="eastAsia" w:ascii="宋体"/>
          <w:b/>
          <w:color w:val="auto"/>
          <w:sz w:val="30"/>
          <w:szCs w:val="30"/>
          <w:highlight w:val="none"/>
        </w:rPr>
        <w:t>（七）合同授予</w:t>
      </w:r>
    </w:p>
    <w:p>
      <w:pPr>
        <w:spacing w:line="360" w:lineRule="auto"/>
        <w:ind w:firstLine="482" w:firstLineChars="200"/>
        <w:rPr>
          <w:rFonts w:ascii="宋体"/>
          <w:b/>
          <w:color w:val="auto"/>
          <w:sz w:val="24"/>
          <w:highlight w:val="none"/>
        </w:rPr>
      </w:pPr>
      <w:r>
        <w:rPr>
          <w:rFonts w:hint="eastAsia" w:ascii="宋体"/>
          <w:b/>
          <w:color w:val="auto"/>
          <w:sz w:val="24"/>
          <w:highlight w:val="none"/>
        </w:rPr>
        <w:t>7.1 定标方式</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招标人根据评标委员会推荐的中标候选人确定中标人，评标委员会推荐中标候选人的人数为3个。</w:t>
      </w:r>
    </w:p>
    <w:p>
      <w:pPr>
        <w:spacing w:line="360" w:lineRule="auto"/>
        <w:ind w:firstLine="482" w:firstLineChars="200"/>
        <w:rPr>
          <w:rFonts w:ascii="宋体"/>
          <w:b/>
          <w:color w:val="auto"/>
          <w:sz w:val="24"/>
          <w:highlight w:val="none"/>
        </w:rPr>
      </w:pPr>
      <w:r>
        <w:rPr>
          <w:rFonts w:hint="eastAsia" w:ascii="宋体"/>
          <w:b/>
          <w:color w:val="auto"/>
          <w:sz w:val="24"/>
          <w:highlight w:val="none"/>
        </w:rPr>
        <w:t>7.2 中标候选人公示</w:t>
      </w:r>
    </w:p>
    <w:p>
      <w:pPr>
        <w:spacing w:line="360" w:lineRule="auto"/>
        <w:ind w:firstLine="480" w:firstLineChars="200"/>
        <w:jc w:val="left"/>
        <w:rPr>
          <w:rFonts w:ascii="宋体"/>
          <w:color w:val="auto"/>
          <w:sz w:val="24"/>
          <w:highlight w:val="none"/>
        </w:rPr>
      </w:pPr>
      <w:r>
        <w:rPr>
          <w:rFonts w:hint="eastAsia" w:ascii="宋体"/>
          <w:color w:val="auto"/>
          <w:sz w:val="24"/>
          <w:highlight w:val="none"/>
        </w:rPr>
        <w:t>7.2.1招标人在《投标人须知前附表》规定的媒介公示中标候选人，公示期为三天，最后一天应为工作日。</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7.2.2中标候选人公示时，招标人将同时公示中标候选人的投标文件商务部分文件的所有内容（包括人员、业绩、奖项等资料）。</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b/>
          <w:color w:val="auto"/>
          <w:sz w:val="24"/>
          <w:highlight w:val="none"/>
        </w:rPr>
      </w:pPr>
      <w:r>
        <w:rPr>
          <w:rFonts w:hint="eastAsia" w:ascii="宋体"/>
          <w:b/>
          <w:color w:val="auto"/>
          <w:sz w:val="24"/>
          <w:highlight w:val="none"/>
        </w:rPr>
        <w:t>7.3 中标通知</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在法规规定的时间内，招标人以书面形式向中标人发出中标通知书。在</w:t>
      </w:r>
      <w:r>
        <w:rPr>
          <w:rFonts w:hint="eastAsia" w:ascii="宋体"/>
          <w:color w:val="auto"/>
          <w:sz w:val="24"/>
          <w:szCs w:val="24"/>
          <w:highlight w:val="none"/>
        </w:rPr>
        <w:t>广州公共资源交易网</w:t>
      </w:r>
      <w:r>
        <w:rPr>
          <w:rFonts w:hint="eastAsia" w:ascii="宋体"/>
          <w:color w:val="auto"/>
          <w:sz w:val="24"/>
          <w:highlight w:val="none"/>
        </w:rPr>
        <w:t>发布中标信息，视同将中标结果通知未中标的投标人。</w:t>
      </w:r>
    </w:p>
    <w:p>
      <w:pPr>
        <w:spacing w:line="360" w:lineRule="auto"/>
        <w:ind w:firstLine="482" w:firstLineChars="200"/>
        <w:rPr>
          <w:rFonts w:ascii="宋体"/>
          <w:b/>
          <w:color w:val="auto"/>
          <w:sz w:val="24"/>
          <w:highlight w:val="none"/>
        </w:rPr>
      </w:pPr>
      <w:r>
        <w:rPr>
          <w:rFonts w:hint="eastAsia" w:ascii="宋体"/>
          <w:b/>
          <w:color w:val="auto"/>
          <w:sz w:val="24"/>
          <w:highlight w:val="none"/>
        </w:rPr>
        <w:t>7.4 履约担保</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b/>
          <w:color w:val="auto"/>
          <w:sz w:val="24"/>
          <w:highlight w:val="none"/>
        </w:rPr>
      </w:pPr>
      <w:r>
        <w:rPr>
          <w:rFonts w:hint="eastAsia" w:ascii="宋体"/>
          <w:b/>
          <w:color w:val="auto"/>
          <w:sz w:val="24"/>
          <w:highlight w:val="none"/>
        </w:rPr>
        <w:t>7.5 签订合同</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7.5.2 发出中标通知书后，招标人无正当理由拒签合同的，招标人向中标人退还投标保证金；给中标人造成损失的，还应当赔偿损失。</w:t>
      </w:r>
    </w:p>
    <w:p>
      <w:pPr>
        <w:jc w:val="center"/>
        <w:outlineLvl w:val="3"/>
        <w:rPr>
          <w:rFonts w:ascii="宋体"/>
          <w:b/>
          <w:color w:val="auto"/>
          <w:sz w:val="30"/>
          <w:szCs w:val="30"/>
          <w:highlight w:val="none"/>
        </w:rPr>
      </w:pPr>
      <w:r>
        <w:rPr>
          <w:rFonts w:hint="eastAsia" w:ascii="宋体"/>
          <w:b/>
          <w:color w:val="auto"/>
          <w:sz w:val="30"/>
          <w:szCs w:val="30"/>
          <w:highlight w:val="none"/>
        </w:rPr>
        <w:t>（八）重新招标</w:t>
      </w:r>
    </w:p>
    <w:p>
      <w:pPr>
        <w:spacing w:line="360" w:lineRule="auto"/>
        <w:ind w:firstLine="482" w:firstLineChars="200"/>
        <w:rPr>
          <w:rFonts w:ascii="宋体"/>
          <w:b/>
          <w:color w:val="auto"/>
          <w:sz w:val="24"/>
          <w:highlight w:val="none"/>
        </w:rPr>
      </w:pPr>
      <w:r>
        <w:rPr>
          <w:rFonts w:hint="eastAsia" w:ascii="宋体"/>
          <w:b/>
          <w:color w:val="auto"/>
          <w:sz w:val="24"/>
          <w:highlight w:val="none"/>
        </w:rPr>
        <w:t>8.1 重新招标</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有下列情形之一的，招标人将重新招标；</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（1）投标截止时间止，投标人少于3个的；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（2）经评标委员会评审后否决所有投标的；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（3）资审合格的投标人少于3家或经评审有效标少于3家的；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（4）同意延长投标有效期的投标人少于3个的；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（5）中标候选人均未与招标人签订合同的。</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（6）当N个标段同时招标且不允许兼中时，若有效投标人不足N+2家，则重新组织招标</w:t>
      </w:r>
    </w:p>
    <w:p>
      <w:pPr>
        <w:jc w:val="center"/>
        <w:outlineLvl w:val="3"/>
        <w:rPr>
          <w:rFonts w:ascii="宋体"/>
          <w:b/>
          <w:color w:val="auto"/>
          <w:sz w:val="30"/>
          <w:szCs w:val="30"/>
          <w:highlight w:val="none"/>
        </w:rPr>
      </w:pPr>
      <w:r>
        <w:rPr>
          <w:rFonts w:hint="eastAsia" w:ascii="宋体"/>
          <w:b/>
          <w:color w:val="auto"/>
          <w:sz w:val="30"/>
          <w:szCs w:val="30"/>
          <w:highlight w:val="none"/>
        </w:rPr>
        <w:t>（九）纪律和监督</w:t>
      </w:r>
    </w:p>
    <w:p>
      <w:pPr>
        <w:spacing w:line="360" w:lineRule="auto"/>
        <w:ind w:firstLine="482" w:firstLineChars="200"/>
        <w:rPr>
          <w:rFonts w:ascii="宋体"/>
          <w:b/>
          <w:color w:val="auto"/>
          <w:sz w:val="24"/>
          <w:highlight w:val="none"/>
        </w:rPr>
      </w:pPr>
      <w:r>
        <w:rPr>
          <w:rFonts w:hint="eastAsia" w:ascii="宋体"/>
          <w:b/>
          <w:color w:val="auto"/>
          <w:sz w:val="24"/>
          <w:highlight w:val="none"/>
        </w:rPr>
        <w:t>9.1对招标人的纪律要求</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ascii="宋体"/>
          <w:b/>
          <w:color w:val="auto"/>
          <w:sz w:val="24"/>
          <w:highlight w:val="none"/>
        </w:rPr>
      </w:pPr>
      <w:r>
        <w:rPr>
          <w:rFonts w:hint="eastAsia" w:ascii="宋体"/>
          <w:b/>
          <w:color w:val="auto"/>
          <w:sz w:val="24"/>
          <w:highlight w:val="none"/>
        </w:rPr>
        <w:t>9.2 对投标人的纪律要求</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b/>
          <w:color w:val="auto"/>
          <w:sz w:val="24"/>
          <w:highlight w:val="none"/>
        </w:rPr>
      </w:pPr>
      <w:r>
        <w:rPr>
          <w:rFonts w:hint="eastAsia" w:ascii="宋体"/>
          <w:b/>
          <w:color w:val="auto"/>
          <w:sz w:val="24"/>
          <w:highlight w:val="none"/>
        </w:rPr>
        <w:t>9.3 对评标委员会成员的纪律要求</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b/>
          <w:color w:val="auto"/>
          <w:sz w:val="24"/>
          <w:highlight w:val="none"/>
        </w:rPr>
      </w:pPr>
      <w:r>
        <w:rPr>
          <w:rFonts w:hint="eastAsia" w:ascii="宋体"/>
          <w:b/>
          <w:color w:val="auto"/>
          <w:sz w:val="24"/>
          <w:highlight w:val="none"/>
        </w:rPr>
        <w:t>9.4 对与评标活动有关的工作人员的纪律要求</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b/>
          <w:color w:val="auto"/>
          <w:sz w:val="24"/>
          <w:highlight w:val="none"/>
        </w:rPr>
      </w:pPr>
      <w:r>
        <w:rPr>
          <w:rFonts w:hint="eastAsia" w:ascii="宋体"/>
          <w:b/>
          <w:color w:val="auto"/>
          <w:sz w:val="24"/>
          <w:highlight w:val="none"/>
        </w:rPr>
        <w:t>9.5 投诉</w:t>
      </w:r>
    </w:p>
    <w:p>
      <w:pPr>
        <w:snapToGrid w:val="0"/>
        <w:spacing w:line="360" w:lineRule="auto"/>
        <w:ind w:firstLine="480" w:firstLineChars="200"/>
        <w:rPr>
          <w:rFonts w:ascii="宋体"/>
          <w:color w:val="auto"/>
          <w:sz w:val="24"/>
          <w:highlight w:val="none"/>
        </w:rPr>
      </w:pPr>
      <w:r>
        <w:rPr>
          <w:rFonts w:hint="eastAsia" w:ascii="宋体"/>
          <w:color w:val="auto"/>
          <w:sz w:val="24"/>
          <w:highlight w:val="non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ascii="宋体"/>
          <w:b/>
          <w:color w:val="auto"/>
          <w:sz w:val="30"/>
          <w:szCs w:val="30"/>
          <w:highlight w:val="none"/>
        </w:rPr>
      </w:pPr>
      <w:r>
        <w:rPr>
          <w:rFonts w:hint="eastAsia" w:ascii="宋体"/>
          <w:b/>
          <w:color w:val="auto"/>
          <w:sz w:val="30"/>
          <w:szCs w:val="30"/>
          <w:highlight w:val="none"/>
        </w:rPr>
        <w:t>（十）需要补充的其他内容</w:t>
      </w:r>
    </w:p>
    <w:p>
      <w:pPr>
        <w:spacing w:line="360" w:lineRule="auto"/>
        <w:ind w:firstLine="480" w:firstLineChars="200"/>
        <w:rPr>
          <w:rFonts w:ascii="宋体"/>
          <w:color w:val="auto"/>
          <w:sz w:val="24"/>
          <w:highlight w:val="none"/>
        </w:rPr>
      </w:pPr>
      <w:r>
        <w:rPr>
          <w:rFonts w:hint="eastAsia" w:ascii="宋体"/>
          <w:color w:val="auto"/>
          <w:sz w:val="24"/>
          <w:highlight w:val="none"/>
        </w:rPr>
        <w:t>10.1需要补充的其他内容：见投标人须知前附表。</w:t>
      </w:r>
    </w:p>
    <w:p>
      <w:pPr>
        <w:spacing w:line="360" w:lineRule="auto"/>
        <w:jc w:val="left"/>
        <w:outlineLvl w:val="2"/>
        <w:rPr>
          <w:rFonts w:ascii="宋体"/>
          <w:color w:val="auto"/>
          <w:sz w:val="28"/>
          <w:szCs w:val="27"/>
          <w:highlight w:val="none"/>
        </w:rPr>
      </w:pPr>
      <w:bookmarkStart w:id="92" w:name="_Toc17454873"/>
      <w:bookmarkStart w:id="93" w:name="_Toc17556878"/>
      <w:bookmarkStart w:id="94" w:name="_Toc17451580"/>
      <w:bookmarkStart w:id="95" w:name="_Toc144974548"/>
      <w:bookmarkStart w:id="96" w:name="_Toc247085739"/>
      <w:bookmarkStart w:id="97" w:name="_Toc152042358"/>
      <w:bookmarkStart w:id="98" w:name="_Toc10811"/>
      <w:bookmarkStart w:id="99" w:name="_Toc152045581"/>
      <w:bookmarkStart w:id="100" w:name="_Toc17454924"/>
      <w:bookmarkStart w:id="101" w:name="_Toc332641306"/>
      <w:bookmarkStart w:id="102" w:name="_Toc179632599"/>
      <w:bookmarkStart w:id="103" w:name="_Toc17452666"/>
      <w:bookmarkStart w:id="104" w:name="_Toc75788600"/>
      <w:bookmarkStart w:id="105" w:name="_Toc17451625"/>
      <w:bookmarkStart w:id="106" w:name="_Toc17451103"/>
      <w:bookmarkStart w:id="107" w:name="_Toc16743"/>
      <w:r>
        <w:rPr>
          <w:rFonts w:hint="eastAsia" w:ascii="宋体"/>
          <w:color w:val="auto"/>
          <w:sz w:val="28"/>
          <w:szCs w:val="27"/>
          <w:highlight w:val="none"/>
        </w:rPr>
        <w:br w:type="page"/>
      </w:r>
    </w:p>
    <w:p>
      <w:pPr>
        <w:spacing w:line="360" w:lineRule="auto"/>
        <w:jc w:val="left"/>
        <w:outlineLvl w:val="2"/>
        <w:rPr>
          <w:rFonts w:ascii="宋体"/>
          <w:color w:val="auto"/>
          <w:sz w:val="28"/>
          <w:szCs w:val="27"/>
          <w:highlight w:val="none"/>
        </w:rPr>
      </w:pPr>
      <w:r>
        <w:rPr>
          <w:rFonts w:hint="eastAsia" w:ascii="宋体"/>
          <w:color w:val="auto"/>
          <w:sz w:val="28"/>
          <w:szCs w:val="27"/>
          <w:highlight w:val="none"/>
        </w:rPr>
        <w:t>附件一：开标记录表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pacing w:line="400" w:lineRule="exact"/>
        <w:jc w:val="center"/>
        <w:rPr>
          <w:rFonts w:ascii="宋体"/>
          <w:b/>
          <w:color w:val="auto"/>
          <w:sz w:val="28"/>
          <w:szCs w:val="28"/>
          <w:highlight w:val="none"/>
        </w:rPr>
      </w:pPr>
      <w:r>
        <w:rPr>
          <w:rFonts w:hint="eastAsia" w:ascii="宋体"/>
          <w:b/>
          <w:color w:val="auto"/>
          <w:sz w:val="28"/>
          <w:szCs w:val="28"/>
          <w:highlight w:val="none"/>
        </w:rPr>
        <w:t>（项目名称）开标记录表</w:t>
      </w:r>
    </w:p>
    <w:p>
      <w:pPr>
        <w:spacing w:line="500" w:lineRule="exact"/>
        <w:rPr>
          <w:rFonts w:ascii="宋体"/>
          <w:color w:val="auto"/>
          <w:highlight w:val="none"/>
        </w:rPr>
      </w:pPr>
      <w:r>
        <w:rPr>
          <w:rFonts w:hint="eastAsia" w:ascii="宋体"/>
          <w:color w:val="auto"/>
          <w:szCs w:val="21"/>
          <w:highlight w:val="none"/>
        </w:rPr>
        <w:t>评标参考价下浮率：                开标时间：年月日时分</w:t>
      </w:r>
    </w:p>
    <w:tbl>
      <w:tblPr>
        <w:tblStyle w:val="41"/>
        <w:tblW w:w="9242" w:type="dxa"/>
        <w:tblInd w:w="0" w:type="dxa"/>
        <w:tblLayout w:type="fixed"/>
        <w:tblCellMar>
          <w:top w:w="0" w:type="dxa"/>
          <w:left w:w="108" w:type="dxa"/>
          <w:bottom w:w="0" w:type="dxa"/>
          <w:right w:w="108" w:type="dxa"/>
        </w:tblCellMar>
      </w:tblPr>
      <w:tblGrid>
        <w:gridCol w:w="554"/>
        <w:gridCol w:w="1165"/>
        <w:gridCol w:w="710"/>
        <w:gridCol w:w="1002"/>
        <w:gridCol w:w="975"/>
        <w:gridCol w:w="642"/>
        <w:gridCol w:w="915"/>
        <w:gridCol w:w="457"/>
        <w:gridCol w:w="459"/>
        <w:gridCol w:w="457"/>
        <w:gridCol w:w="456"/>
        <w:gridCol w:w="899"/>
        <w:gridCol w:w="551"/>
      </w:tblGrid>
      <w:tr>
        <w:tblPrEx>
          <w:tblCellMar>
            <w:top w:w="0" w:type="dxa"/>
            <w:left w:w="108" w:type="dxa"/>
            <w:bottom w:w="0" w:type="dxa"/>
            <w:right w:w="108" w:type="dxa"/>
          </w:tblCellMar>
        </w:tblPrEx>
        <w:trPr>
          <w:trHeight w:val="1273" w:hRule="atLeast"/>
        </w:trPr>
        <w:tc>
          <w:tcPr>
            <w:tcW w:w="55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序号</w:t>
            </w:r>
          </w:p>
        </w:tc>
        <w:tc>
          <w:tcPr>
            <w:tcW w:w="116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投标人</w:t>
            </w:r>
          </w:p>
        </w:tc>
        <w:tc>
          <w:tcPr>
            <w:tcW w:w="71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解密情况</w:t>
            </w:r>
          </w:p>
        </w:tc>
        <w:tc>
          <w:tcPr>
            <w:tcW w:w="1002"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投标保证金</w:t>
            </w:r>
          </w:p>
        </w:tc>
        <w:tc>
          <w:tcPr>
            <w:tcW w:w="97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投标报价（元）</w:t>
            </w:r>
          </w:p>
        </w:tc>
        <w:tc>
          <w:tcPr>
            <w:tcW w:w="642"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质量</w:t>
            </w:r>
            <w:r>
              <w:rPr>
                <w:rFonts w:hint="eastAsia" w:ascii="宋体"/>
                <w:color w:val="auto"/>
                <w:szCs w:val="21"/>
                <w:highlight w:val="none"/>
              </w:rPr>
              <w:t>标准</w:t>
            </w:r>
          </w:p>
        </w:tc>
        <w:tc>
          <w:tcPr>
            <w:tcW w:w="91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工期</w:t>
            </w:r>
            <w:r>
              <w:rPr>
                <w:rFonts w:hint="eastAsia" w:ascii="宋体"/>
                <w:color w:val="auto"/>
                <w:szCs w:val="21"/>
                <w:highlight w:val="none"/>
              </w:rPr>
              <w:t>（天）</w:t>
            </w:r>
          </w:p>
        </w:tc>
        <w:tc>
          <w:tcPr>
            <w:tcW w:w="916"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项目负责人</w:t>
            </w:r>
          </w:p>
        </w:tc>
        <w:tc>
          <w:tcPr>
            <w:tcW w:w="913"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专责安全员</w:t>
            </w:r>
          </w:p>
        </w:tc>
        <w:tc>
          <w:tcPr>
            <w:tcW w:w="899"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ascii="宋体"/>
                <w:color w:val="auto"/>
                <w:szCs w:val="21"/>
                <w:highlight w:val="none"/>
              </w:rPr>
              <w:t>签名</w:t>
            </w:r>
          </w:p>
        </w:tc>
        <w:tc>
          <w:tcPr>
            <w:tcW w:w="551"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备注</w:t>
            </w:r>
          </w:p>
        </w:tc>
      </w:tr>
      <w:tr>
        <w:tblPrEx>
          <w:tblCellMar>
            <w:top w:w="0" w:type="dxa"/>
            <w:left w:w="108" w:type="dxa"/>
            <w:bottom w:w="0" w:type="dxa"/>
            <w:right w:w="108" w:type="dxa"/>
          </w:tblCellMar>
        </w:tblPrEx>
        <w:trPr>
          <w:trHeight w:val="1233" w:hRule="atLeast"/>
        </w:trPr>
        <w:tc>
          <w:tcPr>
            <w:tcW w:w="554"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165"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710"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1002"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975"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642"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915"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45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登记时</w:t>
            </w:r>
          </w:p>
        </w:tc>
        <w:tc>
          <w:tcPr>
            <w:tcW w:w="4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投标时</w:t>
            </w:r>
          </w:p>
        </w:tc>
        <w:tc>
          <w:tcPr>
            <w:tcW w:w="45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登记时</w:t>
            </w:r>
          </w:p>
        </w:tc>
        <w:tc>
          <w:tcPr>
            <w:tcW w:w="45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olor w:val="auto"/>
                <w:szCs w:val="21"/>
                <w:highlight w:val="none"/>
              </w:rPr>
            </w:pPr>
            <w:r>
              <w:rPr>
                <w:rFonts w:hint="eastAsia" w:ascii="宋体"/>
                <w:color w:val="auto"/>
                <w:szCs w:val="21"/>
                <w:highlight w:val="none"/>
              </w:rPr>
              <w:t>投标时</w:t>
            </w:r>
          </w:p>
        </w:tc>
        <w:tc>
          <w:tcPr>
            <w:tcW w:w="899"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551" w:type="dxa"/>
            <w:vMerge w:val="continue"/>
            <w:tcBorders>
              <w:left w:val="single" w:color="auto" w:sz="4" w:space="0"/>
              <w:bottom w:val="single" w:color="auto" w:sz="4" w:space="0"/>
              <w:right w:val="single" w:color="auto" w:sz="4" w:space="0"/>
            </w:tcBorders>
            <w:vAlign w:val="center"/>
          </w:tcPr>
          <w:p>
            <w:pPr>
              <w:rPr>
                <w:color w:val="auto"/>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55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71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100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7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64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91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456"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89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c>
          <w:tcPr>
            <w:tcW w:w="5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color w:val="auto"/>
                <w:szCs w:val="21"/>
                <w:highlight w:val="none"/>
              </w:rPr>
            </w:pPr>
          </w:p>
        </w:tc>
      </w:tr>
      <w:tr>
        <w:tblPrEx>
          <w:tblCellMar>
            <w:top w:w="0" w:type="dxa"/>
            <w:left w:w="108" w:type="dxa"/>
            <w:bottom w:w="0" w:type="dxa"/>
            <w:right w:w="108" w:type="dxa"/>
          </w:tblCellMar>
        </w:tblPrEx>
        <w:tc>
          <w:tcPr>
            <w:tcW w:w="9242" w:type="dxa"/>
            <w:gridSpan w:val="13"/>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color w:val="auto"/>
                <w:szCs w:val="21"/>
                <w:highlight w:val="none"/>
              </w:rPr>
            </w:pPr>
            <w:r>
              <w:rPr>
                <w:rFonts w:ascii="宋体"/>
                <w:color w:val="auto"/>
                <w:szCs w:val="21"/>
                <w:highlight w:val="none"/>
              </w:rPr>
              <w:t>招标人编制</w:t>
            </w:r>
            <w:r>
              <w:rPr>
                <w:rFonts w:hint="eastAsia" w:ascii="宋体"/>
                <w:color w:val="auto"/>
                <w:szCs w:val="21"/>
                <w:highlight w:val="none"/>
              </w:rPr>
              <w:t>最高投标限价（单位：元）</w:t>
            </w:r>
          </w:p>
        </w:tc>
      </w:tr>
    </w:tbl>
    <w:p>
      <w:pPr>
        <w:spacing w:line="440" w:lineRule="exact"/>
        <w:rPr>
          <w:rFonts w:ascii="宋体"/>
          <w:color w:val="auto"/>
          <w:highlight w:val="none"/>
        </w:rPr>
      </w:pPr>
    </w:p>
    <w:p>
      <w:pPr>
        <w:spacing w:line="440" w:lineRule="exact"/>
        <w:rPr>
          <w:rFonts w:ascii="宋体"/>
          <w:color w:val="auto"/>
          <w:highlight w:val="none"/>
          <w:u w:val="single"/>
        </w:rPr>
      </w:pPr>
      <w:r>
        <w:rPr>
          <w:rFonts w:hint="eastAsia" w:ascii="宋体"/>
          <w:color w:val="auto"/>
          <w:highlight w:val="none"/>
        </w:rPr>
        <w:t>招标人代表： 记录人： 监标人：</w:t>
      </w:r>
    </w:p>
    <w:p>
      <w:pPr>
        <w:spacing w:line="440" w:lineRule="exact"/>
        <w:jc w:val="right"/>
        <w:rPr>
          <w:rFonts w:ascii="宋体"/>
          <w:color w:val="auto"/>
          <w:highlight w:val="none"/>
          <w:u w:val="single"/>
        </w:rPr>
      </w:pPr>
      <w:r>
        <w:rPr>
          <w:rFonts w:hint="eastAsia" w:ascii="宋体"/>
          <w:color w:val="auto"/>
          <w:highlight w:val="none"/>
        </w:rPr>
        <w:t>年月 日</w:t>
      </w:r>
    </w:p>
    <w:p>
      <w:pPr>
        <w:spacing w:line="360" w:lineRule="auto"/>
        <w:jc w:val="center"/>
        <w:rPr>
          <w:rFonts w:ascii="宋体"/>
          <w:b/>
          <w:color w:val="auto"/>
          <w:sz w:val="32"/>
          <w:szCs w:val="32"/>
          <w:highlight w:val="none"/>
        </w:rPr>
      </w:pPr>
    </w:p>
    <w:p>
      <w:pPr>
        <w:spacing w:line="360" w:lineRule="auto"/>
        <w:jc w:val="center"/>
        <w:rPr>
          <w:rFonts w:ascii="宋体"/>
          <w:b/>
          <w:color w:val="auto"/>
          <w:sz w:val="32"/>
          <w:szCs w:val="32"/>
          <w:highlight w:val="none"/>
        </w:rPr>
      </w:pPr>
      <w:r>
        <w:rPr>
          <w:rFonts w:hint="eastAsia" w:ascii="宋体"/>
          <w:b/>
          <w:color w:val="auto"/>
          <w:sz w:val="32"/>
          <w:szCs w:val="32"/>
          <w:highlight w:val="none"/>
        </w:rPr>
        <w:t>抽取评标基准价的下浮率记录表</w:t>
      </w:r>
    </w:p>
    <w:p>
      <w:pPr>
        <w:spacing w:line="360" w:lineRule="auto"/>
        <w:rPr>
          <w:rFonts w:ascii="宋体"/>
          <w:b/>
          <w:color w:val="auto"/>
          <w:szCs w:val="21"/>
          <w:highlight w:val="none"/>
        </w:rPr>
      </w:pPr>
      <w:r>
        <w:rPr>
          <w:rFonts w:hint="eastAsia" w:ascii="宋体"/>
          <w:b/>
          <w:color w:val="auto"/>
          <w:szCs w:val="21"/>
          <w:highlight w:val="none"/>
        </w:rPr>
        <w:t>工程名称：</w:t>
      </w:r>
    </w:p>
    <w:p>
      <w:pPr>
        <w:tabs>
          <w:tab w:val="left" w:pos="720"/>
        </w:tabs>
        <w:snapToGrid w:val="0"/>
        <w:spacing w:line="360" w:lineRule="auto"/>
        <w:jc w:val="center"/>
        <w:rPr>
          <w:rFonts w:ascii="宋体"/>
          <w:color w:val="auto"/>
          <w:sz w:val="24"/>
          <w:highlight w:val="none"/>
        </w:rPr>
      </w:pPr>
      <w:r>
        <w:rPr>
          <w:rFonts w:hint="eastAsia" w:ascii="宋体"/>
          <w:color w:val="auto"/>
          <w:sz w:val="24"/>
          <w:highlight w:val="none"/>
        </w:rPr>
        <w:t>抽取评标基准价的下浮率记录表</w:t>
      </w:r>
    </w:p>
    <w:p>
      <w:pPr>
        <w:tabs>
          <w:tab w:val="left" w:pos="720"/>
        </w:tabs>
        <w:snapToGrid w:val="0"/>
        <w:spacing w:line="360" w:lineRule="auto"/>
        <w:jc w:val="left"/>
        <w:rPr>
          <w:rFonts w:ascii="宋体"/>
          <w:color w:val="auto"/>
          <w:sz w:val="24"/>
          <w:highlight w:val="none"/>
        </w:rPr>
      </w:pPr>
      <w:r>
        <w:rPr>
          <w:rFonts w:hint="eastAsia" w:ascii="宋体"/>
          <w:color w:val="auto"/>
          <w:sz w:val="24"/>
          <w:highlight w:val="none"/>
        </w:rPr>
        <w:t>项目名称：</w:t>
      </w:r>
    </w:p>
    <w:p>
      <w:pPr>
        <w:tabs>
          <w:tab w:val="left" w:pos="720"/>
        </w:tabs>
        <w:snapToGrid w:val="0"/>
        <w:spacing w:line="360" w:lineRule="auto"/>
        <w:jc w:val="left"/>
        <w:rPr>
          <w:rFonts w:ascii="宋体"/>
          <w:color w:val="auto"/>
          <w:sz w:val="24"/>
          <w:highlight w:val="none"/>
        </w:rPr>
      </w:pPr>
      <w:r>
        <w:rPr>
          <w:rFonts w:hint="eastAsia" w:ascii="宋体"/>
          <w:color w:val="auto"/>
          <w:sz w:val="24"/>
          <w:highlight w:val="none"/>
        </w:rPr>
        <w:t>开标地点：</w:t>
      </w:r>
    </w:p>
    <w:tbl>
      <w:tblPr>
        <w:tblStyle w:val="41"/>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vAlign w:val="center"/>
          </w:tcPr>
          <w:p>
            <w:pPr>
              <w:tabs>
                <w:tab w:val="left" w:pos="720"/>
              </w:tabs>
              <w:snapToGrid w:val="0"/>
              <w:jc w:val="center"/>
              <w:rPr>
                <w:rFonts w:ascii="宋体"/>
                <w:color w:val="auto"/>
                <w:sz w:val="24"/>
                <w:highlight w:val="none"/>
              </w:rPr>
            </w:pPr>
            <w:r>
              <w:rPr>
                <w:rFonts w:hint="eastAsia" w:ascii="宋体"/>
                <w:color w:val="auto"/>
                <w:sz w:val="24"/>
                <w:highlight w:val="none"/>
              </w:rPr>
              <w:t>球号</w:t>
            </w:r>
          </w:p>
        </w:tc>
        <w:tc>
          <w:tcPr>
            <w:tcW w:w="1535" w:type="dxa"/>
            <w:vAlign w:val="center"/>
          </w:tcPr>
          <w:p>
            <w:pPr>
              <w:tabs>
                <w:tab w:val="left" w:pos="720"/>
              </w:tabs>
              <w:snapToGrid w:val="0"/>
              <w:jc w:val="center"/>
              <w:rPr>
                <w:rFonts w:ascii="宋体"/>
                <w:color w:val="auto"/>
                <w:sz w:val="24"/>
                <w:highlight w:val="none"/>
              </w:rPr>
            </w:pPr>
            <w:r>
              <w:rPr>
                <w:rFonts w:hint="eastAsia" w:ascii="宋体"/>
                <w:color w:val="auto"/>
                <w:sz w:val="24"/>
                <w:highlight w:val="none"/>
              </w:rPr>
              <w:t>代表下浮率（%）</w:t>
            </w:r>
          </w:p>
        </w:tc>
        <w:tc>
          <w:tcPr>
            <w:tcW w:w="1620" w:type="dxa"/>
            <w:vAlign w:val="center"/>
          </w:tcPr>
          <w:p>
            <w:pPr>
              <w:tabs>
                <w:tab w:val="left" w:pos="720"/>
              </w:tabs>
              <w:snapToGrid w:val="0"/>
              <w:jc w:val="center"/>
              <w:rPr>
                <w:rFonts w:ascii="宋体"/>
                <w:color w:val="auto"/>
                <w:sz w:val="24"/>
                <w:highlight w:val="none"/>
              </w:rPr>
            </w:pPr>
            <w:r>
              <w:rPr>
                <w:rFonts w:hint="eastAsia" w:ascii="宋体"/>
                <w:color w:val="auto"/>
                <w:sz w:val="24"/>
                <w:highlight w:val="none"/>
              </w:rPr>
              <w:t>摇出球号</w:t>
            </w:r>
          </w:p>
        </w:tc>
        <w:tc>
          <w:tcPr>
            <w:tcW w:w="4264" w:type="dxa"/>
            <w:vAlign w:val="center"/>
          </w:tcPr>
          <w:p>
            <w:pPr>
              <w:tabs>
                <w:tab w:val="left" w:pos="720"/>
              </w:tabs>
              <w:snapToGrid w:val="0"/>
              <w:jc w:val="center"/>
              <w:rPr>
                <w:rFonts w:ascii="宋体"/>
                <w:color w:val="auto"/>
                <w:sz w:val="24"/>
                <w:highlight w:val="none"/>
              </w:rPr>
            </w:pPr>
            <w:r>
              <w:rPr>
                <w:rFonts w:hint="eastAsia" w:asci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2</w:t>
            </w:r>
          </w:p>
        </w:tc>
        <w:tc>
          <w:tcPr>
            <w:tcW w:w="1620" w:type="dxa"/>
            <w:vMerge w:val="restart"/>
          </w:tcPr>
          <w:p>
            <w:pPr>
              <w:tabs>
                <w:tab w:val="left" w:pos="720"/>
              </w:tabs>
              <w:snapToGrid w:val="0"/>
              <w:jc w:val="center"/>
              <w:rPr>
                <w:rFonts w:ascii="宋体"/>
                <w:color w:val="auto"/>
                <w:sz w:val="24"/>
                <w:highlight w:val="none"/>
              </w:rPr>
            </w:pPr>
          </w:p>
        </w:tc>
        <w:tc>
          <w:tcPr>
            <w:tcW w:w="4264" w:type="dxa"/>
            <w:vMerge w:val="restart"/>
          </w:tcPr>
          <w:p>
            <w:pPr>
              <w:tabs>
                <w:tab w:val="left" w:pos="720"/>
              </w:tabs>
              <w:snapToGrid w:val="0"/>
              <w:jc w:val="center"/>
              <w:rPr>
                <w:rFonts w:asci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2.5</w:t>
            </w:r>
          </w:p>
        </w:tc>
        <w:tc>
          <w:tcPr>
            <w:tcW w:w="1620" w:type="dxa"/>
            <w:vMerge w:val="continue"/>
          </w:tcPr>
          <w:p>
            <w:pPr>
              <w:rPr>
                <w:color w:val="auto"/>
                <w:highlight w:val="none"/>
              </w:rPr>
            </w:pPr>
          </w:p>
        </w:tc>
        <w:tc>
          <w:tcPr>
            <w:tcW w:w="4264" w:type="dxa"/>
            <w:vMerge w:val="continue"/>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3</w:t>
            </w:r>
          </w:p>
        </w:tc>
        <w:tc>
          <w:tcPr>
            <w:tcW w:w="1620" w:type="dxa"/>
            <w:vMerge w:val="continue"/>
          </w:tcPr>
          <w:p>
            <w:pPr>
              <w:rPr>
                <w:color w:val="auto"/>
                <w:highlight w:val="none"/>
              </w:rPr>
            </w:pPr>
          </w:p>
        </w:tc>
        <w:tc>
          <w:tcPr>
            <w:tcW w:w="4264" w:type="dxa"/>
            <w:vMerge w:val="continue"/>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3.5</w:t>
            </w:r>
          </w:p>
        </w:tc>
        <w:tc>
          <w:tcPr>
            <w:tcW w:w="1620" w:type="dxa"/>
            <w:vMerge w:val="continue"/>
          </w:tcPr>
          <w:p>
            <w:pPr>
              <w:rPr>
                <w:color w:val="auto"/>
                <w:highlight w:val="none"/>
              </w:rPr>
            </w:pPr>
          </w:p>
        </w:tc>
        <w:tc>
          <w:tcPr>
            <w:tcW w:w="4264" w:type="dxa"/>
            <w:vMerge w:val="continue"/>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4</w:t>
            </w:r>
          </w:p>
        </w:tc>
        <w:tc>
          <w:tcPr>
            <w:tcW w:w="1620" w:type="dxa"/>
            <w:vMerge w:val="continue"/>
          </w:tcPr>
          <w:p>
            <w:pPr>
              <w:rPr>
                <w:color w:val="auto"/>
                <w:highlight w:val="none"/>
              </w:rPr>
            </w:pPr>
          </w:p>
        </w:tc>
        <w:tc>
          <w:tcPr>
            <w:tcW w:w="4264" w:type="dxa"/>
            <w:vMerge w:val="continue"/>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4.5</w:t>
            </w:r>
          </w:p>
        </w:tc>
        <w:tc>
          <w:tcPr>
            <w:tcW w:w="1620" w:type="dxa"/>
            <w:vMerge w:val="continue"/>
          </w:tcPr>
          <w:p>
            <w:pPr>
              <w:rPr>
                <w:color w:val="auto"/>
                <w:highlight w:val="none"/>
              </w:rPr>
            </w:pPr>
          </w:p>
        </w:tc>
        <w:tc>
          <w:tcPr>
            <w:tcW w:w="4264" w:type="dxa"/>
            <w:vMerge w:val="continue"/>
          </w:tcPr>
          <w:p>
            <w:pPr>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color w:val="auto"/>
                <w:sz w:val="24"/>
                <w:highlight w:val="none"/>
              </w:rPr>
            </w:pPr>
          </w:p>
        </w:tc>
        <w:tc>
          <w:tcPr>
            <w:tcW w:w="1535" w:type="dxa"/>
          </w:tcPr>
          <w:p>
            <w:pPr>
              <w:tabs>
                <w:tab w:val="left" w:pos="720"/>
              </w:tabs>
              <w:snapToGrid w:val="0"/>
              <w:jc w:val="center"/>
              <w:rPr>
                <w:rFonts w:ascii="宋体"/>
                <w:color w:val="auto"/>
                <w:sz w:val="24"/>
                <w:highlight w:val="none"/>
              </w:rPr>
            </w:pPr>
            <w:r>
              <w:rPr>
                <w:rFonts w:hint="eastAsia" w:ascii="宋体"/>
                <w:color w:val="auto"/>
                <w:sz w:val="24"/>
                <w:highlight w:val="none"/>
              </w:rPr>
              <w:t>5</w:t>
            </w:r>
          </w:p>
        </w:tc>
        <w:tc>
          <w:tcPr>
            <w:tcW w:w="1620" w:type="dxa"/>
            <w:vMerge w:val="continue"/>
          </w:tcPr>
          <w:p>
            <w:pPr>
              <w:rPr>
                <w:color w:val="auto"/>
                <w:highlight w:val="none"/>
              </w:rPr>
            </w:pPr>
          </w:p>
        </w:tc>
        <w:tc>
          <w:tcPr>
            <w:tcW w:w="4264" w:type="dxa"/>
            <w:vMerge w:val="continue"/>
          </w:tcPr>
          <w:p>
            <w:pPr>
              <w:rPr>
                <w:color w:val="auto"/>
                <w:highlight w:val="none"/>
              </w:rPr>
            </w:pPr>
          </w:p>
        </w:tc>
      </w:tr>
    </w:tbl>
    <w:p>
      <w:pPr>
        <w:spacing w:line="440" w:lineRule="exact"/>
        <w:rPr>
          <w:rFonts w:ascii="宋体"/>
          <w:b/>
          <w:color w:val="auto"/>
          <w:szCs w:val="21"/>
          <w:highlight w:val="none"/>
        </w:rPr>
      </w:pPr>
      <w:r>
        <w:rPr>
          <w:rFonts w:hint="eastAsia" w:ascii="宋体"/>
          <w:b/>
          <w:color w:val="auto"/>
          <w:szCs w:val="21"/>
          <w:highlight w:val="none"/>
        </w:rPr>
        <w:t>注：1、计算评标基准价的下浮率从2%、2.5%、3%、3.5%、4%、4.5%、5%中随机抽取</w:t>
      </w:r>
    </w:p>
    <w:p>
      <w:pPr>
        <w:spacing w:line="440" w:lineRule="exact"/>
        <w:rPr>
          <w:rFonts w:ascii="宋体"/>
          <w:color w:val="auto"/>
          <w:szCs w:val="21"/>
          <w:highlight w:val="none"/>
        </w:rPr>
      </w:pPr>
      <w:r>
        <w:rPr>
          <w:rFonts w:hint="eastAsia" w:ascii="宋体"/>
          <w:b/>
          <w:color w:val="auto"/>
          <w:szCs w:val="21"/>
          <w:highlight w:val="none"/>
        </w:rPr>
        <w:t xml:space="preserve">    2、球号根据交易中心提供号球填写，如提供的球为1、2、3、4、5、6、7，则按从小到大的顺序对应填写1、2、3、4、5、6、7；如提供的球号2、2.5、3、3.5、4、4.5、5，则对应填写2、2.5、3、3.5、4、4.5、5。</w:t>
      </w:r>
    </w:p>
    <w:p>
      <w:pPr>
        <w:spacing w:line="440" w:lineRule="exact"/>
        <w:rPr>
          <w:rFonts w:ascii="宋体"/>
          <w:color w:val="auto"/>
          <w:szCs w:val="21"/>
          <w:highlight w:val="none"/>
        </w:rPr>
      </w:pPr>
    </w:p>
    <w:p>
      <w:pPr>
        <w:spacing w:line="440" w:lineRule="exact"/>
        <w:rPr>
          <w:rFonts w:ascii="宋体"/>
          <w:color w:val="auto"/>
          <w:szCs w:val="21"/>
          <w:highlight w:val="none"/>
        </w:rPr>
      </w:pPr>
      <w:r>
        <w:rPr>
          <w:rFonts w:hint="eastAsia" w:ascii="宋体"/>
          <w:color w:val="auto"/>
          <w:szCs w:val="21"/>
          <w:highlight w:val="none"/>
        </w:rPr>
        <w:t xml:space="preserve">监标人：             </w:t>
      </w:r>
    </w:p>
    <w:p>
      <w:pPr>
        <w:spacing w:line="440" w:lineRule="exact"/>
        <w:rPr>
          <w:rFonts w:ascii="宋体"/>
          <w:color w:val="auto"/>
          <w:szCs w:val="21"/>
          <w:highlight w:val="none"/>
        </w:rPr>
      </w:pPr>
    </w:p>
    <w:p>
      <w:pPr>
        <w:spacing w:line="440" w:lineRule="exact"/>
        <w:rPr>
          <w:rFonts w:ascii="宋体"/>
          <w:color w:val="auto"/>
          <w:szCs w:val="21"/>
          <w:highlight w:val="none"/>
        </w:rPr>
      </w:pPr>
      <w:r>
        <w:rPr>
          <w:rFonts w:hint="eastAsia" w:ascii="宋体"/>
          <w:color w:val="auto"/>
          <w:szCs w:val="21"/>
          <w:highlight w:val="none"/>
        </w:rPr>
        <w:t xml:space="preserve">招标代理记录人：              </w:t>
      </w:r>
    </w:p>
    <w:p>
      <w:pPr>
        <w:spacing w:line="440" w:lineRule="exact"/>
        <w:rPr>
          <w:rFonts w:ascii="宋体"/>
          <w:color w:val="auto"/>
          <w:szCs w:val="21"/>
          <w:highlight w:val="none"/>
        </w:rPr>
      </w:pPr>
    </w:p>
    <w:p>
      <w:pPr>
        <w:spacing w:line="440" w:lineRule="exact"/>
        <w:rPr>
          <w:rFonts w:ascii="宋体"/>
          <w:color w:val="auto"/>
          <w:szCs w:val="21"/>
          <w:highlight w:val="none"/>
        </w:rPr>
      </w:pPr>
      <w:r>
        <w:rPr>
          <w:rFonts w:hint="eastAsia" w:ascii="宋体"/>
          <w:color w:val="auto"/>
          <w:szCs w:val="21"/>
          <w:highlight w:val="none"/>
        </w:rPr>
        <w:t xml:space="preserve">招标代理唱标人:               </w:t>
      </w:r>
    </w:p>
    <w:p>
      <w:pPr>
        <w:spacing w:line="440" w:lineRule="exact"/>
        <w:rPr>
          <w:rFonts w:ascii="宋体"/>
          <w:color w:val="auto"/>
          <w:szCs w:val="21"/>
          <w:highlight w:val="none"/>
        </w:rPr>
      </w:pPr>
    </w:p>
    <w:p>
      <w:pPr>
        <w:spacing w:line="440" w:lineRule="exact"/>
        <w:rPr>
          <w:rFonts w:ascii="宋体"/>
          <w:color w:val="auto"/>
          <w:szCs w:val="21"/>
          <w:highlight w:val="none"/>
        </w:rPr>
      </w:pPr>
      <w:r>
        <w:rPr>
          <w:rFonts w:hint="eastAsia" w:ascii="宋体"/>
          <w:color w:val="auto"/>
          <w:szCs w:val="21"/>
          <w:highlight w:val="none"/>
        </w:rPr>
        <w:t xml:space="preserve">见证人:              </w:t>
      </w:r>
    </w:p>
    <w:p>
      <w:pPr>
        <w:spacing w:line="440" w:lineRule="exact"/>
        <w:rPr>
          <w:rFonts w:ascii="宋体"/>
          <w:color w:val="auto"/>
          <w:szCs w:val="21"/>
          <w:highlight w:val="none"/>
        </w:rPr>
      </w:pPr>
    </w:p>
    <w:p>
      <w:pPr>
        <w:spacing w:line="440" w:lineRule="exact"/>
        <w:rPr>
          <w:rFonts w:ascii="宋体"/>
          <w:color w:val="auto"/>
          <w:szCs w:val="21"/>
          <w:highlight w:val="none"/>
        </w:rPr>
      </w:pPr>
      <w:r>
        <w:rPr>
          <w:rFonts w:hint="eastAsia" w:ascii="宋体"/>
          <w:color w:val="auto"/>
          <w:szCs w:val="21"/>
          <w:highlight w:val="none"/>
        </w:rPr>
        <w:t>日期:     年  月  日</w:t>
      </w:r>
      <w:r>
        <w:rPr>
          <w:rFonts w:ascii="宋体"/>
          <w:color w:val="auto"/>
          <w:highlight w:val="none"/>
        </w:rPr>
        <w:br w:type="page"/>
      </w:r>
    </w:p>
    <w:p>
      <w:pPr>
        <w:spacing w:line="360" w:lineRule="auto"/>
        <w:jc w:val="left"/>
        <w:outlineLvl w:val="2"/>
        <w:rPr>
          <w:rFonts w:ascii="宋体"/>
          <w:color w:val="auto"/>
          <w:sz w:val="28"/>
          <w:szCs w:val="27"/>
          <w:highlight w:val="none"/>
        </w:rPr>
      </w:pPr>
      <w:bookmarkStart w:id="108" w:name="_Toc144974549"/>
      <w:bookmarkStart w:id="109" w:name="_Toc17556879"/>
      <w:bookmarkStart w:id="110" w:name="_Toc17451104"/>
      <w:bookmarkStart w:id="111" w:name="_Toc152042359"/>
      <w:bookmarkStart w:id="112" w:name="_Toc246996968"/>
      <w:bookmarkStart w:id="113" w:name="_Toc17451626"/>
      <w:bookmarkStart w:id="114" w:name="_Toc75788601"/>
      <w:bookmarkStart w:id="115" w:name="_Toc22548"/>
      <w:bookmarkStart w:id="116" w:name="_Toc17454925"/>
      <w:bookmarkStart w:id="117" w:name="_Toc17452667"/>
      <w:bookmarkStart w:id="118" w:name="_Toc247085740"/>
      <w:bookmarkStart w:id="119" w:name="_Toc17454874"/>
      <w:bookmarkStart w:id="120" w:name="_Toc17451581"/>
      <w:bookmarkStart w:id="121" w:name="_Toc179632600"/>
      <w:bookmarkStart w:id="122" w:name="_Toc246996225"/>
      <w:bookmarkStart w:id="123" w:name="_Toc152045582"/>
      <w:bookmarkStart w:id="124" w:name="_Toc8301"/>
      <w:bookmarkStart w:id="125" w:name="_Toc332641307"/>
      <w:r>
        <w:rPr>
          <w:rFonts w:ascii="宋体"/>
          <w:color w:val="auto"/>
          <w:sz w:val="28"/>
          <w:szCs w:val="27"/>
          <w:highlight w:val="none"/>
        </w:rPr>
        <w:t>附</w:t>
      </w:r>
      <w:r>
        <w:rPr>
          <w:rFonts w:hint="eastAsia" w:ascii="宋体"/>
          <w:color w:val="auto"/>
          <w:sz w:val="28"/>
          <w:szCs w:val="27"/>
          <w:highlight w:val="none"/>
        </w:rPr>
        <w:t>件</w:t>
      </w:r>
      <w:r>
        <w:rPr>
          <w:rFonts w:ascii="宋体"/>
          <w:color w:val="auto"/>
          <w:sz w:val="28"/>
          <w:szCs w:val="27"/>
          <w:highlight w:val="none"/>
        </w:rPr>
        <w:t>二：问题澄清通知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440" w:lineRule="exact"/>
        <w:jc w:val="center"/>
        <w:rPr>
          <w:rFonts w:ascii="宋体"/>
          <w:color w:val="auto"/>
          <w:szCs w:val="21"/>
          <w:highlight w:val="none"/>
        </w:rPr>
      </w:pPr>
    </w:p>
    <w:p>
      <w:pPr>
        <w:spacing w:line="440" w:lineRule="exact"/>
        <w:jc w:val="center"/>
        <w:rPr>
          <w:rFonts w:ascii="宋体"/>
          <w:b/>
          <w:color w:val="auto"/>
          <w:sz w:val="36"/>
          <w:szCs w:val="28"/>
          <w:highlight w:val="none"/>
        </w:rPr>
      </w:pPr>
      <w:r>
        <w:rPr>
          <w:rFonts w:ascii="宋体"/>
          <w:b/>
          <w:color w:val="auto"/>
          <w:sz w:val="36"/>
          <w:szCs w:val="28"/>
          <w:highlight w:val="none"/>
        </w:rPr>
        <w:t>问题澄清通知</w:t>
      </w:r>
    </w:p>
    <w:p>
      <w:pPr>
        <w:spacing w:line="440" w:lineRule="exact"/>
        <w:jc w:val="center"/>
        <w:rPr>
          <w:rFonts w:ascii="宋体"/>
          <w:color w:val="auto"/>
          <w:szCs w:val="21"/>
          <w:highlight w:val="none"/>
        </w:rPr>
      </w:pPr>
      <w:r>
        <w:rPr>
          <w:rFonts w:ascii="宋体"/>
          <w:color w:val="auto"/>
          <w:szCs w:val="21"/>
          <w:highlight w:val="none"/>
        </w:rPr>
        <w:t>编号：</w:t>
      </w:r>
      <w:r>
        <w:rPr>
          <w:rFonts w:hint="eastAsia" w:ascii="宋体"/>
          <w:color w:val="auto"/>
          <w:szCs w:val="21"/>
          <w:highlight w:val="none"/>
        </w:rPr>
        <w:t>__________________________</w:t>
      </w:r>
    </w:p>
    <w:p>
      <w:pPr>
        <w:spacing w:line="440" w:lineRule="exact"/>
        <w:rPr>
          <w:rFonts w:ascii="宋体"/>
          <w:color w:val="auto"/>
          <w:szCs w:val="21"/>
          <w:highlight w:val="none"/>
        </w:rPr>
      </w:pPr>
    </w:p>
    <w:p>
      <w:pPr>
        <w:spacing w:line="440" w:lineRule="exact"/>
        <w:rPr>
          <w:rFonts w:ascii="宋体"/>
          <w:color w:val="auto"/>
          <w:sz w:val="24"/>
          <w:szCs w:val="21"/>
          <w:highlight w:val="none"/>
        </w:rPr>
      </w:pPr>
      <w:r>
        <w:rPr>
          <w:rFonts w:ascii="宋体"/>
          <w:color w:val="auto"/>
          <w:sz w:val="24"/>
          <w:szCs w:val="21"/>
          <w:highlight w:val="none"/>
        </w:rPr>
        <w:t>（投标人名称）：</w:t>
      </w:r>
    </w:p>
    <w:p>
      <w:pPr>
        <w:spacing w:line="440" w:lineRule="exact"/>
        <w:rPr>
          <w:rFonts w:ascii="宋体"/>
          <w:color w:val="auto"/>
          <w:szCs w:val="21"/>
          <w:highlight w:val="none"/>
        </w:rPr>
      </w:pPr>
    </w:p>
    <w:p>
      <w:pPr>
        <w:snapToGrid w:val="0"/>
        <w:spacing w:line="360" w:lineRule="auto"/>
        <w:ind w:firstLine="480" w:firstLineChars="200"/>
        <w:rPr>
          <w:rFonts w:ascii="宋体"/>
          <w:color w:val="auto"/>
          <w:sz w:val="24"/>
          <w:highlight w:val="none"/>
        </w:rPr>
      </w:pPr>
      <w:r>
        <w:rPr>
          <w:rFonts w:ascii="宋体"/>
          <w:color w:val="auto"/>
          <w:sz w:val="24"/>
          <w:highlight w:val="none"/>
          <w:u w:val="single"/>
        </w:rPr>
        <w:t xml:space="preserve">　              </w:t>
      </w:r>
      <w:r>
        <w:rPr>
          <w:rFonts w:ascii="宋体"/>
          <w:color w:val="auto"/>
          <w:sz w:val="24"/>
          <w:highlight w:val="none"/>
        </w:rPr>
        <w:t>（项目名称）招标的评标委员会，对你方的投标文件进行了仔细的审查，现需你方对下列问题以书面形式予以澄清：</w:t>
      </w:r>
    </w:p>
    <w:p>
      <w:pPr>
        <w:snapToGrid w:val="0"/>
        <w:spacing w:line="360" w:lineRule="auto"/>
        <w:ind w:firstLine="480" w:firstLineChars="200"/>
        <w:rPr>
          <w:rFonts w:ascii="宋体"/>
          <w:color w:val="auto"/>
          <w:sz w:val="24"/>
          <w:highlight w:val="none"/>
        </w:rPr>
      </w:pPr>
      <w:r>
        <w:rPr>
          <w:rFonts w:ascii="宋体"/>
          <w:color w:val="auto"/>
          <w:sz w:val="24"/>
          <w:highlight w:val="none"/>
        </w:rPr>
        <w:t>1.</w:t>
      </w:r>
    </w:p>
    <w:p>
      <w:pPr>
        <w:snapToGrid w:val="0"/>
        <w:spacing w:line="360" w:lineRule="auto"/>
        <w:ind w:firstLine="480" w:firstLineChars="200"/>
        <w:rPr>
          <w:rFonts w:ascii="宋体"/>
          <w:color w:val="auto"/>
          <w:sz w:val="24"/>
          <w:highlight w:val="none"/>
        </w:rPr>
      </w:pPr>
      <w:r>
        <w:rPr>
          <w:rFonts w:ascii="宋体"/>
          <w:color w:val="auto"/>
          <w:sz w:val="24"/>
          <w:highlight w:val="none"/>
        </w:rPr>
        <w:t>2.</w:t>
      </w:r>
    </w:p>
    <w:p>
      <w:pPr>
        <w:snapToGrid w:val="0"/>
        <w:spacing w:line="360" w:lineRule="auto"/>
        <w:ind w:firstLine="480" w:firstLineChars="200"/>
        <w:rPr>
          <w:rFonts w:ascii="宋体"/>
          <w:color w:val="auto"/>
          <w:sz w:val="24"/>
          <w:highlight w:val="none"/>
        </w:rPr>
      </w:pPr>
      <w:r>
        <w:rPr>
          <w:rFonts w:ascii="宋体"/>
          <w:color w:val="auto"/>
          <w:sz w:val="24"/>
          <w:highlight w:val="none"/>
        </w:rPr>
        <w:t>......</w:t>
      </w:r>
    </w:p>
    <w:p>
      <w:pPr>
        <w:spacing w:line="440" w:lineRule="exact"/>
        <w:rPr>
          <w:rFonts w:ascii="宋体"/>
          <w:color w:val="auto"/>
          <w:sz w:val="24"/>
          <w:szCs w:val="24"/>
          <w:highlight w:val="none"/>
        </w:rPr>
      </w:pPr>
      <w:r>
        <w:rPr>
          <w:rFonts w:ascii="宋体"/>
          <w:color w:val="auto"/>
          <w:sz w:val="24"/>
          <w:szCs w:val="24"/>
          <w:highlight w:val="none"/>
        </w:rPr>
        <w:t>　　请将上述问题的澄清于年月日时前递交至（详细地址）</w:t>
      </w:r>
      <w:r>
        <w:rPr>
          <w:rFonts w:hint="eastAsia" w:ascii="宋体"/>
          <w:color w:val="auto"/>
          <w:sz w:val="24"/>
          <w:szCs w:val="24"/>
          <w:highlight w:val="none"/>
        </w:rPr>
        <w:t>或传真至（传真号码）。采用传真方式的，应在</w:t>
      </w:r>
      <w:r>
        <w:rPr>
          <w:rFonts w:ascii="宋体"/>
          <w:color w:val="auto"/>
          <w:sz w:val="24"/>
          <w:szCs w:val="24"/>
          <w:highlight w:val="none"/>
        </w:rPr>
        <w:t>年月日</w:t>
      </w:r>
      <w:r>
        <w:rPr>
          <w:rFonts w:hint="eastAsia" w:ascii="宋体"/>
          <w:color w:val="auto"/>
          <w:sz w:val="24"/>
          <w:szCs w:val="24"/>
          <w:highlight w:val="none"/>
        </w:rPr>
        <w:t>时前将原件递交至</w:t>
      </w:r>
      <w:r>
        <w:rPr>
          <w:rFonts w:ascii="宋体"/>
          <w:color w:val="auto"/>
          <w:sz w:val="24"/>
          <w:szCs w:val="24"/>
          <w:highlight w:val="none"/>
        </w:rPr>
        <w:t>（详细地址）。</w:t>
      </w:r>
    </w:p>
    <w:p>
      <w:pPr>
        <w:spacing w:line="440" w:lineRule="exact"/>
        <w:rPr>
          <w:rFonts w:ascii="宋体"/>
          <w:color w:val="auto"/>
          <w:szCs w:val="21"/>
          <w:highlight w:val="none"/>
        </w:rPr>
      </w:pPr>
    </w:p>
    <w:p>
      <w:pPr>
        <w:spacing w:line="440" w:lineRule="exact"/>
        <w:rPr>
          <w:rFonts w:ascii="宋体"/>
          <w:color w:val="auto"/>
          <w:szCs w:val="21"/>
          <w:highlight w:val="none"/>
        </w:rPr>
      </w:pPr>
    </w:p>
    <w:p>
      <w:pPr>
        <w:spacing w:line="440" w:lineRule="exact"/>
        <w:rPr>
          <w:rFonts w:ascii="宋体"/>
          <w:color w:val="auto"/>
          <w:szCs w:val="21"/>
          <w:highlight w:val="none"/>
        </w:rPr>
      </w:pPr>
    </w:p>
    <w:p>
      <w:pPr>
        <w:spacing w:line="360" w:lineRule="auto"/>
        <w:jc w:val="right"/>
        <w:rPr>
          <w:rFonts w:ascii="宋体"/>
          <w:color w:val="auto"/>
          <w:sz w:val="24"/>
          <w:szCs w:val="24"/>
          <w:highlight w:val="none"/>
        </w:rPr>
      </w:pPr>
      <w:r>
        <w:rPr>
          <w:rFonts w:hint="eastAsia" w:ascii="宋体"/>
          <w:color w:val="auto"/>
          <w:sz w:val="24"/>
          <w:szCs w:val="24"/>
          <w:highlight w:val="none"/>
        </w:rPr>
        <w:t>招标人或招标代理机构</w:t>
      </w:r>
      <w:r>
        <w:rPr>
          <w:rFonts w:ascii="宋体"/>
          <w:color w:val="auto"/>
          <w:sz w:val="24"/>
          <w:szCs w:val="24"/>
          <w:highlight w:val="none"/>
        </w:rPr>
        <w:t>：</w:t>
      </w:r>
      <w:r>
        <w:rPr>
          <w:rFonts w:ascii="宋体"/>
          <w:color w:val="auto"/>
          <w:sz w:val="24"/>
          <w:szCs w:val="24"/>
          <w:highlight w:val="none"/>
          <w:u w:val="single"/>
        </w:rPr>
        <w:t xml:space="preserve">           （签字</w:t>
      </w:r>
      <w:r>
        <w:rPr>
          <w:rFonts w:hint="eastAsia" w:ascii="宋体"/>
          <w:color w:val="auto"/>
          <w:sz w:val="24"/>
          <w:szCs w:val="24"/>
          <w:highlight w:val="none"/>
          <w:u w:val="single"/>
        </w:rPr>
        <w:t>或盖章</w:t>
      </w:r>
      <w:r>
        <w:rPr>
          <w:rFonts w:ascii="宋体"/>
          <w:color w:val="auto"/>
          <w:sz w:val="24"/>
          <w:szCs w:val="24"/>
          <w:highlight w:val="none"/>
          <w:u w:val="single"/>
        </w:rPr>
        <w:t>）</w:t>
      </w:r>
    </w:p>
    <w:p>
      <w:pPr>
        <w:spacing w:line="360" w:lineRule="auto"/>
        <w:ind w:firstLine="3480" w:firstLineChars="1450"/>
        <w:jc w:val="right"/>
        <w:rPr>
          <w:rFonts w:ascii="宋体"/>
          <w:color w:val="auto"/>
          <w:sz w:val="24"/>
          <w:szCs w:val="24"/>
          <w:highlight w:val="none"/>
        </w:rPr>
      </w:pPr>
      <w:r>
        <w:rPr>
          <w:rFonts w:ascii="宋体"/>
          <w:color w:val="auto"/>
          <w:sz w:val="24"/>
          <w:szCs w:val="24"/>
          <w:highlight w:val="none"/>
        </w:rPr>
        <w:t>年 月 日</w:t>
      </w:r>
    </w:p>
    <w:p>
      <w:pPr>
        <w:spacing w:line="400" w:lineRule="exact"/>
        <w:rPr>
          <w:rFonts w:ascii="宋体"/>
          <w:color w:val="auto"/>
          <w:highlight w:val="none"/>
        </w:rPr>
      </w:pPr>
      <w:r>
        <w:rPr>
          <w:rFonts w:ascii="宋体"/>
          <w:color w:val="auto"/>
          <w:highlight w:val="none"/>
        </w:rPr>
        <w:br w:type="page"/>
      </w:r>
    </w:p>
    <w:p>
      <w:pPr>
        <w:spacing w:line="360" w:lineRule="auto"/>
        <w:jc w:val="left"/>
        <w:outlineLvl w:val="2"/>
        <w:rPr>
          <w:rFonts w:ascii="宋体"/>
          <w:color w:val="auto"/>
          <w:sz w:val="28"/>
          <w:szCs w:val="27"/>
          <w:highlight w:val="none"/>
        </w:rPr>
      </w:pPr>
      <w:bookmarkStart w:id="126" w:name="_Toc152042360"/>
      <w:bookmarkStart w:id="127" w:name="_Toc7433"/>
      <w:bookmarkStart w:id="128" w:name="_Toc144974550"/>
      <w:bookmarkStart w:id="129" w:name="_Toc17451105"/>
      <w:bookmarkStart w:id="130" w:name="_Toc247085741"/>
      <w:bookmarkStart w:id="131" w:name="_Toc17452668"/>
      <w:bookmarkStart w:id="132" w:name="_Toc246996226"/>
      <w:bookmarkStart w:id="133" w:name="_Toc17454926"/>
      <w:bookmarkStart w:id="134" w:name="_Toc152045583"/>
      <w:bookmarkStart w:id="135" w:name="_Toc179632601"/>
      <w:bookmarkStart w:id="136" w:name="_Toc17451627"/>
      <w:bookmarkStart w:id="137" w:name="_Toc17451582"/>
      <w:bookmarkStart w:id="138" w:name="_Toc246996969"/>
      <w:bookmarkStart w:id="139" w:name="_Toc17454875"/>
      <w:bookmarkStart w:id="140" w:name="_Toc75788602"/>
      <w:bookmarkStart w:id="141" w:name="_Toc17556880"/>
      <w:bookmarkStart w:id="142" w:name="_Toc21360"/>
      <w:bookmarkStart w:id="143" w:name="_Toc332641308"/>
      <w:r>
        <w:rPr>
          <w:rFonts w:hint="eastAsia" w:ascii="宋体"/>
          <w:color w:val="auto"/>
          <w:sz w:val="28"/>
          <w:szCs w:val="27"/>
          <w:highlight w:val="none"/>
        </w:rPr>
        <w:t>附件三：问题的澄清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spacing w:line="400" w:lineRule="exact"/>
        <w:jc w:val="center"/>
        <w:rPr>
          <w:rFonts w:ascii="宋体"/>
          <w:color w:val="auto"/>
          <w:sz w:val="28"/>
          <w:szCs w:val="28"/>
          <w:highlight w:val="none"/>
        </w:rPr>
      </w:pPr>
    </w:p>
    <w:p>
      <w:pPr>
        <w:spacing w:line="360" w:lineRule="auto"/>
        <w:jc w:val="center"/>
        <w:rPr>
          <w:rFonts w:ascii="宋体"/>
          <w:b/>
          <w:color w:val="auto"/>
          <w:sz w:val="36"/>
          <w:szCs w:val="24"/>
          <w:highlight w:val="none"/>
        </w:rPr>
      </w:pPr>
      <w:r>
        <w:rPr>
          <w:rFonts w:hint="eastAsia" w:ascii="宋体"/>
          <w:b/>
          <w:color w:val="auto"/>
          <w:sz w:val="36"/>
          <w:szCs w:val="24"/>
          <w:highlight w:val="none"/>
        </w:rPr>
        <w:t>问题的澄清</w:t>
      </w:r>
    </w:p>
    <w:p>
      <w:pPr>
        <w:spacing w:line="360" w:lineRule="auto"/>
        <w:jc w:val="center"/>
        <w:rPr>
          <w:rFonts w:ascii="宋体"/>
          <w:color w:val="auto"/>
          <w:sz w:val="24"/>
          <w:szCs w:val="24"/>
          <w:highlight w:val="none"/>
        </w:rPr>
      </w:pPr>
      <w:r>
        <w:rPr>
          <w:rFonts w:hint="eastAsia" w:ascii="宋体"/>
          <w:color w:val="auto"/>
          <w:sz w:val="24"/>
          <w:szCs w:val="24"/>
          <w:highlight w:val="none"/>
        </w:rPr>
        <w:t>编号：_____________________</w:t>
      </w:r>
    </w:p>
    <w:p>
      <w:pPr>
        <w:spacing w:line="360" w:lineRule="auto"/>
        <w:rPr>
          <w:rFonts w:ascii="宋体"/>
          <w:color w:val="auto"/>
          <w:sz w:val="24"/>
          <w:szCs w:val="24"/>
          <w:highlight w:val="none"/>
        </w:rPr>
      </w:pPr>
    </w:p>
    <w:p>
      <w:pPr>
        <w:spacing w:line="440" w:lineRule="exact"/>
        <w:rPr>
          <w:rFonts w:ascii="宋体"/>
          <w:color w:val="auto"/>
          <w:sz w:val="24"/>
          <w:szCs w:val="24"/>
          <w:highlight w:val="none"/>
        </w:rPr>
      </w:pPr>
      <w:r>
        <w:rPr>
          <w:rFonts w:ascii="宋体"/>
          <w:color w:val="auto"/>
          <w:sz w:val="24"/>
          <w:szCs w:val="24"/>
          <w:highlight w:val="none"/>
          <w:u w:val="single"/>
        </w:rPr>
        <w:t xml:space="preserve">                  （</w:t>
      </w:r>
      <w:r>
        <w:rPr>
          <w:rFonts w:ascii="宋体"/>
          <w:color w:val="auto"/>
          <w:sz w:val="24"/>
          <w:szCs w:val="24"/>
          <w:highlight w:val="none"/>
        </w:rPr>
        <w:t>项目名称）招标评标委员会：</w:t>
      </w:r>
    </w:p>
    <w:p>
      <w:pPr>
        <w:snapToGrid w:val="0"/>
        <w:spacing w:line="360" w:lineRule="auto"/>
        <w:ind w:firstLine="480" w:firstLineChars="200"/>
        <w:rPr>
          <w:rFonts w:ascii="宋体"/>
          <w:color w:val="auto"/>
          <w:sz w:val="24"/>
          <w:highlight w:val="none"/>
        </w:rPr>
      </w:pPr>
    </w:p>
    <w:p>
      <w:pPr>
        <w:snapToGrid w:val="0"/>
        <w:spacing w:line="360" w:lineRule="auto"/>
        <w:ind w:firstLine="480" w:firstLineChars="200"/>
        <w:rPr>
          <w:rFonts w:ascii="宋体"/>
          <w:color w:val="auto"/>
          <w:sz w:val="24"/>
          <w:highlight w:val="none"/>
        </w:rPr>
      </w:pPr>
      <w:r>
        <w:rPr>
          <w:rFonts w:ascii="宋体"/>
          <w:color w:val="auto"/>
          <w:sz w:val="24"/>
          <w:highlight w:val="none"/>
        </w:rPr>
        <w:t>问题澄清通知（编号：</w:t>
      </w:r>
      <w:r>
        <w:rPr>
          <w:rFonts w:hint="eastAsia" w:ascii="宋体"/>
          <w:color w:val="auto"/>
          <w:sz w:val="24"/>
          <w:highlight w:val="none"/>
        </w:rPr>
        <w:t>______</w:t>
      </w:r>
      <w:r>
        <w:rPr>
          <w:rFonts w:ascii="宋体"/>
          <w:color w:val="auto"/>
          <w:sz w:val="24"/>
          <w:highlight w:val="none"/>
        </w:rPr>
        <w:t>）已收悉，现澄清如下：</w:t>
      </w:r>
    </w:p>
    <w:p>
      <w:pPr>
        <w:snapToGrid w:val="0"/>
        <w:spacing w:line="360" w:lineRule="auto"/>
        <w:ind w:firstLine="480" w:firstLineChars="200"/>
        <w:rPr>
          <w:rFonts w:ascii="宋体"/>
          <w:color w:val="auto"/>
          <w:sz w:val="24"/>
          <w:highlight w:val="none"/>
        </w:rPr>
      </w:pPr>
      <w:r>
        <w:rPr>
          <w:rFonts w:ascii="宋体"/>
          <w:color w:val="auto"/>
          <w:sz w:val="24"/>
          <w:highlight w:val="none"/>
        </w:rPr>
        <w:t>1.</w:t>
      </w:r>
    </w:p>
    <w:p>
      <w:pPr>
        <w:snapToGrid w:val="0"/>
        <w:spacing w:line="360" w:lineRule="auto"/>
        <w:ind w:firstLine="480" w:firstLineChars="200"/>
        <w:rPr>
          <w:rFonts w:ascii="宋体"/>
          <w:color w:val="auto"/>
          <w:sz w:val="24"/>
          <w:highlight w:val="none"/>
        </w:rPr>
      </w:pPr>
      <w:r>
        <w:rPr>
          <w:rFonts w:ascii="宋体"/>
          <w:color w:val="auto"/>
          <w:sz w:val="24"/>
          <w:highlight w:val="none"/>
        </w:rPr>
        <w:t>2.</w:t>
      </w:r>
    </w:p>
    <w:p>
      <w:pPr>
        <w:snapToGrid w:val="0"/>
        <w:spacing w:line="360" w:lineRule="auto"/>
        <w:ind w:firstLine="480" w:firstLineChars="200"/>
        <w:rPr>
          <w:rFonts w:ascii="宋体"/>
          <w:color w:val="auto"/>
          <w:sz w:val="24"/>
          <w:highlight w:val="none"/>
        </w:rPr>
      </w:pPr>
      <w:r>
        <w:rPr>
          <w:rFonts w:ascii="宋体"/>
          <w:color w:val="auto"/>
          <w:sz w:val="24"/>
          <w:highlight w:val="none"/>
        </w:rPr>
        <w:t>.....</w:t>
      </w:r>
    </w:p>
    <w:p>
      <w:pPr>
        <w:snapToGrid w:val="0"/>
        <w:spacing w:line="360" w:lineRule="auto"/>
        <w:ind w:firstLine="480" w:firstLineChars="200"/>
        <w:rPr>
          <w:rFonts w:ascii="宋体"/>
          <w:color w:val="auto"/>
          <w:sz w:val="24"/>
          <w:highlight w:val="none"/>
        </w:rPr>
      </w:pPr>
    </w:p>
    <w:p>
      <w:pPr>
        <w:snapToGrid w:val="0"/>
        <w:spacing w:line="360" w:lineRule="auto"/>
        <w:ind w:firstLine="480" w:firstLineChars="200"/>
        <w:rPr>
          <w:rFonts w:ascii="宋体"/>
          <w:color w:val="auto"/>
          <w:sz w:val="24"/>
          <w:highlight w:val="none"/>
        </w:rPr>
      </w:pPr>
    </w:p>
    <w:p>
      <w:pPr>
        <w:spacing w:line="440" w:lineRule="exact"/>
        <w:rPr>
          <w:rFonts w:ascii="宋体"/>
          <w:color w:val="auto"/>
          <w:sz w:val="24"/>
          <w:szCs w:val="24"/>
          <w:highlight w:val="none"/>
        </w:rPr>
      </w:pPr>
    </w:p>
    <w:p>
      <w:pPr>
        <w:spacing w:line="440" w:lineRule="exact"/>
        <w:rPr>
          <w:rFonts w:ascii="宋体"/>
          <w:color w:val="auto"/>
          <w:sz w:val="24"/>
          <w:szCs w:val="24"/>
          <w:highlight w:val="none"/>
        </w:rPr>
      </w:pPr>
    </w:p>
    <w:p>
      <w:pPr>
        <w:spacing w:line="440" w:lineRule="exact"/>
        <w:rPr>
          <w:rFonts w:ascii="宋体"/>
          <w:color w:val="auto"/>
          <w:sz w:val="24"/>
          <w:szCs w:val="24"/>
          <w:highlight w:val="none"/>
        </w:rPr>
      </w:pPr>
    </w:p>
    <w:p>
      <w:pPr>
        <w:spacing w:line="440" w:lineRule="exact"/>
        <w:rPr>
          <w:rFonts w:ascii="宋体"/>
          <w:color w:val="auto"/>
          <w:sz w:val="24"/>
          <w:szCs w:val="24"/>
          <w:highlight w:val="none"/>
        </w:rPr>
      </w:pPr>
    </w:p>
    <w:p>
      <w:pPr>
        <w:spacing w:line="440" w:lineRule="exact"/>
        <w:jc w:val="right"/>
        <w:rPr>
          <w:rFonts w:ascii="宋体"/>
          <w:color w:val="auto"/>
          <w:sz w:val="24"/>
          <w:szCs w:val="24"/>
          <w:highlight w:val="none"/>
        </w:rPr>
      </w:pPr>
      <w:r>
        <w:rPr>
          <w:rFonts w:ascii="宋体"/>
          <w:color w:val="auto"/>
          <w:sz w:val="24"/>
          <w:szCs w:val="24"/>
          <w:highlight w:val="none"/>
        </w:rPr>
        <w:t>投标人：（盖单位章）</w:t>
      </w:r>
    </w:p>
    <w:p>
      <w:pPr>
        <w:spacing w:line="440" w:lineRule="exact"/>
        <w:jc w:val="right"/>
        <w:rPr>
          <w:rFonts w:ascii="宋体"/>
          <w:color w:val="auto"/>
          <w:sz w:val="24"/>
          <w:szCs w:val="24"/>
          <w:highlight w:val="none"/>
        </w:rPr>
      </w:pPr>
      <w:r>
        <w:rPr>
          <w:rFonts w:ascii="宋体"/>
          <w:color w:val="auto"/>
          <w:sz w:val="24"/>
          <w:szCs w:val="24"/>
          <w:highlight w:val="none"/>
        </w:rPr>
        <w:t>法定代表人或其委托代理人：（签字）</w:t>
      </w:r>
    </w:p>
    <w:p>
      <w:pPr>
        <w:spacing w:line="440" w:lineRule="exact"/>
        <w:jc w:val="right"/>
        <w:rPr>
          <w:rFonts w:ascii="宋体"/>
          <w:color w:val="auto"/>
          <w:sz w:val="24"/>
          <w:szCs w:val="24"/>
          <w:highlight w:val="none"/>
        </w:rPr>
      </w:pPr>
      <w:r>
        <w:rPr>
          <w:rFonts w:ascii="宋体"/>
          <w:color w:val="auto"/>
          <w:sz w:val="24"/>
          <w:szCs w:val="24"/>
          <w:highlight w:val="none"/>
        </w:rPr>
        <w:t>年月日</w:t>
      </w:r>
    </w:p>
    <w:p>
      <w:pPr>
        <w:spacing w:line="400" w:lineRule="exact"/>
        <w:rPr>
          <w:rFonts w:ascii="宋体"/>
          <w:color w:val="auto"/>
          <w:sz w:val="24"/>
          <w:szCs w:val="24"/>
          <w:highlight w:val="none"/>
        </w:rPr>
      </w:pPr>
    </w:p>
    <w:p>
      <w:pPr>
        <w:spacing w:line="400" w:lineRule="exact"/>
        <w:rPr>
          <w:rFonts w:ascii="宋体"/>
          <w:color w:val="auto"/>
          <w:sz w:val="24"/>
          <w:szCs w:val="24"/>
          <w:highlight w:val="none"/>
        </w:rPr>
      </w:pPr>
      <w:r>
        <w:rPr>
          <w:rFonts w:ascii="宋体"/>
          <w:color w:val="auto"/>
          <w:sz w:val="24"/>
          <w:szCs w:val="24"/>
          <w:highlight w:val="none"/>
        </w:rPr>
        <w:br w:type="page"/>
      </w:r>
    </w:p>
    <w:p>
      <w:pPr>
        <w:spacing w:line="360" w:lineRule="auto"/>
        <w:jc w:val="left"/>
        <w:outlineLvl w:val="2"/>
        <w:rPr>
          <w:rFonts w:ascii="宋体"/>
          <w:color w:val="auto"/>
          <w:sz w:val="28"/>
          <w:szCs w:val="27"/>
          <w:highlight w:val="none"/>
        </w:rPr>
      </w:pPr>
      <w:bookmarkStart w:id="144" w:name="_Toc17452669"/>
      <w:bookmarkStart w:id="145" w:name="_Toc17451628"/>
      <w:bookmarkStart w:id="146" w:name="_Toc246996227"/>
      <w:bookmarkStart w:id="147" w:name="_Toc26131"/>
      <w:bookmarkStart w:id="148" w:name="_Toc17454927"/>
      <w:bookmarkStart w:id="149" w:name="_Toc17454876"/>
      <w:bookmarkStart w:id="150" w:name="_Toc17451583"/>
      <w:bookmarkStart w:id="151" w:name="_Toc179632602"/>
      <w:bookmarkStart w:id="152" w:name="_Toc152042361"/>
      <w:bookmarkStart w:id="153" w:name="_Toc25244"/>
      <w:bookmarkStart w:id="154" w:name="_Toc247085742"/>
      <w:bookmarkStart w:id="155" w:name="_Toc144974551"/>
      <w:bookmarkStart w:id="156" w:name="_Toc246996970"/>
      <w:bookmarkStart w:id="157" w:name="_Toc332641309"/>
      <w:bookmarkStart w:id="158" w:name="_Toc17556881"/>
      <w:bookmarkStart w:id="159" w:name="_Toc75788603"/>
      <w:bookmarkStart w:id="160" w:name="_Toc17451106"/>
      <w:bookmarkStart w:id="161" w:name="_Toc152045584"/>
      <w:r>
        <w:rPr>
          <w:rFonts w:hint="eastAsia" w:ascii="宋体"/>
          <w:color w:val="auto"/>
          <w:sz w:val="28"/>
          <w:szCs w:val="27"/>
          <w:highlight w:val="none"/>
        </w:rPr>
        <w:t>附件四：中标通知书</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spacing w:line="360" w:lineRule="auto"/>
        <w:rPr>
          <w:rFonts w:ascii="宋体"/>
          <w:color w:val="auto"/>
          <w:sz w:val="24"/>
          <w:highlight w:val="none"/>
        </w:rPr>
      </w:pPr>
    </w:p>
    <w:p>
      <w:pPr>
        <w:spacing w:line="360" w:lineRule="auto"/>
        <w:ind w:firstLine="480" w:firstLineChars="200"/>
        <w:jc w:val="left"/>
        <w:rPr>
          <w:rFonts w:ascii="宋体"/>
          <w:color w:val="auto"/>
          <w:sz w:val="32"/>
          <w:highlight w:val="none"/>
        </w:rPr>
      </w:pPr>
      <w:r>
        <w:rPr>
          <w:rFonts w:hint="eastAsia" w:ascii="宋体"/>
          <w:color w:val="auto"/>
          <w:sz w:val="24"/>
          <w:szCs w:val="21"/>
          <w:highlight w:val="none"/>
          <w:u w:val="single"/>
        </w:rPr>
        <w:t>（说明：中标通知书采用广州公共资源交易中心规定的格式）</w:t>
      </w:r>
    </w:p>
    <w:p>
      <w:pPr>
        <w:spacing w:line="360" w:lineRule="auto"/>
        <w:jc w:val="center"/>
        <w:outlineLvl w:val="1"/>
        <w:rPr>
          <w:rFonts w:ascii="宋体"/>
          <w:color w:val="auto"/>
          <w:sz w:val="32"/>
          <w:szCs w:val="27"/>
          <w:highlight w:val="none"/>
        </w:rPr>
      </w:pPr>
      <w:bookmarkStart w:id="162" w:name="_Toc155150492"/>
      <w:bookmarkStart w:id="163" w:name="_Toc262229168"/>
      <w:r>
        <w:rPr>
          <w:rFonts w:ascii="宋体"/>
          <w:color w:val="auto"/>
          <w:sz w:val="32"/>
          <w:szCs w:val="27"/>
          <w:highlight w:val="none"/>
        </w:rPr>
        <w:br w:type="page"/>
      </w:r>
    </w:p>
    <w:p>
      <w:pPr>
        <w:spacing w:line="360" w:lineRule="auto"/>
        <w:jc w:val="center"/>
        <w:outlineLvl w:val="1"/>
        <w:rPr>
          <w:rFonts w:ascii="宋体"/>
          <w:color w:val="auto"/>
          <w:sz w:val="32"/>
          <w:szCs w:val="27"/>
          <w:highlight w:val="none"/>
        </w:rPr>
      </w:pPr>
      <w:bookmarkStart w:id="164" w:name="_Toc17454877"/>
      <w:bookmarkStart w:id="165" w:name="_Toc17451107"/>
      <w:bookmarkStart w:id="166" w:name="_Toc17452670"/>
      <w:bookmarkStart w:id="167" w:name="_Toc17451629"/>
      <w:bookmarkStart w:id="168" w:name="_Toc17451584"/>
      <w:bookmarkStart w:id="169" w:name="_Toc5971"/>
      <w:bookmarkStart w:id="170" w:name="_Toc17556882"/>
      <w:bookmarkStart w:id="171" w:name="_Toc5308"/>
      <w:bookmarkStart w:id="172" w:name="_Toc75788604"/>
      <w:bookmarkStart w:id="173" w:name="_Toc17454928"/>
      <w:r>
        <w:rPr>
          <w:rFonts w:hint="eastAsia" w:ascii="宋体"/>
          <w:color w:val="auto"/>
          <w:sz w:val="32"/>
          <w:szCs w:val="27"/>
          <w:highlight w:val="none"/>
        </w:rPr>
        <w:t>第三章 评标及定标办法</w:t>
      </w:r>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jc w:val="center"/>
        <w:outlineLvl w:val="2"/>
        <w:rPr>
          <w:rFonts w:ascii="宋体"/>
          <w:color w:val="auto"/>
          <w:sz w:val="28"/>
          <w:szCs w:val="27"/>
          <w:highlight w:val="none"/>
        </w:rPr>
      </w:pPr>
      <w:bookmarkStart w:id="174" w:name="_Toc75788605"/>
      <w:bookmarkStart w:id="175" w:name="_Toc17454929"/>
      <w:bookmarkStart w:id="176" w:name="_Toc17556883"/>
      <w:bookmarkStart w:id="177" w:name="_Toc17290"/>
      <w:bookmarkStart w:id="178" w:name="_Toc17451108"/>
      <w:bookmarkStart w:id="179" w:name="_Toc17451630"/>
      <w:bookmarkStart w:id="180" w:name="_Toc17454878"/>
      <w:bookmarkStart w:id="181" w:name="_Toc30019"/>
      <w:bookmarkStart w:id="182" w:name="_Toc17452671"/>
      <w:bookmarkStart w:id="183" w:name="_Toc17451585"/>
      <w:bookmarkStart w:id="184" w:name="_Toc262229169"/>
      <w:bookmarkStart w:id="185" w:name="_Toc155150493"/>
      <w:r>
        <w:rPr>
          <w:rFonts w:hint="eastAsia" w:ascii="宋体"/>
          <w:color w:val="auto"/>
          <w:sz w:val="28"/>
          <w:szCs w:val="27"/>
          <w:highlight w:val="none"/>
        </w:rPr>
        <w:t>一、评标及定标办法修改表</w:t>
      </w:r>
      <w:bookmarkEnd w:id="174"/>
      <w:bookmarkEnd w:id="175"/>
      <w:bookmarkEnd w:id="176"/>
      <w:bookmarkEnd w:id="177"/>
      <w:bookmarkEnd w:id="178"/>
      <w:bookmarkEnd w:id="179"/>
      <w:bookmarkEnd w:id="180"/>
      <w:bookmarkEnd w:id="181"/>
      <w:bookmarkEnd w:id="182"/>
      <w:bookmarkEnd w:id="183"/>
      <w:bookmarkEnd w:id="184"/>
      <w:bookmarkEnd w:id="185"/>
    </w:p>
    <w:p>
      <w:pPr>
        <w:pBdr>
          <w:bottom w:val="single" w:color="auto" w:sz="6" w:space="1"/>
        </w:pBdr>
        <w:spacing w:line="360" w:lineRule="auto"/>
        <w:ind w:firstLine="482" w:firstLineChars="200"/>
        <w:rPr>
          <w:rFonts w:ascii="宋体"/>
          <w:color w:val="auto"/>
          <w:sz w:val="24"/>
          <w:szCs w:val="21"/>
          <w:highlight w:val="none"/>
        </w:rPr>
      </w:pPr>
      <w:r>
        <w:rPr>
          <w:rFonts w:hint="eastAsia" w:ascii="宋体"/>
          <w:b/>
          <w:color w:val="auto"/>
          <w:sz w:val="24"/>
          <w:highlight w:val="none"/>
        </w:rPr>
        <w:t>本修改表是对评标及定标办法</w:t>
      </w:r>
      <w:r>
        <w:rPr>
          <w:rFonts w:hint="eastAsia" w:ascii="宋体"/>
          <w:b/>
          <w:color w:val="auto"/>
          <w:sz w:val="24"/>
          <w:szCs w:val="21"/>
          <w:highlight w:val="none"/>
        </w:rPr>
        <w:t>通用条款的修改，与该通用条款不同之处，均在本表中列明，并以现文为准，原文不再有效。</w:t>
      </w:r>
    </w:p>
    <w:p>
      <w:pPr>
        <w:spacing w:line="360" w:lineRule="auto"/>
        <w:ind w:firstLine="540" w:firstLineChars="224"/>
        <w:rPr>
          <w:rFonts w:ascii="宋体" w:hAnsi="宋体"/>
          <w:b/>
          <w:bCs/>
          <w:color w:val="auto"/>
          <w:sz w:val="24"/>
          <w:szCs w:val="21"/>
          <w:highlight w:val="none"/>
        </w:rPr>
      </w:pPr>
      <w:r>
        <w:rPr>
          <w:rFonts w:hint="eastAsia" w:ascii="宋体" w:hAnsi="宋体"/>
          <w:b/>
          <w:bCs/>
          <w:color w:val="auto"/>
          <w:sz w:val="24"/>
          <w:szCs w:val="21"/>
          <w:highlight w:val="none"/>
        </w:rPr>
        <w:t>条款号：方法二：方法三：方法四：             修改类型：删除</w:t>
      </w:r>
    </w:p>
    <w:p>
      <w:pPr>
        <w:pBdr>
          <w:bottom w:val="single" w:color="auto" w:sz="6" w:space="1"/>
        </w:pBd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方法二：综合评估法二（需要编制技术文件）</w:t>
      </w:r>
    </w:p>
    <w:p>
      <w:pPr>
        <w:pBdr>
          <w:bottom w:val="single" w:color="auto" w:sz="6" w:space="1"/>
        </w:pBdr>
        <w:spacing w:line="360"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方法三：综合评估法三（不需要编制技术文件）</w:t>
      </w:r>
    </w:p>
    <w:p>
      <w:pPr>
        <w:pBdr>
          <w:bottom w:val="single" w:color="auto" w:sz="6" w:space="1"/>
        </w:pBdr>
        <w:spacing w:line="360" w:lineRule="auto"/>
        <w:ind w:firstLine="537" w:firstLineChars="224"/>
        <w:rPr>
          <w:rFonts w:ascii="宋体"/>
          <w:b/>
          <w:bCs/>
          <w:color w:val="auto"/>
          <w:sz w:val="24"/>
          <w:szCs w:val="21"/>
          <w:highlight w:val="none"/>
        </w:rPr>
      </w:pPr>
      <w:r>
        <w:rPr>
          <w:rFonts w:hint="eastAsia" w:ascii="宋体" w:hAnsi="宋体"/>
          <w:color w:val="auto"/>
          <w:sz w:val="24"/>
          <w:szCs w:val="21"/>
          <w:highlight w:val="none"/>
        </w:rPr>
        <w:t>方法四：经评审的最低投标价法</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b/>
          <w:bCs/>
          <w:color w:val="auto"/>
          <w:sz w:val="24"/>
          <w:szCs w:val="21"/>
          <w:highlight w:val="none"/>
        </w:rPr>
        <w:t>1.评标办法</w:t>
      </w:r>
      <w:r>
        <w:rPr>
          <w:rFonts w:hint="eastAsia" w:ascii="宋体" w:hAnsi="宋体"/>
          <w:b/>
          <w:bCs/>
          <w:color w:val="auto"/>
          <w:sz w:val="24"/>
          <w:szCs w:val="24"/>
          <w:highlight w:val="none"/>
        </w:rPr>
        <w:t xml:space="preserve">             修改类型：修改</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1"/>
          <w:highlight w:val="none"/>
        </w:rPr>
        <w:t>1.评标办法</w:t>
      </w:r>
    </w:p>
    <w:p>
      <w:pPr>
        <w:spacing w:line="360" w:lineRule="auto"/>
        <w:ind w:firstLine="537" w:firstLineChars="224"/>
        <w:rPr>
          <w:rFonts w:ascii="宋体" w:hAnsi="宋体"/>
          <w:color w:val="auto"/>
          <w:sz w:val="24"/>
          <w:szCs w:val="24"/>
          <w:highlight w:val="none"/>
        </w:rPr>
      </w:pPr>
      <w:r>
        <w:rPr>
          <w:rFonts w:hint="eastAsia" w:ascii="宋体" w:hAnsi="宋体"/>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1"/>
          <w:highlight w:val="none"/>
        </w:rPr>
        <w:t>1.评标办法</w:t>
      </w:r>
    </w:p>
    <w:p>
      <w:pPr>
        <w:pBdr>
          <w:bottom w:val="single" w:color="auto" w:sz="6" w:space="1"/>
        </w:pBdr>
        <w:spacing w:line="360" w:lineRule="auto"/>
        <w:ind w:firstLine="537" w:firstLineChars="224"/>
        <w:rPr>
          <w:rFonts w:ascii="宋体"/>
          <w:b/>
          <w:bCs/>
          <w:color w:val="auto"/>
          <w:sz w:val="24"/>
          <w:szCs w:val="21"/>
          <w:highlight w:val="none"/>
        </w:rPr>
      </w:pPr>
      <w:r>
        <w:rPr>
          <w:rFonts w:hint="eastAsia" w:ascii="宋体" w:hAnsi="宋体"/>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宋体" w:hAnsi="宋体"/>
          <w:color w:val="auto"/>
          <w:sz w:val="24"/>
          <w:highlight w:val="none"/>
          <w:u w:val="single"/>
        </w:rPr>
        <w:t>商务评审得分高的投标人排序为先；若综合评分、商务评审得分均相同，则由评委通过记名投标表决（不得弃权），以“少数服从多数”的原则确定排序</w:t>
      </w:r>
      <w:r>
        <w:rPr>
          <w:rFonts w:hint="eastAsia" w:ascii="宋体" w:hAnsi="宋体"/>
          <w:color w:val="auto"/>
          <w:sz w:val="24"/>
          <w:szCs w:val="21"/>
          <w:highlight w:val="none"/>
          <w:u w:val="single"/>
        </w:rPr>
        <w:t>。</w:t>
      </w:r>
    </w:p>
    <w:p>
      <w:pPr>
        <w:spacing w:line="360" w:lineRule="auto"/>
        <w:ind w:firstLine="482" w:firstLineChars="200"/>
        <w:rPr>
          <w:rFonts w:ascii="宋体"/>
          <w:b/>
          <w:bCs/>
          <w:color w:val="auto"/>
          <w:sz w:val="24"/>
          <w:szCs w:val="21"/>
          <w:highlight w:val="none"/>
        </w:rPr>
      </w:pPr>
      <w:r>
        <w:rPr>
          <w:rFonts w:hint="eastAsia" w:ascii="宋体"/>
          <w:b/>
          <w:bCs/>
          <w:color w:val="auto"/>
          <w:sz w:val="24"/>
          <w:szCs w:val="21"/>
          <w:highlight w:val="none"/>
        </w:rPr>
        <w:t>条款号：</w:t>
      </w:r>
      <w:r>
        <w:rPr>
          <w:rFonts w:ascii="宋体"/>
          <w:b/>
          <w:bCs/>
          <w:color w:val="auto"/>
          <w:sz w:val="24"/>
          <w:szCs w:val="21"/>
          <w:highlight w:val="none"/>
        </w:rPr>
        <w:t>2.2.3</w:t>
      </w:r>
      <w:r>
        <w:rPr>
          <w:rFonts w:hint="eastAsia" w:ascii="宋体"/>
          <w:b/>
          <w:bCs/>
          <w:color w:val="auto"/>
          <w:sz w:val="24"/>
          <w:szCs w:val="21"/>
          <w:highlight w:val="none"/>
        </w:rPr>
        <w:t xml:space="preserve">         修改类型：修改</w:t>
      </w:r>
    </w:p>
    <w:p>
      <w:pPr>
        <w:spacing w:line="360" w:lineRule="auto"/>
        <w:ind w:firstLine="482" w:firstLineChars="200"/>
        <w:rPr>
          <w:rFonts w:ascii="宋体"/>
          <w:color w:val="auto"/>
          <w:sz w:val="24"/>
          <w:highlight w:val="none"/>
        </w:rPr>
      </w:pPr>
      <w:r>
        <w:rPr>
          <w:rFonts w:hint="eastAsia" w:ascii="宋体"/>
          <w:b/>
          <w:bCs/>
          <w:color w:val="auto"/>
          <w:sz w:val="24"/>
          <w:szCs w:val="21"/>
          <w:highlight w:val="none"/>
        </w:rPr>
        <w:t>原文：</w:t>
      </w:r>
      <w:r>
        <w:rPr>
          <w:rFonts w:hint="eastAsia" w:ascii="宋体"/>
          <w:color w:val="auto"/>
          <w:sz w:val="24"/>
          <w:highlight w:val="none"/>
        </w:rPr>
        <w:t>2.2.</w:t>
      </w:r>
      <w:r>
        <w:rPr>
          <w:rFonts w:ascii="宋体"/>
          <w:color w:val="auto"/>
          <w:sz w:val="24"/>
          <w:highlight w:val="none"/>
        </w:rPr>
        <w:t>3</w:t>
      </w:r>
      <w:r>
        <w:rPr>
          <w:rFonts w:hint="eastAsia" w:ascii="宋体"/>
          <w:color w:val="auto"/>
          <w:sz w:val="24"/>
          <w:highlight w:val="none"/>
        </w:rPr>
        <w:t xml:space="preserve"> 评标基准价计算</w:t>
      </w:r>
    </w:p>
    <w:p>
      <w:pPr>
        <w:spacing w:line="360" w:lineRule="auto"/>
        <w:ind w:firstLine="480" w:firstLineChars="200"/>
        <w:rPr>
          <w:rFonts w:ascii="宋体"/>
          <w:color w:val="auto"/>
          <w:sz w:val="24"/>
          <w:highlight w:val="none"/>
        </w:rPr>
      </w:pPr>
      <w:r>
        <w:rPr>
          <w:rFonts w:hint="eastAsia" w:ascii="宋体"/>
          <w:color w:val="auto"/>
          <w:sz w:val="24"/>
          <w:highlight w:val="none"/>
        </w:rPr>
        <w:t>评标基准价可按以下方式确定（招标人以下两种方式任选一）：</w:t>
      </w:r>
    </w:p>
    <w:p>
      <w:pPr>
        <w:spacing w:line="360" w:lineRule="auto"/>
        <w:ind w:firstLine="482" w:firstLineChars="200"/>
        <w:rPr>
          <w:rFonts w:ascii="宋体"/>
          <w:color w:val="auto"/>
          <w:sz w:val="24"/>
          <w:highlight w:val="none"/>
        </w:rPr>
      </w:pPr>
      <w:r>
        <w:rPr>
          <w:rFonts w:hint="eastAsia" w:ascii="宋体"/>
          <w:b/>
          <w:color w:val="auto"/>
          <w:sz w:val="24"/>
          <w:highlight w:val="none"/>
        </w:rPr>
        <w:t>方式一</w:t>
      </w:r>
      <w:r>
        <w:rPr>
          <w:rFonts w:hint="eastAsia" w:ascii="宋体"/>
          <w:color w:val="auto"/>
          <w:sz w:val="24"/>
          <w:highlight w:val="none"/>
        </w:rPr>
        <w:t>：以全部或随机抽取的有效投标报价的算术平均值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随机抽取的评标基准价下浮率（2～5%，0.5一个级别）下浮作为评标基准价。具体确定方法如下：</w:t>
      </w:r>
    </w:p>
    <w:p>
      <w:pPr>
        <w:spacing w:line="360" w:lineRule="auto"/>
        <w:ind w:firstLine="480" w:firstLineChars="200"/>
        <w:rPr>
          <w:rFonts w:ascii="宋体"/>
          <w:color w:val="auto"/>
          <w:sz w:val="24"/>
          <w:highlight w:val="none"/>
        </w:rPr>
      </w:pPr>
      <w:r>
        <w:rPr>
          <w:rFonts w:ascii="宋体"/>
          <w:color w:val="auto"/>
          <w:sz w:val="24"/>
          <w:highlight w:val="none"/>
        </w:rPr>
        <w:t>a</w:t>
      </w:r>
      <w:r>
        <w:rPr>
          <w:rFonts w:hint="eastAsia" w:ascii="宋体"/>
          <w:color w:val="auto"/>
          <w:sz w:val="24"/>
          <w:highlight w:val="none"/>
        </w:rPr>
        <w:t>、当有效投标报价的投标人少于或等于5个时，取全部有效投标报价的算术平均</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0" w:firstLineChars="200"/>
        <w:rPr>
          <w:rFonts w:ascii="宋体"/>
          <w:color w:val="auto"/>
          <w:sz w:val="24"/>
          <w:highlight w:val="none"/>
        </w:rPr>
      </w:pPr>
      <w:r>
        <w:rPr>
          <w:rFonts w:ascii="宋体"/>
          <w:color w:val="auto"/>
          <w:sz w:val="24"/>
          <w:highlight w:val="none"/>
        </w:rPr>
        <w:t>b</w:t>
      </w:r>
      <w:r>
        <w:rPr>
          <w:rFonts w:hint="eastAsia" w:ascii="宋体"/>
          <w:color w:val="auto"/>
          <w:sz w:val="24"/>
          <w:highlight w:val="none"/>
        </w:rPr>
        <w:t>、当有效投标报价的投标人为6至10个时，从全部有效投标报价中去掉一个最大值和最小值，其他有效投标报价的算术平均值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0" w:firstLineChars="200"/>
        <w:rPr>
          <w:rFonts w:ascii="宋体"/>
          <w:color w:val="auto"/>
          <w:sz w:val="24"/>
          <w:highlight w:val="none"/>
        </w:rPr>
      </w:pPr>
      <w:r>
        <w:rPr>
          <w:rFonts w:ascii="宋体"/>
          <w:color w:val="auto"/>
          <w:sz w:val="24"/>
          <w:highlight w:val="none"/>
        </w:rPr>
        <w:t>c</w:t>
      </w:r>
      <w:r>
        <w:rPr>
          <w:rFonts w:hint="eastAsia" w:ascii="宋体"/>
          <w:color w:val="auto"/>
          <w:sz w:val="24"/>
          <w:highlight w:val="none"/>
        </w:rPr>
        <w:t>、当有效投标报价的投标人大于10个时，随机抽取10个有效投标报价并从中去掉一个最大值和最小值后计算算术平均值，该平均值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2" w:firstLineChars="200"/>
        <w:rPr>
          <w:rFonts w:ascii="宋体"/>
          <w:color w:val="auto"/>
          <w:sz w:val="24"/>
          <w:szCs w:val="24"/>
          <w:highlight w:val="none"/>
        </w:rPr>
      </w:pPr>
      <w:r>
        <w:rPr>
          <w:rFonts w:hint="eastAsia" w:ascii="宋体"/>
          <w:b/>
          <w:color w:val="auto"/>
          <w:sz w:val="24"/>
          <w:highlight w:val="none"/>
        </w:rPr>
        <w:t>方式二</w:t>
      </w:r>
      <w:r>
        <w:rPr>
          <w:rFonts w:hint="eastAsia" w:ascii="宋体"/>
          <w:color w:val="auto"/>
          <w:sz w:val="24"/>
          <w:highlight w:val="none"/>
        </w:rPr>
        <w:t>：以有效投标报价的算术平</w:t>
      </w:r>
      <w:r>
        <w:rPr>
          <w:rFonts w:hint="eastAsia" w:ascii="宋体"/>
          <w:color w:val="auto"/>
          <w:sz w:val="24"/>
          <w:szCs w:val="24"/>
          <w:highlight w:val="none"/>
        </w:rPr>
        <w:t>均值按随机抽取的评标基准价下浮率（2～5%，0.5一个级别）下浮作为评标基准价。</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在首次评标过程中，投标人未被发现存在串通投标、弄虚作假、行贿等情形的，无论是否重评，经确定的评标基准价不变。</w:t>
      </w:r>
    </w:p>
    <w:p>
      <w:pPr>
        <w:spacing w:line="360" w:lineRule="auto"/>
        <w:ind w:firstLine="482" w:firstLineChars="200"/>
        <w:rPr>
          <w:rFonts w:ascii="宋体"/>
          <w:color w:val="auto"/>
          <w:sz w:val="24"/>
          <w:szCs w:val="24"/>
          <w:highlight w:val="none"/>
        </w:rPr>
      </w:pPr>
      <w:r>
        <w:rPr>
          <w:rFonts w:hint="eastAsia" w:ascii="宋体"/>
          <w:b/>
          <w:bCs/>
          <w:color w:val="auto"/>
          <w:sz w:val="24"/>
          <w:szCs w:val="24"/>
          <w:highlight w:val="none"/>
        </w:rPr>
        <w:t>现文：</w:t>
      </w:r>
      <w:r>
        <w:rPr>
          <w:rFonts w:ascii="宋体"/>
          <w:color w:val="auto"/>
          <w:sz w:val="24"/>
          <w:szCs w:val="24"/>
          <w:highlight w:val="none"/>
        </w:rPr>
        <w:t>2.2.3</w:t>
      </w:r>
      <w:r>
        <w:rPr>
          <w:rFonts w:hint="eastAsia" w:ascii="宋体"/>
          <w:color w:val="auto"/>
          <w:sz w:val="24"/>
          <w:szCs w:val="24"/>
          <w:highlight w:val="none"/>
        </w:rPr>
        <w:t xml:space="preserve"> 评标基准价计算</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评标基准价可按以下方式确定（招标人以下两种方式任选一）：方式二</w:t>
      </w:r>
    </w:p>
    <w:p>
      <w:pPr>
        <w:spacing w:line="360" w:lineRule="auto"/>
        <w:ind w:firstLine="482" w:firstLineChars="200"/>
        <w:rPr>
          <w:rFonts w:ascii="宋体"/>
          <w:color w:val="auto"/>
          <w:sz w:val="24"/>
          <w:highlight w:val="none"/>
        </w:rPr>
      </w:pPr>
      <w:r>
        <w:rPr>
          <w:rFonts w:hint="eastAsia" w:ascii="宋体"/>
          <w:b/>
          <w:color w:val="auto"/>
          <w:sz w:val="24"/>
          <w:szCs w:val="24"/>
          <w:highlight w:val="none"/>
        </w:rPr>
        <w:t>方式二</w:t>
      </w:r>
      <w:r>
        <w:rPr>
          <w:rFonts w:hint="eastAsia" w:ascii="宋体"/>
          <w:color w:val="auto"/>
          <w:sz w:val="24"/>
          <w:szCs w:val="24"/>
          <w:highlight w:val="none"/>
        </w:rPr>
        <w:t>：以有效投标报价的算术平均值按随机抽</w:t>
      </w:r>
      <w:r>
        <w:rPr>
          <w:rFonts w:hint="eastAsia" w:ascii="宋体"/>
          <w:color w:val="auto"/>
          <w:sz w:val="24"/>
          <w:highlight w:val="none"/>
        </w:rPr>
        <w:t>取的评标基准价下浮率（2～5%，0.5一个级别）下浮作为评标基准价。</w:t>
      </w:r>
    </w:p>
    <w:p>
      <w:pPr>
        <w:pBdr>
          <w:bottom w:val="single" w:color="auto" w:sz="6" w:space="1"/>
        </w:pBdr>
        <w:spacing w:line="360" w:lineRule="auto"/>
        <w:ind w:firstLine="480" w:firstLineChars="200"/>
        <w:rPr>
          <w:rFonts w:ascii="宋体"/>
          <w:color w:val="auto"/>
          <w:sz w:val="24"/>
          <w:szCs w:val="21"/>
          <w:highlight w:val="none"/>
        </w:rPr>
      </w:pPr>
      <w:r>
        <w:rPr>
          <w:rFonts w:hint="eastAsia" w:ascii="宋体"/>
          <w:color w:val="auto"/>
          <w:sz w:val="24"/>
          <w:highlight w:val="none"/>
        </w:rPr>
        <w:t>在首次评标过程中，投标人未被发现存在串通投标、弄虚作假、行贿等情形的，无论是否重评，经确定的评标基准价不变。</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color w:val="auto"/>
          <w:sz w:val="24"/>
          <w:highlight w:val="none"/>
        </w:rPr>
        <w:t>3.2.3</w:t>
      </w:r>
      <w:r>
        <w:rPr>
          <w:rFonts w:hint="eastAsia" w:ascii="宋体" w:hAnsi="宋体"/>
          <w:b/>
          <w:bCs/>
          <w:color w:val="auto"/>
          <w:sz w:val="24"/>
          <w:szCs w:val="24"/>
          <w:highlight w:val="none"/>
        </w:rPr>
        <w:t xml:space="preserve">             修改类型：修改</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highlight w:val="none"/>
        </w:rPr>
        <w:t>3.2.3</w:t>
      </w:r>
      <w:r>
        <w:rPr>
          <w:rFonts w:ascii="宋体" w:hAnsi="宋体"/>
          <w:color w:val="auto"/>
          <w:sz w:val="24"/>
          <w:highlight w:val="none"/>
        </w:rPr>
        <w:t xml:space="preserve"> </w:t>
      </w:r>
      <w:r>
        <w:rPr>
          <w:rFonts w:hint="eastAsia" w:ascii="宋体" w:hAnsi="宋体"/>
          <w:color w:val="auto"/>
          <w:sz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w:t>
      </w:r>
      <w:r>
        <w:rPr>
          <w:rFonts w:ascii="宋体" w:hAnsi="宋体"/>
          <w:color w:val="auto"/>
          <w:sz w:val="24"/>
          <w:highlight w:val="none"/>
        </w:rPr>
        <w:t>）</w:t>
      </w:r>
      <w:r>
        <w:rPr>
          <w:rFonts w:hint="eastAsia" w:ascii="宋体" w:hAnsi="宋体"/>
          <w:color w:val="auto"/>
          <w:sz w:val="24"/>
          <w:highlight w:val="none"/>
        </w:rPr>
        <w:t>×得分权重+投标报价得分(C) ×得分权重+诚信评价分（D）×得分权重。</w:t>
      </w:r>
    </w:p>
    <w:p>
      <w:pPr>
        <w:pBdr>
          <w:bottom w:val="single" w:color="auto" w:sz="6" w:space="1"/>
        </w:pBdr>
        <w:spacing w:line="360" w:lineRule="auto"/>
        <w:ind w:firstLine="540" w:firstLineChars="224"/>
        <w:rPr>
          <w:rFonts w:ascii="宋体"/>
          <w:color w:val="auto"/>
          <w:sz w:val="24"/>
          <w:szCs w:val="21"/>
          <w:highlight w:val="none"/>
        </w:rPr>
      </w:pPr>
      <w:r>
        <w:rPr>
          <w:rFonts w:hint="eastAsia" w:ascii="宋体" w:hAnsi="宋体"/>
          <w:b/>
          <w:bCs/>
          <w:color w:val="auto"/>
          <w:sz w:val="24"/>
          <w:szCs w:val="24"/>
          <w:highlight w:val="none"/>
        </w:rPr>
        <w:t>现文：</w:t>
      </w:r>
      <w:r>
        <w:rPr>
          <w:rFonts w:hint="eastAsia" w:ascii="宋体" w:hAnsi="宋体"/>
          <w:color w:val="auto"/>
          <w:sz w:val="24"/>
          <w:highlight w:val="none"/>
        </w:rPr>
        <w:t>3.2.3</w:t>
      </w:r>
      <w:r>
        <w:rPr>
          <w:rFonts w:ascii="宋体" w:hAnsi="宋体"/>
          <w:color w:val="auto"/>
          <w:sz w:val="24"/>
          <w:highlight w:val="none"/>
        </w:rPr>
        <w:t xml:space="preserve"> </w:t>
      </w:r>
      <w:r>
        <w:rPr>
          <w:rFonts w:hint="eastAsia" w:ascii="宋体" w:hAnsi="宋体"/>
          <w:color w:val="auto"/>
          <w:sz w:val="24"/>
          <w:highlight w:val="none"/>
        </w:rPr>
        <w:t>投标人的得分为技术部分得分、商务部分得分、投标报价得分和诚信得分之和。评标委员会应按照得分从高至低的顺序，确定得分前三名的投标人为第一中标候选人、第二中标候选人和第三中标候选人。综合评分相等时，</w:t>
      </w:r>
      <w:r>
        <w:rPr>
          <w:rFonts w:hint="eastAsia" w:ascii="宋体" w:hAnsi="宋体"/>
          <w:color w:val="auto"/>
          <w:sz w:val="24"/>
          <w:highlight w:val="none"/>
          <w:u w:val="single"/>
        </w:rPr>
        <w:t>商务评审得分高的投标人排序为先；若综合评分、商务评审得分均相同，则由评委通过记名投标表决（不得弃权），以“少数服从多数”的原则确定排序</w:t>
      </w:r>
      <w:r>
        <w:rPr>
          <w:rFonts w:hint="eastAsia" w:ascii="宋体" w:hAnsi="宋体"/>
          <w:color w:val="auto"/>
          <w:sz w:val="24"/>
          <w:highlight w:val="none"/>
        </w:rPr>
        <w:t>。计分采用百分制，得分计算方法：评标总得分=[技术部分得分（A）×5%+商务部分得分（B）×15%+投标报价得分(C) ×80%]×95%+诚信评价分（D）×5%</w:t>
      </w:r>
      <w:r>
        <w:rPr>
          <w:rFonts w:hint="eastAsia" w:ascii="宋体" w:hAnsi="宋体"/>
          <w:color w:val="auto"/>
          <w:sz w:val="24"/>
          <w:szCs w:val="21"/>
          <w:highlight w:val="none"/>
        </w:rPr>
        <w:t>。</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color w:val="auto"/>
          <w:sz w:val="24"/>
          <w:highlight w:val="none"/>
        </w:rPr>
        <w:t>3.4.1</w:t>
      </w:r>
      <w:r>
        <w:rPr>
          <w:rFonts w:hint="eastAsia" w:ascii="宋体" w:hAnsi="宋体"/>
          <w:b/>
          <w:bCs/>
          <w:color w:val="auto"/>
          <w:sz w:val="24"/>
          <w:szCs w:val="24"/>
          <w:highlight w:val="none"/>
        </w:rPr>
        <w:t xml:space="preserve">             修改类型：修改</w:t>
      </w:r>
    </w:p>
    <w:p>
      <w:pPr>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color w:val="auto"/>
          <w:kern w:val="0"/>
          <w:sz w:val="24"/>
          <w:szCs w:val="24"/>
          <w:highlight w:val="none"/>
        </w:rPr>
        <w:t>3.4.1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r>
        <w:rPr>
          <w:rFonts w:hint="eastAsia" w:ascii="宋体" w:hAnsi="宋体"/>
          <w:color w:val="auto"/>
          <w:sz w:val="24"/>
          <w:highlight w:val="none"/>
        </w:rPr>
        <w:t>。</w:t>
      </w:r>
    </w:p>
    <w:p>
      <w:pPr>
        <w:pBdr>
          <w:bottom w:val="single" w:color="auto" w:sz="6" w:space="1"/>
        </w:pBdr>
        <w:spacing w:line="360" w:lineRule="auto"/>
        <w:ind w:firstLine="540" w:firstLineChars="224"/>
        <w:rPr>
          <w:rFonts w:ascii="宋体" w:hAnsi="宋体"/>
          <w:color w:val="auto"/>
          <w:sz w:val="24"/>
          <w:szCs w:val="21"/>
          <w:highlight w:val="none"/>
        </w:rPr>
      </w:pPr>
      <w:r>
        <w:rPr>
          <w:rFonts w:hint="eastAsia" w:ascii="宋体" w:hAnsi="宋体"/>
          <w:b/>
          <w:bCs/>
          <w:color w:val="auto"/>
          <w:sz w:val="24"/>
          <w:szCs w:val="24"/>
          <w:highlight w:val="none"/>
        </w:rPr>
        <w:t>现文：</w:t>
      </w:r>
      <w:r>
        <w:rPr>
          <w:rFonts w:hint="eastAsia"/>
          <w:color w:val="auto"/>
          <w:kern w:val="0"/>
          <w:sz w:val="24"/>
          <w:szCs w:val="24"/>
          <w:highlight w:val="none"/>
        </w:rPr>
        <w:t>3.4.1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Pr>
          <w:rFonts w:hint="eastAsia" w:ascii="宋体" w:hAnsi="宋体"/>
          <w:color w:val="auto"/>
          <w:sz w:val="24"/>
          <w:highlight w:val="none"/>
          <w:u w:val="single"/>
        </w:rPr>
        <w:t>当中标候选人综合得分相同时，商务评审得分高的投标人排序为先；若综合评分、商务评审得分均相同，则由评委通过记名投标表决（不得弃权），以“少数服从多数”的原则确定排序</w:t>
      </w:r>
      <w:r>
        <w:rPr>
          <w:rFonts w:hint="eastAsia" w:ascii="宋体" w:hAnsi="宋体"/>
          <w:color w:val="auto"/>
          <w:sz w:val="24"/>
          <w:highlight w:val="none"/>
        </w:rPr>
        <w:t>。</w:t>
      </w:r>
    </w:p>
    <w:p>
      <w:pPr>
        <w:spacing w:line="360" w:lineRule="auto"/>
        <w:ind w:firstLine="480" w:firstLineChars="200"/>
        <w:rPr>
          <w:rFonts w:ascii="宋体"/>
          <w:color w:val="auto"/>
          <w:sz w:val="24"/>
          <w:szCs w:val="21"/>
          <w:highlight w:val="none"/>
        </w:rPr>
      </w:pP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条款号：</w:t>
      </w:r>
      <w:r>
        <w:rPr>
          <w:rFonts w:ascii="宋体"/>
          <w:b/>
          <w:bCs/>
          <w:color w:val="auto"/>
          <w:sz w:val="24"/>
          <w:szCs w:val="21"/>
          <w:highlight w:val="none"/>
        </w:rPr>
        <w:t>4.1</w:t>
      </w:r>
      <w:r>
        <w:rPr>
          <w:rFonts w:hint="eastAsia" w:ascii="宋体"/>
          <w:color w:val="auto"/>
          <w:sz w:val="24"/>
          <w:szCs w:val="21"/>
          <w:highlight w:val="none"/>
        </w:rPr>
        <w:t xml:space="preserve">         修改类型：修改</w:t>
      </w:r>
    </w:p>
    <w:p>
      <w:pPr>
        <w:spacing w:line="360" w:lineRule="auto"/>
        <w:ind w:firstLine="482" w:firstLineChars="200"/>
        <w:rPr>
          <w:rFonts w:ascii="宋体"/>
          <w:color w:val="auto"/>
          <w:sz w:val="24"/>
          <w:highlight w:val="none"/>
        </w:rPr>
      </w:pPr>
      <w:r>
        <w:rPr>
          <w:rFonts w:hint="eastAsia" w:ascii="宋体"/>
          <w:b/>
          <w:bCs/>
          <w:color w:val="auto"/>
          <w:sz w:val="24"/>
          <w:szCs w:val="21"/>
          <w:highlight w:val="none"/>
        </w:rPr>
        <w:t>原文：</w:t>
      </w:r>
      <w:r>
        <w:rPr>
          <w:rFonts w:hint="eastAsia" w:ascii="宋体"/>
          <w:color w:val="auto"/>
          <w:sz w:val="24"/>
          <w:szCs w:val="21"/>
          <w:highlight w:val="none"/>
        </w:rPr>
        <w:t>4.1 投标人诚信评价分取自本项目招标公告第1天所在季度的上一季度广州市水务工程企业信息库及诚信中心网站（http://121.8.226.19/gzswcx/index.jsp）中的“诚信排名&gt;&gt;施工—给排水(或水利)”中“诚信综合评价”分，未入库企业或在广州市水务工程企业信息库及诚信中心网中尚无诚信排名“施工－给排水（或水利）”得分的投标人，其诚信评价分按40分计算。</w:t>
      </w:r>
    </w:p>
    <w:p>
      <w:pPr>
        <w:pBdr>
          <w:bottom w:val="single" w:color="auto" w:sz="6" w:space="1"/>
        </w:pBdr>
        <w:spacing w:line="360" w:lineRule="auto"/>
        <w:ind w:firstLine="482" w:firstLineChars="200"/>
        <w:rPr>
          <w:rFonts w:ascii="宋体"/>
          <w:color w:val="auto"/>
          <w:sz w:val="24"/>
          <w:szCs w:val="21"/>
          <w:highlight w:val="none"/>
        </w:rPr>
      </w:pPr>
      <w:r>
        <w:rPr>
          <w:rFonts w:hint="eastAsia" w:ascii="宋体"/>
          <w:b/>
          <w:bCs/>
          <w:color w:val="auto"/>
          <w:sz w:val="24"/>
          <w:szCs w:val="21"/>
          <w:highlight w:val="none"/>
        </w:rPr>
        <w:t>现文：</w:t>
      </w:r>
      <w:r>
        <w:rPr>
          <w:rFonts w:hint="eastAsia" w:ascii="宋体" w:hAnsi="宋体"/>
          <w:b/>
          <w:bCs/>
          <w:color w:val="auto"/>
          <w:sz w:val="24"/>
          <w:szCs w:val="24"/>
          <w:highlight w:val="none"/>
        </w:rPr>
        <w:t>4.1</w:t>
      </w:r>
      <w:r>
        <w:rPr>
          <w:rFonts w:ascii="宋体" w:hAnsi="宋体"/>
          <w:color w:val="auto"/>
          <w:sz w:val="24"/>
          <w:highlight w:val="none"/>
        </w:rPr>
        <w:t xml:space="preserve"> </w:t>
      </w:r>
      <w:r>
        <w:rPr>
          <w:rFonts w:hint="eastAsia" w:ascii="宋体" w:hAnsi="宋体"/>
          <w:color w:val="auto"/>
          <w:sz w:val="24"/>
          <w:highlight w:val="none"/>
        </w:rPr>
        <w:t>投标人诚信分数取自本项目招标公告发布第1天所在季度的上一季度广州市水务工程企业库及诚信评价系统（http://120.236.111.11:8001/#/website）中的“企业诚信排名&gt;&gt;施工—给排水”中“诚信综合评价”分，未入库企业或在广州市水务工程企业库及诚信评价系统中尚无诚信排名“施工－给排水”得分的投标人，按《广州市水务局关于调整水务工程诚信评价部分评分项的通知》，其诚信评价分按80分计算。</w:t>
      </w:r>
    </w:p>
    <w:p>
      <w:pPr>
        <w:spacing w:line="360" w:lineRule="auto"/>
        <w:ind w:firstLine="480" w:firstLineChars="200"/>
        <w:rPr>
          <w:rFonts w:ascii="宋体"/>
          <w:color w:val="auto"/>
          <w:sz w:val="24"/>
          <w:szCs w:val="21"/>
          <w:highlight w:val="none"/>
        </w:rPr>
      </w:pPr>
      <w:r>
        <w:rPr>
          <w:rFonts w:hint="eastAsia" w:ascii="宋体"/>
          <w:color w:val="auto"/>
          <w:sz w:val="24"/>
          <w:szCs w:val="21"/>
          <w:highlight w:val="none"/>
        </w:rPr>
        <w:t>注：以上修改，仅限于本范本中有可供选择条款的情形。</w:t>
      </w:r>
    </w:p>
    <w:p>
      <w:pPr>
        <w:spacing w:line="360" w:lineRule="auto"/>
        <w:ind w:firstLine="480" w:firstLineChars="200"/>
        <w:rPr>
          <w:rFonts w:ascii="宋体"/>
          <w:color w:val="auto"/>
          <w:sz w:val="24"/>
          <w:highlight w:val="none"/>
        </w:rPr>
      </w:pPr>
      <w:r>
        <w:rPr>
          <w:rFonts w:hint="eastAsia" w:ascii="宋体"/>
          <w:color w:val="auto"/>
          <w:sz w:val="24"/>
          <w:szCs w:val="21"/>
          <w:highlight w:val="none"/>
        </w:rPr>
        <w:t>（以下无正文）</w:t>
      </w:r>
    </w:p>
    <w:p>
      <w:pPr>
        <w:widowControl/>
        <w:jc w:val="left"/>
        <w:rPr>
          <w:rFonts w:ascii="宋体"/>
          <w:color w:val="auto"/>
          <w:sz w:val="24"/>
          <w:highlight w:val="none"/>
        </w:rPr>
      </w:pPr>
      <w:r>
        <w:rPr>
          <w:rFonts w:ascii="宋体"/>
          <w:color w:val="auto"/>
          <w:sz w:val="24"/>
          <w:highlight w:val="none"/>
        </w:rPr>
        <w:br w:type="page"/>
      </w:r>
    </w:p>
    <w:p>
      <w:pPr>
        <w:spacing w:line="360" w:lineRule="auto"/>
        <w:jc w:val="center"/>
        <w:outlineLvl w:val="2"/>
        <w:rPr>
          <w:rFonts w:ascii="宋体"/>
          <w:color w:val="auto"/>
          <w:sz w:val="28"/>
          <w:szCs w:val="27"/>
          <w:highlight w:val="none"/>
        </w:rPr>
      </w:pPr>
      <w:bookmarkStart w:id="186" w:name="_Toc19631"/>
      <w:bookmarkStart w:id="187" w:name="_Toc17454930"/>
      <w:bookmarkStart w:id="188" w:name="_Toc75788606"/>
      <w:bookmarkStart w:id="189" w:name="_Toc17452672"/>
      <w:bookmarkStart w:id="190" w:name="_Toc17451109"/>
      <w:bookmarkStart w:id="191" w:name="_Toc12464"/>
      <w:bookmarkStart w:id="192" w:name="_Toc17451631"/>
      <w:bookmarkStart w:id="193" w:name="_Toc17451586"/>
      <w:bookmarkStart w:id="194" w:name="_Toc17556884"/>
      <w:bookmarkStart w:id="195" w:name="_Toc17454879"/>
      <w:r>
        <w:rPr>
          <w:rFonts w:hint="eastAsia" w:ascii="宋体"/>
          <w:color w:val="auto"/>
          <w:sz w:val="28"/>
          <w:szCs w:val="27"/>
          <w:highlight w:val="none"/>
        </w:rPr>
        <w:t>二、评标及定标办法通用条款</w:t>
      </w:r>
      <w:bookmarkEnd w:id="186"/>
      <w:bookmarkEnd w:id="187"/>
      <w:bookmarkEnd w:id="188"/>
      <w:bookmarkEnd w:id="189"/>
      <w:bookmarkEnd w:id="190"/>
      <w:bookmarkEnd w:id="191"/>
      <w:bookmarkEnd w:id="192"/>
      <w:bookmarkEnd w:id="193"/>
      <w:bookmarkEnd w:id="194"/>
      <w:bookmarkEnd w:id="195"/>
    </w:p>
    <w:p>
      <w:pPr>
        <w:jc w:val="center"/>
        <w:outlineLvl w:val="2"/>
        <w:rPr>
          <w:rFonts w:ascii="宋体"/>
          <w:color w:val="auto"/>
          <w:sz w:val="28"/>
          <w:szCs w:val="27"/>
          <w:highlight w:val="none"/>
        </w:rPr>
      </w:pPr>
      <w:bookmarkStart w:id="196" w:name="_Toc17451632"/>
      <w:bookmarkStart w:id="197" w:name="_Toc17451110"/>
      <w:bookmarkStart w:id="198" w:name="_Toc17452673"/>
      <w:bookmarkStart w:id="199" w:name="_Toc17451587"/>
      <w:bookmarkStart w:id="200" w:name="_Toc17454880"/>
      <w:bookmarkStart w:id="201" w:name="_Toc24276"/>
      <w:bookmarkStart w:id="202" w:name="_Toc17454931"/>
      <w:bookmarkStart w:id="203" w:name="_Toc17556885"/>
      <w:bookmarkStart w:id="204" w:name="_Toc25171"/>
      <w:bookmarkStart w:id="205" w:name="_Toc75788607"/>
      <w:r>
        <w:rPr>
          <w:rFonts w:hint="eastAsia" w:ascii="宋体"/>
          <w:color w:val="auto"/>
          <w:sz w:val="28"/>
          <w:szCs w:val="27"/>
          <w:highlight w:val="none"/>
        </w:rPr>
        <w:t>方法一：</w:t>
      </w:r>
      <w:bookmarkEnd w:id="196"/>
      <w:bookmarkEnd w:id="197"/>
      <w:bookmarkEnd w:id="198"/>
      <w:bookmarkEnd w:id="199"/>
      <w:r>
        <w:rPr>
          <w:rFonts w:hint="eastAsia" w:ascii="宋体"/>
          <w:color w:val="auto"/>
          <w:sz w:val="28"/>
          <w:szCs w:val="27"/>
          <w:highlight w:val="none"/>
        </w:rPr>
        <w:t>综合评估法</w:t>
      </w:r>
      <w:bookmarkEnd w:id="200"/>
      <w:r>
        <w:rPr>
          <w:rFonts w:hint="eastAsia" w:ascii="宋体"/>
          <w:color w:val="auto"/>
          <w:sz w:val="28"/>
          <w:szCs w:val="27"/>
          <w:highlight w:val="none"/>
        </w:rPr>
        <w:t>一</w:t>
      </w:r>
      <w:bookmarkEnd w:id="201"/>
      <w:bookmarkEnd w:id="202"/>
      <w:bookmarkEnd w:id="203"/>
      <w:bookmarkEnd w:id="204"/>
      <w:bookmarkEnd w:id="205"/>
    </w:p>
    <w:p>
      <w:pPr>
        <w:spacing w:line="360" w:lineRule="auto"/>
        <w:jc w:val="center"/>
        <w:rPr>
          <w:rFonts w:ascii="宋体" w:hAnsi="宋体"/>
          <w:b/>
          <w:color w:val="auto"/>
          <w:sz w:val="28"/>
          <w:highlight w:val="none"/>
        </w:rPr>
      </w:pPr>
      <w:bookmarkStart w:id="206" w:name="_Toc179632617"/>
      <w:bookmarkStart w:id="207" w:name="_Toc152045599"/>
      <w:bookmarkStart w:id="208" w:name="_Toc144974566"/>
      <w:bookmarkStart w:id="209" w:name="_Toc152042376"/>
      <w:r>
        <w:rPr>
          <w:rFonts w:hint="eastAsia" w:ascii="宋体" w:hAnsi="宋体"/>
          <w:b/>
          <w:color w:val="auto"/>
          <w:sz w:val="28"/>
          <w:highlight w:val="none"/>
        </w:rPr>
        <w:t>评标办法前附表</w:t>
      </w:r>
    </w:p>
    <w:tbl>
      <w:tblPr>
        <w:tblStyle w:val="41"/>
        <w:tblpPr w:leftFromText="180" w:rightFromText="180" w:vertAnchor="text" w:tblpXSpec="center" w:tblpY="1"/>
        <w:tblOverlap w:val="never"/>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3"/>
        <w:gridCol w:w="1378"/>
        <w:gridCol w:w="1899"/>
        <w:gridCol w:w="4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1" w:type="dxa"/>
            <w:gridSpan w:val="2"/>
            <w:tcBorders>
              <w:top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评审因素</w:t>
            </w:r>
          </w:p>
        </w:tc>
        <w:tc>
          <w:tcPr>
            <w:tcW w:w="4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1</w:t>
            </w:r>
          </w:p>
        </w:tc>
        <w:tc>
          <w:tcPr>
            <w:tcW w:w="1378" w:type="dxa"/>
            <w:vMerge w:val="restart"/>
            <w:tcBorders>
              <w:top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资格评审标准</w:t>
            </w:r>
            <w:r>
              <w:rPr>
                <w:rFonts w:hint="eastAsia" w:ascii="宋体" w:hAnsi="宋体"/>
                <w:color w:val="auto"/>
                <w:sz w:val="18"/>
                <w:szCs w:val="18"/>
                <w:highlight w:val="none"/>
              </w:rPr>
              <w:t>（营业执照、安全生产许可证、资质等级、项目负责人资格、安全员等信息取自交易中心信息库，其他在投标文件中提交）</w:t>
            </w: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营业执照</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highlight w:val="none"/>
              </w:rPr>
              <w:t>安全生产许可证</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资质等级</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color w:val="auto"/>
                <w:szCs w:val="21"/>
                <w:highlight w:val="none"/>
              </w:rPr>
              <w:t>符合第二章</w:t>
            </w:r>
            <w:r>
              <w:rPr>
                <w:rFonts w:ascii="宋体"/>
                <w:color w:val="auto"/>
                <w:szCs w:val="21"/>
                <w:highlight w:val="none"/>
              </w:rPr>
              <w:t>“</w:t>
            </w:r>
            <w:r>
              <w:rPr>
                <w:rFonts w:hint="eastAsia" w:ascii="宋体"/>
                <w:color w:val="auto"/>
                <w:szCs w:val="21"/>
                <w:highlight w:val="none"/>
              </w:rPr>
              <w:t>投标人须知</w:t>
            </w:r>
            <w:r>
              <w:rPr>
                <w:rFonts w:ascii="宋体"/>
                <w:color w:val="auto"/>
                <w:szCs w:val="21"/>
                <w:highlight w:val="none"/>
              </w:rPr>
              <w:t>”</w:t>
            </w:r>
            <w:r>
              <w:rPr>
                <w:rFonts w:hint="eastAsia" w:ascii="宋体"/>
                <w:color w:val="auto"/>
                <w:szCs w:val="21"/>
                <w:highlight w:val="none"/>
              </w:rPr>
              <w:t>第</w:t>
            </w:r>
            <w:r>
              <w:rPr>
                <w:rFonts w:ascii="宋体"/>
                <w:color w:val="auto"/>
                <w:szCs w:val="21"/>
                <w:highlight w:val="none"/>
              </w:rPr>
              <w:t>1.4.1</w:t>
            </w:r>
            <w:r>
              <w:rPr>
                <w:rFonts w:hint="eastAsia" w:asci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项目负责人资格</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color w:val="auto"/>
                <w:szCs w:val="21"/>
                <w:highlight w:val="none"/>
              </w:rPr>
              <w:t>符合第二章</w:t>
            </w:r>
            <w:r>
              <w:rPr>
                <w:rFonts w:ascii="宋体"/>
                <w:color w:val="auto"/>
                <w:szCs w:val="21"/>
                <w:highlight w:val="none"/>
              </w:rPr>
              <w:t>“</w:t>
            </w:r>
            <w:r>
              <w:rPr>
                <w:rFonts w:hint="eastAsia" w:ascii="宋体"/>
                <w:color w:val="auto"/>
                <w:szCs w:val="21"/>
                <w:highlight w:val="none"/>
              </w:rPr>
              <w:t>投标人须知</w:t>
            </w:r>
            <w:r>
              <w:rPr>
                <w:rFonts w:ascii="宋体"/>
                <w:color w:val="auto"/>
                <w:szCs w:val="21"/>
                <w:highlight w:val="none"/>
              </w:rPr>
              <w:t>”</w:t>
            </w:r>
            <w:r>
              <w:rPr>
                <w:rFonts w:hint="eastAsia" w:ascii="宋体"/>
                <w:color w:val="auto"/>
                <w:szCs w:val="21"/>
                <w:highlight w:val="none"/>
              </w:rPr>
              <w:t>第</w:t>
            </w:r>
            <w:r>
              <w:rPr>
                <w:rFonts w:ascii="宋体"/>
                <w:color w:val="auto"/>
                <w:szCs w:val="21"/>
                <w:highlight w:val="none"/>
              </w:rPr>
              <w:t>1.4.1</w:t>
            </w:r>
            <w:r>
              <w:rPr>
                <w:rFonts w:hint="eastAsia" w:ascii="宋体"/>
                <w:color w:val="auto"/>
                <w:szCs w:val="21"/>
                <w:highlight w:val="none"/>
              </w:rPr>
              <w:t>项规定，且未被广州公共资源交易中心锁定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highlight w:val="none"/>
              </w:rPr>
              <w:t>安全培训考核合格证</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color w:val="auto"/>
                <w:szCs w:val="21"/>
                <w:highlight w:val="none"/>
              </w:rPr>
              <w:t>项目负责人及专职安全员具备有效的符合符合第二章</w:t>
            </w:r>
            <w:r>
              <w:rPr>
                <w:rFonts w:ascii="宋体"/>
                <w:color w:val="auto"/>
                <w:szCs w:val="21"/>
                <w:highlight w:val="none"/>
              </w:rPr>
              <w:t>“</w:t>
            </w:r>
            <w:r>
              <w:rPr>
                <w:rFonts w:hint="eastAsia" w:ascii="宋体"/>
                <w:color w:val="auto"/>
                <w:szCs w:val="21"/>
                <w:highlight w:val="none"/>
              </w:rPr>
              <w:t>投标人须知</w:t>
            </w:r>
            <w:r>
              <w:rPr>
                <w:rFonts w:ascii="宋体"/>
                <w:color w:val="auto"/>
                <w:szCs w:val="21"/>
                <w:highlight w:val="none"/>
              </w:rPr>
              <w:t>”</w:t>
            </w:r>
            <w:r>
              <w:rPr>
                <w:rFonts w:hint="eastAsia" w:ascii="宋体"/>
                <w:color w:val="auto"/>
                <w:szCs w:val="21"/>
                <w:highlight w:val="none"/>
              </w:rPr>
              <w:t>第</w:t>
            </w:r>
            <w:r>
              <w:rPr>
                <w:rFonts w:ascii="宋体"/>
                <w:color w:val="auto"/>
                <w:szCs w:val="21"/>
                <w:highlight w:val="none"/>
              </w:rPr>
              <w:t>1.4.1</w:t>
            </w:r>
            <w:r>
              <w:rPr>
                <w:rFonts w:hint="eastAsia" w:ascii="宋体"/>
                <w:color w:val="auto"/>
                <w:szCs w:val="21"/>
                <w:highlight w:val="none"/>
              </w:rPr>
              <w:t>项规定的行政主管部门颁发的安全培训考核合格证。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社保要求</w:t>
            </w:r>
          </w:p>
        </w:tc>
        <w:tc>
          <w:tcPr>
            <w:tcW w:w="499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color w:val="auto"/>
                <w:szCs w:val="21"/>
                <w:highlight w:val="none"/>
              </w:rPr>
              <w:t>符合第二章</w:t>
            </w:r>
            <w:r>
              <w:rPr>
                <w:rFonts w:ascii="宋体"/>
                <w:color w:val="auto"/>
                <w:szCs w:val="21"/>
                <w:highlight w:val="none"/>
              </w:rPr>
              <w:t>“</w:t>
            </w:r>
            <w:r>
              <w:rPr>
                <w:rFonts w:hint="eastAsia" w:ascii="宋体"/>
                <w:color w:val="auto"/>
                <w:szCs w:val="21"/>
                <w:highlight w:val="none"/>
              </w:rPr>
              <w:t>投标人须知</w:t>
            </w:r>
            <w:r>
              <w:rPr>
                <w:rFonts w:ascii="宋体"/>
                <w:color w:val="auto"/>
                <w:szCs w:val="21"/>
                <w:highlight w:val="none"/>
              </w:rPr>
              <w:t>”</w:t>
            </w:r>
            <w:r>
              <w:rPr>
                <w:rFonts w:hint="eastAsia" w:ascii="宋体"/>
                <w:color w:val="auto"/>
                <w:szCs w:val="21"/>
                <w:highlight w:val="none"/>
              </w:rPr>
              <w:t>第</w:t>
            </w:r>
            <w:r>
              <w:rPr>
                <w:rFonts w:ascii="宋体"/>
                <w:color w:val="auto"/>
                <w:szCs w:val="21"/>
                <w:highlight w:val="none"/>
              </w:rPr>
              <w:t>1.4.1</w:t>
            </w:r>
            <w:r>
              <w:rPr>
                <w:rFonts w:hint="eastAsia" w:asci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ascii="宋体" w:hAnsi="宋体"/>
                <w:color w:val="auto"/>
                <w:szCs w:val="21"/>
                <w:highlight w:val="none"/>
              </w:rPr>
              <w:t>联合体投标人</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u w:val="single"/>
              </w:rPr>
            </w:pPr>
            <w:r>
              <w:rPr>
                <w:rFonts w:hint="eastAsia" w:ascii="宋体" w:hAnsi="宋体"/>
                <w:color w:val="auto"/>
                <w:highlight w:val="none"/>
                <w:u w:val="single"/>
              </w:rPr>
              <w:t>投标登记</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本次招标要求投标人已在广州公共资源交易中心办理信息登记等相关投标登记手续。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项目负责人、技术负责人签字</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投标文件中投标人声明有按招标文件要求提交且有项目负责人、技术负责人签字，没有签字不予通过资格审查。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73" w:type="dxa"/>
            <w:vMerge w:val="restart"/>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2</w:t>
            </w:r>
          </w:p>
        </w:tc>
        <w:tc>
          <w:tcPr>
            <w:tcW w:w="1378" w:type="dxa"/>
            <w:vMerge w:val="restart"/>
            <w:tcBorders>
              <w:top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形式评审标准</w:t>
            </w: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rPr>
              <w:t>投标文件格式</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73"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378" w:type="dxa"/>
            <w:vMerge w:val="continue"/>
            <w:tcBorders>
              <w:top w:val="single" w:color="auto" w:sz="4" w:space="0"/>
              <w:bottom w:val="single" w:color="auto" w:sz="4" w:space="0"/>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投标函盖章</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有加盖单位公章；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73"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1378" w:type="dxa"/>
            <w:vMerge w:val="continue"/>
            <w:tcBorders>
              <w:top w:val="single" w:color="auto" w:sz="4" w:space="0"/>
              <w:bottom w:val="single" w:color="auto" w:sz="4" w:space="0"/>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联合体申请人</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973" w:type="dxa"/>
            <w:vMerge w:val="continue"/>
            <w:tcBorders>
              <w:top w:val="nil"/>
              <w:bottom w:val="single" w:color="auto" w:sz="4" w:space="0"/>
              <w:right w:val="single" w:color="auto" w:sz="4" w:space="0"/>
            </w:tcBorders>
            <w:vAlign w:val="center"/>
          </w:tcPr>
          <w:p>
            <w:pPr>
              <w:jc w:val="center"/>
              <w:rPr>
                <w:rFonts w:ascii="宋体" w:hAnsi="宋体"/>
                <w:color w:val="auto"/>
                <w:szCs w:val="21"/>
                <w:highlight w:val="none"/>
              </w:rPr>
            </w:pPr>
          </w:p>
        </w:tc>
        <w:tc>
          <w:tcPr>
            <w:tcW w:w="1378" w:type="dxa"/>
            <w:vMerge w:val="continue"/>
            <w:tcBorders>
              <w:top w:val="nil"/>
              <w:bottom w:val="single" w:color="auto" w:sz="4" w:space="0"/>
              <w:right w:val="single" w:color="auto" w:sz="4" w:space="0"/>
            </w:tcBorders>
            <w:vAlign w:val="center"/>
          </w:tcPr>
          <w:p>
            <w:pPr>
              <w:jc w:val="left"/>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报价唯一</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只能有一个有效报价</w:t>
            </w:r>
            <w:r>
              <w:rPr>
                <w:rFonts w:hint="eastAsia" w:ascii="宋体" w:hAnsi="宋体"/>
                <w:color w:val="auto"/>
                <w:szCs w:val="21"/>
                <w:highlight w:val="none"/>
              </w:rPr>
              <w:t>（指符合</w:t>
            </w:r>
            <w:r>
              <w:rPr>
                <w:rFonts w:hint="eastAsia" w:ascii="宋体" w:hAnsi="宋体"/>
                <w:color w:val="auto"/>
                <w:highlight w:val="none"/>
              </w:rPr>
              <w:t>第三章“评标办法”</w:t>
            </w:r>
            <w:r>
              <w:rPr>
                <w:rFonts w:hint="eastAsia" w:ascii="宋体" w:hAnsi="宋体"/>
                <w:color w:val="auto"/>
                <w:szCs w:val="21"/>
                <w:highlight w:val="none"/>
              </w:rPr>
              <w:t>2.2.2规定的有效投标报价）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2.1.3</w:t>
            </w:r>
          </w:p>
        </w:tc>
        <w:tc>
          <w:tcPr>
            <w:tcW w:w="1378" w:type="dxa"/>
            <w:vMerge w:val="restart"/>
            <w:tcBorders>
              <w:top w:val="single" w:color="auto" w:sz="4" w:space="0"/>
              <w:right w:val="single" w:color="auto" w:sz="4" w:space="0"/>
            </w:tcBorders>
            <w:vAlign w:val="center"/>
          </w:tcPr>
          <w:p>
            <w:pPr>
              <w:jc w:val="left"/>
              <w:rPr>
                <w:rFonts w:ascii="宋体" w:hAnsi="宋体"/>
                <w:color w:val="auto"/>
                <w:szCs w:val="21"/>
                <w:highlight w:val="none"/>
              </w:rPr>
            </w:pPr>
            <w:r>
              <w:rPr>
                <w:rFonts w:ascii="宋体" w:hAnsi="宋体"/>
                <w:color w:val="auto"/>
                <w:szCs w:val="21"/>
                <w:highlight w:val="none"/>
              </w:rPr>
              <w:t>响应性评审标准</w:t>
            </w: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计划</w:t>
            </w:r>
            <w:r>
              <w:rPr>
                <w:rFonts w:ascii="宋体" w:hAnsi="宋体"/>
                <w:color w:val="auto"/>
                <w:szCs w:val="21"/>
                <w:highlight w:val="none"/>
              </w:rPr>
              <w:t>工期</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工程质量</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投标保证金</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二</w:t>
            </w:r>
            <w:r>
              <w:rPr>
                <w:rFonts w:ascii="宋体" w:hAnsi="宋体"/>
                <w:color w:val="auto"/>
                <w:szCs w:val="21"/>
                <w:highlight w:val="none"/>
              </w:rPr>
              <w:t>章“投标人须知”第3.4</w:t>
            </w:r>
            <w:r>
              <w:rPr>
                <w:rFonts w:hint="eastAsia" w:ascii="宋体" w:hAnsi="宋体"/>
                <w:color w:val="auto"/>
                <w:szCs w:val="21"/>
                <w:highlight w:val="none"/>
              </w:rPr>
              <w:t>.1项</w:t>
            </w:r>
            <w:r>
              <w:rPr>
                <w:rFonts w:ascii="宋体" w:hAnsi="宋体"/>
                <w:color w:val="auto"/>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已标价工程量清单</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符合第</w:t>
            </w:r>
            <w:r>
              <w:rPr>
                <w:rFonts w:hint="eastAsia" w:ascii="宋体" w:hAnsi="宋体"/>
                <w:color w:val="auto"/>
                <w:szCs w:val="21"/>
                <w:highlight w:val="none"/>
              </w:rPr>
              <w:t>五</w:t>
            </w:r>
            <w:r>
              <w:rPr>
                <w:rFonts w:ascii="宋体" w:hAnsi="宋体"/>
                <w:color w:val="auto"/>
                <w:szCs w:val="21"/>
                <w:highlight w:val="none"/>
              </w:rPr>
              <w:t>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技术标准和要求</w:t>
            </w:r>
          </w:p>
        </w:tc>
        <w:tc>
          <w:tcPr>
            <w:tcW w:w="49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351" w:type="dxa"/>
            <w:gridSpan w:val="2"/>
            <w:tcBorders>
              <w:top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条款内容</w:t>
            </w:r>
          </w:p>
        </w:tc>
        <w:tc>
          <w:tcPr>
            <w:tcW w:w="4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1" w:type="dxa"/>
            <w:gridSpan w:val="2"/>
            <w:tcBorders>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2.2.1</w:t>
            </w:r>
          </w:p>
        </w:tc>
        <w:tc>
          <w:tcPr>
            <w:tcW w:w="18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分值构成</w:t>
            </w:r>
          </w:p>
          <w:p>
            <w:pPr>
              <w:rPr>
                <w:rFonts w:ascii="宋体" w:hAnsi="宋体"/>
                <w:color w:val="auto"/>
                <w:szCs w:val="21"/>
                <w:highlight w:val="none"/>
              </w:rPr>
            </w:pPr>
            <w:r>
              <w:rPr>
                <w:rFonts w:ascii="宋体" w:hAnsi="宋体"/>
                <w:color w:val="auto"/>
                <w:szCs w:val="21"/>
                <w:highlight w:val="none"/>
              </w:rPr>
              <w:t>(总分100分)</w:t>
            </w:r>
          </w:p>
        </w:tc>
        <w:tc>
          <w:tcPr>
            <w:tcW w:w="499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cs="宋体"/>
                <w:color w:val="auto"/>
                <w:szCs w:val="21"/>
                <w:highlight w:val="none"/>
              </w:rPr>
            </w:pPr>
            <w:r>
              <w:rPr>
                <w:rFonts w:hint="eastAsia" w:ascii="宋体" w:cs="宋体"/>
                <w:color w:val="auto"/>
                <w:szCs w:val="21"/>
                <w:highlight w:val="none"/>
              </w:rPr>
              <w:t>（1）技术部分+商务部分+投标报价部分三项合计得分：</w:t>
            </w:r>
            <w:r>
              <w:rPr>
                <w:rFonts w:hint="eastAsia" w:ascii="宋体" w:cs="宋体"/>
                <w:color w:val="auto"/>
                <w:szCs w:val="21"/>
                <w:highlight w:val="none"/>
                <w:u w:val="single"/>
              </w:rPr>
              <w:t>100</w:t>
            </w:r>
            <w:r>
              <w:rPr>
                <w:rFonts w:hint="eastAsia" w:ascii="宋体" w:cs="宋体"/>
                <w:color w:val="auto"/>
                <w:szCs w:val="21"/>
                <w:highlight w:val="none"/>
              </w:rPr>
              <w:t>分，合计得分占综合评估得分权重</w:t>
            </w:r>
            <w:r>
              <w:rPr>
                <w:rFonts w:hint="eastAsia" w:ascii="宋体" w:cs="宋体"/>
                <w:color w:val="auto"/>
                <w:szCs w:val="21"/>
                <w:highlight w:val="none"/>
                <w:u w:val="single"/>
              </w:rPr>
              <w:t>95</w:t>
            </w:r>
            <w:r>
              <w:rPr>
                <w:rFonts w:hint="eastAsia" w:ascii="宋体" w:cs="宋体"/>
                <w:color w:val="auto"/>
                <w:szCs w:val="21"/>
                <w:highlight w:val="none"/>
              </w:rPr>
              <w:t>%；</w:t>
            </w:r>
          </w:p>
          <w:p>
            <w:pPr>
              <w:snapToGrid w:val="0"/>
              <w:jc w:val="left"/>
              <w:rPr>
                <w:rFonts w:ascii="宋体" w:cs="宋体"/>
                <w:color w:val="auto"/>
                <w:szCs w:val="21"/>
                <w:highlight w:val="none"/>
              </w:rPr>
            </w:pPr>
            <w:r>
              <w:rPr>
                <w:rFonts w:hint="eastAsia" w:ascii="宋体" w:cs="宋体"/>
                <w:color w:val="auto"/>
                <w:szCs w:val="21"/>
                <w:highlight w:val="none"/>
              </w:rPr>
              <w:t>其中：技术部分权重5</w:t>
            </w:r>
            <w:r>
              <w:rPr>
                <w:rFonts w:hint="eastAsia" w:ascii="宋体" w:cs="宋体"/>
                <w:color w:val="auto"/>
                <w:szCs w:val="21"/>
                <w:highlight w:val="none"/>
                <w:u w:val="single"/>
              </w:rPr>
              <w:t>%</w:t>
            </w:r>
            <w:r>
              <w:rPr>
                <w:rFonts w:hint="eastAsia" w:ascii="宋体" w:cs="宋体"/>
                <w:color w:val="auto"/>
                <w:szCs w:val="21"/>
                <w:highlight w:val="none"/>
              </w:rPr>
              <w:t>；</w:t>
            </w:r>
          </w:p>
          <w:p>
            <w:pPr>
              <w:snapToGrid w:val="0"/>
              <w:jc w:val="left"/>
              <w:rPr>
                <w:rFonts w:ascii="宋体" w:cs="宋体"/>
                <w:color w:val="auto"/>
                <w:szCs w:val="21"/>
                <w:highlight w:val="none"/>
              </w:rPr>
            </w:pPr>
            <w:r>
              <w:rPr>
                <w:rFonts w:hint="eastAsia" w:ascii="宋体" w:cs="宋体"/>
                <w:color w:val="auto"/>
                <w:szCs w:val="21"/>
                <w:highlight w:val="none"/>
              </w:rPr>
              <w:t>商务部分权重</w:t>
            </w:r>
            <w:r>
              <w:rPr>
                <w:rFonts w:hint="eastAsia" w:ascii="宋体" w:cs="宋体"/>
                <w:color w:val="auto"/>
                <w:szCs w:val="21"/>
                <w:highlight w:val="none"/>
                <w:u w:val="single"/>
              </w:rPr>
              <w:t>15%</w:t>
            </w:r>
            <w:r>
              <w:rPr>
                <w:rFonts w:hint="eastAsia" w:ascii="宋体" w:cs="宋体"/>
                <w:color w:val="auto"/>
                <w:szCs w:val="21"/>
                <w:highlight w:val="none"/>
              </w:rPr>
              <w:t>；</w:t>
            </w:r>
          </w:p>
          <w:p>
            <w:pPr>
              <w:snapToGrid w:val="0"/>
              <w:jc w:val="left"/>
              <w:rPr>
                <w:rFonts w:ascii="宋体" w:cs="宋体"/>
                <w:color w:val="auto"/>
                <w:szCs w:val="21"/>
                <w:highlight w:val="none"/>
                <w:u w:val="single"/>
              </w:rPr>
            </w:pPr>
            <w:r>
              <w:rPr>
                <w:rFonts w:hint="eastAsia" w:ascii="宋体" w:cs="宋体"/>
                <w:color w:val="auto"/>
                <w:szCs w:val="21"/>
                <w:highlight w:val="none"/>
              </w:rPr>
              <w:t>投标报价权重</w:t>
            </w:r>
            <w:r>
              <w:rPr>
                <w:rFonts w:hint="eastAsia" w:ascii="宋体" w:cs="宋体"/>
                <w:color w:val="auto"/>
                <w:szCs w:val="21"/>
                <w:highlight w:val="none"/>
                <w:u w:val="single"/>
              </w:rPr>
              <w:t>80%</w:t>
            </w:r>
          </w:p>
          <w:p>
            <w:pPr>
              <w:rPr>
                <w:rFonts w:ascii="宋体" w:cs="宋体"/>
                <w:color w:val="auto"/>
                <w:szCs w:val="21"/>
                <w:highlight w:val="none"/>
              </w:rPr>
            </w:pPr>
            <w:r>
              <w:rPr>
                <w:rFonts w:hint="eastAsia" w:ascii="宋体" w:cs="宋体"/>
                <w:color w:val="auto"/>
                <w:szCs w:val="21"/>
                <w:highlight w:val="none"/>
              </w:rPr>
              <w:t>（2）诚信得分：5分，占综合评估得分权重</w:t>
            </w:r>
            <w:r>
              <w:rPr>
                <w:rFonts w:hint="eastAsia" w:ascii="宋体" w:cs="宋体"/>
                <w:color w:val="auto"/>
                <w:szCs w:val="21"/>
                <w:highlight w:val="none"/>
                <w:u w:val="single"/>
              </w:rPr>
              <w:t>5%</w:t>
            </w:r>
            <w:r>
              <w:rPr>
                <w:rFonts w:hint="eastAsia" w:ascii="宋体" w:cs="宋体"/>
                <w:color w:val="auto"/>
                <w:szCs w:val="21"/>
                <w:highlight w:val="none"/>
              </w:rPr>
              <w:t>。</w:t>
            </w:r>
          </w:p>
          <w:p>
            <w:pPr>
              <w:rPr>
                <w:rFonts w:ascii="宋体" w:hAnsi="宋体"/>
                <w:color w:val="auto"/>
                <w:szCs w:val="21"/>
                <w:highlight w:val="none"/>
              </w:rPr>
            </w:pPr>
            <w:r>
              <w:rPr>
                <w:rFonts w:hint="eastAsia" w:ascii="宋体"/>
                <w:b/>
                <w:color w:val="auto"/>
                <w:szCs w:val="21"/>
                <w:highlight w:val="none"/>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51" w:type="dxa"/>
            <w:gridSpan w:val="2"/>
            <w:tcBorders>
              <w:top w:val="nil"/>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条款号</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评分因素</w:t>
            </w:r>
          </w:p>
        </w:tc>
        <w:tc>
          <w:tcPr>
            <w:tcW w:w="4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ascii="宋体" w:hAnsi="宋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7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2.2.5(1)</w:t>
            </w:r>
          </w:p>
        </w:tc>
        <w:tc>
          <w:tcPr>
            <w:tcW w:w="1378"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技术部分</w:t>
            </w:r>
          </w:p>
          <w:p>
            <w:pPr>
              <w:jc w:val="center"/>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100</w:t>
            </w:r>
            <w:r>
              <w:rPr>
                <w:rFonts w:hint="eastAsia" w:ascii="宋体" w:hAnsi="宋体"/>
                <w:color w:val="auto"/>
                <w:szCs w:val="21"/>
                <w:highlight w:val="none"/>
              </w:rPr>
              <w:t>分）</w:t>
            </w:r>
          </w:p>
        </w:tc>
        <w:tc>
          <w:tcPr>
            <w:tcW w:w="189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项目实施方案（12分）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根据各投标人提供的项目整体实施方案进行评审：</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1、有完善的管理架构、有详细的施工计划、质量服务计划表、人员配备、机械设备使用，资金使用计划，计划详细、合理可行，得12分；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2、有较好的管理架构、有较详细的质量服务计划表、人员配备、机械设备使用、资金使用计划及其保证措施，计划基本合理可行，措施基本得当，得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3、有完善的管理架构、有基本的质量服务计划表、人员配备、机械设备使用、资金使用计划，计划和措施，内容表述一般，得</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4、有完整的管理架构、施工计划、质量服务计划表、人员配备、机械设备使用计划、资金使用计划，但内容表述不清楚，方案较差，得</w:t>
            </w:r>
            <w:r>
              <w:rPr>
                <w:rFonts w:ascii="宋体" w:hAnsi="宋体" w:cs="宋体"/>
                <w:color w:val="auto"/>
                <w:szCs w:val="21"/>
                <w:highlight w:val="none"/>
              </w:rPr>
              <w:t>6</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、提供项目实施方案但内容与项目不符合或不提供，得0分</w:t>
            </w:r>
          </w:p>
          <w:p>
            <w:pPr>
              <w:pStyle w:val="2"/>
              <w:spacing w:line="360" w:lineRule="auto"/>
              <w:ind w:left="0" w:leftChars="0"/>
              <w:rPr>
                <w:rFonts w:ascii="宋体" w:hAnsi="宋体" w:cs="宋体"/>
                <w:color w:val="auto"/>
                <w:szCs w:val="21"/>
                <w:highlight w:val="none"/>
              </w:rPr>
            </w:pPr>
            <w:r>
              <w:rPr>
                <w:rFonts w:hint="eastAsia" w:ascii="宋体" w:hAnsi="宋体" w:eastAsia="宋体" w:cs="宋体"/>
                <w:color w:val="auto"/>
                <w:kern w:val="2"/>
                <w:sz w:val="21"/>
                <w:szCs w:val="21"/>
                <w:highlight w:val="none"/>
              </w:rPr>
              <w:t>以上项目实施方案提供的内容有漏项的，每缺一项扣</w:t>
            </w:r>
            <w:r>
              <w:rPr>
                <w:rFonts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rPr>
              <w:t>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tcPr>
          <w:p>
            <w:pPr>
              <w:jc w:val="center"/>
              <w:rPr>
                <w:rFonts w:ascii="宋体" w:hAnsi="宋体"/>
                <w:color w:val="auto"/>
                <w:szCs w:val="21"/>
                <w:highlight w:val="none"/>
                <w:lang w:eastAsia="zh-TW"/>
              </w:rPr>
            </w:pPr>
          </w:p>
        </w:tc>
        <w:tc>
          <w:tcPr>
            <w:tcW w:w="1378" w:type="dxa"/>
            <w:vMerge w:val="continue"/>
            <w:tcBorders>
              <w:right w:val="single" w:color="auto" w:sz="4" w:space="0"/>
            </w:tcBorders>
            <w:vAlign w:val="center"/>
          </w:tcPr>
          <w:p>
            <w:pPr>
              <w:jc w:val="center"/>
              <w:rPr>
                <w:rFonts w:ascii="宋体" w:hAnsi="宋体"/>
                <w:color w:val="auto"/>
                <w:szCs w:val="21"/>
                <w:highlight w:val="none"/>
                <w:lang w:eastAsia="zh-TW"/>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施工方案与技术措施的重点难点分析与解决方案（24分）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对项目的重点难点有深入的分析表述，解决方案具有先进合理性，且经济安全，切实可行。</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1.重点难点需有深入的表述，解决方案完整合理、针对性强，得24分；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2.重点难点表述基本完整，解决方案完整合理有针对性，得</w:t>
            </w:r>
            <w:r>
              <w:rPr>
                <w:rFonts w:ascii="宋体" w:hAnsi="宋体" w:cs="宋体"/>
                <w:color w:val="auto"/>
                <w:szCs w:val="21"/>
                <w:highlight w:val="none"/>
              </w:rPr>
              <w:t>20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3.重点难点表述完整，解决方案一般，性价比不高，得</w:t>
            </w:r>
            <w:r>
              <w:rPr>
                <w:rFonts w:ascii="宋体" w:hAnsi="宋体" w:cs="宋体"/>
                <w:color w:val="auto"/>
                <w:szCs w:val="21"/>
                <w:highlight w:val="none"/>
              </w:rPr>
              <w:t>15</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.重点难点表述不完整，解决方案不合理，无针对性，得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.未提供重点难点和解决方案，得0分。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质量管理体系与措施（10分）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针对工程的质量管理及质量保证措施方面的论述:</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1、施工质量控制方案详细合理, 对主要工序、施工工艺、材料验收等的质量控制方法合理可行、针对性强，得10分；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2、施工质量控制方案较好, 对主要工序、施工工艺、材料验收等的质量控制方法基本合理、针对性较强, 得</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3、施工质量控制方案一般, 对主要工序、施工工艺、材料验收等的质量控制方法可行性一般、针对性一般，得</w:t>
            </w:r>
            <w:r>
              <w:rPr>
                <w:rFonts w:ascii="宋体" w:hAnsi="宋体" w:cs="宋体"/>
                <w:color w:val="auto"/>
                <w:szCs w:val="21"/>
                <w:highlight w:val="none"/>
              </w:rPr>
              <w:t>6</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4、质量保证措施不符合项目要求,或没有相关内容描述的,得0分。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安全管理体系与文明措施（10分）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针对工程施工安全及文明施工措施的论述：</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1、管理措施规范，规章制度完善，安全保护方法明确，措施（含风险管理）具体可行、实用性与可操作性强，得10分；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2、管理措施比较规范，规章制度比较完善，安全保护方法较明确措施（含风险管理）基本可行、实用性与可操作性较强，得</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3、管理措施规范性一般，规章制度基本完善，安全保护方法一般，措施（含风险管理）一般、实用性与可操作性一般，得</w:t>
            </w:r>
            <w:r>
              <w:rPr>
                <w:rFonts w:ascii="宋体" w:hAnsi="宋体" w:cs="宋体"/>
                <w:color w:val="auto"/>
                <w:szCs w:val="21"/>
                <w:highlight w:val="none"/>
              </w:rPr>
              <w:t>6</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4、该部分内容描述较差，且安全保护方法不明确措施（含风险管理）不具体、针对性差，或没有相关内容描述的，得0分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售后服务（20分）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质保期内定期维护，提供服务承诺和保证措施，得</w:t>
            </w:r>
            <w:r>
              <w:rPr>
                <w:rFonts w:ascii="宋体" w:hAnsi="宋体" w:cs="宋体"/>
                <w:color w:val="auto"/>
                <w:szCs w:val="21"/>
                <w:highlight w:val="none"/>
              </w:rPr>
              <w:t>5</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9"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kern w:val="0"/>
                <w:szCs w:val="21"/>
                <w:highlight w:val="none"/>
              </w:rPr>
            </w:pP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bookmarkStart w:id="1126" w:name="_GoBack"/>
            <w:r>
              <w:rPr>
                <w:rFonts w:hint="eastAsia" w:ascii="宋体" w:hAnsi="宋体" w:cs="宋体"/>
                <w:color w:val="auto"/>
                <w:szCs w:val="21"/>
                <w:highlight w:val="none"/>
              </w:rPr>
              <w:t>1、供应商在接到招标人通知后</w:t>
            </w:r>
            <w:r>
              <w:rPr>
                <w:rFonts w:ascii="宋体" w:hAnsi="宋体" w:cs="宋体"/>
                <w:color w:val="auto"/>
                <w:szCs w:val="21"/>
                <w:highlight w:val="none"/>
              </w:rPr>
              <w:t>60</w:t>
            </w:r>
            <w:r>
              <w:rPr>
                <w:rFonts w:hint="eastAsia" w:ascii="宋体" w:hAnsi="宋体" w:cs="宋体"/>
                <w:color w:val="auto"/>
                <w:szCs w:val="21"/>
                <w:highlight w:val="none"/>
              </w:rPr>
              <w:t>分钟内到现场响应服务的得</w:t>
            </w:r>
            <w:r>
              <w:rPr>
                <w:rFonts w:ascii="宋体" w:hAnsi="宋体" w:cs="宋体"/>
                <w:color w:val="auto"/>
                <w:szCs w:val="21"/>
                <w:highlight w:val="none"/>
              </w:rPr>
              <w:t>15</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2、供应商在接到招标人通知后</w:t>
            </w:r>
            <w:r>
              <w:rPr>
                <w:rFonts w:ascii="宋体" w:hAnsi="宋体" w:cs="宋体"/>
                <w:color w:val="auto"/>
                <w:szCs w:val="21"/>
                <w:highlight w:val="none"/>
              </w:rPr>
              <w:t>60</w:t>
            </w:r>
            <w:r>
              <w:rPr>
                <w:rFonts w:hint="eastAsia" w:ascii="宋体" w:hAnsi="宋体" w:cs="宋体"/>
                <w:color w:val="auto"/>
                <w:szCs w:val="21"/>
                <w:highlight w:val="none"/>
              </w:rPr>
              <w:t>（不含）-</w:t>
            </w:r>
            <w:r>
              <w:rPr>
                <w:rFonts w:ascii="宋体" w:hAnsi="宋体" w:cs="宋体"/>
                <w:color w:val="auto"/>
                <w:szCs w:val="21"/>
                <w:highlight w:val="none"/>
              </w:rPr>
              <w:t>90</w:t>
            </w:r>
            <w:r>
              <w:rPr>
                <w:rFonts w:hint="eastAsia" w:ascii="宋体" w:hAnsi="宋体" w:cs="宋体"/>
                <w:color w:val="auto"/>
                <w:szCs w:val="21"/>
                <w:highlight w:val="none"/>
              </w:rPr>
              <w:t>分钟（含）到现场响应服务的得8分；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3、供应商在接到招标人通知后9</w:t>
            </w:r>
            <w:r>
              <w:rPr>
                <w:rFonts w:ascii="宋体" w:hAnsi="宋体" w:cs="宋体"/>
                <w:color w:val="auto"/>
                <w:szCs w:val="21"/>
                <w:highlight w:val="none"/>
              </w:rPr>
              <w:t>0</w:t>
            </w:r>
            <w:ins w:id="0" w:author="招标代理机构" w:date="2023-07-20T18:26:04Z">
              <w:r>
                <w:rPr>
                  <w:rFonts w:hint="eastAsia" w:ascii="宋体" w:hAnsi="宋体" w:cs="宋体"/>
                  <w:color w:val="auto"/>
                  <w:szCs w:val="21"/>
                  <w:highlight w:val="none"/>
                  <w:lang w:eastAsia="zh-CN"/>
                </w:rPr>
                <w:t>（</w:t>
              </w:r>
            </w:ins>
            <w:ins w:id="1" w:author="招标代理机构" w:date="2023-07-20T18:26:08Z">
              <w:r>
                <w:rPr>
                  <w:rFonts w:hint="eastAsia" w:ascii="宋体" w:hAnsi="宋体" w:cs="宋体"/>
                  <w:color w:val="auto"/>
                  <w:szCs w:val="21"/>
                  <w:highlight w:val="none"/>
                  <w:lang w:val="en-US" w:eastAsia="zh-CN"/>
                </w:rPr>
                <w:t>不含</w:t>
              </w:r>
            </w:ins>
            <w:ins w:id="2" w:author="招标代理机构" w:date="2023-07-20T18:26:04Z">
              <w:r>
                <w:rPr>
                  <w:rFonts w:hint="eastAsia" w:ascii="宋体" w:hAnsi="宋体" w:cs="宋体"/>
                  <w:color w:val="auto"/>
                  <w:szCs w:val="21"/>
                  <w:highlight w:val="none"/>
                  <w:lang w:eastAsia="zh-CN"/>
                </w:rPr>
                <w:t>）</w:t>
              </w:r>
            </w:ins>
            <w:r>
              <w:rPr>
                <w:rFonts w:hint="eastAsia" w:ascii="宋体" w:hAnsi="宋体" w:cs="宋体"/>
                <w:color w:val="auto"/>
                <w:szCs w:val="21"/>
                <w:highlight w:val="none"/>
              </w:rPr>
              <w:t>-120分钟</w:t>
            </w:r>
            <w:ins w:id="3" w:author="招标代理机构" w:date="2023-07-20T18:26:12Z">
              <w:r>
                <w:rPr>
                  <w:rFonts w:hint="eastAsia" w:ascii="宋体" w:hAnsi="宋体" w:cs="宋体"/>
                  <w:color w:val="auto"/>
                  <w:szCs w:val="21"/>
                  <w:highlight w:val="none"/>
                  <w:lang w:eastAsia="zh-CN"/>
                </w:rPr>
                <w:t>（</w:t>
              </w:r>
            </w:ins>
            <w:ins w:id="4" w:author="招标代理机构" w:date="2023-07-20T18:26:14Z">
              <w:r>
                <w:rPr>
                  <w:rFonts w:hint="eastAsia" w:ascii="宋体" w:hAnsi="宋体" w:cs="宋体"/>
                  <w:color w:val="auto"/>
                  <w:szCs w:val="21"/>
                  <w:highlight w:val="none"/>
                  <w:lang w:val="en-US" w:eastAsia="zh-CN"/>
                </w:rPr>
                <w:t>含</w:t>
              </w:r>
            </w:ins>
            <w:ins w:id="5" w:author="招标代理机构" w:date="2023-07-20T18:26:12Z">
              <w:r>
                <w:rPr>
                  <w:rFonts w:hint="eastAsia" w:ascii="宋体" w:hAnsi="宋体" w:cs="宋体"/>
                  <w:color w:val="auto"/>
                  <w:szCs w:val="21"/>
                  <w:highlight w:val="none"/>
                  <w:lang w:eastAsia="zh-CN"/>
                </w:rPr>
                <w:t>）</w:t>
              </w:r>
            </w:ins>
            <w:r>
              <w:rPr>
                <w:rFonts w:hint="eastAsia" w:ascii="宋体" w:hAnsi="宋体" w:cs="宋体"/>
                <w:color w:val="auto"/>
                <w:szCs w:val="21"/>
                <w:highlight w:val="none"/>
              </w:rPr>
              <w:t>到现场响应服务的得5分。</w:t>
            </w:r>
          </w:p>
          <w:p>
            <w:pPr>
              <w:spacing w:line="360" w:lineRule="auto"/>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、供应商在接到招标人通知后120分钟以上到现场响应服务不得分。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注：提供承诺函及企业地址等信息，承诺函格式自定。</w:t>
            </w:r>
            <w:bookmarkEnd w:id="112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工程建设进度计划与措施（12分）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对工程建设进度计划和工期保证措施的论述：</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1、提供详细施工整体进度计划，进度控制和工期保证措施有明确可行的节点目标，得12分；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2、提供较详细施工整体进度计划，进度控制和工期保证措施有较可行的节点目标，得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3、提供施工整体进度计划，进度控制和工期保证措施的节点目标一般，得</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4、提供施工整体进度计划，进度控制和工期保证措施的节点目标，计划与措施较差，得5分；</w:t>
            </w:r>
          </w:p>
          <w:p>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、提供施工整体进度计划不全面，进度控制和工期保证措施没有明确可行的节点目标，或没有相关内容描述的，得0分。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项目管理组织架构（12分）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根据供应商提供的项目管理组织架构，拟投入本项目各岗位人员安排的合理性、可行性进行评分：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1.项目管理组织架构完善，拟投入本项目各岗位人员安排的合理性、可行性强的，得12分；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2.项目管理组织架构较完善，拟投入本项目各岗位人员安排的合理性、可行性较强的，得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3.项目管理组织架构一般，拟投入本项目各岗位人员按排的合理性、可行性一般的，得</w:t>
            </w:r>
            <w:r>
              <w:rPr>
                <w:rFonts w:ascii="宋体" w:hAnsi="宋体" w:cs="宋体"/>
                <w:color w:val="auto"/>
                <w:szCs w:val="21"/>
                <w:highlight w:val="none"/>
              </w:rPr>
              <w:t>8</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4.项目管理组织架构差，拟投入本项目各岗位人员安排的合理性、可行性差的，得</w:t>
            </w:r>
            <w:r>
              <w:rPr>
                <w:rFonts w:ascii="宋体" w:hAnsi="宋体" w:cs="宋体"/>
                <w:color w:val="auto"/>
                <w:szCs w:val="21"/>
                <w:highlight w:val="none"/>
              </w:rPr>
              <w:t>5</w:t>
            </w:r>
            <w:r>
              <w:rPr>
                <w:rFonts w:hint="eastAsia" w:ascii="宋体" w:hAnsi="宋体" w:cs="宋体"/>
                <w:color w:val="auto"/>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5.未提供对应方案的不得分。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9" w:hRule="atLeast"/>
          <w:jc w:val="center"/>
        </w:trPr>
        <w:tc>
          <w:tcPr>
            <w:tcW w:w="973" w:type="dxa"/>
            <w:vMerge w:val="restart"/>
            <w:tcBorders>
              <w:top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1378" w:type="dxa"/>
            <w:vMerge w:val="restart"/>
            <w:tcBorders>
              <w:top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szCs w:val="21"/>
                <w:highlight w:val="none"/>
              </w:rPr>
              <w:t>商务部分</w:t>
            </w:r>
          </w:p>
          <w:p>
            <w:pPr>
              <w:jc w:val="left"/>
              <w:rPr>
                <w:rFonts w:ascii="宋体" w:hAnsi="宋体"/>
                <w:color w:val="auto"/>
                <w:szCs w:val="21"/>
                <w:highlight w:val="none"/>
              </w:rPr>
            </w:pPr>
            <w:r>
              <w:rPr>
                <w:rFonts w:hint="eastAsia" w:ascii="宋体" w:hAnsi="宋体"/>
                <w:color w:val="auto"/>
                <w:szCs w:val="21"/>
                <w:highlight w:val="none"/>
              </w:rPr>
              <w:t>（100分）</w:t>
            </w: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技术负责人的任职资格与业绩（</w:t>
            </w:r>
            <w:r>
              <w:rPr>
                <w:rFonts w:ascii="宋体" w:hAnsi="宋体" w:cs="宋体"/>
                <w:color w:val="auto"/>
                <w:szCs w:val="21"/>
                <w:highlight w:val="none"/>
              </w:rPr>
              <w:t>15</w:t>
            </w:r>
            <w:r>
              <w:rPr>
                <w:rFonts w:hint="eastAsia" w:ascii="宋体" w:hAnsi="宋体" w:cs="宋体"/>
                <w:color w:val="auto"/>
                <w:szCs w:val="21"/>
                <w:highlight w:val="none"/>
              </w:rPr>
              <w:t>分）</w:t>
            </w:r>
          </w:p>
        </w:tc>
        <w:tc>
          <w:tcPr>
            <w:tcW w:w="4992" w:type="dxa"/>
            <w:tcBorders>
              <w:top w:val="single" w:color="auto" w:sz="4" w:space="0"/>
              <w:left w:val="single" w:color="auto" w:sz="4" w:space="0"/>
              <w:bottom w:val="single" w:color="auto" w:sz="4" w:space="0"/>
              <w:right w:val="single" w:color="auto" w:sz="4" w:space="0"/>
            </w:tcBorders>
            <w:vAlign w:val="center"/>
          </w:tcPr>
          <w:p>
            <w:pPr>
              <w:numPr>
                <w:ilvl w:val="255"/>
                <w:numId w:val="0"/>
              </w:numPr>
              <w:spacing w:line="360" w:lineRule="auto"/>
              <w:jc w:val="left"/>
              <w:rPr>
                <w:rFonts w:ascii="宋体" w:hAnsi="宋体" w:cs="宋体"/>
                <w:color w:val="auto"/>
                <w:szCs w:val="21"/>
                <w:highlight w:val="none"/>
              </w:rPr>
            </w:pPr>
            <w:r>
              <w:rPr>
                <w:rFonts w:hint="eastAsia" w:ascii="宋体" w:hAnsi="宋体" w:cs="宋体"/>
                <w:color w:val="auto"/>
                <w:szCs w:val="21"/>
                <w:highlight w:val="none"/>
              </w:rPr>
              <w:t>拟派项目技术负责人具有工程类高级工程师职称证书的，得15分；中级得5分。</w:t>
            </w:r>
          </w:p>
          <w:p>
            <w:pPr>
              <w:spacing w:line="360" w:lineRule="auto"/>
              <w:jc w:val="left"/>
              <w:rPr>
                <w:rFonts w:hAnsi="宋体" w:cs="宋体"/>
                <w:color w:val="auto"/>
                <w:szCs w:val="21"/>
                <w:highlight w:val="none"/>
              </w:rPr>
            </w:pPr>
            <w:r>
              <w:rPr>
                <w:rFonts w:hint="eastAsia" w:ascii="宋体" w:hAnsi="宋体" w:cs="宋体"/>
                <w:color w:val="auto"/>
                <w:szCs w:val="21"/>
                <w:highlight w:val="none"/>
              </w:rPr>
              <w:t>注：1）</w:t>
            </w:r>
            <w:r>
              <w:rPr>
                <w:rFonts w:hint="eastAsia" w:hAnsi="宋体" w:cs="宋体"/>
                <w:color w:val="auto"/>
                <w:szCs w:val="21"/>
                <w:highlight w:val="none"/>
              </w:rPr>
              <w:t>须同时提供职称证扫描件和离投标截止时间最近3个月中任意一个月在本单位交纳的社保证明文件（以加盖社会保险基金管理中心印章的相关资料为准），退休返聘人员需提供退休及返聘证明）。不符合上述条件或未提供上述资料的不得分。</w:t>
            </w:r>
          </w:p>
          <w:p>
            <w:pPr>
              <w:spacing w:line="360" w:lineRule="auto"/>
              <w:jc w:val="left"/>
              <w:rPr>
                <w:rFonts w:ascii="宋体" w:hAnsi="宋体" w:cs="宋体"/>
                <w:color w:val="auto"/>
                <w:szCs w:val="21"/>
                <w:highlight w:val="none"/>
              </w:rPr>
            </w:pPr>
            <w:r>
              <w:rPr>
                <w:rFonts w:hint="eastAsia" w:hAnsi="宋体" w:cs="宋体"/>
                <w:color w:val="auto"/>
                <w:szCs w:val="21"/>
                <w:highlight w:val="none"/>
              </w:rPr>
              <w:t>2）</w:t>
            </w:r>
            <w:r>
              <w:rPr>
                <w:rFonts w:hint="eastAsia" w:cs="宋体"/>
                <w:color w:val="auto"/>
                <w:highlight w:val="none"/>
              </w:rPr>
              <w:t>如是联合体投标，由联合体牵头人提供为准。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2"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组织机构及主要管理人员（项目负责人、技术负责人除外）（2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499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1、拟派团队人员具有高级工程师职称证书</w:t>
            </w:r>
            <w:r>
              <w:rPr>
                <w:rFonts w:ascii="宋体" w:hAnsi="宋体" w:cs="宋体"/>
                <w:color w:val="auto"/>
                <w:szCs w:val="21"/>
                <w:highlight w:val="none"/>
              </w:rPr>
              <w:t>或一级</w:t>
            </w:r>
            <w:r>
              <w:rPr>
                <w:rFonts w:hint="eastAsia" w:ascii="宋体" w:hAnsi="宋体" w:cs="宋体"/>
                <w:color w:val="auto"/>
                <w:szCs w:val="21"/>
                <w:highlight w:val="none"/>
              </w:rPr>
              <w:t>注册建造师证书，每提供1人得</w:t>
            </w:r>
            <w:r>
              <w:rPr>
                <w:rFonts w:ascii="宋体" w:hAnsi="宋体" w:cs="宋体"/>
                <w:color w:val="auto"/>
                <w:szCs w:val="21"/>
                <w:highlight w:val="none"/>
              </w:rPr>
              <w:t>10</w:t>
            </w:r>
            <w:r>
              <w:rPr>
                <w:rFonts w:hint="eastAsia" w:ascii="宋体" w:hAnsi="宋体" w:cs="宋体"/>
                <w:color w:val="auto"/>
                <w:szCs w:val="21"/>
                <w:highlight w:val="none"/>
              </w:rPr>
              <w:t>分；具有中级工程师职称证书或二级注册建造师证书的，每提供1人得</w:t>
            </w:r>
            <w:r>
              <w:rPr>
                <w:rFonts w:ascii="宋体" w:hAnsi="宋体" w:cs="宋体"/>
                <w:color w:val="auto"/>
                <w:szCs w:val="21"/>
                <w:highlight w:val="none"/>
              </w:rPr>
              <w:t>5</w:t>
            </w:r>
            <w:r>
              <w:rPr>
                <w:rFonts w:hint="eastAsia" w:ascii="宋体" w:hAnsi="宋体" w:cs="宋体"/>
                <w:color w:val="auto"/>
                <w:szCs w:val="21"/>
                <w:highlight w:val="none"/>
              </w:rPr>
              <w:t>分。本小项最高得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、拟派造价负责人具有注册造价师证书的，一级得1</w:t>
            </w:r>
            <w:r>
              <w:rPr>
                <w:rFonts w:ascii="宋体" w:hAnsi="宋体" w:cs="宋体"/>
                <w:color w:val="auto"/>
                <w:szCs w:val="21"/>
                <w:highlight w:val="none"/>
              </w:rPr>
              <w:t>0分</w:t>
            </w:r>
            <w:r>
              <w:rPr>
                <w:rFonts w:hint="eastAsia" w:ascii="宋体" w:hAnsi="宋体" w:cs="宋体"/>
                <w:color w:val="auto"/>
                <w:szCs w:val="21"/>
                <w:highlight w:val="none"/>
              </w:rPr>
              <w:t>，</w:t>
            </w:r>
            <w:r>
              <w:rPr>
                <w:rFonts w:ascii="宋体" w:hAnsi="宋体" w:cs="宋体"/>
                <w:color w:val="auto"/>
                <w:szCs w:val="21"/>
                <w:highlight w:val="none"/>
              </w:rPr>
              <w:t>二级得</w:t>
            </w:r>
            <w:r>
              <w:rPr>
                <w:rFonts w:hint="eastAsia" w:ascii="宋体" w:hAnsi="宋体" w:cs="宋体"/>
                <w:color w:val="auto"/>
                <w:szCs w:val="21"/>
                <w:highlight w:val="none"/>
              </w:rPr>
              <w:t>5分，本小项最高得</w:t>
            </w:r>
            <w:r>
              <w:rPr>
                <w:rFonts w:ascii="宋体" w:hAnsi="宋体" w:cs="宋体"/>
                <w:color w:val="auto"/>
                <w:szCs w:val="21"/>
                <w:highlight w:val="none"/>
              </w:rPr>
              <w:t>10</w:t>
            </w:r>
            <w:r>
              <w:rPr>
                <w:rFonts w:hint="eastAsia" w:ascii="宋体" w:hAnsi="宋体" w:cs="宋体"/>
                <w:color w:val="auto"/>
                <w:szCs w:val="21"/>
                <w:highlight w:val="none"/>
              </w:rPr>
              <w:t>分。</w:t>
            </w:r>
          </w:p>
          <w:p>
            <w:pPr>
              <w:spacing w:line="360" w:lineRule="auto"/>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、拟投入其他人员同时具备施工员、质量员、机械员、材料员、资料员的得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分，缺少一人扣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分，本小项最高得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分。 </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w:t>
            </w:r>
            <w:r>
              <w:rPr>
                <w:rFonts w:hint="eastAsia" w:hAnsi="宋体" w:cs="宋体"/>
                <w:color w:val="auto"/>
                <w:szCs w:val="21"/>
                <w:highlight w:val="none"/>
              </w:rPr>
              <w:t>须同时提供</w:t>
            </w:r>
            <w:r>
              <w:rPr>
                <w:rFonts w:hAnsi="宋体" w:cs="宋体"/>
                <w:color w:val="auto"/>
                <w:szCs w:val="21"/>
                <w:highlight w:val="none"/>
              </w:rPr>
              <w:t>证书</w:t>
            </w:r>
            <w:r>
              <w:rPr>
                <w:rFonts w:hint="eastAsia" w:hAnsi="宋体" w:cs="宋体"/>
                <w:color w:val="auto"/>
                <w:szCs w:val="21"/>
                <w:highlight w:val="none"/>
              </w:rPr>
              <w:t>扫描件和离投标截止时间最近3个月中任意一个月</w:t>
            </w:r>
            <w:r>
              <w:rPr>
                <w:rFonts w:hint="eastAsia"/>
                <w:color w:val="auto"/>
                <w:highlight w:val="none"/>
              </w:rPr>
              <w:t>在本单位交纳</w:t>
            </w:r>
            <w:r>
              <w:rPr>
                <w:rFonts w:hint="eastAsia" w:hAnsi="宋体" w:cs="宋体"/>
                <w:color w:val="auto"/>
                <w:szCs w:val="21"/>
                <w:highlight w:val="none"/>
              </w:rPr>
              <w:t>的社保证明文件（以加盖社会保险基金管理中心印章的《投保单》或《社会保险参保人员证明》资料为准）。不符合上述条件或未提供上述资料的不得分。</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2）拟派项目管理团队人员中同一人具有多个证书的不累计得分，仅以最高分计一次。</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cs="宋体"/>
                <w:color w:val="auto"/>
                <w:highlight w:val="none"/>
              </w:rPr>
              <w:t>如是联合体投标，由联合体牵头人提供为准。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3"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highlight w:val="none"/>
                <w:lang w:val="zh-CN"/>
              </w:rPr>
              <w:t>投标人的</w:t>
            </w:r>
            <w:r>
              <w:rPr>
                <w:rFonts w:hint="eastAsia" w:ascii="宋体" w:hAnsi="宋体" w:cs="宋体"/>
                <w:color w:val="auto"/>
                <w:highlight w:val="none"/>
              </w:rPr>
              <w:t>同类项目</w:t>
            </w:r>
            <w:r>
              <w:rPr>
                <w:rFonts w:hint="eastAsia" w:ascii="宋体" w:hAnsi="宋体" w:cs="宋体"/>
                <w:color w:val="auto"/>
                <w:highlight w:val="none"/>
                <w:lang w:val="zh-CN"/>
              </w:rPr>
              <w:t>业绩</w:t>
            </w:r>
            <w:r>
              <w:rPr>
                <w:rFonts w:hint="eastAsia" w:ascii="宋体" w:hAnsi="宋体" w:cs="宋体"/>
                <w:color w:val="auto"/>
                <w:szCs w:val="21"/>
                <w:highlight w:val="none"/>
              </w:rPr>
              <w:t>（30分）</w:t>
            </w:r>
          </w:p>
        </w:tc>
        <w:tc>
          <w:tcPr>
            <w:tcW w:w="4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1、投标人自</w:t>
            </w:r>
            <w:r>
              <w:rPr>
                <w:rFonts w:hint="eastAsia" w:ascii="宋体" w:hAnsi="宋体" w:cs="宋体"/>
                <w:color w:val="auto"/>
                <w:szCs w:val="21"/>
                <w:highlight w:val="none"/>
                <w:u w:val="single"/>
              </w:rPr>
              <w:t>2020</w:t>
            </w:r>
            <w:r>
              <w:rPr>
                <w:rFonts w:hint="eastAsia" w:ascii="宋体" w:hAnsi="宋体" w:cs="宋体"/>
                <w:color w:val="auto"/>
                <w:szCs w:val="21"/>
                <w:highlight w:val="none"/>
              </w:rPr>
              <w:t>年1月1日（以验收时间为准）至今完成过质量合格</w:t>
            </w:r>
            <w:r>
              <w:rPr>
                <w:rFonts w:hint="eastAsia" w:ascii="宋体" w:hAnsi="宋体" w:cs="宋体"/>
                <w:color w:val="auto"/>
                <w:kern w:val="0"/>
                <w:szCs w:val="21"/>
                <w:highlight w:val="none"/>
                <w:lang w:bidi="ar"/>
              </w:rPr>
              <w:t>且合同金额大于或等于400 万元</w:t>
            </w:r>
            <w:r>
              <w:rPr>
                <w:rFonts w:hint="eastAsia" w:ascii="宋体" w:hAnsi="宋体" w:cs="宋体"/>
                <w:color w:val="auto"/>
                <w:szCs w:val="21"/>
                <w:highlight w:val="none"/>
              </w:rPr>
              <w:t>的同类型项目，每提供一项得</w:t>
            </w:r>
            <w:r>
              <w:rPr>
                <w:rFonts w:ascii="宋体" w:hAnsi="宋体" w:cs="宋体"/>
                <w:color w:val="auto"/>
                <w:szCs w:val="21"/>
                <w:highlight w:val="none"/>
              </w:rPr>
              <w:t>5</w:t>
            </w:r>
            <w:r>
              <w:rPr>
                <w:rFonts w:hint="eastAsia" w:ascii="宋体" w:hAnsi="宋体" w:cs="宋体"/>
                <w:color w:val="auto"/>
                <w:szCs w:val="21"/>
                <w:highlight w:val="none"/>
              </w:rPr>
              <w:t>分，最高得30分,无类似业绩不得分。</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注：1）同类型项目是指合同金额</w:t>
            </w:r>
            <w:r>
              <w:rPr>
                <w:rFonts w:hint="eastAsia" w:ascii="宋体" w:hAnsi="宋体" w:cs="宋体"/>
                <w:b/>
                <w:color w:val="auto"/>
                <w:szCs w:val="21"/>
                <w:highlight w:val="none"/>
              </w:rPr>
              <w:t>大于或等于400</w:t>
            </w:r>
            <w:r>
              <w:rPr>
                <w:rFonts w:hint="eastAsia" w:ascii="宋体" w:hAnsi="宋体" w:cs="宋体"/>
                <w:color w:val="auto"/>
                <w:szCs w:val="21"/>
                <w:highlight w:val="none"/>
              </w:rPr>
              <w:t>万元的街区或景区提升改造工程施工业绩，或街区或景区</w:t>
            </w:r>
            <w:r>
              <w:rPr>
                <w:rFonts w:hint="eastAsia" w:ascii="宋体" w:hAnsi="宋体" w:cs="宋体"/>
                <w:bCs/>
                <w:color w:val="auto"/>
                <w:highlight w:val="none"/>
              </w:rPr>
              <w:t>的智能化施工业绩，或</w:t>
            </w:r>
            <w:r>
              <w:rPr>
                <w:rFonts w:hint="eastAsia" w:ascii="宋体" w:hAnsi="宋体" w:cs="宋体"/>
                <w:color w:val="auto"/>
                <w:szCs w:val="21"/>
                <w:highlight w:val="none"/>
              </w:rPr>
              <w:t>街区或景区</w:t>
            </w:r>
            <w:r>
              <w:rPr>
                <w:rFonts w:hint="eastAsia" w:ascii="宋体" w:hAnsi="宋体" w:cs="宋体"/>
                <w:bCs/>
                <w:color w:val="auto"/>
                <w:highlight w:val="none"/>
              </w:rPr>
              <w:t>的多媒体类设备施工业绩，或</w:t>
            </w:r>
            <w:r>
              <w:rPr>
                <w:rFonts w:hint="eastAsia" w:ascii="宋体" w:hAnsi="宋体" w:cs="宋体"/>
                <w:color w:val="auto"/>
                <w:szCs w:val="21"/>
                <w:highlight w:val="none"/>
              </w:rPr>
              <w:t>街区或景区</w:t>
            </w:r>
            <w:r>
              <w:rPr>
                <w:rFonts w:hint="eastAsia" w:ascii="宋体" w:hAnsi="宋体" w:cs="宋体"/>
                <w:bCs/>
                <w:color w:val="auto"/>
                <w:highlight w:val="none"/>
              </w:rPr>
              <w:t>的多媒体类</w:t>
            </w:r>
            <w:r>
              <w:rPr>
                <w:rFonts w:ascii="宋体" w:hAnsi="宋体" w:cs="宋体"/>
                <w:bCs/>
                <w:color w:val="auto"/>
                <w:highlight w:val="none"/>
              </w:rPr>
              <w:t>提升改造</w:t>
            </w:r>
            <w:r>
              <w:rPr>
                <w:rFonts w:hint="eastAsia" w:ascii="宋体" w:hAnsi="宋体" w:cs="宋体"/>
                <w:bCs/>
                <w:color w:val="auto"/>
                <w:highlight w:val="none"/>
              </w:rPr>
              <w:t>业绩</w:t>
            </w:r>
            <w:r>
              <w:rPr>
                <w:rFonts w:hint="eastAsia" w:ascii="宋体" w:hAnsi="宋体" w:cs="宋体"/>
                <w:color w:val="auto"/>
                <w:szCs w:val="21"/>
                <w:highlight w:val="none"/>
              </w:rPr>
              <w:t>，由总承包单位依法分包的专业工程业绩，不作为业绩证明，不予计取。</w:t>
            </w:r>
            <w:r>
              <w:rPr>
                <w:rFonts w:hint="eastAsia" w:ascii="宋体" w:hAnsi="宋体" w:cs="宋体"/>
                <w:color w:val="auto"/>
                <w:szCs w:val="21"/>
                <w:highlight w:val="none"/>
                <w:lang w:val="zh-CN"/>
              </w:rPr>
              <w:t>须同时提供中标通知书（或免招标证明）、施工合同、验收证明材料（含竣工验收报告或竣工验收证明或完工验收证书或完工验收鉴定书或竣工移交证书等）。完成时间以验收证明材料为准。验收证明材料应具有建设单位、设计、施工和监理单位盖章。</w:t>
            </w:r>
          </w:p>
          <w:p>
            <w:pPr>
              <w:widowControl/>
              <w:spacing w:line="360" w:lineRule="auto"/>
              <w:jc w:val="left"/>
              <w:rPr>
                <w:rFonts w:cs="宋体"/>
                <w:color w:val="auto"/>
                <w:highlight w:val="none"/>
              </w:rPr>
            </w:pPr>
            <w:r>
              <w:rPr>
                <w:rFonts w:hint="eastAsia" w:hAnsi="宋体" w:cs="宋体"/>
                <w:color w:val="auto"/>
                <w:szCs w:val="21"/>
                <w:highlight w:val="none"/>
              </w:rPr>
              <w:t>2）</w:t>
            </w:r>
            <w:r>
              <w:rPr>
                <w:rFonts w:hint="eastAsia" w:cs="宋体"/>
                <w:color w:val="auto"/>
                <w:highlight w:val="none"/>
              </w:rPr>
              <w:t>如是联合体投标，由联合体牵头人提供为准。</w:t>
            </w:r>
          </w:p>
          <w:p>
            <w:pPr>
              <w:widowControl/>
              <w:spacing w:line="360" w:lineRule="auto"/>
              <w:jc w:val="left"/>
              <w:rPr>
                <w:rFonts w:ascii="宋体" w:hAnsi="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tcPr>
          <w:p>
            <w:pPr>
              <w:jc w:val="center"/>
              <w:rPr>
                <w:rFonts w:ascii="宋体" w:hAnsi="宋体"/>
                <w:color w:val="auto"/>
                <w:szCs w:val="21"/>
                <w:highlight w:val="none"/>
              </w:rPr>
            </w:pPr>
          </w:p>
        </w:tc>
        <w:tc>
          <w:tcPr>
            <w:tcW w:w="189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获奖情况（</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w:t>
            </w:r>
          </w:p>
        </w:tc>
        <w:tc>
          <w:tcPr>
            <w:tcW w:w="49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cs="宋体"/>
                <w:color w:val="auto"/>
                <w:highlight w:val="none"/>
              </w:rPr>
            </w:pPr>
            <w:r>
              <w:rPr>
                <w:rFonts w:cs="宋体"/>
                <w:color w:val="auto"/>
                <w:highlight w:val="none"/>
              </w:rPr>
              <w:t>1</w:t>
            </w:r>
            <w:r>
              <w:rPr>
                <w:rFonts w:hint="eastAsia" w:cs="宋体"/>
                <w:color w:val="auto"/>
                <w:highlight w:val="none"/>
              </w:rPr>
              <w:t>、投标人获得过国家级荣誉或奖项的得</w:t>
            </w:r>
            <w:r>
              <w:rPr>
                <w:rFonts w:hint="eastAsia" w:cs="宋体"/>
                <w:color w:val="auto"/>
                <w:highlight w:val="none"/>
                <w:lang w:val="en-US" w:eastAsia="zh-CN"/>
              </w:rPr>
              <w:t>9</w:t>
            </w:r>
            <w:r>
              <w:rPr>
                <w:rFonts w:hint="eastAsia" w:cs="宋体"/>
                <w:color w:val="auto"/>
                <w:highlight w:val="none"/>
              </w:rPr>
              <w:t>分，省级得4分，市级得2分，本小项最高得</w:t>
            </w:r>
            <w:r>
              <w:rPr>
                <w:rFonts w:hint="eastAsia" w:cs="宋体"/>
                <w:color w:val="auto"/>
                <w:highlight w:val="none"/>
                <w:lang w:val="en-US" w:eastAsia="zh-CN"/>
              </w:rPr>
              <w:t>18</w:t>
            </w:r>
            <w:r>
              <w:rPr>
                <w:rFonts w:hint="eastAsia" w:cs="宋体"/>
                <w:color w:val="auto"/>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注：1）提供证书复印件。</w:t>
            </w:r>
          </w:p>
          <w:p>
            <w:pPr>
              <w:widowControl/>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cs="宋体"/>
                <w:color w:val="auto"/>
                <w:highlight w:val="none"/>
              </w:rPr>
              <w:t>如是联合体投标，由联合体牵头人提供为准。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973" w:type="dxa"/>
            <w:vMerge w:val="continue"/>
            <w:tcBorders>
              <w:right w:val="single" w:color="auto" w:sz="4" w:space="0"/>
            </w:tcBorders>
          </w:tcPr>
          <w:p>
            <w:pPr>
              <w:jc w:val="center"/>
              <w:rPr>
                <w:rFonts w:ascii="宋体" w:hAnsi="宋体"/>
                <w:color w:val="auto"/>
                <w:szCs w:val="21"/>
                <w:highlight w:val="none"/>
              </w:rPr>
            </w:pPr>
          </w:p>
        </w:tc>
        <w:tc>
          <w:tcPr>
            <w:tcW w:w="1378" w:type="dxa"/>
            <w:vMerge w:val="continue"/>
            <w:tcBorders>
              <w:right w:val="single" w:color="auto" w:sz="4" w:space="0"/>
            </w:tcBorders>
          </w:tcPr>
          <w:p>
            <w:pPr>
              <w:jc w:val="center"/>
              <w:rPr>
                <w:rFonts w:ascii="宋体" w:hAnsi="宋体"/>
                <w:color w:val="auto"/>
                <w:szCs w:val="21"/>
                <w:highlight w:val="none"/>
              </w:rPr>
            </w:pPr>
          </w:p>
        </w:tc>
        <w:tc>
          <w:tcPr>
            <w:tcW w:w="1899"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财务状况（</w:t>
            </w:r>
            <w:r>
              <w:rPr>
                <w:rFonts w:hint="eastAsia" w:ascii="宋体" w:hAnsi="宋体" w:cs="宋体"/>
                <w:color w:val="auto"/>
                <w:szCs w:val="21"/>
                <w:highlight w:val="none"/>
                <w:lang w:val="en-US" w:eastAsia="zh-CN"/>
              </w:rPr>
              <w:t>8</w:t>
            </w:r>
            <w:r>
              <w:rPr>
                <w:rFonts w:ascii="宋体" w:hAnsi="宋体" w:cs="宋体"/>
                <w:color w:val="auto"/>
                <w:szCs w:val="21"/>
                <w:highlight w:val="none"/>
              </w:rPr>
              <w:t>分</w:t>
            </w:r>
            <w:r>
              <w:rPr>
                <w:rFonts w:hint="eastAsia" w:ascii="宋体" w:hAnsi="宋体" w:cs="宋体"/>
                <w:color w:val="auto"/>
                <w:szCs w:val="21"/>
                <w:highlight w:val="none"/>
              </w:rPr>
              <w:t>）</w:t>
            </w:r>
          </w:p>
        </w:tc>
        <w:tc>
          <w:tcPr>
            <w:tcW w:w="4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根据投标人</w:t>
            </w:r>
            <w:r>
              <w:rPr>
                <w:rFonts w:hint="eastAsia" w:ascii="宋体" w:hAnsi="宋体" w:cs="宋体"/>
                <w:color w:val="auto"/>
                <w:kern w:val="0"/>
                <w:szCs w:val="21"/>
                <w:highlight w:val="none"/>
              </w:rPr>
              <w:t>（联合体投标的，指联合体中的牵头方）</w:t>
            </w:r>
            <w:r>
              <w:rPr>
                <w:rFonts w:hint="eastAsia" w:ascii="宋体" w:hAnsi="宋体" w:cs="宋体"/>
                <w:color w:val="auto"/>
                <w:szCs w:val="21"/>
                <w:highlight w:val="none"/>
              </w:rPr>
              <w:t>2</w:t>
            </w:r>
            <w:r>
              <w:rPr>
                <w:rFonts w:ascii="宋体" w:hAnsi="宋体" w:cs="宋体"/>
                <w:color w:val="auto"/>
                <w:szCs w:val="21"/>
                <w:highlight w:val="none"/>
              </w:rPr>
              <w:t>020年</w:t>
            </w:r>
            <w:r>
              <w:rPr>
                <w:rFonts w:hint="eastAsia" w:ascii="宋体" w:hAnsi="宋体" w:cs="宋体"/>
                <w:color w:val="auto"/>
                <w:szCs w:val="21"/>
                <w:highlight w:val="none"/>
              </w:rPr>
              <w:t>-</w:t>
            </w:r>
            <w:r>
              <w:rPr>
                <w:rFonts w:ascii="宋体" w:hAnsi="宋体" w:cs="宋体"/>
                <w:color w:val="auto"/>
                <w:szCs w:val="21"/>
                <w:highlight w:val="none"/>
              </w:rPr>
              <w:t>2022年</w:t>
            </w:r>
            <w:r>
              <w:rPr>
                <w:rFonts w:hint="eastAsia" w:ascii="宋体" w:hAnsi="宋体" w:cs="宋体"/>
                <w:color w:val="auto"/>
                <w:szCs w:val="21"/>
                <w:highlight w:val="none"/>
              </w:rPr>
              <w:t>资产负债率进行评审：</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1、资产负债率平均值低于</w:t>
            </w:r>
            <w:r>
              <w:rPr>
                <w:rFonts w:ascii="宋体" w:hAnsi="宋体" w:cs="宋体"/>
                <w:color w:val="auto"/>
                <w:szCs w:val="21"/>
                <w:highlight w:val="none"/>
              </w:rPr>
              <w:t>40%</w:t>
            </w:r>
            <w:r>
              <w:rPr>
                <w:rFonts w:hint="eastAsia" w:ascii="宋体" w:hAnsi="宋体" w:cs="宋体"/>
                <w:color w:val="auto"/>
                <w:szCs w:val="21"/>
                <w:highlight w:val="none"/>
              </w:rPr>
              <w:t>（含）的得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2、资产负债率平均值</w:t>
            </w:r>
            <w:r>
              <w:rPr>
                <w:rFonts w:ascii="宋体" w:hAnsi="宋体" w:cs="宋体"/>
                <w:color w:val="auto"/>
                <w:szCs w:val="21"/>
                <w:highlight w:val="none"/>
              </w:rPr>
              <w:t>40</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不含)至</w:t>
            </w:r>
            <w:r>
              <w:rPr>
                <w:rFonts w:ascii="宋体" w:hAnsi="宋体" w:cs="宋体"/>
                <w:color w:val="auto"/>
                <w:szCs w:val="21"/>
                <w:highlight w:val="none"/>
              </w:rPr>
              <w:t>50%(</w:t>
            </w:r>
            <w:r>
              <w:rPr>
                <w:rFonts w:hint="eastAsia" w:ascii="宋体" w:hAnsi="宋体" w:cs="宋体"/>
                <w:color w:val="auto"/>
                <w:szCs w:val="21"/>
                <w:highlight w:val="none"/>
              </w:rPr>
              <w:t>含)的得</w:t>
            </w:r>
            <w:r>
              <w:rPr>
                <w:rFonts w:ascii="宋体" w:hAnsi="宋体" w:cs="宋体"/>
                <w:color w:val="auto"/>
                <w:szCs w:val="21"/>
                <w:highlight w:val="none"/>
              </w:rPr>
              <w:t>5</w:t>
            </w:r>
            <w:r>
              <w:rPr>
                <w:rFonts w:hint="eastAsia" w:ascii="宋体" w:hAnsi="宋体" w:cs="宋体"/>
                <w:color w:val="auto"/>
                <w:szCs w:val="21"/>
                <w:highlight w:val="none"/>
              </w:rPr>
              <w:t>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3、资产负债率平均值</w:t>
            </w:r>
            <w:r>
              <w:rPr>
                <w:rFonts w:ascii="宋体" w:hAnsi="宋体" w:cs="宋体"/>
                <w:color w:val="auto"/>
                <w:szCs w:val="21"/>
                <w:highlight w:val="none"/>
              </w:rPr>
              <w:t>50</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rPr>
              <w:t>不含)至</w:t>
            </w:r>
            <w:r>
              <w:rPr>
                <w:rFonts w:ascii="宋体" w:hAnsi="宋体" w:cs="宋体"/>
                <w:color w:val="auto"/>
                <w:szCs w:val="21"/>
                <w:highlight w:val="none"/>
              </w:rPr>
              <w:t>60</w:t>
            </w:r>
            <w:r>
              <w:rPr>
                <w:rFonts w:hint="eastAsia" w:ascii="宋体" w:hAnsi="宋体" w:cs="宋体"/>
                <w:color w:val="auto"/>
                <w:szCs w:val="21"/>
                <w:highlight w:val="none"/>
              </w:rPr>
              <w:t>%(含)的得</w:t>
            </w:r>
            <w:r>
              <w:rPr>
                <w:rFonts w:ascii="宋体" w:hAnsi="宋体" w:cs="宋体"/>
                <w:color w:val="auto"/>
                <w:szCs w:val="21"/>
                <w:highlight w:val="none"/>
              </w:rPr>
              <w:t>3</w:t>
            </w:r>
            <w:r>
              <w:rPr>
                <w:rFonts w:hint="eastAsia" w:ascii="宋体" w:hAnsi="宋体" w:cs="宋体"/>
                <w:color w:val="auto"/>
                <w:szCs w:val="21"/>
                <w:highlight w:val="none"/>
              </w:rPr>
              <w:t>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4、资产负债率平均值高于</w:t>
            </w:r>
            <w:r>
              <w:rPr>
                <w:rFonts w:ascii="宋体" w:hAnsi="宋体" w:cs="宋体"/>
                <w:color w:val="auto"/>
                <w:szCs w:val="21"/>
                <w:highlight w:val="none"/>
              </w:rPr>
              <w:t>60</w:t>
            </w:r>
            <w:r>
              <w:rPr>
                <w:rFonts w:hint="eastAsia" w:ascii="宋体" w:hAnsi="宋体" w:cs="宋体"/>
                <w:color w:val="auto"/>
                <w:szCs w:val="21"/>
                <w:highlight w:val="none"/>
              </w:rPr>
              <w:t>%</w:t>
            </w:r>
            <w:r>
              <w:rPr>
                <w:rFonts w:ascii="宋体" w:hAnsi="宋体" w:cs="宋体"/>
                <w:color w:val="auto"/>
                <w:szCs w:val="21"/>
                <w:highlight w:val="none"/>
              </w:rPr>
              <w:t xml:space="preserve"> (</w:t>
            </w:r>
            <w:r>
              <w:rPr>
                <w:rFonts w:hint="eastAsia" w:ascii="宋体" w:hAnsi="宋体" w:cs="宋体"/>
                <w:color w:val="auto"/>
                <w:szCs w:val="21"/>
                <w:highlight w:val="none"/>
              </w:rPr>
              <w:t>不含)不得分。</w:t>
            </w:r>
          </w:p>
          <w:p>
            <w:pPr>
              <w:autoSpaceDE w:val="0"/>
              <w:autoSpaceDN w:val="0"/>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olor w:val="auto"/>
                <w:szCs w:val="21"/>
                <w:highlight w:val="none"/>
              </w:rPr>
              <w:t>提供近2020年-2022年度经会计事务所或审计机构审计的财务审计报告及附表（包括资产负债表、利润表、现金流量表等，财务报表附注可不提供）。如年度审计报告未经会计事务所或审计机构审计或不符合上述情况的，则以0分计；资产负债率计算公式：资产负债率=资产负债率=期（年）末负债总额÷期（年）末资产总额×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3" w:type="dxa"/>
            <w:vMerge w:val="continue"/>
            <w:tcBorders>
              <w:right w:val="single" w:color="auto" w:sz="4" w:space="0"/>
            </w:tcBorders>
            <w:vAlign w:val="center"/>
          </w:tcPr>
          <w:p>
            <w:pPr>
              <w:jc w:val="center"/>
              <w:rPr>
                <w:rFonts w:ascii="宋体" w:hAnsi="宋体"/>
                <w:color w:val="auto"/>
                <w:szCs w:val="21"/>
                <w:highlight w:val="none"/>
              </w:rPr>
            </w:pPr>
          </w:p>
        </w:tc>
        <w:tc>
          <w:tcPr>
            <w:tcW w:w="1378" w:type="dxa"/>
            <w:vMerge w:val="continue"/>
            <w:tcBorders>
              <w:right w:val="single" w:color="auto" w:sz="4" w:space="0"/>
            </w:tcBorders>
            <w:vAlign w:val="center"/>
          </w:tcPr>
          <w:p>
            <w:pPr>
              <w:jc w:val="center"/>
              <w:rPr>
                <w:rFonts w:ascii="宋体" w:hAnsi="宋体"/>
                <w:color w:val="auto"/>
                <w:szCs w:val="21"/>
                <w:highlight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第三方评价（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4992"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left="0" w:left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1、投标人提供业主正面评价（包括优秀、满意、表扬信、评价良好或以上等同等含义），每提供一项得2分，本小项最高得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注：1）提供相关证明材料，无提供不得分。</w:t>
            </w:r>
          </w:p>
          <w:p>
            <w:pPr>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如是联合体投标，由联合体牵头人提供为准。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3" w:type="dxa"/>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p>
        </w:tc>
        <w:tc>
          <w:tcPr>
            <w:tcW w:w="1378" w:type="dxa"/>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投标报价评分标准（100*权重）</w:t>
            </w:r>
          </w:p>
        </w:tc>
        <w:tc>
          <w:tcPr>
            <w:tcW w:w="6891" w:type="dxa"/>
            <w:gridSpan w:val="2"/>
            <w:tcBorders>
              <w:top w:val="single" w:color="auto" w:sz="4" w:space="0"/>
              <w:left w:val="single" w:color="auto" w:sz="4" w:space="0"/>
              <w:bottom w:val="single" w:color="auto" w:sz="4" w:space="0"/>
              <w:right w:val="single" w:color="auto" w:sz="4" w:space="0"/>
            </w:tcBorders>
          </w:tcPr>
          <w:p>
            <w:pPr>
              <w:rPr>
                <w:rFonts w:ascii="宋体"/>
                <w:color w:val="auto"/>
                <w:szCs w:val="21"/>
                <w:highlight w:val="none"/>
              </w:rPr>
            </w:pPr>
            <w:r>
              <w:rPr>
                <w:rFonts w:hint="eastAsia" w:ascii="宋体"/>
                <w:color w:val="auto"/>
                <w:szCs w:val="21"/>
                <w:highlight w:val="none"/>
              </w:rPr>
              <w:t>投标报价等于评标基准价的得100分，投标报价比评标基准价每高1%扣0.</w:t>
            </w:r>
            <w:r>
              <w:rPr>
                <w:rFonts w:ascii="宋体"/>
                <w:color w:val="auto"/>
                <w:szCs w:val="21"/>
                <w:highlight w:val="none"/>
              </w:rPr>
              <w:t>3</w:t>
            </w:r>
            <w:r>
              <w:rPr>
                <w:rFonts w:hint="eastAsia" w:ascii="宋体"/>
                <w:color w:val="auto"/>
                <w:szCs w:val="21"/>
                <w:highlight w:val="none"/>
              </w:rPr>
              <w:t>分，每低1%扣0.</w:t>
            </w:r>
            <w:r>
              <w:rPr>
                <w:rFonts w:ascii="宋体"/>
                <w:color w:val="auto"/>
                <w:szCs w:val="21"/>
                <w:highlight w:val="none"/>
              </w:rPr>
              <w:t>2</w:t>
            </w:r>
            <w:r>
              <w:rPr>
                <w:rFonts w:hint="eastAsia" w:ascii="宋体"/>
                <w:color w:val="auto"/>
                <w:szCs w:val="21"/>
                <w:highlight w:val="none"/>
              </w:rPr>
              <w:t>分，扣至0分为止。</w:t>
            </w:r>
          </w:p>
          <w:p>
            <w:pPr>
              <w:rPr>
                <w:rFonts w:ascii="宋体" w:hAnsi="宋体"/>
                <w:color w:val="auto"/>
                <w:szCs w:val="21"/>
                <w:highlight w:val="none"/>
              </w:rPr>
            </w:pPr>
            <w:r>
              <w:rPr>
                <w:rFonts w:hint="eastAsia" w:ascii="宋体"/>
                <w:color w:val="auto"/>
                <w:szCs w:val="21"/>
                <w:highlight w:val="none"/>
              </w:rPr>
              <w:t>投标报价偏差率=（投标报价-评标基准价）/评标基准价×100%。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73" w:type="dxa"/>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2.2.5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p>
        </w:tc>
        <w:tc>
          <w:tcPr>
            <w:tcW w:w="1378" w:type="dxa"/>
            <w:tcBorders>
              <w:top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诚信评价分（100*权重）</w:t>
            </w:r>
          </w:p>
        </w:tc>
        <w:tc>
          <w:tcPr>
            <w:tcW w:w="6891" w:type="dxa"/>
            <w:gridSpan w:val="2"/>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szCs w:val="21"/>
                <w:highlight w:val="none"/>
              </w:rPr>
              <w:t>投标人诚信分数取自本项目招标公告发布第1天所在季度的上一季度广州市水务工程企业库及诚信评价系统（http://120.236.111.11:8001/#/website）中的“企业诚信排名&gt;&gt;施工—给排水”中“诚信综合评价”分，未入库企业或在广州市水务工程企业库及诚信评价系统中尚无诚信排名“施工－给排水”得分的投标人，按《广州市水务局关于调整水务工程诚信评价部分评分项的通知》，其诚信评价分按80分计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3.2.3</w:t>
            </w:r>
          </w:p>
        </w:tc>
        <w:tc>
          <w:tcPr>
            <w:tcW w:w="1378"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szCs w:val="21"/>
                <w:highlight w:val="none"/>
              </w:rPr>
            </w:pPr>
            <w:r>
              <w:rPr>
                <w:rFonts w:hint="eastAsia" w:ascii="宋体" w:hAnsi="宋体"/>
                <w:color w:val="auto"/>
                <w:szCs w:val="21"/>
                <w:highlight w:val="none"/>
              </w:rPr>
              <w:t>投标人最终得分的计算方法</w:t>
            </w:r>
          </w:p>
        </w:tc>
        <w:tc>
          <w:tcPr>
            <w:tcW w:w="689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cs="宋体"/>
                <w:color w:val="auto"/>
                <w:szCs w:val="21"/>
                <w:highlight w:val="none"/>
              </w:rPr>
              <w:t>评标总得分=[技术部分得分（A）×5%+商务部分得分（B）×15%+投标报价得分(C) ×80%]×95%+诚信评价分（D）×5%。</w:t>
            </w:r>
          </w:p>
        </w:tc>
      </w:tr>
    </w:tbl>
    <w:p>
      <w:pPr>
        <w:jc w:val="center"/>
        <w:rPr>
          <w:rFonts w:hint="default" w:ascii="宋体" w:eastAsia="宋体"/>
          <w:b/>
          <w:color w:val="auto"/>
          <w:sz w:val="28"/>
          <w:highlight w:val="none"/>
          <w:lang w:val="en-US" w:eastAsia="zh-CN"/>
        </w:rPr>
      </w:pPr>
      <w:r>
        <w:rPr>
          <w:rFonts w:hint="eastAsia" w:ascii="宋体"/>
          <w:b/>
          <w:color w:val="auto"/>
          <w:sz w:val="28"/>
          <w:highlight w:val="none"/>
          <w:lang w:val="en-US" w:eastAsia="zh-CN"/>
        </w:rPr>
        <w:t xml:space="preserve"> </w:t>
      </w:r>
    </w:p>
    <w:bookmarkEnd w:id="206"/>
    <w:bookmarkEnd w:id="207"/>
    <w:bookmarkEnd w:id="208"/>
    <w:bookmarkEnd w:id="209"/>
    <w:p>
      <w:pPr>
        <w:rPr>
          <w:rFonts w:ascii="宋体"/>
          <w:b/>
          <w:bCs/>
          <w:color w:val="auto"/>
          <w:sz w:val="24"/>
          <w:szCs w:val="24"/>
          <w:highlight w:val="none"/>
        </w:rPr>
      </w:pPr>
      <w:bookmarkStart w:id="210" w:name="_Toc152045600"/>
      <w:bookmarkStart w:id="211" w:name="_Toc152042377"/>
      <w:bookmarkStart w:id="212" w:name="_Toc144974567"/>
      <w:bookmarkStart w:id="213" w:name="_Toc179632618"/>
    </w:p>
    <w:p>
      <w:pPr>
        <w:pStyle w:val="40"/>
        <w:spacing w:after="0" w:line="360" w:lineRule="auto"/>
        <w:ind w:firstLine="482" w:firstLineChars="200"/>
        <w:rPr>
          <w:rFonts w:ascii="宋体"/>
          <w:color w:val="auto"/>
          <w:sz w:val="24"/>
          <w:highlight w:val="none"/>
        </w:rPr>
      </w:pPr>
      <w:r>
        <w:rPr>
          <w:rFonts w:ascii="宋体" w:eastAsia="宋体"/>
          <w:b/>
          <w:bCs/>
          <w:color w:val="auto"/>
          <w:sz w:val="24"/>
          <w:szCs w:val="24"/>
          <w:highlight w:val="none"/>
        </w:rPr>
        <w:br w:type="page"/>
      </w:r>
      <w:bookmarkEnd w:id="210"/>
      <w:bookmarkEnd w:id="211"/>
      <w:bookmarkEnd w:id="212"/>
      <w:bookmarkEnd w:id="213"/>
    </w:p>
    <w:p>
      <w:pPr>
        <w:spacing w:line="360" w:lineRule="auto"/>
        <w:ind w:firstLine="482" w:firstLineChars="200"/>
        <w:rPr>
          <w:rFonts w:ascii="宋体"/>
          <w:b/>
          <w:color w:val="auto"/>
          <w:sz w:val="24"/>
          <w:highlight w:val="none"/>
        </w:rPr>
      </w:pPr>
      <w:r>
        <w:rPr>
          <w:rFonts w:ascii="宋体"/>
          <w:b/>
          <w:color w:val="auto"/>
          <w:sz w:val="24"/>
          <w:highlight w:val="none"/>
        </w:rPr>
        <w:t>1</w:t>
      </w:r>
      <w:r>
        <w:rPr>
          <w:rFonts w:hint="eastAsia" w:ascii="宋体"/>
          <w:b/>
          <w:color w:val="auto"/>
          <w:sz w:val="24"/>
          <w:highlight w:val="none"/>
        </w:rPr>
        <w:t>、评标办法</w:t>
      </w:r>
    </w:p>
    <w:p>
      <w:pPr>
        <w:spacing w:line="360" w:lineRule="auto"/>
        <w:ind w:firstLine="480" w:firstLineChars="200"/>
        <w:rPr>
          <w:rFonts w:ascii="宋体"/>
          <w:color w:val="auto"/>
          <w:sz w:val="24"/>
          <w:highlight w:val="none"/>
        </w:rPr>
      </w:pPr>
      <w:r>
        <w:rPr>
          <w:rFonts w:hint="eastAsia" w:ascii="宋体"/>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诚信评价高的优先确定排序。</w:t>
      </w:r>
    </w:p>
    <w:p>
      <w:pPr>
        <w:pStyle w:val="40"/>
        <w:spacing w:after="0" w:line="360" w:lineRule="auto"/>
        <w:ind w:firstLine="482" w:firstLineChars="200"/>
        <w:rPr>
          <w:rFonts w:ascii="宋体" w:eastAsia="宋体"/>
          <w:b/>
          <w:bCs/>
          <w:color w:val="auto"/>
          <w:sz w:val="24"/>
          <w:szCs w:val="24"/>
          <w:highlight w:val="none"/>
        </w:rPr>
      </w:pPr>
      <w:bookmarkStart w:id="214" w:name="_Toc144974568"/>
      <w:bookmarkStart w:id="215" w:name="_Toc152042378"/>
      <w:bookmarkStart w:id="216" w:name="_Toc152045601"/>
      <w:bookmarkStart w:id="217" w:name="_Toc179632619"/>
      <w:r>
        <w:rPr>
          <w:rFonts w:hint="eastAsia" w:ascii="宋体" w:eastAsia="宋体"/>
          <w:b/>
          <w:bCs/>
          <w:color w:val="auto"/>
          <w:sz w:val="24"/>
          <w:szCs w:val="24"/>
          <w:highlight w:val="none"/>
        </w:rPr>
        <w:t>2. 评审标准</w:t>
      </w:r>
      <w:bookmarkEnd w:id="214"/>
      <w:bookmarkEnd w:id="215"/>
      <w:bookmarkEnd w:id="216"/>
      <w:bookmarkEnd w:id="217"/>
    </w:p>
    <w:p>
      <w:pPr>
        <w:spacing w:line="360" w:lineRule="auto"/>
        <w:ind w:firstLine="480" w:firstLineChars="200"/>
        <w:rPr>
          <w:rFonts w:ascii="宋体"/>
          <w:color w:val="auto"/>
          <w:sz w:val="24"/>
          <w:highlight w:val="none"/>
        </w:rPr>
      </w:pPr>
      <w:bookmarkStart w:id="218" w:name="_Toc152042379"/>
      <w:bookmarkStart w:id="219" w:name="_Toc144974569"/>
      <w:bookmarkStart w:id="220" w:name="_Toc179632620"/>
      <w:bookmarkStart w:id="221" w:name="_Toc152045602"/>
      <w:r>
        <w:rPr>
          <w:rFonts w:hint="eastAsia" w:ascii="宋体"/>
          <w:color w:val="auto"/>
          <w:sz w:val="24"/>
          <w:highlight w:val="none"/>
        </w:rPr>
        <w:t>2.1 初步评审标准</w:t>
      </w:r>
      <w:bookmarkEnd w:id="218"/>
      <w:bookmarkEnd w:id="219"/>
      <w:bookmarkEnd w:id="220"/>
      <w:bookmarkEnd w:id="221"/>
    </w:p>
    <w:p>
      <w:pPr>
        <w:spacing w:line="360" w:lineRule="auto"/>
        <w:ind w:firstLine="480" w:firstLineChars="200"/>
        <w:rPr>
          <w:rFonts w:ascii="宋体"/>
          <w:color w:val="auto"/>
          <w:sz w:val="24"/>
          <w:highlight w:val="none"/>
        </w:rPr>
      </w:pPr>
      <w:r>
        <w:rPr>
          <w:rFonts w:hint="eastAsia" w:ascii="宋体"/>
          <w:color w:val="auto"/>
          <w:sz w:val="24"/>
          <w:highlight w:val="none"/>
        </w:rPr>
        <w:t>2.1.1 资格评审标准：见评标办法前附表。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2.1.2 形式评审标准：见评标办法前附表。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2.1.3 响应性评审标准：见评标办法前附表。</w:t>
      </w:r>
    </w:p>
    <w:p>
      <w:pPr>
        <w:spacing w:line="360" w:lineRule="auto"/>
        <w:ind w:firstLine="480" w:firstLineChars="200"/>
        <w:rPr>
          <w:rFonts w:ascii="宋体"/>
          <w:color w:val="auto"/>
          <w:sz w:val="24"/>
          <w:highlight w:val="none"/>
        </w:rPr>
      </w:pPr>
      <w:bookmarkStart w:id="222" w:name="_Toc152042380"/>
      <w:bookmarkStart w:id="223" w:name="_Toc179632621"/>
      <w:bookmarkStart w:id="224" w:name="_Toc152045603"/>
      <w:bookmarkStart w:id="225" w:name="_Toc144974570"/>
      <w:r>
        <w:rPr>
          <w:rFonts w:hint="eastAsia" w:ascii="宋体"/>
          <w:color w:val="auto"/>
          <w:sz w:val="24"/>
          <w:highlight w:val="none"/>
        </w:rPr>
        <w:t>2.2 分值构成与评分标准</w:t>
      </w:r>
      <w:bookmarkEnd w:id="222"/>
      <w:bookmarkEnd w:id="223"/>
      <w:bookmarkEnd w:id="224"/>
      <w:bookmarkEnd w:id="225"/>
    </w:p>
    <w:p>
      <w:pPr>
        <w:spacing w:line="360" w:lineRule="auto"/>
        <w:ind w:firstLine="480" w:firstLineChars="200"/>
        <w:rPr>
          <w:rFonts w:ascii="宋体"/>
          <w:color w:val="auto"/>
          <w:sz w:val="24"/>
          <w:highlight w:val="none"/>
        </w:rPr>
      </w:pPr>
      <w:r>
        <w:rPr>
          <w:rFonts w:hint="eastAsia" w:ascii="宋体"/>
          <w:color w:val="auto"/>
          <w:sz w:val="24"/>
          <w:highlight w:val="none"/>
        </w:rPr>
        <w:t>2.2.1 分值构成</w:t>
      </w:r>
    </w:p>
    <w:p>
      <w:pPr>
        <w:spacing w:line="360" w:lineRule="auto"/>
        <w:ind w:firstLine="480" w:firstLineChars="200"/>
        <w:rPr>
          <w:rFonts w:ascii="宋体"/>
          <w:color w:val="auto"/>
          <w:sz w:val="24"/>
          <w:highlight w:val="none"/>
        </w:rPr>
      </w:pPr>
      <w:r>
        <w:rPr>
          <w:rFonts w:hint="eastAsia" w:ascii="宋体"/>
          <w:color w:val="auto"/>
          <w:sz w:val="24"/>
          <w:highlight w:val="none"/>
        </w:rPr>
        <w:t>（1）技术部分：见评标办法前附表；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（2）商务部分：见评标办法前附表；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（3）投标报价：见评标办法前附表；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（4）诚信得分：见评标办法前附表；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2.2.2有效投标报价</w:t>
      </w:r>
    </w:p>
    <w:p>
      <w:pPr>
        <w:spacing w:line="360" w:lineRule="auto"/>
        <w:ind w:firstLine="480" w:firstLineChars="200"/>
        <w:rPr>
          <w:rFonts w:ascii="宋体"/>
          <w:color w:val="auto"/>
          <w:sz w:val="24"/>
          <w:highlight w:val="none"/>
        </w:rPr>
      </w:pPr>
      <w:r>
        <w:rPr>
          <w:rFonts w:hint="eastAsia" w:ascii="宋体"/>
          <w:color w:val="auto"/>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color w:val="auto"/>
          <w:sz w:val="24"/>
          <w:highlight w:val="none"/>
        </w:rPr>
      </w:pPr>
      <w:r>
        <w:rPr>
          <w:rFonts w:hint="eastAsia" w:ascii="宋体"/>
          <w:color w:val="auto"/>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color w:val="auto"/>
          <w:sz w:val="24"/>
          <w:highlight w:val="none"/>
        </w:rPr>
      </w:pPr>
      <w:r>
        <w:rPr>
          <w:rFonts w:hint="eastAsia" w:ascii="宋体"/>
          <w:color w:val="auto"/>
          <w:sz w:val="24"/>
          <w:highlight w:val="none"/>
        </w:rPr>
        <w:t>2.2.</w:t>
      </w:r>
      <w:r>
        <w:rPr>
          <w:rFonts w:ascii="宋体"/>
          <w:color w:val="auto"/>
          <w:sz w:val="24"/>
          <w:highlight w:val="none"/>
        </w:rPr>
        <w:t>3</w:t>
      </w:r>
      <w:r>
        <w:rPr>
          <w:rFonts w:hint="eastAsia" w:ascii="宋体"/>
          <w:color w:val="auto"/>
          <w:sz w:val="24"/>
          <w:highlight w:val="none"/>
        </w:rPr>
        <w:t xml:space="preserve"> 评标基准价计算</w:t>
      </w:r>
    </w:p>
    <w:p>
      <w:pPr>
        <w:spacing w:line="360" w:lineRule="auto"/>
        <w:ind w:firstLine="480" w:firstLineChars="200"/>
        <w:rPr>
          <w:rFonts w:ascii="宋体"/>
          <w:color w:val="auto"/>
          <w:sz w:val="24"/>
          <w:highlight w:val="none"/>
        </w:rPr>
      </w:pPr>
      <w:r>
        <w:rPr>
          <w:rFonts w:hint="eastAsia" w:ascii="宋体"/>
          <w:color w:val="auto"/>
          <w:sz w:val="24"/>
          <w:highlight w:val="none"/>
        </w:rPr>
        <w:t>评标基准价可按以下方式确定（招标人以下两种方式任选一）：</w:t>
      </w:r>
    </w:p>
    <w:p>
      <w:pPr>
        <w:spacing w:line="360" w:lineRule="auto"/>
        <w:ind w:firstLine="482" w:firstLineChars="200"/>
        <w:rPr>
          <w:rFonts w:ascii="宋体"/>
          <w:color w:val="auto"/>
          <w:sz w:val="24"/>
          <w:highlight w:val="none"/>
        </w:rPr>
      </w:pPr>
      <w:r>
        <w:rPr>
          <w:rFonts w:hint="eastAsia" w:ascii="宋体"/>
          <w:b/>
          <w:color w:val="auto"/>
          <w:sz w:val="24"/>
          <w:highlight w:val="none"/>
        </w:rPr>
        <w:t>方式一</w:t>
      </w:r>
      <w:r>
        <w:rPr>
          <w:rFonts w:hint="eastAsia" w:ascii="宋体"/>
          <w:color w:val="auto"/>
          <w:sz w:val="24"/>
          <w:highlight w:val="none"/>
        </w:rPr>
        <w:t>：以全部或随机抽取的有效投标报价的算术平均值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随机抽取的评标基准价下浮率（2～5%，0.5一个级别）下浮作为评标基准价。具体确定方法如下：</w:t>
      </w:r>
    </w:p>
    <w:p>
      <w:pPr>
        <w:spacing w:line="360" w:lineRule="auto"/>
        <w:ind w:firstLine="480" w:firstLineChars="200"/>
        <w:rPr>
          <w:rFonts w:ascii="宋体"/>
          <w:color w:val="auto"/>
          <w:sz w:val="24"/>
          <w:highlight w:val="none"/>
        </w:rPr>
      </w:pPr>
      <w:r>
        <w:rPr>
          <w:rFonts w:ascii="宋体"/>
          <w:color w:val="auto"/>
          <w:sz w:val="24"/>
          <w:highlight w:val="none"/>
        </w:rPr>
        <w:t>a</w:t>
      </w:r>
      <w:r>
        <w:rPr>
          <w:rFonts w:hint="eastAsia" w:ascii="宋体"/>
          <w:color w:val="auto"/>
          <w:sz w:val="24"/>
          <w:highlight w:val="none"/>
        </w:rPr>
        <w:t>、当有效投标报价的投标人少于或等于5个时，取全部有效投标报价的算术平均</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0" w:firstLineChars="200"/>
        <w:rPr>
          <w:rFonts w:ascii="宋体"/>
          <w:color w:val="auto"/>
          <w:sz w:val="24"/>
          <w:highlight w:val="none"/>
        </w:rPr>
      </w:pPr>
      <w:r>
        <w:rPr>
          <w:rFonts w:ascii="宋体"/>
          <w:color w:val="auto"/>
          <w:sz w:val="24"/>
          <w:highlight w:val="none"/>
        </w:rPr>
        <w:t>b</w:t>
      </w:r>
      <w:r>
        <w:rPr>
          <w:rFonts w:hint="eastAsia" w:ascii="宋体"/>
          <w:color w:val="auto"/>
          <w:sz w:val="24"/>
          <w:highlight w:val="none"/>
        </w:rPr>
        <w:t>、当有效投标报价的投标人为6至10个时，从全部有效投标报价中去掉一个最大值和最小值，其他有效投标报价的算术平均值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0" w:firstLineChars="200"/>
        <w:rPr>
          <w:rFonts w:ascii="宋体"/>
          <w:color w:val="auto"/>
          <w:sz w:val="24"/>
          <w:highlight w:val="none"/>
        </w:rPr>
      </w:pPr>
      <w:r>
        <w:rPr>
          <w:rFonts w:ascii="宋体"/>
          <w:color w:val="auto"/>
          <w:sz w:val="24"/>
          <w:highlight w:val="none"/>
        </w:rPr>
        <w:t>c</w:t>
      </w:r>
      <w:r>
        <w:rPr>
          <w:rFonts w:hint="eastAsia" w:ascii="宋体"/>
          <w:color w:val="auto"/>
          <w:sz w:val="24"/>
          <w:highlight w:val="none"/>
        </w:rPr>
        <w:t>、当有效投标报价的投标人大于10个时，随机抽取10个有效投标报价并从中去掉一个最大值和最小值后计算算术平均值，该平均值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2" w:firstLineChars="200"/>
        <w:rPr>
          <w:rFonts w:ascii="宋体"/>
          <w:color w:val="auto"/>
          <w:sz w:val="24"/>
          <w:highlight w:val="none"/>
        </w:rPr>
      </w:pPr>
      <w:r>
        <w:rPr>
          <w:rFonts w:hint="eastAsia" w:ascii="宋体"/>
          <w:b/>
          <w:color w:val="auto"/>
          <w:sz w:val="24"/>
          <w:highlight w:val="none"/>
        </w:rPr>
        <w:t>方式二</w:t>
      </w:r>
      <w:r>
        <w:rPr>
          <w:rFonts w:hint="eastAsia" w:ascii="宋体"/>
          <w:color w:val="auto"/>
          <w:sz w:val="24"/>
          <w:highlight w:val="none"/>
        </w:rPr>
        <w:t>：以有效投标报价的算术平均值</w:t>
      </w:r>
      <w:r>
        <w:rPr>
          <w:rFonts w:hint="eastAsia" w:ascii="宋体"/>
          <w:color w:val="auto"/>
          <w:highlight w:val="none"/>
        </w:rPr>
        <w:t>按</w:t>
      </w:r>
      <w:r>
        <w:rPr>
          <w:rFonts w:hint="eastAsia" w:ascii="宋体"/>
          <w:color w:val="auto"/>
          <w:sz w:val="24"/>
          <w:highlight w:val="none"/>
        </w:rPr>
        <w:t>随机抽取的评标基准价下浮率（2～5%，0.5一个级别）下浮作为评标基准价。</w:t>
      </w:r>
    </w:p>
    <w:p>
      <w:pPr>
        <w:spacing w:line="360" w:lineRule="auto"/>
        <w:ind w:firstLine="480" w:firstLineChars="200"/>
        <w:rPr>
          <w:rFonts w:ascii="宋体"/>
          <w:color w:val="auto"/>
          <w:sz w:val="24"/>
          <w:highlight w:val="none"/>
        </w:rPr>
      </w:pPr>
      <w:r>
        <w:rPr>
          <w:rFonts w:hint="eastAsia" w:ascii="宋体"/>
          <w:color w:val="auto"/>
          <w:sz w:val="24"/>
          <w:highlight w:val="none"/>
        </w:rPr>
        <w:t>在首次评标过程中，投标人未被发现存在串通投标、弄虚作假、行贿等情形的，无论是否重评，经确定的评标基准价不变。</w:t>
      </w:r>
    </w:p>
    <w:p>
      <w:pPr>
        <w:spacing w:line="360" w:lineRule="auto"/>
        <w:ind w:firstLine="480" w:firstLineChars="200"/>
        <w:rPr>
          <w:rFonts w:ascii="宋体"/>
          <w:color w:val="auto"/>
          <w:sz w:val="24"/>
          <w:highlight w:val="none"/>
        </w:rPr>
      </w:pPr>
      <w:r>
        <w:rPr>
          <w:rFonts w:hint="eastAsia" w:ascii="宋体"/>
          <w:color w:val="auto"/>
          <w:sz w:val="24"/>
          <w:highlight w:val="none"/>
        </w:rPr>
        <w:t>2.2.</w:t>
      </w:r>
      <w:r>
        <w:rPr>
          <w:rFonts w:ascii="宋体"/>
          <w:color w:val="auto"/>
          <w:sz w:val="24"/>
          <w:highlight w:val="none"/>
        </w:rPr>
        <w:t>4</w:t>
      </w:r>
      <w:r>
        <w:rPr>
          <w:rFonts w:hint="eastAsia" w:ascii="宋体"/>
          <w:color w:val="auto"/>
          <w:sz w:val="24"/>
          <w:highlight w:val="none"/>
        </w:rPr>
        <w:t xml:space="preserve"> 投标报价的得分计算</w:t>
      </w:r>
    </w:p>
    <w:p>
      <w:pPr>
        <w:spacing w:line="360" w:lineRule="auto"/>
        <w:ind w:firstLine="480" w:firstLineChars="200"/>
        <w:rPr>
          <w:rFonts w:ascii="宋体"/>
          <w:color w:val="auto"/>
          <w:sz w:val="24"/>
          <w:highlight w:val="none"/>
        </w:rPr>
      </w:pPr>
      <w:r>
        <w:rPr>
          <w:rFonts w:hint="eastAsia" w:ascii="宋体"/>
          <w:color w:val="auto"/>
          <w:sz w:val="24"/>
          <w:highlight w:val="none"/>
        </w:rPr>
        <w:t>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2.2.</w:t>
      </w:r>
      <w:r>
        <w:rPr>
          <w:rFonts w:ascii="宋体"/>
          <w:color w:val="auto"/>
          <w:sz w:val="24"/>
          <w:highlight w:val="none"/>
        </w:rPr>
        <w:t>5</w:t>
      </w:r>
      <w:r>
        <w:rPr>
          <w:rFonts w:hint="eastAsia" w:ascii="宋体"/>
          <w:color w:val="auto"/>
          <w:sz w:val="24"/>
          <w:highlight w:val="none"/>
        </w:rPr>
        <w:t xml:space="preserve"> 评分标准</w:t>
      </w:r>
    </w:p>
    <w:p>
      <w:pPr>
        <w:spacing w:line="360" w:lineRule="auto"/>
        <w:ind w:firstLine="480" w:firstLineChars="200"/>
        <w:rPr>
          <w:rFonts w:ascii="宋体"/>
          <w:color w:val="auto"/>
          <w:sz w:val="24"/>
          <w:highlight w:val="none"/>
        </w:rPr>
      </w:pPr>
      <w:r>
        <w:rPr>
          <w:rFonts w:hint="eastAsia" w:ascii="宋体"/>
          <w:color w:val="auto"/>
          <w:sz w:val="24"/>
          <w:highlight w:val="none"/>
        </w:rPr>
        <w:t>（1）技术部分评分标准：见评标办法前附表；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（2）商务部分评分标准：见评标办法前附表；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（3）投标报价评分标准：见评标办法前附表；</w:t>
      </w:r>
    </w:p>
    <w:p>
      <w:pPr>
        <w:spacing w:line="360" w:lineRule="auto"/>
        <w:ind w:firstLine="480" w:firstLineChars="200"/>
        <w:rPr>
          <w:rFonts w:ascii="宋体"/>
          <w:color w:val="auto"/>
          <w:sz w:val="24"/>
          <w:highlight w:val="none"/>
        </w:rPr>
      </w:pPr>
      <w:r>
        <w:rPr>
          <w:rFonts w:hint="eastAsia" w:ascii="宋体"/>
          <w:color w:val="auto"/>
          <w:sz w:val="24"/>
          <w:highlight w:val="none"/>
        </w:rPr>
        <w:t>（4）诚信得分评分标准：见本章第4节的内容；</w:t>
      </w:r>
    </w:p>
    <w:p>
      <w:pPr>
        <w:pStyle w:val="40"/>
        <w:spacing w:after="0" w:line="360" w:lineRule="auto"/>
        <w:ind w:firstLine="482" w:firstLineChars="200"/>
        <w:rPr>
          <w:rFonts w:ascii="宋体" w:eastAsia="宋体"/>
          <w:b/>
          <w:bCs/>
          <w:color w:val="auto"/>
          <w:sz w:val="24"/>
          <w:szCs w:val="24"/>
          <w:highlight w:val="none"/>
        </w:rPr>
      </w:pPr>
      <w:bookmarkStart w:id="226" w:name="_Toc152042381"/>
      <w:bookmarkStart w:id="227" w:name="_Toc179632622"/>
      <w:bookmarkStart w:id="228" w:name="_Toc152045604"/>
      <w:bookmarkStart w:id="229" w:name="_Toc144974571"/>
      <w:r>
        <w:rPr>
          <w:rFonts w:hint="eastAsia" w:ascii="宋体" w:eastAsia="宋体"/>
          <w:b/>
          <w:bCs/>
          <w:color w:val="auto"/>
          <w:sz w:val="24"/>
          <w:szCs w:val="24"/>
          <w:highlight w:val="none"/>
        </w:rPr>
        <w:t>3. 评标程序</w:t>
      </w:r>
      <w:bookmarkEnd w:id="226"/>
      <w:bookmarkEnd w:id="227"/>
      <w:bookmarkEnd w:id="228"/>
      <w:bookmarkEnd w:id="229"/>
    </w:p>
    <w:p>
      <w:pPr>
        <w:spacing w:line="360" w:lineRule="auto"/>
        <w:ind w:firstLine="480" w:firstLineChars="200"/>
        <w:rPr>
          <w:rFonts w:ascii="宋体"/>
          <w:color w:val="auto"/>
          <w:sz w:val="24"/>
          <w:highlight w:val="none"/>
        </w:rPr>
      </w:pPr>
      <w:bookmarkStart w:id="230" w:name="_Toc152042382"/>
      <w:bookmarkStart w:id="231" w:name="_Toc179632623"/>
      <w:bookmarkStart w:id="232" w:name="_Toc144974572"/>
      <w:bookmarkStart w:id="233" w:name="_Toc152045605"/>
      <w:r>
        <w:rPr>
          <w:rFonts w:hint="eastAsia" w:ascii="宋体"/>
          <w:color w:val="auto"/>
          <w:sz w:val="24"/>
          <w:highlight w:val="none"/>
        </w:rPr>
        <w:t>3.1 初步评审</w:t>
      </w:r>
      <w:bookmarkEnd w:id="230"/>
      <w:bookmarkEnd w:id="231"/>
      <w:bookmarkEnd w:id="232"/>
      <w:bookmarkEnd w:id="233"/>
    </w:p>
    <w:p>
      <w:pPr>
        <w:spacing w:line="360" w:lineRule="auto"/>
        <w:ind w:firstLine="480" w:firstLineChars="200"/>
        <w:rPr>
          <w:rFonts w:ascii="宋体"/>
          <w:color w:val="auto"/>
          <w:sz w:val="24"/>
          <w:highlight w:val="none"/>
        </w:rPr>
      </w:pPr>
      <w:r>
        <w:rPr>
          <w:rFonts w:hint="eastAsia" w:ascii="宋体"/>
          <w:color w:val="auto"/>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color w:val="auto"/>
          <w:sz w:val="24"/>
          <w:highlight w:val="none"/>
        </w:rPr>
      </w:pPr>
      <w:r>
        <w:rPr>
          <w:rFonts w:hint="eastAsia" w:ascii="宋体"/>
          <w:color w:val="auto"/>
          <w:sz w:val="24"/>
          <w:highlight w:val="none"/>
        </w:rPr>
        <w:t>3.1.2 投标人有以下情形之一的，评标委员会应当否决其投标。：</w:t>
      </w:r>
    </w:p>
    <w:p>
      <w:pPr>
        <w:spacing w:line="360" w:lineRule="auto"/>
        <w:ind w:firstLine="480" w:firstLineChars="200"/>
        <w:rPr>
          <w:rFonts w:ascii="宋体"/>
          <w:color w:val="auto"/>
          <w:sz w:val="24"/>
          <w:highlight w:val="none"/>
        </w:rPr>
      </w:pPr>
      <w:r>
        <w:rPr>
          <w:rFonts w:hint="eastAsia" w:ascii="宋体"/>
          <w:color w:val="auto"/>
          <w:sz w:val="24"/>
          <w:highlight w:val="none"/>
        </w:rPr>
        <w:t>（1）第二章“投标人须知”第1.4.3项规定的任何一种情形的；</w:t>
      </w:r>
    </w:p>
    <w:p>
      <w:pPr>
        <w:spacing w:line="360" w:lineRule="auto"/>
        <w:ind w:firstLine="480" w:firstLineChars="200"/>
        <w:rPr>
          <w:rFonts w:ascii="宋体"/>
          <w:color w:val="auto"/>
          <w:sz w:val="24"/>
          <w:highlight w:val="none"/>
        </w:rPr>
      </w:pPr>
      <w:r>
        <w:rPr>
          <w:rFonts w:hint="eastAsia" w:ascii="宋体"/>
          <w:color w:val="auto"/>
          <w:sz w:val="24"/>
          <w:highlight w:val="none"/>
        </w:rPr>
        <w:t>（2）串通投标或弄虚作假或有其他违法行为的；</w:t>
      </w:r>
    </w:p>
    <w:p>
      <w:pPr>
        <w:spacing w:line="360" w:lineRule="auto"/>
        <w:ind w:firstLine="480" w:firstLineChars="200"/>
        <w:rPr>
          <w:rFonts w:ascii="宋体"/>
          <w:color w:val="auto"/>
          <w:sz w:val="24"/>
          <w:highlight w:val="none"/>
        </w:rPr>
      </w:pPr>
      <w:r>
        <w:rPr>
          <w:rFonts w:hint="eastAsia" w:ascii="宋体"/>
          <w:color w:val="auto"/>
          <w:sz w:val="24"/>
          <w:highlight w:val="none"/>
        </w:rPr>
        <w:t>（3）不按评标委员会要求澄清、说明或补正的。</w:t>
      </w:r>
    </w:p>
    <w:p>
      <w:pPr>
        <w:spacing w:line="360" w:lineRule="auto"/>
        <w:ind w:firstLine="480" w:firstLineChars="200"/>
        <w:rPr>
          <w:rFonts w:ascii="宋体"/>
          <w:color w:val="auto"/>
          <w:sz w:val="24"/>
          <w:highlight w:val="none"/>
        </w:rPr>
      </w:pPr>
      <w:r>
        <w:rPr>
          <w:rFonts w:hint="eastAsia" w:ascii="宋体"/>
          <w:color w:val="auto"/>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color w:val="auto"/>
          <w:sz w:val="24"/>
          <w:highlight w:val="none"/>
        </w:rPr>
      </w:pPr>
      <w:bookmarkStart w:id="234" w:name="_Toc152042383"/>
      <w:r>
        <w:rPr>
          <w:rFonts w:hint="eastAsia" w:ascii="宋体"/>
          <w:color w:val="auto"/>
          <w:sz w:val="24"/>
          <w:highlight w:val="none"/>
        </w:rPr>
        <w:t>（1）投标文件中的大写金额与小写金额不一致的，以大写金额为准；</w:t>
      </w:r>
      <w:bookmarkEnd w:id="234"/>
    </w:p>
    <w:p>
      <w:pPr>
        <w:spacing w:line="360" w:lineRule="auto"/>
        <w:ind w:firstLine="480" w:firstLineChars="200"/>
        <w:rPr>
          <w:rFonts w:ascii="宋体"/>
          <w:color w:val="auto"/>
          <w:sz w:val="24"/>
          <w:highlight w:val="none"/>
        </w:rPr>
      </w:pPr>
      <w:r>
        <w:rPr>
          <w:rFonts w:hint="eastAsia" w:ascii="宋体"/>
          <w:color w:val="auto"/>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color w:val="auto"/>
          <w:sz w:val="24"/>
          <w:highlight w:val="none"/>
        </w:rPr>
      </w:pPr>
      <w:bookmarkStart w:id="235" w:name="_Toc144974573"/>
      <w:bookmarkStart w:id="236" w:name="_Toc152042384"/>
      <w:bookmarkStart w:id="237" w:name="_Toc179632624"/>
      <w:bookmarkStart w:id="238" w:name="_Toc152045606"/>
      <w:r>
        <w:rPr>
          <w:rFonts w:hint="eastAsia" w:ascii="宋体"/>
          <w:color w:val="auto"/>
          <w:sz w:val="24"/>
          <w:highlight w:val="none"/>
        </w:rPr>
        <w:t>3.2 详细评审</w:t>
      </w:r>
      <w:bookmarkEnd w:id="235"/>
      <w:bookmarkEnd w:id="236"/>
      <w:bookmarkEnd w:id="237"/>
      <w:bookmarkEnd w:id="238"/>
    </w:p>
    <w:p>
      <w:pPr>
        <w:spacing w:line="360" w:lineRule="auto"/>
        <w:ind w:firstLine="480" w:firstLineChars="200"/>
        <w:rPr>
          <w:rFonts w:ascii="宋体"/>
          <w:color w:val="auto"/>
          <w:sz w:val="24"/>
          <w:highlight w:val="none"/>
        </w:rPr>
      </w:pPr>
      <w:r>
        <w:rPr>
          <w:rFonts w:hint="eastAsia" w:ascii="宋体"/>
          <w:color w:val="auto"/>
          <w:sz w:val="24"/>
          <w:highlight w:val="none"/>
        </w:rPr>
        <w:t>3.2.1 评标委员会按本章第2.2款规定的量化因素和分值进行打分，并计算出综合评估得分。</w:t>
      </w:r>
    </w:p>
    <w:p>
      <w:pPr>
        <w:spacing w:line="360" w:lineRule="auto"/>
        <w:ind w:firstLine="480" w:firstLineChars="200"/>
        <w:rPr>
          <w:rFonts w:ascii="宋体"/>
          <w:color w:val="auto"/>
          <w:sz w:val="24"/>
          <w:highlight w:val="none"/>
        </w:rPr>
      </w:pPr>
      <w:r>
        <w:rPr>
          <w:rFonts w:hint="eastAsia" w:ascii="宋体"/>
          <w:color w:val="auto"/>
          <w:sz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color w:val="auto"/>
          <w:sz w:val="24"/>
          <w:highlight w:val="none"/>
        </w:rPr>
      </w:pPr>
      <w:r>
        <w:rPr>
          <w:rFonts w:hint="eastAsia" w:ascii="宋体"/>
          <w:color w:val="auto"/>
          <w:sz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color w:val="auto"/>
          <w:sz w:val="24"/>
          <w:highlight w:val="none"/>
        </w:rPr>
      </w:pPr>
      <w:r>
        <w:rPr>
          <w:rFonts w:hint="eastAsia" w:ascii="宋体"/>
          <w:color w:val="auto"/>
          <w:sz w:val="24"/>
          <w:highlight w:val="none"/>
        </w:rPr>
        <w:t>（3）按本章第2.2.5（3）目规定的评审因素和分值对投标报价计算出得分C；</w:t>
      </w:r>
    </w:p>
    <w:p>
      <w:pPr>
        <w:spacing w:line="360" w:lineRule="auto"/>
        <w:ind w:firstLine="480" w:firstLineChars="200"/>
        <w:rPr>
          <w:rFonts w:ascii="宋体"/>
          <w:color w:val="auto"/>
          <w:sz w:val="24"/>
          <w:highlight w:val="none"/>
        </w:rPr>
      </w:pPr>
      <w:r>
        <w:rPr>
          <w:rFonts w:hint="eastAsia" w:ascii="宋体"/>
          <w:color w:val="auto"/>
          <w:sz w:val="24"/>
          <w:highlight w:val="none"/>
        </w:rPr>
        <w:t>（4）按本章第2.2.5（4）目规定的评审因素和分值对诚信评价计算出得分D；</w:t>
      </w:r>
    </w:p>
    <w:p>
      <w:pPr>
        <w:spacing w:line="360" w:lineRule="auto"/>
        <w:ind w:firstLine="480" w:firstLineChars="200"/>
        <w:rPr>
          <w:rFonts w:ascii="宋体"/>
          <w:color w:val="auto"/>
          <w:sz w:val="24"/>
          <w:highlight w:val="none"/>
        </w:rPr>
      </w:pPr>
      <w:r>
        <w:rPr>
          <w:rFonts w:hint="eastAsia" w:ascii="宋体"/>
          <w:color w:val="auto"/>
          <w:sz w:val="24"/>
          <w:highlight w:val="none"/>
        </w:rPr>
        <w:t>3.2.2 评分分值计算保留小数点后两位，小数点后第三位“四舍五入”。</w:t>
      </w:r>
    </w:p>
    <w:p>
      <w:pPr>
        <w:spacing w:line="360" w:lineRule="auto"/>
        <w:ind w:firstLine="480" w:firstLineChars="200"/>
        <w:rPr>
          <w:rFonts w:ascii="宋体"/>
          <w:color w:val="auto"/>
          <w:sz w:val="24"/>
          <w:highlight w:val="none"/>
        </w:rPr>
      </w:pPr>
      <w:r>
        <w:rPr>
          <w:rFonts w:hint="eastAsia" w:ascii="宋体"/>
          <w:color w:val="auto"/>
          <w:sz w:val="24"/>
          <w:highlight w:val="none"/>
        </w:rPr>
        <w:t>3.2.3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诚信评价高的优先确定排序。计分采用百分制，得分计算方法：评标总得分=技术部分得分（A）×得分权重+商务部分得分（B</w:t>
      </w:r>
      <w:r>
        <w:rPr>
          <w:rFonts w:ascii="宋体"/>
          <w:color w:val="auto"/>
          <w:sz w:val="24"/>
          <w:highlight w:val="none"/>
        </w:rPr>
        <w:t>）</w:t>
      </w:r>
      <w:r>
        <w:rPr>
          <w:rFonts w:hint="eastAsia" w:ascii="宋体"/>
          <w:color w:val="auto"/>
          <w:sz w:val="24"/>
          <w:highlight w:val="none"/>
        </w:rPr>
        <w:t>×得分权重+投标报价得分(C) ×得分权重+诚信评价分（D）×得分权重。</w:t>
      </w:r>
    </w:p>
    <w:p>
      <w:pPr>
        <w:spacing w:line="360" w:lineRule="auto"/>
        <w:ind w:firstLine="480" w:firstLineChars="200"/>
        <w:rPr>
          <w:rFonts w:ascii="宋体"/>
          <w:color w:val="auto"/>
          <w:sz w:val="24"/>
          <w:highlight w:val="none"/>
        </w:rPr>
      </w:pPr>
      <w:bookmarkStart w:id="239" w:name="_Toc144974575"/>
      <w:bookmarkStart w:id="240" w:name="_Toc179632625"/>
      <w:bookmarkStart w:id="241" w:name="_Toc152045607"/>
      <w:bookmarkStart w:id="242" w:name="_Toc152042385"/>
      <w:r>
        <w:rPr>
          <w:rFonts w:hint="eastAsia" w:ascii="宋体"/>
          <w:color w:val="auto"/>
          <w:sz w:val="24"/>
          <w:highlight w:val="none"/>
        </w:rPr>
        <w:t>3.3 投标文件的澄清</w:t>
      </w:r>
      <w:bookmarkEnd w:id="239"/>
      <w:r>
        <w:rPr>
          <w:rFonts w:hint="eastAsia" w:ascii="宋体"/>
          <w:color w:val="auto"/>
          <w:sz w:val="24"/>
          <w:highlight w:val="none"/>
        </w:rPr>
        <w:t>和补正</w:t>
      </w:r>
      <w:bookmarkEnd w:id="240"/>
      <w:bookmarkEnd w:id="241"/>
      <w:bookmarkEnd w:id="242"/>
    </w:p>
    <w:p>
      <w:pPr>
        <w:spacing w:line="360" w:lineRule="auto"/>
        <w:ind w:firstLine="480" w:firstLineChars="200"/>
        <w:rPr>
          <w:rFonts w:ascii="宋体"/>
          <w:color w:val="auto"/>
          <w:sz w:val="24"/>
          <w:highlight w:val="none"/>
        </w:rPr>
      </w:pPr>
      <w:r>
        <w:rPr>
          <w:rFonts w:hint="eastAsia" w:ascii="宋体"/>
          <w:color w:val="auto"/>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color w:val="auto"/>
          <w:sz w:val="24"/>
          <w:highlight w:val="none"/>
        </w:rPr>
      </w:pPr>
      <w:r>
        <w:rPr>
          <w:rFonts w:hint="eastAsia" w:ascii="宋体"/>
          <w:color w:val="auto"/>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color w:val="auto"/>
          <w:sz w:val="24"/>
          <w:highlight w:val="none"/>
        </w:rPr>
      </w:pPr>
      <w:r>
        <w:rPr>
          <w:rFonts w:hint="eastAsia" w:ascii="宋体"/>
          <w:color w:val="auto"/>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color w:val="auto"/>
          <w:sz w:val="24"/>
          <w:highlight w:val="none"/>
        </w:rPr>
      </w:pPr>
      <w:bookmarkStart w:id="243" w:name="_Toc179632626"/>
      <w:bookmarkStart w:id="244" w:name="_Toc152045608"/>
      <w:bookmarkStart w:id="245" w:name="_Toc152042386"/>
      <w:bookmarkStart w:id="246" w:name="_Toc144974576"/>
      <w:r>
        <w:rPr>
          <w:rFonts w:hint="eastAsia" w:ascii="宋体"/>
          <w:color w:val="auto"/>
          <w:sz w:val="24"/>
          <w:highlight w:val="none"/>
        </w:rPr>
        <w:t>3.4 评标结果</w:t>
      </w:r>
      <w:bookmarkEnd w:id="243"/>
      <w:bookmarkEnd w:id="244"/>
      <w:bookmarkEnd w:id="245"/>
      <w:bookmarkEnd w:id="246"/>
    </w:p>
    <w:p>
      <w:pPr>
        <w:spacing w:line="360" w:lineRule="auto"/>
        <w:ind w:firstLine="480" w:firstLineChars="200"/>
        <w:rPr>
          <w:rFonts w:ascii="宋体"/>
          <w:color w:val="auto"/>
          <w:sz w:val="24"/>
          <w:highlight w:val="none"/>
        </w:rPr>
      </w:pPr>
      <w:r>
        <w:rPr>
          <w:rFonts w:hint="eastAsia" w:ascii="宋体"/>
          <w:color w:val="auto"/>
          <w:sz w:val="24"/>
          <w:highlight w:val="none"/>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color w:val="auto"/>
          <w:sz w:val="24"/>
          <w:highlight w:val="none"/>
        </w:rPr>
      </w:pPr>
      <w:r>
        <w:rPr>
          <w:rFonts w:hint="eastAsia" w:ascii="宋体"/>
          <w:color w:val="auto"/>
          <w:sz w:val="24"/>
          <w:highlight w:val="none"/>
        </w:rPr>
        <w:t>3.4.2 评标委员会完成评标后，应当向招标人提交书面评标报告。</w:t>
      </w:r>
    </w:p>
    <w:p>
      <w:pPr>
        <w:pStyle w:val="40"/>
        <w:spacing w:after="0" w:line="360" w:lineRule="auto"/>
        <w:ind w:firstLine="482" w:firstLineChars="200"/>
        <w:rPr>
          <w:rFonts w:ascii="宋体" w:eastAsia="宋体"/>
          <w:b/>
          <w:bCs/>
          <w:color w:val="auto"/>
          <w:sz w:val="24"/>
          <w:szCs w:val="24"/>
          <w:highlight w:val="none"/>
        </w:rPr>
      </w:pPr>
      <w:r>
        <w:rPr>
          <w:rFonts w:hint="eastAsia" w:ascii="宋体" w:eastAsia="宋体"/>
          <w:b/>
          <w:bCs/>
          <w:color w:val="auto"/>
          <w:sz w:val="24"/>
          <w:szCs w:val="24"/>
          <w:highlight w:val="none"/>
        </w:rPr>
        <w:t xml:space="preserve">4. </w:t>
      </w:r>
      <w:r>
        <w:rPr>
          <w:rFonts w:ascii="宋体" w:eastAsia="宋体"/>
          <w:b/>
          <w:color w:val="auto"/>
          <w:sz w:val="24"/>
          <w:szCs w:val="24"/>
          <w:highlight w:val="none"/>
        </w:rPr>
        <w:t>诚信评价</w:t>
      </w:r>
      <w:r>
        <w:rPr>
          <w:rFonts w:hint="eastAsia" w:ascii="宋体" w:eastAsia="宋体"/>
          <w:b/>
          <w:bCs/>
          <w:color w:val="auto"/>
          <w:sz w:val="24"/>
          <w:szCs w:val="24"/>
          <w:highlight w:val="none"/>
        </w:rPr>
        <w:t>分</w:t>
      </w:r>
    </w:p>
    <w:p>
      <w:pPr>
        <w:spacing w:line="360" w:lineRule="auto"/>
        <w:ind w:firstLine="480" w:firstLineChars="200"/>
        <w:rPr>
          <w:rFonts w:ascii="宋体"/>
          <w:color w:val="auto"/>
          <w:sz w:val="24"/>
          <w:szCs w:val="24"/>
          <w:highlight w:val="none"/>
        </w:rPr>
      </w:pPr>
      <w:r>
        <w:rPr>
          <w:rFonts w:hint="eastAsia" w:ascii="宋体"/>
          <w:color w:val="auto"/>
          <w:kern w:val="0"/>
          <w:sz w:val="24"/>
          <w:szCs w:val="24"/>
          <w:highlight w:val="none"/>
        </w:rPr>
        <w:t xml:space="preserve">4.1 </w:t>
      </w:r>
      <w:r>
        <w:rPr>
          <w:rFonts w:ascii="宋体"/>
          <w:color w:val="auto"/>
          <w:kern w:val="0"/>
          <w:sz w:val="24"/>
          <w:szCs w:val="24"/>
          <w:highlight w:val="none"/>
        </w:rPr>
        <w:t>投标人诚信评价分取自本项目</w:t>
      </w:r>
      <w:r>
        <w:rPr>
          <w:rFonts w:hint="eastAsia" w:ascii="宋体"/>
          <w:color w:val="auto"/>
          <w:kern w:val="0"/>
          <w:sz w:val="24"/>
          <w:szCs w:val="24"/>
          <w:highlight w:val="none"/>
        </w:rPr>
        <w:t>招标公告</w:t>
      </w:r>
      <w:r>
        <w:rPr>
          <w:rFonts w:ascii="宋体"/>
          <w:color w:val="auto"/>
          <w:kern w:val="0"/>
          <w:sz w:val="24"/>
          <w:szCs w:val="24"/>
          <w:highlight w:val="none"/>
        </w:rPr>
        <w:t>第1天所在季度的上一季度广州市水务工程企业信息库及诚信中心网站（</w:t>
      </w:r>
      <w:r>
        <w:rPr>
          <w:color w:val="auto"/>
          <w:highlight w:val="none"/>
        </w:rPr>
        <w:fldChar w:fldCharType="begin"/>
      </w:r>
      <w:r>
        <w:rPr>
          <w:color w:val="auto"/>
          <w:highlight w:val="none"/>
        </w:rPr>
        <w:instrText xml:space="preserve"> HYPERLINK "http://121.8.226.19/gzswcx/index.jsp" </w:instrText>
      </w:r>
      <w:r>
        <w:rPr>
          <w:color w:val="auto"/>
          <w:highlight w:val="none"/>
        </w:rPr>
        <w:fldChar w:fldCharType="separate"/>
      </w:r>
      <w:r>
        <w:rPr>
          <w:rFonts w:ascii="宋体"/>
          <w:color w:val="auto"/>
          <w:kern w:val="0"/>
          <w:sz w:val="24"/>
          <w:szCs w:val="24"/>
          <w:highlight w:val="none"/>
        </w:rPr>
        <w:t>http://121.8.226.19/gzswcx/index.jsp</w:t>
      </w:r>
      <w:r>
        <w:rPr>
          <w:rFonts w:ascii="宋体"/>
          <w:color w:val="auto"/>
          <w:kern w:val="0"/>
          <w:sz w:val="24"/>
          <w:szCs w:val="24"/>
          <w:highlight w:val="none"/>
        </w:rPr>
        <w:fldChar w:fldCharType="end"/>
      </w:r>
      <w:r>
        <w:rPr>
          <w:rFonts w:ascii="宋体"/>
          <w:color w:val="auto"/>
          <w:kern w:val="0"/>
          <w:sz w:val="24"/>
          <w:szCs w:val="24"/>
          <w:highlight w:val="none"/>
        </w:rPr>
        <w:t>）中的“诚信排名&gt;&gt;施工—给排水</w:t>
      </w:r>
      <w:r>
        <w:rPr>
          <w:rFonts w:hint="eastAsia" w:ascii="宋体"/>
          <w:color w:val="auto"/>
          <w:kern w:val="0"/>
          <w:sz w:val="24"/>
          <w:szCs w:val="24"/>
          <w:highlight w:val="none"/>
        </w:rPr>
        <w:t>(或水利)</w:t>
      </w:r>
      <w:r>
        <w:rPr>
          <w:rFonts w:ascii="宋体"/>
          <w:color w:val="auto"/>
          <w:kern w:val="0"/>
          <w:sz w:val="24"/>
          <w:szCs w:val="24"/>
          <w:highlight w:val="none"/>
        </w:rPr>
        <w:t>”中“诚信综合评价”分，未入库企业或在广州市水务工程企业信息库及诚信中心网中尚无诚信排名“施工－给排水</w:t>
      </w:r>
      <w:r>
        <w:rPr>
          <w:rFonts w:hint="eastAsia" w:ascii="宋体"/>
          <w:color w:val="auto"/>
          <w:kern w:val="0"/>
          <w:sz w:val="24"/>
          <w:szCs w:val="24"/>
          <w:highlight w:val="none"/>
        </w:rPr>
        <w:t>（或水利）</w:t>
      </w:r>
      <w:r>
        <w:rPr>
          <w:rFonts w:ascii="宋体"/>
          <w:color w:val="auto"/>
          <w:kern w:val="0"/>
          <w:sz w:val="24"/>
          <w:szCs w:val="24"/>
          <w:highlight w:val="none"/>
        </w:rPr>
        <w:t>”得分的投标人，其诚信评价分按40分计算。</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4.2两个或者两个以上水务建设市场主体组成联合体投标时，按联合体中诚信评价得分低的市场主体作为联合体的诚信评价得分。</w:t>
      </w:r>
    </w:p>
    <w:p>
      <w:pPr>
        <w:widowControl/>
        <w:spacing w:line="360" w:lineRule="auto"/>
        <w:ind w:firstLine="482" w:firstLineChars="200"/>
        <w:jc w:val="left"/>
        <w:rPr>
          <w:rFonts w:ascii="宋体" w:cs="宋体"/>
          <w:b/>
          <w:color w:val="auto"/>
          <w:kern w:val="0"/>
          <w:sz w:val="24"/>
          <w:szCs w:val="24"/>
          <w:highlight w:val="none"/>
        </w:rPr>
      </w:pPr>
      <w:r>
        <w:rPr>
          <w:rFonts w:hint="eastAsia" w:ascii="宋体" w:cs="宋体"/>
          <w:b/>
          <w:color w:val="auto"/>
          <w:kern w:val="0"/>
          <w:sz w:val="24"/>
          <w:szCs w:val="24"/>
          <w:highlight w:val="none"/>
        </w:rPr>
        <w:t>5.评标应急预案</w:t>
      </w:r>
    </w:p>
    <w:p>
      <w:pPr>
        <w:widowControl/>
        <w:spacing w:line="360" w:lineRule="auto"/>
        <w:ind w:firstLine="480" w:firstLineChars="200"/>
        <w:jc w:val="left"/>
        <w:rPr>
          <w:rFonts w:ascii="宋体" w:cs="宋体"/>
          <w:color w:val="auto"/>
          <w:kern w:val="0"/>
          <w:sz w:val="24"/>
          <w:szCs w:val="24"/>
          <w:highlight w:val="none"/>
        </w:rPr>
      </w:pPr>
      <w:r>
        <w:rPr>
          <w:rFonts w:hint="eastAsia" w:ascii="宋体" w:cs="宋体"/>
          <w:color w:val="auto"/>
          <w:kern w:val="0"/>
          <w:sz w:val="24"/>
          <w:szCs w:val="24"/>
          <w:highlight w:val="none"/>
        </w:rPr>
        <w:t>5.1</w:t>
      </w:r>
      <w:r>
        <w:rPr>
          <w:rFonts w:ascii="宋体" w:cs="宋体"/>
          <w:color w:val="auto"/>
          <w:kern w:val="0"/>
          <w:sz w:val="24"/>
          <w:szCs w:val="24"/>
          <w:highlight w:val="none"/>
        </w:rPr>
        <w:t>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cs="宋体"/>
          <w:color w:val="auto"/>
          <w:kern w:val="0"/>
          <w:sz w:val="24"/>
          <w:szCs w:val="24"/>
          <w:highlight w:val="none"/>
        </w:rPr>
      </w:pPr>
      <w:r>
        <w:rPr>
          <w:rFonts w:hint="eastAsia" w:ascii="宋体" w:cs="宋体"/>
          <w:color w:val="auto"/>
          <w:kern w:val="0"/>
          <w:sz w:val="24"/>
          <w:szCs w:val="24"/>
          <w:highlight w:val="none"/>
        </w:rPr>
        <w:t>5.2</w:t>
      </w:r>
      <w:r>
        <w:rPr>
          <w:rFonts w:ascii="宋体" w:cs="宋体"/>
          <w:color w:val="auto"/>
          <w:kern w:val="0"/>
          <w:sz w:val="24"/>
          <w:szCs w:val="24"/>
          <w:highlight w:val="none"/>
        </w:rPr>
        <w:t>在电子评标过程中，无论遇到任何系统异常或故障，评标委员会均应出具评标报告。</w:t>
      </w:r>
    </w:p>
    <w:p>
      <w:pPr>
        <w:spacing w:line="360" w:lineRule="auto"/>
        <w:rPr>
          <w:rFonts w:ascii="宋体"/>
          <w:color w:val="auto"/>
          <w:sz w:val="24"/>
          <w:highlight w:val="none"/>
        </w:rPr>
      </w:pPr>
    </w:p>
    <w:p>
      <w:pPr>
        <w:spacing w:line="360" w:lineRule="auto"/>
        <w:outlineLvl w:val="2"/>
        <w:rPr>
          <w:rFonts w:ascii="宋体"/>
          <w:color w:val="auto"/>
          <w:sz w:val="28"/>
          <w:szCs w:val="27"/>
          <w:highlight w:val="none"/>
        </w:rPr>
        <w:sectPr>
          <w:footerReference r:id="rId3" w:type="default"/>
          <w:pgSz w:w="11906" w:h="16838"/>
          <w:pgMar w:top="1440" w:right="1440" w:bottom="1440" w:left="1440" w:header="851" w:footer="992" w:gutter="0"/>
          <w:pgNumType w:start="0"/>
          <w:cols w:space="0" w:num="1"/>
          <w:titlePg/>
          <w:docGrid w:linePitch="312" w:charSpace="0"/>
        </w:sectPr>
      </w:pPr>
      <w:bookmarkStart w:id="247" w:name="_Toc262229174"/>
    </w:p>
    <w:p>
      <w:pPr>
        <w:spacing w:line="360" w:lineRule="auto"/>
        <w:jc w:val="center"/>
        <w:rPr>
          <w:rFonts w:ascii="宋体"/>
          <w:b/>
          <w:color w:val="auto"/>
          <w:sz w:val="36"/>
          <w:szCs w:val="36"/>
          <w:highlight w:val="none"/>
        </w:rPr>
      </w:pPr>
      <w:r>
        <w:rPr>
          <w:rFonts w:hint="eastAsia" w:ascii="宋体"/>
          <w:b/>
          <w:color w:val="auto"/>
          <w:sz w:val="36"/>
          <w:szCs w:val="36"/>
          <w:highlight w:val="none"/>
        </w:rPr>
        <w:t>平均值法评标基准价计算表（适用于直接选取）</w:t>
      </w:r>
    </w:p>
    <w:p>
      <w:pPr>
        <w:spacing w:line="360" w:lineRule="auto"/>
        <w:rPr>
          <w:rFonts w:ascii="宋体"/>
          <w:b/>
          <w:color w:val="auto"/>
          <w:szCs w:val="21"/>
          <w:highlight w:val="none"/>
        </w:rPr>
      </w:pPr>
      <w:r>
        <w:rPr>
          <w:rFonts w:hint="eastAsia" w:ascii="宋体"/>
          <w:b/>
          <w:color w:val="auto"/>
          <w:szCs w:val="21"/>
          <w:highlight w:val="none"/>
        </w:rPr>
        <w:t>工程名称：                                                                                       最高投标限价：元</w:t>
      </w:r>
    </w:p>
    <w:tbl>
      <w:tblPr>
        <w:tblStyle w:val="41"/>
        <w:tblW w:w="13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Align w:val="center"/>
          </w:tcPr>
          <w:p>
            <w:pPr>
              <w:jc w:val="center"/>
              <w:rPr>
                <w:rFonts w:ascii="宋体"/>
                <w:color w:val="auto"/>
                <w:szCs w:val="21"/>
                <w:highlight w:val="none"/>
              </w:rPr>
            </w:pPr>
            <w:r>
              <w:rPr>
                <w:rFonts w:hint="eastAsia" w:ascii="宋体"/>
                <w:color w:val="auto"/>
                <w:szCs w:val="21"/>
                <w:highlight w:val="none"/>
              </w:rPr>
              <w:t>序号</w:t>
            </w:r>
          </w:p>
        </w:tc>
        <w:tc>
          <w:tcPr>
            <w:tcW w:w="2946" w:type="dxa"/>
            <w:vAlign w:val="center"/>
          </w:tcPr>
          <w:p>
            <w:pPr>
              <w:jc w:val="center"/>
              <w:rPr>
                <w:rFonts w:ascii="宋体"/>
                <w:color w:val="auto"/>
                <w:szCs w:val="21"/>
                <w:highlight w:val="none"/>
              </w:rPr>
            </w:pPr>
            <w:r>
              <w:rPr>
                <w:rFonts w:hint="eastAsia" w:ascii="宋体"/>
                <w:color w:val="auto"/>
                <w:szCs w:val="21"/>
                <w:highlight w:val="none"/>
              </w:rPr>
              <w:t>投标人名称</w:t>
            </w:r>
          </w:p>
        </w:tc>
        <w:tc>
          <w:tcPr>
            <w:tcW w:w="1350" w:type="dxa"/>
          </w:tcPr>
          <w:p>
            <w:pPr>
              <w:jc w:val="center"/>
              <w:rPr>
                <w:rFonts w:ascii="宋体"/>
                <w:color w:val="auto"/>
                <w:szCs w:val="21"/>
                <w:highlight w:val="none"/>
              </w:rPr>
            </w:pPr>
            <w:r>
              <w:rPr>
                <w:rFonts w:hint="eastAsia" w:ascii="宋体"/>
                <w:color w:val="auto"/>
                <w:szCs w:val="21"/>
                <w:highlight w:val="none"/>
              </w:rPr>
              <w:t>投标价C</w:t>
            </w:r>
          </w:p>
        </w:tc>
        <w:tc>
          <w:tcPr>
            <w:tcW w:w="1620" w:type="dxa"/>
            <w:vAlign w:val="center"/>
          </w:tcPr>
          <w:p>
            <w:pPr>
              <w:jc w:val="center"/>
              <w:rPr>
                <w:rFonts w:ascii="宋体"/>
                <w:color w:val="auto"/>
                <w:szCs w:val="21"/>
                <w:highlight w:val="none"/>
              </w:rPr>
            </w:pPr>
            <w:r>
              <w:rPr>
                <w:rFonts w:hint="eastAsia" w:ascii="宋体"/>
                <w:color w:val="auto"/>
                <w:szCs w:val="21"/>
                <w:highlight w:val="none"/>
              </w:rPr>
              <w:t>是否参与评标基准价的计算【是/否】</w:t>
            </w:r>
          </w:p>
        </w:tc>
        <w:tc>
          <w:tcPr>
            <w:tcW w:w="1440" w:type="dxa"/>
          </w:tcPr>
          <w:p>
            <w:pPr>
              <w:rPr>
                <w:rFonts w:ascii="宋体"/>
                <w:color w:val="auto"/>
                <w:szCs w:val="21"/>
                <w:highlight w:val="none"/>
              </w:rPr>
            </w:pPr>
            <w:r>
              <w:rPr>
                <w:rFonts w:hint="eastAsia" w:ascii="宋体"/>
                <w:color w:val="auto"/>
                <w:szCs w:val="21"/>
                <w:highlight w:val="none"/>
              </w:rPr>
              <w:t>计算评标基准价的下浮率X</w:t>
            </w:r>
          </w:p>
        </w:tc>
        <w:tc>
          <w:tcPr>
            <w:tcW w:w="5834" w:type="dxa"/>
            <w:vAlign w:val="center"/>
          </w:tcPr>
          <w:p>
            <w:pPr>
              <w:jc w:val="center"/>
              <w:rPr>
                <w:rFonts w:ascii="宋体"/>
                <w:color w:val="auto"/>
                <w:szCs w:val="21"/>
                <w:highlight w:val="none"/>
              </w:rPr>
            </w:pPr>
            <w:r>
              <w:rPr>
                <w:rFonts w:hint="eastAsia" w:ascii="宋体"/>
                <w:color w:val="auto"/>
                <w:szCs w:val="21"/>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restart"/>
          </w:tcPr>
          <w:p>
            <w:pPr>
              <w:spacing w:line="560" w:lineRule="exact"/>
              <w:rPr>
                <w:rFonts w:ascii="宋体"/>
                <w:color w:val="auto"/>
                <w:szCs w:val="21"/>
                <w:highlight w:val="none"/>
              </w:rPr>
            </w:pPr>
          </w:p>
        </w:tc>
        <w:tc>
          <w:tcPr>
            <w:tcW w:w="5834" w:type="dxa"/>
            <w:vMerge w:val="restart"/>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color w:val="auto"/>
                <w:szCs w:val="21"/>
                <w:highlight w:val="none"/>
              </w:rPr>
            </w:pPr>
          </w:p>
        </w:tc>
        <w:tc>
          <w:tcPr>
            <w:tcW w:w="2946" w:type="dxa"/>
          </w:tcPr>
          <w:p>
            <w:pPr>
              <w:spacing w:line="560" w:lineRule="exact"/>
              <w:rPr>
                <w:rFonts w:ascii="宋体"/>
                <w:color w:val="auto"/>
                <w:szCs w:val="21"/>
                <w:highlight w:val="none"/>
              </w:rPr>
            </w:pPr>
          </w:p>
        </w:tc>
        <w:tc>
          <w:tcPr>
            <w:tcW w:w="1350" w:type="dxa"/>
          </w:tcPr>
          <w:p>
            <w:pPr>
              <w:spacing w:line="560" w:lineRule="exact"/>
              <w:rPr>
                <w:rFonts w:ascii="宋体"/>
                <w:color w:val="auto"/>
                <w:szCs w:val="21"/>
                <w:highlight w:val="none"/>
              </w:rPr>
            </w:pPr>
          </w:p>
        </w:tc>
        <w:tc>
          <w:tcPr>
            <w:tcW w:w="1620" w:type="dxa"/>
          </w:tcPr>
          <w:p>
            <w:pPr>
              <w:spacing w:line="560" w:lineRule="exact"/>
              <w:rPr>
                <w:rFonts w:ascii="宋体"/>
                <w:color w:val="auto"/>
                <w:szCs w:val="21"/>
                <w:highlight w:val="none"/>
              </w:rPr>
            </w:pPr>
          </w:p>
        </w:tc>
        <w:tc>
          <w:tcPr>
            <w:tcW w:w="1440" w:type="dxa"/>
            <w:vMerge w:val="continue"/>
          </w:tcPr>
          <w:p>
            <w:pPr>
              <w:rPr>
                <w:color w:val="auto"/>
                <w:highlight w:val="none"/>
              </w:rPr>
            </w:pPr>
          </w:p>
        </w:tc>
        <w:tc>
          <w:tcPr>
            <w:tcW w:w="5834" w:type="dxa"/>
            <w:vMerge w:val="continue"/>
          </w:tcPr>
          <w:p>
            <w:pPr>
              <w:rPr>
                <w:color w:val="auto"/>
                <w:highlight w:val="none"/>
              </w:rPr>
            </w:pPr>
          </w:p>
        </w:tc>
      </w:tr>
    </w:tbl>
    <w:p>
      <w:pPr>
        <w:rPr>
          <w:rFonts w:ascii="宋体"/>
          <w:color w:val="auto"/>
          <w:szCs w:val="21"/>
          <w:highlight w:val="none"/>
        </w:rPr>
      </w:pPr>
      <w:r>
        <w:rPr>
          <w:rFonts w:hint="eastAsia" w:ascii="宋体"/>
          <w:b/>
          <w:color w:val="auto"/>
          <w:szCs w:val="21"/>
          <w:highlight w:val="none"/>
        </w:rPr>
        <w:t>1.</w:t>
      </w:r>
      <w:r>
        <w:rPr>
          <w:rFonts w:ascii="宋体"/>
          <w:b/>
          <w:color w:val="auto"/>
          <w:szCs w:val="21"/>
          <w:highlight w:val="none"/>
        </w:rPr>
        <w:t xml:space="preserve"> 以</w:t>
      </w:r>
      <w:r>
        <w:rPr>
          <w:rFonts w:hint="eastAsia" w:ascii="宋体"/>
          <w:b/>
          <w:color w:val="auto"/>
          <w:szCs w:val="21"/>
          <w:highlight w:val="none"/>
        </w:rPr>
        <w:t>有效</w:t>
      </w:r>
      <w:r>
        <w:rPr>
          <w:rFonts w:ascii="宋体"/>
          <w:b/>
          <w:color w:val="auto"/>
          <w:szCs w:val="21"/>
          <w:highlight w:val="none"/>
        </w:rPr>
        <w:t>投标价为基础计算并</w:t>
      </w:r>
      <w:r>
        <w:rPr>
          <w:rFonts w:hint="eastAsia" w:ascii="宋体"/>
          <w:b/>
          <w:color w:val="auto"/>
          <w:szCs w:val="21"/>
          <w:highlight w:val="none"/>
        </w:rPr>
        <w:t>根据抽取的计算评标基准价的下浮率下浮后</w:t>
      </w:r>
      <w:r>
        <w:rPr>
          <w:rFonts w:ascii="宋体"/>
          <w:b/>
          <w:color w:val="auto"/>
          <w:szCs w:val="21"/>
          <w:highlight w:val="none"/>
        </w:rPr>
        <w:t>确定评标基准价</w:t>
      </w:r>
      <w:r>
        <w:rPr>
          <w:rFonts w:hint="eastAsia" w:ascii="宋体"/>
          <w:b/>
          <w:color w:val="auto"/>
          <w:szCs w:val="21"/>
          <w:highlight w:val="none"/>
        </w:rPr>
        <w:t>。</w:t>
      </w:r>
    </w:p>
    <w:p>
      <w:pPr>
        <w:rPr>
          <w:rFonts w:ascii="宋体"/>
          <w:b/>
          <w:color w:val="auto"/>
          <w:szCs w:val="21"/>
          <w:highlight w:val="none"/>
        </w:rPr>
      </w:pPr>
      <w:r>
        <w:rPr>
          <w:rFonts w:hint="eastAsia" w:ascii="宋体"/>
          <w:color w:val="auto"/>
          <w:szCs w:val="21"/>
          <w:highlight w:val="none"/>
        </w:rPr>
        <w:t>2.</w:t>
      </w:r>
      <w:r>
        <w:rPr>
          <w:rFonts w:hint="eastAsia" w:ascii="宋体"/>
          <w:b/>
          <w:color w:val="auto"/>
          <w:szCs w:val="21"/>
          <w:highlight w:val="none"/>
        </w:rPr>
        <w:t>使用此表时，对于已经确定为无效报价的，不得在本计算表中列出。</w:t>
      </w:r>
    </w:p>
    <w:p>
      <w:pPr>
        <w:rPr>
          <w:rFonts w:ascii="宋体"/>
          <w:color w:val="auto"/>
          <w:kern w:val="0"/>
          <w:highlight w:val="none"/>
        </w:rPr>
      </w:pPr>
      <w:r>
        <w:rPr>
          <w:rFonts w:hint="eastAsia" w:ascii="宋体"/>
          <w:color w:val="auto"/>
          <w:szCs w:val="21"/>
          <w:highlight w:val="none"/>
        </w:rPr>
        <w:t xml:space="preserve">评标委员会全体评委签名：                              </w:t>
      </w:r>
      <w:r>
        <w:rPr>
          <w:rFonts w:hint="eastAsia" w:ascii="宋体"/>
          <w:color w:val="auto"/>
          <w:kern w:val="0"/>
          <w:highlight w:val="none"/>
        </w:rPr>
        <w:t>日期：   年   月  日</w:t>
      </w:r>
    </w:p>
    <w:p>
      <w:pPr>
        <w:rPr>
          <w:rFonts w:ascii="宋体"/>
          <w:color w:val="auto"/>
          <w:kern w:val="0"/>
          <w:highlight w:val="none"/>
        </w:rPr>
      </w:pPr>
    </w:p>
    <w:p>
      <w:pPr>
        <w:rPr>
          <w:rFonts w:ascii="宋体"/>
          <w:color w:val="auto"/>
          <w:sz w:val="32"/>
          <w:szCs w:val="27"/>
          <w:highlight w:val="none"/>
        </w:rPr>
        <w:sectPr>
          <w:pgSz w:w="16838" w:h="11906" w:orient="landscape"/>
          <w:pgMar w:top="1797" w:right="1440" w:bottom="1797" w:left="1440" w:header="851" w:footer="992" w:gutter="0"/>
          <w:cols w:space="720" w:num="1"/>
          <w:docGrid w:linePitch="312" w:charSpace="0"/>
        </w:sectPr>
      </w:pPr>
    </w:p>
    <w:p>
      <w:pPr>
        <w:spacing w:line="360" w:lineRule="auto"/>
        <w:jc w:val="center"/>
        <w:rPr>
          <w:rFonts w:ascii="宋体"/>
          <w:b/>
          <w:color w:val="auto"/>
          <w:sz w:val="36"/>
          <w:szCs w:val="36"/>
          <w:highlight w:val="none"/>
        </w:rPr>
      </w:pPr>
      <w:r>
        <w:rPr>
          <w:rFonts w:hint="eastAsia" w:ascii="宋体"/>
          <w:b/>
          <w:color w:val="auto"/>
          <w:sz w:val="36"/>
          <w:szCs w:val="36"/>
          <w:highlight w:val="none"/>
        </w:rPr>
        <w:t>诚信评价分表</w:t>
      </w:r>
    </w:p>
    <w:p>
      <w:pPr>
        <w:spacing w:line="360" w:lineRule="auto"/>
        <w:ind w:firstLine="826" w:firstLineChars="392"/>
        <w:rPr>
          <w:rFonts w:ascii="宋体"/>
          <w:b/>
          <w:color w:val="auto"/>
          <w:szCs w:val="21"/>
          <w:highlight w:val="none"/>
        </w:rPr>
      </w:pPr>
      <w:r>
        <w:rPr>
          <w:rFonts w:hint="eastAsia" w:ascii="宋体"/>
          <w:b/>
          <w:color w:val="auto"/>
          <w:szCs w:val="21"/>
          <w:highlight w:val="none"/>
        </w:rPr>
        <w:t>工程名称：</w:t>
      </w: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209"/>
        <w:gridCol w:w="1132"/>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序号</w:t>
            </w:r>
          </w:p>
        </w:tc>
        <w:tc>
          <w:tcPr>
            <w:tcW w:w="2209" w:type="dxa"/>
            <w:vAlign w:val="center"/>
          </w:tcPr>
          <w:p>
            <w:pPr>
              <w:jc w:val="center"/>
              <w:rPr>
                <w:rFonts w:ascii="宋体"/>
                <w:color w:val="auto"/>
                <w:szCs w:val="21"/>
                <w:highlight w:val="none"/>
              </w:rPr>
            </w:pPr>
            <w:r>
              <w:rPr>
                <w:rFonts w:hint="eastAsia" w:ascii="宋体"/>
                <w:color w:val="auto"/>
                <w:szCs w:val="21"/>
                <w:highlight w:val="none"/>
              </w:rPr>
              <w:t>投标单位</w:t>
            </w:r>
          </w:p>
        </w:tc>
        <w:tc>
          <w:tcPr>
            <w:tcW w:w="1132" w:type="dxa"/>
            <w:vAlign w:val="center"/>
          </w:tcPr>
          <w:p>
            <w:pPr>
              <w:jc w:val="center"/>
              <w:rPr>
                <w:rFonts w:ascii="宋体"/>
                <w:color w:val="auto"/>
                <w:szCs w:val="21"/>
                <w:highlight w:val="none"/>
              </w:rPr>
            </w:pPr>
            <w:r>
              <w:rPr>
                <w:rFonts w:hint="eastAsia" w:ascii="宋体"/>
                <w:color w:val="auto"/>
                <w:szCs w:val="21"/>
                <w:highlight w:val="none"/>
              </w:rPr>
              <w:t>诚信类别</w:t>
            </w:r>
          </w:p>
        </w:tc>
        <w:tc>
          <w:tcPr>
            <w:tcW w:w="4059" w:type="dxa"/>
            <w:vAlign w:val="center"/>
          </w:tcPr>
          <w:p>
            <w:pPr>
              <w:jc w:val="center"/>
              <w:rPr>
                <w:rFonts w:ascii="宋体"/>
                <w:color w:val="auto"/>
                <w:szCs w:val="21"/>
                <w:highlight w:val="none"/>
              </w:rPr>
            </w:pPr>
            <w:r>
              <w:rPr>
                <w:rFonts w:hint="eastAsia" w:ascii="宋体"/>
                <w:color w:val="auto"/>
                <w:szCs w:val="21"/>
                <w:highlight w:val="none"/>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1</w:t>
            </w:r>
          </w:p>
        </w:tc>
        <w:tc>
          <w:tcPr>
            <w:tcW w:w="2209" w:type="dxa"/>
          </w:tcPr>
          <w:p>
            <w:pPr>
              <w:rPr>
                <w:rFonts w:ascii="宋体"/>
                <w:color w:val="auto"/>
                <w:szCs w:val="21"/>
                <w:highlight w:val="none"/>
              </w:rPr>
            </w:pPr>
          </w:p>
        </w:tc>
        <w:tc>
          <w:tcPr>
            <w:tcW w:w="1132" w:type="dxa"/>
            <w:vMerge w:val="restart"/>
            <w:vAlign w:val="center"/>
          </w:tcPr>
          <w:p>
            <w:pPr>
              <w:rPr>
                <w:rFonts w:ascii="宋体"/>
                <w:color w:val="auto"/>
                <w:szCs w:val="21"/>
                <w:highlight w:val="none"/>
              </w:rPr>
            </w:pPr>
            <w:r>
              <w:rPr>
                <w:rFonts w:hint="eastAsia" w:ascii="宋体"/>
                <w:color w:val="auto"/>
                <w:szCs w:val="21"/>
                <w:highlight w:val="none"/>
              </w:rPr>
              <w:t>施工-给排水</w:t>
            </w: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2</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3</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4</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5</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widowControl/>
              <w:jc w:val="left"/>
              <w:rPr>
                <w:rFonts w:ascii="宋体"/>
                <w:color w:val="auto"/>
                <w:szCs w:val="21"/>
                <w:highlight w:val="none"/>
              </w:rPr>
            </w:pPr>
          </w:p>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6</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7</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8</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9</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8" w:type="dxa"/>
            <w:vAlign w:val="center"/>
          </w:tcPr>
          <w:p>
            <w:pPr>
              <w:jc w:val="center"/>
              <w:rPr>
                <w:rFonts w:ascii="宋体"/>
                <w:color w:val="auto"/>
                <w:szCs w:val="21"/>
                <w:highlight w:val="none"/>
              </w:rPr>
            </w:pPr>
            <w:r>
              <w:rPr>
                <w:rFonts w:hint="eastAsia" w:ascii="宋体"/>
                <w:color w:val="auto"/>
                <w:szCs w:val="21"/>
                <w:highlight w:val="none"/>
              </w:rPr>
              <w:t>10</w:t>
            </w:r>
          </w:p>
        </w:tc>
        <w:tc>
          <w:tcPr>
            <w:tcW w:w="2209" w:type="dxa"/>
          </w:tcPr>
          <w:p>
            <w:pPr>
              <w:rPr>
                <w:rFonts w:ascii="宋体"/>
                <w:color w:val="auto"/>
                <w:szCs w:val="21"/>
                <w:highlight w:val="none"/>
              </w:rPr>
            </w:pPr>
          </w:p>
        </w:tc>
        <w:tc>
          <w:tcPr>
            <w:tcW w:w="1132" w:type="dxa"/>
            <w:vMerge w:val="continue"/>
          </w:tcPr>
          <w:p>
            <w:pPr>
              <w:rPr>
                <w:color w:val="auto"/>
                <w:highlight w:val="none"/>
              </w:rPr>
            </w:pPr>
          </w:p>
        </w:tc>
        <w:tc>
          <w:tcPr>
            <w:tcW w:w="4059" w:type="dxa"/>
          </w:tcPr>
          <w:p>
            <w:pPr>
              <w:rPr>
                <w:rFonts w:ascii="宋体"/>
                <w:color w:val="auto"/>
                <w:szCs w:val="21"/>
                <w:highlight w:val="none"/>
              </w:rPr>
            </w:pPr>
          </w:p>
        </w:tc>
      </w:tr>
    </w:tbl>
    <w:p>
      <w:pPr>
        <w:spacing w:line="360" w:lineRule="auto"/>
        <w:rPr>
          <w:rFonts w:ascii="宋体"/>
          <w:b/>
          <w:color w:val="auto"/>
          <w:sz w:val="24"/>
          <w:szCs w:val="24"/>
          <w:highlight w:val="none"/>
        </w:rPr>
      </w:pPr>
      <w:r>
        <w:rPr>
          <w:rFonts w:hint="eastAsia" w:ascii="宋体"/>
          <w:color w:val="auto"/>
          <w:szCs w:val="21"/>
          <w:highlight w:val="none"/>
        </w:rPr>
        <w:t xml:space="preserve">评标委员会全体评委签名：                              </w:t>
      </w:r>
      <w:r>
        <w:rPr>
          <w:rFonts w:hint="eastAsia" w:ascii="宋体"/>
          <w:color w:val="auto"/>
          <w:kern w:val="0"/>
          <w:highlight w:val="none"/>
        </w:rPr>
        <w:t>日期：   年   月  日</w:t>
      </w:r>
    </w:p>
    <w:p>
      <w:pPr>
        <w:spacing w:line="360" w:lineRule="auto"/>
        <w:jc w:val="center"/>
        <w:rPr>
          <w:rFonts w:ascii="宋体"/>
          <w:b/>
          <w:color w:val="auto"/>
          <w:sz w:val="36"/>
          <w:szCs w:val="36"/>
          <w:highlight w:val="none"/>
        </w:rPr>
      </w:pPr>
    </w:p>
    <w:p>
      <w:pPr>
        <w:pageBreakBefore/>
        <w:spacing w:line="360" w:lineRule="auto"/>
        <w:jc w:val="center"/>
        <w:rPr>
          <w:rFonts w:ascii="宋体"/>
          <w:b/>
          <w:color w:val="auto"/>
          <w:sz w:val="36"/>
          <w:szCs w:val="36"/>
          <w:highlight w:val="none"/>
        </w:rPr>
      </w:pPr>
      <w:r>
        <w:rPr>
          <w:rFonts w:hint="eastAsia" w:ascii="宋体"/>
          <w:b/>
          <w:color w:val="auto"/>
          <w:sz w:val="36"/>
          <w:szCs w:val="36"/>
          <w:highlight w:val="none"/>
        </w:rPr>
        <w:t>总得分及排序表</w:t>
      </w:r>
    </w:p>
    <w:p>
      <w:pPr>
        <w:spacing w:line="360" w:lineRule="auto"/>
        <w:rPr>
          <w:rFonts w:ascii="宋体"/>
          <w:b/>
          <w:color w:val="auto"/>
          <w:szCs w:val="21"/>
          <w:highlight w:val="none"/>
        </w:rPr>
      </w:pPr>
      <w:r>
        <w:rPr>
          <w:rFonts w:hint="eastAsia" w:ascii="宋体"/>
          <w:b/>
          <w:color w:val="auto"/>
          <w:szCs w:val="21"/>
          <w:highlight w:val="none"/>
        </w:rPr>
        <w:t>工程名称：</w:t>
      </w: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35"/>
        <w:gridCol w:w="881"/>
        <w:gridCol w:w="965"/>
        <w:gridCol w:w="575"/>
        <w:gridCol w:w="714"/>
        <w:gridCol w:w="724"/>
        <w:gridCol w:w="825"/>
        <w:gridCol w:w="863"/>
        <w:gridCol w:w="649"/>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jc w:val="center"/>
              <w:rPr>
                <w:rFonts w:ascii="宋体"/>
                <w:color w:val="auto"/>
                <w:szCs w:val="21"/>
                <w:highlight w:val="none"/>
              </w:rPr>
            </w:pPr>
            <w:r>
              <w:rPr>
                <w:rFonts w:hint="eastAsia" w:ascii="宋体"/>
                <w:color w:val="auto"/>
                <w:szCs w:val="21"/>
                <w:highlight w:val="none"/>
              </w:rPr>
              <w:t>序号</w:t>
            </w:r>
          </w:p>
        </w:tc>
        <w:tc>
          <w:tcPr>
            <w:tcW w:w="1335" w:type="dxa"/>
            <w:vAlign w:val="center"/>
          </w:tcPr>
          <w:p>
            <w:pPr>
              <w:jc w:val="center"/>
              <w:rPr>
                <w:rFonts w:ascii="宋体"/>
                <w:color w:val="auto"/>
                <w:szCs w:val="21"/>
                <w:highlight w:val="none"/>
              </w:rPr>
            </w:pPr>
            <w:r>
              <w:rPr>
                <w:rFonts w:hint="eastAsia" w:ascii="宋体"/>
                <w:color w:val="auto"/>
                <w:szCs w:val="21"/>
                <w:highlight w:val="none"/>
              </w:rPr>
              <w:t>投标人名称</w:t>
            </w:r>
          </w:p>
        </w:tc>
        <w:tc>
          <w:tcPr>
            <w:tcW w:w="881" w:type="dxa"/>
            <w:vAlign w:val="center"/>
          </w:tcPr>
          <w:p>
            <w:pPr>
              <w:jc w:val="center"/>
              <w:rPr>
                <w:rFonts w:ascii="宋体"/>
                <w:color w:val="auto"/>
                <w:szCs w:val="21"/>
                <w:highlight w:val="none"/>
              </w:rPr>
            </w:pPr>
            <w:r>
              <w:rPr>
                <w:rFonts w:hint="eastAsia" w:ascii="宋体"/>
                <w:color w:val="auto"/>
                <w:szCs w:val="21"/>
                <w:highlight w:val="none"/>
              </w:rPr>
              <w:t>投标价C（元）</w:t>
            </w:r>
          </w:p>
        </w:tc>
        <w:tc>
          <w:tcPr>
            <w:tcW w:w="965" w:type="dxa"/>
          </w:tcPr>
          <w:p>
            <w:pPr>
              <w:jc w:val="center"/>
              <w:rPr>
                <w:rFonts w:ascii="宋体"/>
                <w:color w:val="auto"/>
                <w:szCs w:val="21"/>
                <w:highlight w:val="none"/>
              </w:rPr>
            </w:pPr>
            <w:r>
              <w:rPr>
                <w:rFonts w:hint="eastAsia" w:ascii="宋体"/>
                <w:color w:val="auto"/>
                <w:szCs w:val="21"/>
                <w:highlight w:val="none"/>
              </w:rPr>
              <w:t>评标基准价（元）</w:t>
            </w:r>
          </w:p>
        </w:tc>
        <w:tc>
          <w:tcPr>
            <w:tcW w:w="575" w:type="dxa"/>
            <w:vAlign w:val="center"/>
          </w:tcPr>
          <w:p>
            <w:pPr>
              <w:jc w:val="center"/>
              <w:rPr>
                <w:rFonts w:ascii="宋体"/>
                <w:color w:val="auto"/>
                <w:szCs w:val="21"/>
                <w:highlight w:val="none"/>
              </w:rPr>
            </w:pPr>
            <w:r>
              <w:rPr>
                <w:rFonts w:hint="eastAsia" w:ascii="宋体"/>
                <w:color w:val="auto"/>
                <w:szCs w:val="21"/>
                <w:highlight w:val="none"/>
              </w:rPr>
              <w:t>偏差</w:t>
            </w:r>
          </w:p>
        </w:tc>
        <w:tc>
          <w:tcPr>
            <w:tcW w:w="714" w:type="dxa"/>
          </w:tcPr>
          <w:p>
            <w:pPr>
              <w:jc w:val="center"/>
              <w:rPr>
                <w:rFonts w:ascii="宋体"/>
                <w:color w:val="auto"/>
                <w:szCs w:val="21"/>
                <w:highlight w:val="none"/>
              </w:rPr>
            </w:pPr>
            <w:r>
              <w:rPr>
                <w:rFonts w:hint="eastAsia" w:ascii="宋体"/>
                <w:color w:val="auto"/>
                <w:szCs w:val="21"/>
                <w:highlight w:val="none"/>
              </w:rPr>
              <w:t>投标报价分</w:t>
            </w:r>
          </w:p>
        </w:tc>
        <w:tc>
          <w:tcPr>
            <w:tcW w:w="724" w:type="dxa"/>
          </w:tcPr>
          <w:p>
            <w:pPr>
              <w:jc w:val="center"/>
              <w:rPr>
                <w:rFonts w:ascii="宋体"/>
                <w:color w:val="auto"/>
                <w:szCs w:val="21"/>
                <w:highlight w:val="none"/>
              </w:rPr>
            </w:pPr>
            <w:r>
              <w:rPr>
                <w:rFonts w:hint="eastAsia" w:ascii="宋体"/>
                <w:color w:val="auto"/>
                <w:szCs w:val="21"/>
                <w:highlight w:val="none"/>
              </w:rPr>
              <w:t>诚信评价分</w:t>
            </w:r>
          </w:p>
        </w:tc>
        <w:tc>
          <w:tcPr>
            <w:tcW w:w="825" w:type="dxa"/>
          </w:tcPr>
          <w:p>
            <w:pPr>
              <w:jc w:val="center"/>
              <w:rPr>
                <w:rFonts w:ascii="宋体"/>
                <w:color w:val="auto"/>
                <w:szCs w:val="21"/>
                <w:highlight w:val="none"/>
              </w:rPr>
            </w:pPr>
            <w:r>
              <w:rPr>
                <w:rFonts w:hint="eastAsia" w:ascii="宋体"/>
                <w:color w:val="auto"/>
                <w:szCs w:val="21"/>
                <w:highlight w:val="none"/>
              </w:rPr>
              <w:t>技术部分得分</w:t>
            </w:r>
          </w:p>
        </w:tc>
        <w:tc>
          <w:tcPr>
            <w:tcW w:w="863" w:type="dxa"/>
          </w:tcPr>
          <w:p>
            <w:pPr>
              <w:jc w:val="center"/>
              <w:rPr>
                <w:rFonts w:ascii="宋体"/>
                <w:color w:val="auto"/>
                <w:szCs w:val="21"/>
                <w:highlight w:val="none"/>
              </w:rPr>
            </w:pPr>
            <w:r>
              <w:rPr>
                <w:rFonts w:hint="eastAsia" w:ascii="宋体"/>
                <w:color w:val="auto"/>
                <w:szCs w:val="21"/>
                <w:highlight w:val="none"/>
              </w:rPr>
              <w:t>商务部分得分</w:t>
            </w:r>
          </w:p>
        </w:tc>
        <w:tc>
          <w:tcPr>
            <w:tcW w:w="649" w:type="dxa"/>
          </w:tcPr>
          <w:p>
            <w:pPr>
              <w:jc w:val="center"/>
              <w:rPr>
                <w:rFonts w:ascii="宋体"/>
                <w:color w:val="auto"/>
                <w:szCs w:val="21"/>
                <w:highlight w:val="none"/>
              </w:rPr>
            </w:pPr>
            <w:r>
              <w:rPr>
                <w:rFonts w:hint="eastAsia" w:ascii="宋体"/>
                <w:color w:val="auto"/>
                <w:szCs w:val="21"/>
                <w:highlight w:val="none"/>
              </w:rPr>
              <w:t>总得分</w:t>
            </w:r>
          </w:p>
        </w:tc>
        <w:tc>
          <w:tcPr>
            <w:tcW w:w="501" w:type="dxa"/>
            <w:vAlign w:val="center"/>
          </w:tcPr>
          <w:p>
            <w:pPr>
              <w:jc w:val="center"/>
              <w:rPr>
                <w:rFonts w:ascii="宋体"/>
                <w:color w:val="auto"/>
                <w:szCs w:val="21"/>
                <w:highlight w:val="none"/>
              </w:rPr>
            </w:pPr>
            <w:r>
              <w:rPr>
                <w:rFonts w:hint="eastAsia" w:ascii="宋体"/>
                <w:color w:val="auto"/>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restart"/>
          </w:tcPr>
          <w:p>
            <w:pPr>
              <w:spacing w:line="560" w:lineRule="exact"/>
              <w:rPr>
                <w:rFonts w:ascii="宋体"/>
                <w:color w:val="auto"/>
                <w:szCs w:val="21"/>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spacing w:line="560" w:lineRule="exact"/>
              <w:rPr>
                <w:rFonts w:ascii="宋体"/>
                <w:color w:val="auto"/>
                <w:szCs w:val="21"/>
                <w:highlight w:val="none"/>
              </w:rPr>
            </w:pPr>
          </w:p>
        </w:tc>
        <w:tc>
          <w:tcPr>
            <w:tcW w:w="1335" w:type="dxa"/>
          </w:tcPr>
          <w:p>
            <w:pPr>
              <w:spacing w:line="560" w:lineRule="exact"/>
              <w:rPr>
                <w:rFonts w:ascii="宋体"/>
                <w:color w:val="auto"/>
                <w:szCs w:val="21"/>
                <w:highlight w:val="none"/>
              </w:rPr>
            </w:pPr>
          </w:p>
        </w:tc>
        <w:tc>
          <w:tcPr>
            <w:tcW w:w="881" w:type="dxa"/>
          </w:tcPr>
          <w:p>
            <w:pPr>
              <w:spacing w:line="560" w:lineRule="exact"/>
              <w:rPr>
                <w:rFonts w:ascii="宋体"/>
                <w:color w:val="auto"/>
                <w:szCs w:val="21"/>
                <w:highlight w:val="none"/>
              </w:rPr>
            </w:pPr>
          </w:p>
        </w:tc>
        <w:tc>
          <w:tcPr>
            <w:tcW w:w="965" w:type="dxa"/>
            <w:vMerge w:val="continue"/>
          </w:tcPr>
          <w:p>
            <w:pPr>
              <w:rPr>
                <w:color w:val="auto"/>
                <w:highlight w:val="none"/>
              </w:rPr>
            </w:pPr>
          </w:p>
        </w:tc>
        <w:tc>
          <w:tcPr>
            <w:tcW w:w="575" w:type="dxa"/>
          </w:tcPr>
          <w:p>
            <w:pPr>
              <w:spacing w:line="560" w:lineRule="exact"/>
              <w:rPr>
                <w:rFonts w:ascii="宋体"/>
                <w:color w:val="auto"/>
                <w:szCs w:val="21"/>
                <w:highlight w:val="none"/>
              </w:rPr>
            </w:pPr>
          </w:p>
        </w:tc>
        <w:tc>
          <w:tcPr>
            <w:tcW w:w="714" w:type="dxa"/>
          </w:tcPr>
          <w:p>
            <w:pPr>
              <w:spacing w:line="560" w:lineRule="exact"/>
              <w:rPr>
                <w:rFonts w:ascii="宋体"/>
                <w:color w:val="auto"/>
                <w:szCs w:val="21"/>
                <w:highlight w:val="none"/>
              </w:rPr>
            </w:pPr>
          </w:p>
        </w:tc>
        <w:tc>
          <w:tcPr>
            <w:tcW w:w="724" w:type="dxa"/>
          </w:tcPr>
          <w:p>
            <w:pPr>
              <w:spacing w:line="560" w:lineRule="exact"/>
              <w:rPr>
                <w:rFonts w:ascii="宋体"/>
                <w:color w:val="auto"/>
                <w:szCs w:val="21"/>
                <w:highlight w:val="none"/>
              </w:rPr>
            </w:pPr>
          </w:p>
        </w:tc>
        <w:tc>
          <w:tcPr>
            <w:tcW w:w="825" w:type="dxa"/>
          </w:tcPr>
          <w:p>
            <w:pPr>
              <w:spacing w:line="560" w:lineRule="exact"/>
              <w:rPr>
                <w:rFonts w:ascii="宋体"/>
                <w:color w:val="auto"/>
                <w:szCs w:val="21"/>
                <w:highlight w:val="none"/>
              </w:rPr>
            </w:pPr>
          </w:p>
        </w:tc>
        <w:tc>
          <w:tcPr>
            <w:tcW w:w="863" w:type="dxa"/>
          </w:tcPr>
          <w:p>
            <w:pPr>
              <w:spacing w:line="560" w:lineRule="exact"/>
              <w:rPr>
                <w:rFonts w:ascii="宋体"/>
                <w:color w:val="auto"/>
                <w:szCs w:val="21"/>
                <w:highlight w:val="none"/>
              </w:rPr>
            </w:pPr>
          </w:p>
        </w:tc>
        <w:tc>
          <w:tcPr>
            <w:tcW w:w="649" w:type="dxa"/>
          </w:tcPr>
          <w:p>
            <w:pPr>
              <w:spacing w:line="560" w:lineRule="exact"/>
              <w:rPr>
                <w:rFonts w:ascii="宋体"/>
                <w:color w:val="auto"/>
                <w:szCs w:val="21"/>
                <w:highlight w:val="none"/>
              </w:rPr>
            </w:pPr>
          </w:p>
        </w:tc>
        <w:tc>
          <w:tcPr>
            <w:tcW w:w="501" w:type="dxa"/>
          </w:tcPr>
          <w:p>
            <w:pPr>
              <w:spacing w:line="560" w:lineRule="exact"/>
              <w:rPr>
                <w:rFonts w:ascii="宋体"/>
                <w:color w:val="auto"/>
                <w:szCs w:val="21"/>
                <w:highlight w:val="none"/>
              </w:rPr>
            </w:pPr>
          </w:p>
        </w:tc>
      </w:tr>
    </w:tbl>
    <w:p>
      <w:pPr>
        <w:rPr>
          <w:rFonts w:ascii="宋体"/>
          <w:color w:val="auto"/>
          <w:szCs w:val="21"/>
          <w:highlight w:val="none"/>
        </w:rPr>
      </w:pPr>
      <w:r>
        <w:rPr>
          <w:rFonts w:hint="eastAsia" w:ascii="宋体"/>
          <w:color w:val="auto"/>
          <w:szCs w:val="21"/>
          <w:highlight w:val="none"/>
        </w:rPr>
        <w:t xml:space="preserve">评标委员会全体评委签名：                              </w:t>
      </w:r>
      <w:r>
        <w:rPr>
          <w:rFonts w:hint="eastAsia" w:ascii="宋体"/>
          <w:color w:val="auto"/>
          <w:kern w:val="0"/>
          <w:highlight w:val="none"/>
        </w:rPr>
        <w:t>日期：   年   月  日</w:t>
      </w:r>
    </w:p>
    <w:p>
      <w:pPr>
        <w:rPr>
          <w:rFonts w:ascii="宋体"/>
          <w:color w:val="auto"/>
          <w:highlight w:val="none"/>
        </w:rPr>
      </w:pPr>
    </w:p>
    <w:p>
      <w:pPr>
        <w:rPr>
          <w:rFonts w:ascii="宋体"/>
          <w:color w:val="auto"/>
          <w:sz w:val="32"/>
          <w:szCs w:val="27"/>
          <w:highlight w:val="none"/>
        </w:rPr>
      </w:pPr>
    </w:p>
    <w:p>
      <w:pPr>
        <w:pageBreakBefore/>
        <w:spacing w:line="360" w:lineRule="auto"/>
        <w:jc w:val="center"/>
        <w:outlineLvl w:val="1"/>
        <w:rPr>
          <w:rFonts w:ascii="宋体"/>
          <w:color w:val="auto"/>
          <w:sz w:val="32"/>
          <w:szCs w:val="27"/>
          <w:highlight w:val="none"/>
        </w:rPr>
        <w:sectPr>
          <w:pgSz w:w="11906" w:h="16838"/>
          <w:pgMar w:top="1440" w:right="1797" w:bottom="1440" w:left="1797" w:header="851" w:footer="992" w:gutter="0"/>
          <w:cols w:space="720" w:num="1"/>
          <w:docGrid w:linePitch="312" w:charSpace="0"/>
        </w:sectPr>
      </w:pPr>
    </w:p>
    <w:p>
      <w:pPr>
        <w:snapToGrid w:val="0"/>
        <w:spacing w:line="360" w:lineRule="auto"/>
        <w:jc w:val="center"/>
        <w:outlineLvl w:val="0"/>
        <w:rPr>
          <w:rFonts w:ascii="宋体"/>
          <w:color w:val="auto"/>
          <w:sz w:val="32"/>
          <w:szCs w:val="27"/>
          <w:highlight w:val="none"/>
        </w:rPr>
      </w:pPr>
      <w:bookmarkStart w:id="248" w:name="_Toc75788608"/>
      <w:bookmarkStart w:id="249" w:name="_Toc17451592"/>
      <w:bookmarkStart w:id="250" w:name="_Toc17454936"/>
      <w:bookmarkStart w:id="251" w:name="_Toc17454885"/>
      <w:bookmarkStart w:id="252" w:name="_Toc17452678"/>
      <w:bookmarkStart w:id="253" w:name="_Toc17451115"/>
      <w:bookmarkStart w:id="254" w:name="_Toc23254"/>
      <w:bookmarkStart w:id="255" w:name="_Toc17556890"/>
      <w:bookmarkStart w:id="256" w:name="_Toc28891"/>
      <w:bookmarkStart w:id="257" w:name="_Toc17451637"/>
      <w:r>
        <w:rPr>
          <w:rFonts w:hint="eastAsia" w:ascii="宋体"/>
          <w:color w:val="auto"/>
          <w:sz w:val="32"/>
          <w:szCs w:val="27"/>
          <w:highlight w:val="none"/>
        </w:rPr>
        <w:t>第四章 合同条款</w:t>
      </w:r>
      <w:bookmarkEnd w:id="247"/>
      <w:bookmarkEnd w:id="248"/>
      <w:bookmarkEnd w:id="249"/>
      <w:bookmarkEnd w:id="250"/>
      <w:bookmarkEnd w:id="251"/>
      <w:bookmarkEnd w:id="252"/>
      <w:bookmarkEnd w:id="253"/>
      <w:bookmarkEnd w:id="254"/>
      <w:bookmarkEnd w:id="255"/>
      <w:bookmarkEnd w:id="256"/>
      <w:bookmarkEnd w:id="257"/>
    </w:p>
    <w:p>
      <w:pPr>
        <w:pageBreakBefore w:val="0"/>
        <w:widowControl/>
        <w:kinsoku/>
        <w:overflowPunct/>
        <w:topLinePunct w:val="0"/>
        <w:bidi w:val="0"/>
        <w:spacing w:line="240" w:lineRule="auto"/>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SF-2019-0204</w:t>
      </w:r>
    </w:p>
    <w:p>
      <w:pPr>
        <w:pStyle w:val="6"/>
        <w:pageBreakBefore w:val="0"/>
        <w:kinsoku/>
        <w:overflowPunct/>
        <w:topLinePunct w:val="0"/>
        <w:bidi w:val="0"/>
        <w:spacing w:line="240" w:lineRule="auto"/>
        <w:ind w:firstLine="5550" w:firstLineChars="1850"/>
        <w:textAlignment w:val="auto"/>
        <w:rPr>
          <w:rFonts w:hint="eastAsia" w:ascii="宋体" w:hAnsi="宋体" w:eastAsia="宋体" w:cs="宋体"/>
          <w:color w:val="auto"/>
          <w:sz w:val="32"/>
          <w:szCs w:val="32"/>
          <w:highlight w:val="none"/>
          <w:u w:val="single"/>
        </w:rPr>
      </w:pPr>
      <w:r>
        <w:rPr>
          <w:rFonts w:hint="eastAsia" w:ascii="宋体" w:hAnsi="宋体" w:eastAsia="宋体" w:cs="宋体"/>
          <w:color w:val="auto"/>
          <w:sz w:val="30"/>
          <w:szCs w:val="30"/>
          <w:highlight w:val="none"/>
        </w:rPr>
        <w:tab/>
      </w:r>
      <w:r>
        <w:rPr>
          <w:rFonts w:hint="eastAsia" w:ascii="宋体" w:hAnsi="宋体" w:eastAsia="宋体" w:cs="宋体"/>
          <w:color w:val="auto"/>
          <w:sz w:val="32"/>
          <w:szCs w:val="32"/>
          <w:highlight w:val="none"/>
        </w:rPr>
        <w:t>项目编码：</w:t>
      </w:r>
      <w:r>
        <w:rPr>
          <w:rFonts w:hint="eastAsia" w:ascii="宋体" w:hAnsi="宋体" w:eastAsia="宋体" w:cs="宋体"/>
          <w:color w:val="auto"/>
          <w:sz w:val="32"/>
          <w:szCs w:val="32"/>
          <w:highlight w:val="none"/>
          <w:u w:val="single"/>
        </w:rPr>
        <w:t xml:space="preserve">             </w:t>
      </w:r>
    </w:p>
    <w:p>
      <w:pPr>
        <w:pStyle w:val="6"/>
        <w:pageBreakBefore w:val="0"/>
        <w:kinsoku/>
        <w:overflowPunct/>
        <w:topLinePunct w:val="0"/>
        <w:bidi w:val="0"/>
        <w:spacing w:line="240" w:lineRule="auto"/>
        <w:ind w:firstLine="5920" w:firstLineChars="185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工程编码：</w:t>
      </w:r>
      <w:r>
        <w:rPr>
          <w:rFonts w:hint="eastAsia" w:ascii="宋体" w:hAnsi="宋体" w:eastAsia="宋体" w:cs="宋体"/>
          <w:color w:val="auto"/>
          <w:sz w:val="32"/>
          <w:szCs w:val="32"/>
          <w:highlight w:val="none"/>
          <w:u w:val="single"/>
        </w:rPr>
        <w:t xml:space="preserve">             </w:t>
      </w:r>
    </w:p>
    <w:p>
      <w:pPr>
        <w:pStyle w:val="6"/>
        <w:pageBreakBefore w:val="0"/>
        <w:kinsoku/>
        <w:overflowPunct/>
        <w:topLinePunct w:val="0"/>
        <w:bidi w:val="0"/>
        <w:spacing w:line="240" w:lineRule="auto"/>
        <w:ind w:firstLine="5920" w:firstLineChars="185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pageBreakBefore w:val="0"/>
        <w:tabs>
          <w:tab w:val="left" w:pos="3900"/>
          <w:tab w:val="right" w:pos="10245"/>
        </w:tabs>
        <w:kinsoku/>
        <w:wordWrap w:val="0"/>
        <w:overflowPunct/>
        <w:topLinePunct w:val="0"/>
        <w:bidi w:val="0"/>
        <w:spacing w:line="240" w:lineRule="auto"/>
        <w:jc w:val="left"/>
        <w:textAlignment w:val="auto"/>
        <w:rPr>
          <w:rFonts w:hint="eastAsia" w:ascii="宋体" w:hAnsi="宋体" w:eastAsia="宋体" w:cs="宋体"/>
          <w:color w:val="auto"/>
          <w:sz w:val="32"/>
          <w:szCs w:val="32"/>
          <w:highlight w:val="none"/>
          <w:u w:val="single"/>
        </w:rPr>
      </w:pPr>
    </w:p>
    <w:p>
      <w:pPr>
        <w:pageBreakBefore w:val="0"/>
        <w:kinsoku/>
        <w:overflowPunct/>
        <w:topLinePunct w:val="0"/>
        <w:bidi w:val="0"/>
        <w:spacing w:line="240" w:lineRule="auto"/>
        <w:jc w:val="right"/>
        <w:textAlignment w:val="auto"/>
        <w:rPr>
          <w:rFonts w:hint="eastAsia" w:ascii="宋体" w:hAnsi="宋体" w:eastAsia="宋体" w:cs="宋体"/>
          <w:color w:val="auto"/>
          <w:sz w:val="32"/>
          <w:szCs w:val="32"/>
          <w:highlight w:val="none"/>
          <w:u w:val="single"/>
        </w:rPr>
      </w:pPr>
    </w:p>
    <w:p>
      <w:pPr>
        <w:pageBreakBefore w:val="0"/>
        <w:kinsoku/>
        <w:overflowPunct/>
        <w:topLinePunct w:val="0"/>
        <w:bidi w:val="0"/>
        <w:spacing w:line="240" w:lineRule="auto"/>
        <w:jc w:val="center"/>
        <w:textAlignment w:val="auto"/>
        <w:rPr>
          <w:rFonts w:hint="eastAsia" w:ascii="宋体" w:hAnsi="宋体" w:eastAsia="宋体" w:cs="宋体"/>
          <w:b/>
          <w:bCs/>
          <w:color w:val="auto"/>
          <w:spacing w:val="-40"/>
          <w:kern w:val="0"/>
          <w:sz w:val="52"/>
          <w:szCs w:val="52"/>
          <w:highlight w:val="none"/>
        </w:rPr>
      </w:pPr>
      <w:r>
        <w:rPr>
          <w:rFonts w:hint="eastAsia" w:ascii="宋体" w:hAnsi="宋体" w:eastAsia="宋体" w:cs="宋体"/>
          <w:b/>
          <w:bCs/>
          <w:color w:val="auto"/>
          <w:spacing w:val="-40"/>
          <w:kern w:val="0"/>
          <w:sz w:val="52"/>
          <w:szCs w:val="52"/>
          <w:highlight w:val="none"/>
        </w:rPr>
        <w:t>广 州 市 建 设 工 程 施 工 合 同</w:t>
      </w:r>
    </w:p>
    <w:p>
      <w:pPr>
        <w:pageBreakBefore w:val="0"/>
        <w:tabs>
          <w:tab w:val="left" w:pos="1380"/>
        </w:tabs>
        <w:kinsoku/>
        <w:overflowPunct/>
        <w:topLinePunct w:val="0"/>
        <w:bidi w:val="0"/>
        <w:spacing w:line="240" w:lineRule="auto"/>
        <w:textAlignment w:val="auto"/>
        <w:rPr>
          <w:rFonts w:hint="eastAsia" w:ascii="宋体" w:hAnsi="宋体" w:eastAsia="宋体" w:cs="宋体"/>
          <w:color w:val="auto"/>
          <w:sz w:val="32"/>
          <w:szCs w:val="32"/>
          <w:highlight w:val="none"/>
        </w:rPr>
      </w:pPr>
    </w:p>
    <w:p>
      <w:pPr>
        <w:pageBreakBefore w:val="0"/>
        <w:tabs>
          <w:tab w:val="left" w:pos="1380"/>
        </w:tabs>
        <w:kinsoku/>
        <w:overflowPunct/>
        <w:topLinePunct w:val="0"/>
        <w:bidi w:val="0"/>
        <w:spacing w:line="24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b/>
      </w:r>
    </w:p>
    <w:p>
      <w:pPr>
        <w:pageBreakBefore w:val="0"/>
        <w:kinsoku/>
        <w:overflowPunct/>
        <w:topLinePunct w:val="0"/>
        <w:bidi w:val="0"/>
        <w:spacing w:line="240" w:lineRule="auto"/>
        <w:ind w:firstLine="1699" w:firstLineChars="531"/>
        <w:textAlignment w:val="auto"/>
        <w:rPr>
          <w:rFonts w:hint="eastAsia" w:ascii="宋体" w:hAnsi="宋体" w:eastAsia="宋体" w:cs="宋体"/>
          <w:color w:val="auto"/>
          <w:sz w:val="32"/>
          <w:szCs w:val="32"/>
          <w:highlight w:val="none"/>
          <w:u w:val="single"/>
        </w:rPr>
      </w:pPr>
    </w:p>
    <w:p>
      <w:pPr>
        <w:pageBreakBefore w:val="0"/>
        <w:kinsoku/>
        <w:overflowPunct/>
        <w:topLinePunct w:val="0"/>
        <w:bidi w:val="0"/>
        <w:spacing w:line="240" w:lineRule="auto"/>
        <w:ind w:firstLine="1699" w:firstLineChars="531"/>
        <w:textAlignment w:val="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工程名称：</w:t>
      </w:r>
      <w:r>
        <w:rPr>
          <w:rFonts w:hint="eastAsia" w:ascii="宋体" w:hAnsi="宋体" w:eastAsia="宋体" w:cs="宋体"/>
          <w:color w:val="auto"/>
          <w:sz w:val="32"/>
          <w:szCs w:val="32"/>
          <w:highlight w:val="none"/>
          <w:u w:val="single"/>
        </w:rPr>
        <w:t xml:space="preserve">                                   </w:t>
      </w:r>
    </w:p>
    <w:p>
      <w:pPr>
        <w:pageBreakBefore w:val="0"/>
        <w:kinsoku/>
        <w:overflowPunct/>
        <w:topLinePunct w:val="0"/>
        <w:bidi w:val="0"/>
        <w:spacing w:before="240" w:beforeLines="100" w:after="120" w:afterLines="50" w:line="240" w:lineRule="auto"/>
        <w:ind w:left="708" w:leftChars="337" w:firstLine="992" w:firstLineChars="310"/>
        <w:textAlignment w:val="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工程地点：</w:t>
      </w:r>
      <w:r>
        <w:rPr>
          <w:rFonts w:hint="eastAsia" w:ascii="宋体" w:hAnsi="宋体" w:eastAsia="宋体" w:cs="宋体"/>
          <w:color w:val="auto"/>
          <w:sz w:val="32"/>
          <w:szCs w:val="32"/>
          <w:highlight w:val="none"/>
          <w:u w:val="single"/>
        </w:rPr>
        <w:t xml:space="preserve">                                   </w:t>
      </w:r>
    </w:p>
    <w:p>
      <w:pPr>
        <w:pageBreakBefore w:val="0"/>
        <w:kinsoku/>
        <w:overflowPunct/>
        <w:topLinePunct w:val="0"/>
        <w:bidi w:val="0"/>
        <w:spacing w:before="240" w:beforeLines="100" w:after="120" w:afterLines="50" w:line="240" w:lineRule="auto"/>
        <w:ind w:left="708" w:leftChars="337" w:firstLine="992" w:firstLineChars="31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发 包 人：</w:t>
      </w:r>
      <w:r>
        <w:rPr>
          <w:rFonts w:hint="eastAsia" w:ascii="宋体" w:hAnsi="宋体" w:eastAsia="宋体" w:cs="宋体"/>
          <w:color w:val="auto"/>
          <w:sz w:val="32"/>
          <w:szCs w:val="32"/>
          <w:highlight w:val="none"/>
          <w:u w:val="single"/>
        </w:rPr>
        <w:t xml:space="preserve">                                   </w:t>
      </w:r>
    </w:p>
    <w:p>
      <w:pPr>
        <w:pageBreakBefore w:val="0"/>
        <w:kinsoku/>
        <w:overflowPunct/>
        <w:topLinePunct w:val="0"/>
        <w:bidi w:val="0"/>
        <w:spacing w:before="240" w:beforeLines="100" w:after="120" w:afterLines="50" w:line="240" w:lineRule="auto"/>
        <w:ind w:left="708" w:leftChars="337" w:firstLine="992" w:firstLineChars="310"/>
        <w:textAlignment w:val="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承 包 人：</w:t>
      </w:r>
      <w:r>
        <w:rPr>
          <w:rFonts w:hint="eastAsia" w:ascii="宋体" w:hAnsi="宋体" w:eastAsia="宋体" w:cs="宋体"/>
          <w:color w:val="auto"/>
          <w:sz w:val="32"/>
          <w:szCs w:val="32"/>
          <w:highlight w:val="none"/>
          <w:u w:val="single"/>
        </w:rPr>
        <w:t xml:space="preserve">                                   </w:t>
      </w:r>
    </w:p>
    <w:p>
      <w:pPr>
        <w:pageBreakBefore w:val="0"/>
        <w:kinsoku/>
        <w:overflowPunct/>
        <w:topLinePunct w:val="0"/>
        <w:bidi w:val="0"/>
        <w:spacing w:line="240" w:lineRule="auto"/>
        <w:ind w:left="708" w:leftChars="337" w:firstLine="900" w:firstLineChars="300"/>
        <w:textAlignment w:val="auto"/>
        <w:rPr>
          <w:rFonts w:hint="eastAsia" w:ascii="宋体" w:hAnsi="宋体" w:eastAsia="宋体" w:cs="宋体"/>
          <w:color w:val="auto"/>
          <w:sz w:val="30"/>
          <w:szCs w:val="30"/>
          <w:highlight w:val="none"/>
          <w:u w:val="single"/>
        </w:rPr>
      </w:pPr>
    </w:p>
    <w:p>
      <w:pPr>
        <w:pageBreakBefore w:val="0"/>
        <w:kinsoku/>
        <w:overflowPunct/>
        <w:topLinePunct w:val="0"/>
        <w:bidi w:val="0"/>
        <w:spacing w:line="240" w:lineRule="auto"/>
        <w:ind w:firstLine="900" w:firstLineChars="300"/>
        <w:textAlignment w:val="auto"/>
        <w:rPr>
          <w:rFonts w:hint="eastAsia" w:ascii="宋体" w:hAnsi="宋体" w:eastAsia="宋体" w:cs="宋体"/>
          <w:color w:val="auto"/>
          <w:sz w:val="30"/>
          <w:szCs w:val="30"/>
          <w:highlight w:val="none"/>
          <w:u w:val="single"/>
        </w:rPr>
      </w:pPr>
    </w:p>
    <w:p>
      <w:pPr>
        <w:pageBreakBefore w:val="0"/>
        <w:kinsoku/>
        <w:overflowPunct/>
        <w:topLinePunct w:val="0"/>
        <w:bidi w:val="0"/>
        <w:spacing w:line="240" w:lineRule="auto"/>
        <w:jc w:val="center"/>
        <w:textAlignment w:val="auto"/>
        <w:rPr>
          <w:rFonts w:hint="eastAsia" w:ascii="宋体" w:hAnsi="宋体" w:eastAsia="宋体" w:cs="宋体"/>
          <w:b/>
          <w:bCs/>
          <w:color w:val="auto"/>
          <w:spacing w:val="50"/>
          <w:sz w:val="32"/>
          <w:szCs w:val="32"/>
          <w:highlight w:val="none"/>
        </w:rPr>
      </w:pPr>
      <w:r>
        <w:rPr>
          <w:rFonts w:hint="eastAsia" w:ascii="宋体" w:hAnsi="宋体" w:eastAsia="宋体" w:cs="宋体"/>
          <w:b/>
          <w:bCs/>
          <w:color w:val="auto"/>
          <w:spacing w:val="50"/>
          <w:sz w:val="32"/>
          <w:szCs w:val="32"/>
          <w:highlight w:val="none"/>
        </w:rPr>
        <w:t>广州市住房和城乡建设局</w:t>
      </w:r>
    </w:p>
    <w:p>
      <w:pPr>
        <w:pageBreakBefore w:val="0"/>
        <w:kinsoku/>
        <w:overflowPunct/>
        <w:topLinePunct w:val="0"/>
        <w:bidi w:val="0"/>
        <w:spacing w:line="240" w:lineRule="auto"/>
        <w:jc w:val="center"/>
        <w:textAlignment w:val="auto"/>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 xml:space="preserve">                            制定</w:t>
      </w:r>
    </w:p>
    <w:p>
      <w:pPr>
        <w:pageBreakBefore w:val="0"/>
        <w:kinsoku/>
        <w:overflowPunct/>
        <w:topLinePunct w:val="0"/>
        <w:bidi w:val="0"/>
        <w:spacing w:line="240" w:lineRule="auto"/>
        <w:ind w:firstLine="2836" w:firstLineChars="607"/>
        <w:textAlignment w:val="auto"/>
        <w:rPr>
          <w:rFonts w:hint="eastAsia" w:ascii="宋体" w:hAnsi="宋体" w:eastAsia="宋体" w:cs="宋体"/>
          <w:b/>
          <w:bCs/>
          <w:color w:val="auto"/>
          <w:spacing w:val="73"/>
          <w:sz w:val="32"/>
          <w:szCs w:val="32"/>
          <w:highlight w:val="none"/>
        </w:rPr>
      </w:pPr>
      <w:r>
        <w:rPr>
          <w:rFonts w:hint="eastAsia" w:ascii="宋体" w:hAnsi="宋体" w:eastAsia="宋体" w:cs="宋体"/>
          <w:b/>
          <w:bCs/>
          <w:color w:val="auto"/>
          <w:spacing w:val="73"/>
          <w:sz w:val="32"/>
          <w:szCs w:val="32"/>
          <w:highlight w:val="none"/>
        </w:rPr>
        <w:t>广州市市场监督管理局</w:t>
      </w:r>
    </w:p>
    <w:p>
      <w:pPr>
        <w:pageBreakBefore w:val="0"/>
        <w:kinsoku/>
        <w:overflowPunct/>
        <w:topLinePunct w:val="0"/>
        <w:bidi w:val="0"/>
        <w:spacing w:line="240" w:lineRule="auto"/>
        <w:jc w:val="center"/>
        <w:textAlignment w:val="auto"/>
        <w:rPr>
          <w:rFonts w:hint="eastAsia" w:ascii="宋体" w:hAnsi="宋体" w:eastAsia="宋体" w:cs="宋体"/>
          <w:b/>
          <w:bCs/>
          <w:color w:val="auto"/>
          <w:spacing w:val="20"/>
          <w:sz w:val="32"/>
          <w:szCs w:val="32"/>
          <w:highlight w:val="none"/>
        </w:rPr>
      </w:pPr>
    </w:p>
    <w:p>
      <w:pPr>
        <w:pageBreakBefore w:val="0"/>
        <w:kinsoku/>
        <w:overflowPunct/>
        <w:topLinePunct w:val="0"/>
        <w:bidi w:val="0"/>
        <w:spacing w:line="240" w:lineRule="auto"/>
        <w:jc w:val="center"/>
        <w:textAlignment w:val="auto"/>
        <w:rPr>
          <w:rFonts w:hint="eastAsia" w:ascii="宋体" w:hAnsi="宋体" w:eastAsia="宋体" w:cs="宋体"/>
          <w:color w:val="auto"/>
          <w:sz w:val="32"/>
          <w:szCs w:val="32"/>
          <w:highlight w:val="none"/>
          <w:u w:val="single"/>
        </w:rPr>
      </w:pPr>
    </w:p>
    <w:p>
      <w:pPr>
        <w:pageBreakBefore w:val="0"/>
        <w:widowControl/>
        <w:kinsoku/>
        <w:overflowPunct/>
        <w:topLinePunct w:val="0"/>
        <w:bidi w:val="0"/>
        <w:spacing w:line="240" w:lineRule="auto"/>
        <w:jc w:val="left"/>
        <w:textAlignment w:val="auto"/>
        <w:rPr>
          <w:rFonts w:hint="eastAsia" w:ascii="宋体" w:hAnsi="宋体" w:eastAsia="宋体" w:cs="宋体"/>
          <w:b/>
          <w:bCs/>
          <w:color w:val="auto"/>
          <w:spacing w:val="80"/>
          <w:kern w:val="0"/>
          <w:sz w:val="36"/>
          <w:szCs w:val="36"/>
          <w:highlight w:val="none"/>
        </w:rPr>
        <w:sectPr>
          <w:footerReference r:id="rId4" w:type="default"/>
          <w:endnotePr>
            <w:numFmt w:val="decimal"/>
          </w:endnotePr>
          <w:pgSz w:w="11906" w:h="16838"/>
          <w:pgMar w:top="851" w:right="924" w:bottom="851" w:left="737" w:header="0" w:footer="0" w:gutter="0"/>
          <w:pgNumType w:start="1"/>
          <w:cols w:space="720" w:num="1"/>
        </w:sectPr>
      </w:pPr>
    </w:p>
    <w:p>
      <w:pPr>
        <w:pageBreakBefore w:val="0"/>
        <w:kinsoku/>
        <w:overflowPunct/>
        <w:topLinePunct w:val="0"/>
        <w:bidi w:val="0"/>
        <w:spacing w:line="240" w:lineRule="auto"/>
        <w:jc w:val="center"/>
        <w:textAlignment w:val="auto"/>
        <w:outlineLvl w:val="0"/>
        <w:rPr>
          <w:rFonts w:hint="eastAsia" w:ascii="宋体" w:hAnsi="宋体" w:eastAsia="宋体" w:cs="宋体"/>
          <w:b/>
          <w:bCs/>
          <w:color w:val="auto"/>
          <w:sz w:val="36"/>
          <w:szCs w:val="36"/>
          <w:highlight w:val="none"/>
        </w:rPr>
      </w:pPr>
      <w:bookmarkStart w:id="258" w:name="_Toc469383967"/>
      <w:bookmarkStart w:id="259" w:name="_Toc10624807"/>
      <w:r>
        <w:rPr>
          <w:rFonts w:hint="eastAsia" w:ascii="宋体" w:hAnsi="宋体" w:eastAsia="宋体" w:cs="宋体"/>
          <w:b/>
          <w:bCs/>
          <w:color w:val="auto"/>
          <w:sz w:val="36"/>
          <w:szCs w:val="36"/>
          <w:highlight w:val="none"/>
        </w:rPr>
        <w:t>第一部分  协  议  书</w:t>
      </w:r>
      <w:bookmarkEnd w:id="258"/>
      <w:bookmarkEnd w:id="259"/>
    </w:p>
    <w:p>
      <w:pPr>
        <w:pageBreakBefore w:val="0"/>
        <w:kinsoku/>
        <w:overflowPunct/>
        <w:topLinePunct w:val="0"/>
        <w:bidi w:val="0"/>
        <w:spacing w:line="240" w:lineRule="auto"/>
        <w:jc w:val="center"/>
        <w:textAlignment w:val="auto"/>
        <w:rPr>
          <w:rFonts w:hint="eastAsia" w:ascii="宋体" w:hAnsi="宋体" w:eastAsia="宋体" w:cs="宋体"/>
          <w:color w:val="auto"/>
          <w:sz w:val="36"/>
          <w:szCs w:val="36"/>
          <w:highlight w:val="none"/>
        </w:rPr>
      </w:pP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》、《中华人民共和国建筑法》及其他有关法律法规，遵循平等、自愿、公平和诚实信用的原则，双方就合同工程施工有关事项达成一致意见，订立本合同。</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60" w:name="_Toc266892752"/>
      <w:bookmarkStart w:id="261" w:name="_Toc10624808"/>
      <w:bookmarkStart w:id="262" w:name="_Toc469383968"/>
      <w:r>
        <w:rPr>
          <w:rFonts w:hint="eastAsia" w:ascii="宋体" w:hAnsi="宋体" w:eastAsia="宋体" w:cs="宋体"/>
          <w:b/>
          <w:bCs/>
          <w:color w:val="auto"/>
          <w:sz w:val="24"/>
          <w:szCs w:val="24"/>
          <w:highlight w:val="none"/>
        </w:rPr>
        <w:t>一、工程概况</w:t>
      </w:r>
      <w:bookmarkEnd w:id="260"/>
      <w:bookmarkEnd w:id="261"/>
      <w:bookmarkEnd w:id="262"/>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立项批文编号或广东省企业基本建设投资项目备案证备案项目编号：</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ind w:firstLine="46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合同类型：□总承包施工合同   □专业分包施工合同   □其它：</w:t>
      </w:r>
    </w:p>
    <w:p>
      <w:pPr>
        <w:pageBreakBefore w:val="0"/>
        <w:kinsoku/>
        <w:overflowPunct/>
        <w:topLinePunct w:val="0"/>
        <w:bidi w:val="0"/>
        <w:spacing w:line="360" w:lineRule="auto"/>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工程规模：</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结构形式：</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资金来源：</w:t>
      </w:r>
      <w:r>
        <w:rPr>
          <w:rFonts w:hint="eastAsia" w:ascii="宋体" w:hAnsi="宋体" w:eastAsia="宋体" w:cs="宋体"/>
          <w:color w:val="auto"/>
          <w:sz w:val="24"/>
          <w:szCs w:val="24"/>
          <w:highlight w:val="none"/>
          <w:u w:val="single"/>
        </w:rPr>
        <w:t xml:space="preserve">                                                             </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u w:val="single"/>
        </w:rPr>
      </w:pPr>
    </w:p>
    <w:p>
      <w:pPr>
        <w:pageBreakBefore w:val="0"/>
        <w:kinsoku/>
        <w:overflowPunct/>
        <w:topLinePunct w:val="0"/>
        <w:bidi w:val="0"/>
        <w:spacing w:line="360" w:lineRule="auto"/>
        <w:textAlignment w:val="auto"/>
        <w:outlineLvl w:val="1"/>
        <w:rPr>
          <w:rFonts w:hint="eastAsia" w:ascii="宋体" w:hAnsi="宋体" w:eastAsia="宋体" w:cs="宋体"/>
          <w:color w:val="auto"/>
          <w:sz w:val="24"/>
          <w:szCs w:val="24"/>
          <w:highlight w:val="none"/>
        </w:rPr>
      </w:pPr>
      <w:bookmarkStart w:id="263" w:name="_Toc469383969"/>
      <w:bookmarkStart w:id="264" w:name="_Toc266892753"/>
      <w:bookmarkStart w:id="265" w:name="_Toc10624809"/>
      <w:r>
        <w:rPr>
          <w:rFonts w:hint="eastAsia" w:ascii="宋体" w:hAnsi="宋体" w:eastAsia="宋体" w:cs="宋体"/>
          <w:b/>
          <w:bCs/>
          <w:color w:val="auto"/>
          <w:sz w:val="24"/>
          <w:szCs w:val="24"/>
          <w:highlight w:val="none"/>
        </w:rPr>
        <w:t>二、工程内容与承包范围</w:t>
      </w:r>
      <w:bookmarkEnd w:id="263"/>
      <w:bookmarkEnd w:id="264"/>
      <w:bookmarkEnd w:id="265"/>
    </w:p>
    <w:p>
      <w:pPr>
        <w:pageBreakBefore w:val="0"/>
        <w:kinsoku/>
        <w:overflowPunct/>
        <w:topLinePunct w:val="0"/>
        <w:bidi w:val="0"/>
        <w:spacing w:line="360" w:lineRule="auto"/>
        <w:ind w:firstLine="523" w:firstLineChars="21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具体内容以施工图纸及工程量清单为准。发包人有权根据工程实施情况，对承包人的承包范围和承包工程量进行适当调整。</w:t>
      </w:r>
    </w:p>
    <w:p>
      <w:pPr>
        <w:pageBreakBefore w:val="0"/>
        <w:kinsoku/>
        <w:overflowPunct/>
        <w:topLinePunct w:val="0"/>
        <w:bidi w:val="0"/>
        <w:spacing w:line="360" w:lineRule="auto"/>
        <w:ind w:firstLine="523" w:firstLineChars="21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按发包人确认的施工图纸、图纸会审纪录和有关变更文件、资料、招标文件、承包人投标文件以及双方签订的有关协议所包含的内容。</w:t>
      </w:r>
    </w:p>
    <w:p>
      <w:pPr>
        <w:pageBreakBefore w:val="0"/>
        <w:kinsoku/>
        <w:overflowPunct/>
        <w:topLinePunct w:val="0"/>
        <w:bidi w:val="0"/>
        <w:spacing w:line="360" w:lineRule="auto"/>
        <w:ind w:firstLine="523" w:firstLineChars="21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（三）承包方式：</w:t>
      </w:r>
      <w:r>
        <w:rPr>
          <w:rFonts w:hint="eastAsia" w:ascii="宋体" w:hAnsi="宋体" w:eastAsia="宋体" w:cs="宋体"/>
          <w:color w:val="auto"/>
          <w:sz w:val="24"/>
          <w:szCs w:val="24"/>
          <w:highlight w:val="none"/>
          <w:u w:val="single"/>
        </w:rPr>
        <w:t>包工、包料、包工期、包质量、包安全、包施工措施、包文明施工、包验收移交。综合单价包干</w:t>
      </w:r>
      <w:r>
        <w:rPr>
          <w:rFonts w:hint="eastAsia" w:ascii="宋体" w:hAnsi="宋体" w:eastAsia="宋体" w:cs="宋体"/>
          <w:color w:val="auto"/>
          <w:sz w:val="24"/>
          <w:szCs w:val="24"/>
          <w:highlight w:val="none"/>
          <w:u w:val="single"/>
          <w:lang w:eastAsia="zh-CN"/>
        </w:rPr>
        <w:t>。</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p>
    <w:p>
      <w:pPr>
        <w:pageBreakBefore w:val="0"/>
        <w:kinsoku/>
        <w:overflowPunct/>
        <w:topLinePunct w:val="0"/>
        <w:bidi w:val="0"/>
        <w:spacing w:line="360" w:lineRule="auto"/>
        <w:textAlignment w:val="auto"/>
        <w:outlineLvl w:val="1"/>
        <w:rPr>
          <w:rFonts w:hint="eastAsia" w:ascii="宋体" w:hAnsi="宋体" w:eastAsia="宋体" w:cs="宋体"/>
          <w:color w:val="auto"/>
          <w:sz w:val="24"/>
          <w:szCs w:val="24"/>
          <w:highlight w:val="none"/>
        </w:rPr>
      </w:pPr>
      <w:bookmarkStart w:id="266" w:name="_Toc10624810"/>
      <w:bookmarkStart w:id="267" w:name="_Toc469383970"/>
      <w:bookmarkStart w:id="268" w:name="_Toc266892754"/>
      <w:r>
        <w:rPr>
          <w:rFonts w:hint="eastAsia" w:ascii="宋体" w:hAnsi="宋体" w:eastAsia="宋体" w:cs="宋体"/>
          <w:b/>
          <w:bCs/>
          <w:color w:val="auto"/>
          <w:sz w:val="24"/>
          <w:szCs w:val="24"/>
          <w:highlight w:val="none"/>
        </w:rPr>
        <w:t>三、合同工期</w:t>
      </w:r>
      <w:bookmarkEnd w:id="266"/>
      <w:bookmarkEnd w:id="267"/>
      <w:bookmarkEnd w:id="268"/>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工程合同工期总日历天数：</w:t>
      </w:r>
      <w:r>
        <w:rPr>
          <w:rFonts w:hint="eastAsia" w:ascii="宋体" w:hAnsi="宋体" w:eastAsia="宋体" w:cs="宋体"/>
          <w:i w:val="0"/>
          <w:iCs w:val="0"/>
          <w:color w:val="auto"/>
          <w:sz w:val="24"/>
          <w:szCs w:val="24"/>
          <w:highlight w:val="none"/>
          <w:u w:val="single"/>
        </w:rPr>
        <w:t>_____</w:t>
      </w:r>
      <w:r>
        <w:rPr>
          <w:rFonts w:hint="eastAsia" w:ascii="宋体" w:hAnsi="宋体" w:eastAsia="宋体" w:cs="宋体"/>
          <w:color w:val="auto"/>
          <w:sz w:val="24"/>
          <w:szCs w:val="24"/>
          <w:highlight w:val="none"/>
        </w:rPr>
        <w:t>天。暂定从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开始施工，至</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竣工完成，具体开工日期以现场具备施工条件且在项目依法</w:t>
      </w:r>
      <w:r>
        <w:rPr>
          <w:rFonts w:hint="eastAsia" w:ascii="宋体" w:hAnsi="宋体" w:eastAsia="宋体" w:cs="宋体"/>
          <w:color w:val="auto"/>
          <w:sz w:val="24"/>
          <w:szCs w:val="24"/>
          <w:highlight w:val="none"/>
          <w:lang w:val="en-US" w:eastAsia="zh-CN"/>
        </w:rPr>
        <w:t>批准</w:t>
      </w:r>
      <w:r>
        <w:rPr>
          <w:rFonts w:hint="eastAsia" w:ascii="宋体" w:hAnsi="宋体" w:eastAsia="宋体" w:cs="宋体"/>
          <w:color w:val="auto"/>
          <w:sz w:val="24"/>
          <w:szCs w:val="24"/>
          <w:highlight w:val="none"/>
        </w:rPr>
        <w:t xml:space="preserve">施工后，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经发包人</w:t>
      </w:r>
      <w:r>
        <w:rPr>
          <w:rFonts w:hint="eastAsia" w:ascii="宋体" w:hAnsi="宋体" w:eastAsia="宋体" w:cs="宋体"/>
          <w:color w:val="auto"/>
          <w:kern w:val="2"/>
          <w:sz w:val="24"/>
          <w:szCs w:val="24"/>
          <w:highlight w:val="none"/>
          <w:lang w:val="en-US" w:eastAsia="zh-CN"/>
        </w:rPr>
        <w:t>或监理单位开工令或批准的开工报告日期为准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实际</w:t>
      </w:r>
      <w:r>
        <w:rPr>
          <w:rFonts w:hint="eastAsia" w:ascii="宋体" w:hAnsi="宋体" w:eastAsia="宋体" w:cs="宋体"/>
          <w:color w:val="auto"/>
          <w:sz w:val="24"/>
          <w:szCs w:val="24"/>
          <w:highlight w:val="none"/>
        </w:rPr>
        <w:t>工期总日历天数与根据前述计划开竣工日期计算的工期天数不一致的，以</w:t>
      </w:r>
      <w:r>
        <w:rPr>
          <w:rFonts w:hint="eastAsia" w:ascii="宋体" w:hAnsi="宋体" w:eastAsia="宋体" w:cs="宋体"/>
          <w:color w:val="auto"/>
          <w:sz w:val="24"/>
          <w:szCs w:val="24"/>
          <w:highlight w:val="none"/>
          <w:lang w:val="en-US" w:eastAsia="zh-CN"/>
        </w:rPr>
        <w:t>实际</w:t>
      </w:r>
      <w:r>
        <w:rPr>
          <w:rFonts w:hint="eastAsia" w:ascii="宋体" w:hAnsi="宋体" w:eastAsia="宋体" w:cs="宋体"/>
          <w:color w:val="auto"/>
          <w:sz w:val="24"/>
          <w:szCs w:val="24"/>
          <w:highlight w:val="none"/>
        </w:rPr>
        <w:t>工期总日历天数为准</w:t>
      </w: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69" w:name="_Toc469383971"/>
      <w:bookmarkStart w:id="270" w:name="_Toc266892755"/>
      <w:bookmarkStart w:id="271" w:name="_Toc10624811"/>
      <w:r>
        <w:rPr>
          <w:rFonts w:hint="eastAsia" w:ascii="宋体" w:hAnsi="宋体" w:eastAsia="宋体" w:cs="宋体"/>
          <w:b/>
          <w:bCs/>
          <w:color w:val="auto"/>
          <w:sz w:val="24"/>
          <w:szCs w:val="24"/>
          <w:highlight w:val="none"/>
        </w:rPr>
        <w:t>★四、质量标准</w:t>
      </w:r>
      <w:bookmarkEnd w:id="269"/>
      <w:bookmarkEnd w:id="270"/>
      <w:bookmarkEnd w:id="271"/>
    </w:p>
    <w:p>
      <w:pPr>
        <w:pageBreakBefore w:val="0"/>
        <w:kinsoku/>
        <w:overflowPunct/>
        <w:topLinePunct w:val="0"/>
        <w:bidi w:val="0"/>
        <w:spacing w:line="360" w:lineRule="auto"/>
        <w:ind w:left="48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工程质量标准：确保符合国家、省、市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或</w:t>
      </w:r>
      <w:r>
        <w:rPr>
          <w:rFonts w:hint="eastAsia" w:ascii="宋体" w:hAnsi="宋体" w:eastAsia="宋体" w:cs="宋体"/>
          <w:color w:val="auto"/>
          <w:sz w:val="24"/>
          <w:szCs w:val="24"/>
          <w:highlight w:val="none"/>
          <w:u w:val="single"/>
        </w:rPr>
        <w:t xml:space="preserve">行业  </w:t>
      </w:r>
      <w:r>
        <w:rPr>
          <w:rFonts w:hint="eastAsia" w:ascii="宋体" w:hAnsi="宋体" w:eastAsia="宋体" w:cs="宋体"/>
          <w:color w:val="auto"/>
          <w:sz w:val="24"/>
          <w:szCs w:val="24"/>
          <w:highlight w:val="none"/>
        </w:rPr>
        <w:t>质量验收标准，并达到合格或（以上标准）。</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kern w:val="0"/>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72" w:name="_Toc10624812"/>
      <w:bookmarkStart w:id="273" w:name="_Toc266892756"/>
      <w:bookmarkStart w:id="274" w:name="_Toc469383972"/>
      <w:r>
        <w:rPr>
          <w:rFonts w:hint="eastAsia" w:ascii="宋体" w:hAnsi="宋体" w:eastAsia="宋体" w:cs="宋体"/>
          <w:b/>
          <w:bCs/>
          <w:color w:val="auto"/>
          <w:sz w:val="24"/>
          <w:szCs w:val="24"/>
          <w:highlight w:val="none"/>
        </w:rPr>
        <w:t>五、合同价款</w:t>
      </w:r>
      <w:bookmarkEnd w:id="272"/>
      <w:bookmarkEnd w:id="273"/>
      <w:bookmarkEnd w:id="274"/>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overflowPunct/>
        <w:topLinePunct w:val="0"/>
        <w:bidi w:val="0"/>
        <w:spacing w:line="360" w:lineRule="auto"/>
        <w:ind w:firstLine="523" w:firstLineChars="21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含税合同总价（大写）：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ageBreakBefore w:val="0"/>
        <w:kinsoku/>
        <w:overflowPunct/>
        <w:topLinePunct w:val="0"/>
        <w:bidi w:val="0"/>
        <w:spacing w:line="360" w:lineRule="auto"/>
        <w:ind w:firstLine="1960" w:firstLineChars="81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ageBreakBefore w:val="0"/>
        <w:kinsoku/>
        <w:overflowPunct/>
        <w:topLinePunct w:val="0"/>
        <w:autoSpaceDE w:val="0"/>
        <w:autoSpaceDN w:val="0"/>
        <w:bidi w:val="0"/>
        <w:adjustRightInd w:val="0"/>
        <w:spacing w:line="360" w:lineRule="auto"/>
        <w:ind w:firstLine="1200" w:firstLine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其中：暂列金额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pageBreakBefore w:val="0"/>
        <w:kinsoku/>
        <w:overflowPunct/>
        <w:topLinePunct w:val="0"/>
        <w:bidi w:val="0"/>
        <w:spacing w:line="360" w:lineRule="auto"/>
        <w:ind w:firstLine="1920" w:firstLineChars="8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安全防护、文明施工措施费用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pageBreakBefore w:val="0"/>
        <w:kinsoku/>
        <w:overflowPunct/>
        <w:topLinePunct w:val="0"/>
        <w:bidi w:val="0"/>
        <w:spacing w:line="360" w:lineRule="auto"/>
        <w:ind w:firstLine="1920" w:firstLineChars="8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余泥渣土（土方、石方、淤泥）场外运输与排放费用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p>
    <w:p>
      <w:pPr>
        <w:pageBreakBefore w:val="0"/>
        <w:kinsoku/>
        <w:overflowPunct/>
        <w:topLinePunct w:val="0"/>
        <w:bidi w:val="0"/>
        <w:spacing w:line="360" w:lineRule="auto"/>
        <w:ind w:firstLine="523" w:firstLineChars="21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项目单价：□详见承包人的投标报价书（招标工程）；</w:t>
      </w:r>
    </w:p>
    <w:p>
      <w:pPr>
        <w:pageBreakBefore w:val="0"/>
        <w:kinsoku/>
        <w:overflowPunct/>
        <w:topLinePunct w:val="0"/>
        <w:bidi w:val="0"/>
        <w:spacing w:line="360" w:lineRule="auto"/>
        <w:ind w:firstLine="1680" w:firstLineChars="7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□详见经确认的工程量清单报价单或施工图预算书（非招标工程）。</w:t>
      </w:r>
    </w:p>
    <w:p>
      <w:pPr>
        <w:pageBreakBefore w:val="0"/>
        <w:kinsoku/>
        <w:overflowPunct/>
        <w:topLinePunct w:val="0"/>
        <w:bidi w:val="0"/>
        <w:spacing w:line="360" w:lineRule="auto"/>
        <w:ind w:firstLine="49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工程结算价款以广州</w:t>
      </w:r>
      <w:r>
        <w:rPr>
          <w:rFonts w:hint="eastAsia" w:ascii="宋体" w:hAnsi="宋体" w:eastAsia="宋体" w:cs="宋体"/>
          <w:color w:val="auto"/>
          <w:kern w:val="0"/>
          <w:sz w:val="24"/>
          <w:szCs w:val="24"/>
          <w:highlight w:val="none"/>
          <w:lang w:val="en-US" w:eastAsia="zh-CN"/>
        </w:rPr>
        <w:t>市黄埔区开发区</w:t>
      </w:r>
      <w:r>
        <w:rPr>
          <w:rFonts w:hint="eastAsia" w:ascii="宋体" w:hAnsi="宋体" w:eastAsia="宋体" w:cs="宋体"/>
          <w:color w:val="auto"/>
          <w:kern w:val="0"/>
          <w:sz w:val="24"/>
          <w:szCs w:val="24"/>
          <w:highlight w:val="none"/>
        </w:rPr>
        <w:t>财政局</w:t>
      </w:r>
      <w:r>
        <w:rPr>
          <w:rFonts w:hint="eastAsia" w:ascii="宋体" w:hAnsi="宋体" w:eastAsia="宋体" w:cs="宋体"/>
          <w:color w:val="auto"/>
          <w:kern w:val="0"/>
          <w:sz w:val="24"/>
          <w:szCs w:val="24"/>
          <w:highlight w:val="none"/>
          <w:lang w:val="en-US" w:eastAsia="zh-CN"/>
        </w:rPr>
        <w:t>或其指定机构</w:t>
      </w:r>
      <w:r>
        <w:rPr>
          <w:rFonts w:hint="eastAsia" w:ascii="宋体" w:hAnsi="宋体" w:eastAsia="宋体" w:cs="宋体"/>
          <w:color w:val="auto"/>
          <w:kern w:val="0"/>
          <w:sz w:val="24"/>
          <w:szCs w:val="24"/>
          <w:highlight w:val="none"/>
        </w:rPr>
        <w:t>审定</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结算为准，如遇审计部门审计，本工程最终结算价款以审计部门的审计结果为准。</w:t>
      </w:r>
    </w:p>
    <w:p>
      <w:pPr>
        <w:pageBreakBefore w:val="0"/>
        <w:kinsoku/>
        <w:overflowPunct/>
        <w:topLinePunct w:val="0"/>
        <w:bidi w:val="0"/>
        <w:spacing w:line="360" w:lineRule="auto"/>
        <w:ind w:firstLine="1680" w:firstLineChars="700"/>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kern w:val="0"/>
          <w:sz w:val="24"/>
          <w:szCs w:val="24"/>
          <w:highlight w:val="none"/>
        </w:rPr>
        <w:t>工人工资支付分账</w:t>
      </w:r>
    </w:p>
    <w:p>
      <w:pPr>
        <w:pageBreakBefore w:val="0"/>
        <w:kinsoku/>
        <w:overflowPunct/>
        <w:topLinePunct w:val="0"/>
        <w:bidi w:val="0"/>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hint="eastAsia" w:ascii="宋体" w:hAnsi="宋体" w:eastAsia="宋体" w:cs="宋体"/>
          <w:color w:val="auto"/>
          <w:kern w:val="0"/>
          <w:sz w:val="24"/>
          <w:szCs w:val="24"/>
          <w:highlight w:val="none"/>
        </w:rPr>
        <w:t>工人工资款支付专用账户开设的约定内容：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firstLine="49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工人工资款支付专用账户开户银行（如有）：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firstLine="49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工人工资款支付专用账户（如有）：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left="479" w:leftChars="228" w:firstLine="12" w:firstLineChars="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工程款中的工人工资款比例：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left="479" w:leftChars="228" w:firstLine="12" w:firstLineChars="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其中：每一期工程进度款中的工人工资款比例：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firstLine="1200" w:firstLine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工人工资支付周期：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overflowPunct/>
        <w:topLinePunct w:val="0"/>
        <w:bidi w:val="0"/>
        <w:spacing w:line="360" w:lineRule="auto"/>
        <w:ind w:firstLine="465"/>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承包人已确认上述约定工程款中的工人工资款比例能满足本工程项目的工人工资支付。</w:t>
      </w:r>
    </w:p>
    <w:p>
      <w:pPr>
        <w:pageBreakBefore w:val="0"/>
        <w:kinsoku/>
        <w:overflowPunct/>
        <w:topLinePunct w:val="0"/>
        <w:bidi w:val="0"/>
        <w:spacing w:line="360" w:lineRule="auto"/>
        <w:ind w:firstLine="465"/>
        <w:textAlignment w:val="auto"/>
        <w:rPr>
          <w:rFonts w:hint="eastAsia" w:ascii="宋体" w:hAnsi="宋体" w:eastAsia="宋体" w:cs="宋体"/>
          <w:color w:val="auto"/>
          <w:kern w:val="0"/>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75" w:name="_Toc469383973"/>
      <w:bookmarkStart w:id="276" w:name="_Toc10624813"/>
      <w:bookmarkStart w:id="277" w:name="_Toc266892757"/>
      <w:r>
        <w:rPr>
          <w:rFonts w:hint="eastAsia" w:ascii="宋体" w:hAnsi="宋体" w:eastAsia="宋体" w:cs="宋体"/>
          <w:b/>
          <w:bCs/>
          <w:color w:val="auto"/>
          <w:sz w:val="24"/>
          <w:szCs w:val="24"/>
          <w:highlight w:val="none"/>
        </w:rPr>
        <w:t>七、组成合同的文件</w:t>
      </w:r>
      <w:bookmarkEnd w:id="275"/>
      <w:bookmarkEnd w:id="276"/>
      <w:bookmarkEnd w:id="277"/>
    </w:p>
    <w:p>
      <w:pPr>
        <w:pStyle w:val="23"/>
        <w:pageBreakBefore w:val="0"/>
        <w:tabs>
          <w:tab w:val="left" w:pos="1260"/>
        </w:tabs>
        <w:kinsoku/>
        <w:overflowPunct/>
        <w:topLinePunct w:val="0"/>
        <w:bidi w:val="0"/>
        <w:spacing w:line="360" w:lineRule="auto"/>
        <w:ind w:left="510" w:leftChars="-10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组成本合同的文件包括：</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1.本合同履行期间发包人与承包人双方签订的补充合同（协议）或修正文件；</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2.本合同协议书；</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3.国家、广东省、广州市、广州开发区、黄埔区关于本工程施工的有关文件（发包人在收到后尽快通报给承包人）；</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4.建设业主针对本工程建设管理的各项制度、规定；</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5.中标通知书；</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6.本合同专用条款；</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7.招标文件及附件（包括补充、修改、澄清文件及答疑纪要等）；</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8.本合同通用条款；</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9.投标文件及附件；</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10.标准、规范和其他有关技术文件；</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11.图纸；</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12.工程量清单；</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13.合同附件（工程质量保修责任书、标函承诺书、项目负责人驻场承诺书等）；</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双方有关工程的洽商、变更等书面协议或文件视为本合同的组成部分。</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组成本合同的文件及其优先解释顺序与本合同第二部分《通用条款》第2.2款赋予的规定一致。</w:t>
      </w:r>
    </w:p>
    <w:p>
      <w:pPr>
        <w:pStyle w:val="23"/>
        <w:pageBreakBefore w:val="0"/>
        <w:tabs>
          <w:tab w:val="left" w:pos="1260"/>
        </w:tabs>
        <w:kinsoku/>
        <w:overflowPunct/>
        <w:topLinePunct w:val="0"/>
        <w:bidi w:val="0"/>
        <w:spacing w:line="360" w:lineRule="auto"/>
        <w:ind w:firstLine="520" w:firstLineChars="217"/>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78" w:name="_Toc10624814"/>
      <w:bookmarkStart w:id="279" w:name="_Toc266892758"/>
      <w:bookmarkStart w:id="280" w:name="_Toc469383974"/>
      <w:r>
        <w:rPr>
          <w:rFonts w:hint="eastAsia" w:ascii="宋体" w:hAnsi="宋体" w:eastAsia="宋体" w:cs="宋体"/>
          <w:b/>
          <w:bCs/>
          <w:color w:val="auto"/>
          <w:sz w:val="24"/>
          <w:szCs w:val="24"/>
          <w:highlight w:val="none"/>
        </w:rPr>
        <w:t>八、词语含义</w:t>
      </w:r>
      <w:bookmarkEnd w:id="278"/>
      <w:bookmarkEnd w:id="279"/>
      <w:bookmarkEnd w:id="280"/>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本协议书中有关词语含义与本合同第二部分《通用条款》第1条赋予它们的定义相同。</w:t>
      </w:r>
    </w:p>
    <w:p>
      <w:pPr>
        <w:pStyle w:val="3"/>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81" w:name="_Toc10624815"/>
      <w:bookmarkStart w:id="282" w:name="_Toc266892759"/>
      <w:bookmarkStart w:id="283" w:name="_Toc469383975"/>
      <w:r>
        <w:rPr>
          <w:rFonts w:hint="eastAsia" w:ascii="宋体" w:hAnsi="宋体" w:eastAsia="宋体" w:cs="宋体"/>
          <w:b/>
          <w:bCs/>
          <w:color w:val="auto"/>
          <w:sz w:val="24"/>
          <w:szCs w:val="24"/>
          <w:highlight w:val="none"/>
        </w:rPr>
        <w:t>九、承包人承诺</w:t>
      </w:r>
      <w:bookmarkEnd w:id="281"/>
      <w:bookmarkEnd w:id="282"/>
      <w:bookmarkEnd w:id="283"/>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承包人向发包人承诺已阅读、理解并接受本合同所有条款，按照本合同约定实施、完成并保修合同工程，履行本合同所约定的全部义务。</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84" w:name="_Toc469383976"/>
      <w:bookmarkStart w:id="285" w:name="_Toc10624816"/>
      <w:bookmarkStart w:id="286" w:name="_Toc266892760"/>
      <w:r>
        <w:rPr>
          <w:rFonts w:hint="eastAsia" w:ascii="宋体" w:hAnsi="宋体" w:eastAsia="宋体" w:cs="宋体"/>
          <w:b/>
          <w:bCs/>
          <w:color w:val="auto"/>
          <w:sz w:val="24"/>
          <w:szCs w:val="24"/>
          <w:highlight w:val="none"/>
        </w:rPr>
        <w:t>十、发包人承诺</w:t>
      </w:r>
      <w:bookmarkEnd w:id="284"/>
      <w:bookmarkEnd w:id="285"/>
      <w:bookmarkEnd w:id="286"/>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发包人向承包人承诺已阅读、理解并接受本合同所有条款，按照本合同约定的时限和方法支付工程款及其他应当支付的款项，履行本合同所约定的全部义务。</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p>
    <w:p>
      <w:pPr>
        <w:pageBreakBefore w:val="0"/>
        <w:numPr>
          <w:ilvl w:val="0"/>
          <w:numId w:val="5"/>
        </w:numPr>
        <w:kinsoku/>
        <w:overflowPunct/>
        <w:topLinePunct w:val="0"/>
        <w:bidi w:val="0"/>
        <w:spacing w:line="360" w:lineRule="auto"/>
        <w:textAlignment w:val="auto"/>
        <w:outlineLvl w:val="1"/>
        <w:rPr>
          <w:rFonts w:hint="eastAsia" w:ascii="宋体" w:hAnsi="宋体" w:eastAsia="宋体" w:cs="宋体"/>
          <w:b/>
          <w:bCs/>
          <w:color w:val="auto"/>
          <w:sz w:val="24"/>
          <w:szCs w:val="24"/>
          <w:highlight w:val="none"/>
        </w:rPr>
      </w:pPr>
      <w:bookmarkStart w:id="287" w:name="_Toc469383977"/>
      <w:bookmarkStart w:id="288" w:name="_Toc266892761"/>
      <w:bookmarkStart w:id="289" w:name="_Toc10624817"/>
      <w:r>
        <w:rPr>
          <w:rFonts w:hint="eastAsia" w:ascii="宋体" w:hAnsi="宋体" w:eastAsia="宋体" w:cs="宋体"/>
          <w:b/>
          <w:bCs/>
          <w:color w:val="auto"/>
          <w:sz w:val="24"/>
          <w:szCs w:val="24"/>
          <w:highlight w:val="none"/>
        </w:rPr>
        <w:t>合同生效</w:t>
      </w:r>
      <w:bookmarkEnd w:id="287"/>
      <w:bookmarkEnd w:id="288"/>
      <w:bookmarkEnd w:id="289"/>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本合同订立时间：</w:t>
      </w:r>
      <w:r>
        <w:rPr>
          <w:rFonts w:hint="eastAsia" w:ascii="宋体" w:hAnsi="宋体" w:eastAsia="宋体" w:cs="宋体"/>
          <w:color w:val="auto"/>
          <w:sz w:val="24"/>
          <w:szCs w:val="24"/>
          <w:highlight w:val="none"/>
          <w:u w:val="single"/>
        </w:rPr>
        <w:t xml:space="preserve">            年           月           日</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本合同订立地点：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广州市黄埔区永和街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ageBreakBefore w:val="0"/>
        <w:kinsoku/>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rPr>
      </w:pPr>
    </w:p>
    <w:p>
      <w:pPr>
        <w:pageBreakBefore w:val="0"/>
        <w:kinsoku/>
        <w:overflowPunct/>
        <w:topLinePunct w:val="0"/>
        <w:bidi w:val="0"/>
        <w:spacing w:line="360" w:lineRule="auto"/>
        <w:ind w:left="-4" w:leftChars="-2"/>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十二、合同份数</w:t>
      </w:r>
    </w:p>
    <w:p>
      <w:pPr>
        <w:pageBreakBefore w:val="0"/>
        <w:kinsoku/>
        <w:overflowPunct/>
        <w:topLinePunct w:val="0"/>
        <w:bidi w:val="0"/>
        <w:spacing w:line="360" w:lineRule="auto"/>
        <w:ind w:left="5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份，具有同等法律效力，其中甲方执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pageBreakBefore w:val="0"/>
        <w:kinsoku/>
        <w:overflowPunct/>
        <w:topLinePunct w:val="0"/>
        <w:bidi w:val="0"/>
        <w:spacing w:line="360" w:lineRule="auto"/>
        <w:ind w:firstLine="523" w:firstLineChars="21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合同双方当事人约定本合同自双方签字、盖章后生效。</w:t>
      </w:r>
    </w:p>
    <w:p>
      <w:pPr>
        <w:pageBreakBefore w:val="0"/>
        <w:kinsoku/>
        <w:overflowPunct/>
        <w:topLinePunct w:val="0"/>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发包人：（盖章）                            承包人：（盖章）</w:t>
      </w:r>
    </w:p>
    <w:p>
      <w:pPr>
        <w:pageBreakBefore w:val="0"/>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                               地      址：</w:t>
      </w:r>
    </w:p>
    <w:p>
      <w:pPr>
        <w:pageBreakBefore w:val="0"/>
        <w:tabs>
          <w:tab w:val="left" w:pos="525"/>
          <w:tab w:val="left" w:pos="1155"/>
        </w:tabs>
        <w:kinsoku/>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                               法定代表人：</w:t>
      </w:r>
    </w:p>
    <w:p>
      <w:pPr>
        <w:pageBreakBefore w:val="0"/>
        <w:tabs>
          <w:tab w:val="left" w:pos="525"/>
          <w:tab w:val="left" w:pos="1155"/>
        </w:tabs>
        <w:kinsoku/>
        <w:overflowPunct/>
        <w:topLinePunct w:val="0"/>
        <w:bidi w:val="0"/>
        <w:spacing w:line="360" w:lineRule="auto"/>
        <w:ind w:left="525" w:left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    话：                                 电    话：</w:t>
      </w:r>
    </w:p>
    <w:p>
      <w:pPr>
        <w:pageBreakBefore w:val="0"/>
        <w:tabs>
          <w:tab w:val="left" w:pos="525"/>
          <w:tab w:val="left" w:pos="1155"/>
        </w:tabs>
        <w:kinsoku/>
        <w:overflowPunct/>
        <w:topLinePunct w:val="0"/>
        <w:bidi w:val="0"/>
        <w:spacing w:line="360" w:lineRule="auto"/>
        <w:ind w:left="525" w:left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    真：                                 传    真：</w:t>
      </w:r>
    </w:p>
    <w:p>
      <w:pPr>
        <w:pageBreakBefore w:val="0"/>
        <w:tabs>
          <w:tab w:val="left" w:pos="525"/>
          <w:tab w:val="left" w:pos="1155"/>
        </w:tabs>
        <w:kinsoku/>
        <w:overflowPunct/>
        <w:topLinePunct w:val="0"/>
        <w:bidi w:val="0"/>
        <w:spacing w:line="360" w:lineRule="auto"/>
        <w:ind w:left="525" w:left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                                 开户银行：</w:t>
      </w:r>
    </w:p>
    <w:p>
      <w:pPr>
        <w:pageBreakBefore w:val="0"/>
        <w:tabs>
          <w:tab w:val="left" w:pos="525"/>
          <w:tab w:val="left" w:pos="1155"/>
          <w:tab w:val="left" w:pos="6090"/>
        </w:tabs>
        <w:kinsoku/>
        <w:overflowPunct/>
        <w:topLinePunct w:val="0"/>
        <w:bidi w:val="0"/>
        <w:spacing w:line="360" w:lineRule="auto"/>
        <w:ind w:left="525" w:left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帐    号：                                 帐    号：</w:t>
      </w:r>
    </w:p>
    <w:p>
      <w:pPr>
        <w:pageBreakBefore w:val="0"/>
        <w:tabs>
          <w:tab w:val="left" w:pos="525"/>
          <w:tab w:val="left" w:pos="1155"/>
        </w:tabs>
        <w:kinsoku/>
        <w:overflowPunct/>
        <w:topLinePunct w:val="0"/>
        <w:bidi w:val="0"/>
        <w:spacing w:line="360" w:lineRule="auto"/>
        <w:ind w:left="525" w:left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                                  电子邮箱:</w:t>
      </w:r>
    </w:p>
    <w:p>
      <w:pPr>
        <w:bidi w:val="0"/>
        <w:spacing w:line="360" w:lineRule="auto"/>
        <w:rPr>
          <w:rFonts w:hint="eastAsia"/>
          <w:color w:val="auto"/>
          <w:highlight w:val="none"/>
        </w:rPr>
      </w:pPr>
      <w:bookmarkStart w:id="290" w:name="_Toc469383978"/>
      <w:bookmarkStart w:id="291" w:name="_Toc10624818"/>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pageBreakBefore w:val="0"/>
        <w:kinsoku/>
        <w:wordWrap/>
        <w:overflowPunct/>
        <w:topLinePunct w:val="0"/>
        <w:bidi w:val="0"/>
        <w:spacing w:line="360" w:lineRule="auto"/>
        <w:ind w:right="0" w:rightChars="0"/>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第二部分  通用条款</w:t>
      </w:r>
      <w:bookmarkEnd w:id="290"/>
      <w:bookmarkEnd w:id="291"/>
    </w:p>
    <w:p>
      <w:pPr>
        <w:bidi w:val="0"/>
        <w:spacing w:line="360" w:lineRule="auto"/>
        <w:rPr>
          <w:rFonts w:hint="eastAsia"/>
          <w:color w:val="auto"/>
          <w:highlight w:val="none"/>
          <w:lang w:val="en-US" w:eastAsia="zh-CN"/>
        </w:rPr>
      </w:pP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18"/>
          <w:szCs w:val="28"/>
          <w:highlight w:val="none"/>
          <w:lang w:val="en-US" w:eastAsia="zh-CN"/>
        </w:rPr>
      </w:pPr>
      <w:bookmarkStart w:id="292" w:name="_Toc10624819"/>
      <w:bookmarkStart w:id="293" w:name="_Toc469383979"/>
      <w:r>
        <w:rPr>
          <w:rFonts w:hint="eastAsia" w:ascii="宋体" w:hAnsi="宋体" w:eastAsia="宋体" w:cs="宋体"/>
          <w:b/>
          <w:bCs/>
          <w:caps w:val="0"/>
          <w:color w:val="auto"/>
          <w:sz w:val="18"/>
          <w:szCs w:val="28"/>
          <w:highlight w:val="none"/>
          <w:lang w:val="en-US" w:eastAsia="zh-CN"/>
        </w:rPr>
        <w:t>一、总  则</w:t>
      </w:r>
      <w:bookmarkEnd w:id="292"/>
      <w:bookmarkEnd w:id="293"/>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bookmarkStart w:id="294" w:name="_Toc469383980"/>
      <w:bookmarkStart w:id="295" w:name="_Toc10624820"/>
      <w:r>
        <w:rPr>
          <w:rFonts w:hint="eastAsia" w:ascii="宋体" w:hAnsi="宋体" w:eastAsia="宋体" w:cs="宋体"/>
          <w:b w:val="0"/>
          <w:bCs w:val="0"/>
          <w:caps w:val="0"/>
          <w:color w:val="auto"/>
          <w:sz w:val="21"/>
          <w:szCs w:val="21"/>
          <w:highlight w:val="none"/>
        </w:rPr>
        <w:t>1  定义</w:t>
      </w:r>
      <w:bookmarkEnd w:id="294"/>
      <w:bookmarkEnd w:id="295"/>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下列词语或措辞，除非特别说明，在本合同中均具有以下赋予的含义：</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  合同：指合同双方当事人为实施、完成并保修合同工程所订立的合同文件。合同文件由第2.2款所列的文件组成。</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  协议书：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  通用条款：指根据法律、法规和规章的规定以及建设工程施工的需要所订立的，通用于建设工程施工的条款。</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  专用条款：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1.5  中标通知书：指发包人正式接受中标人投标文件的书面文件。</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1.6  承包人投标文件：指构成合同文件组成部分的，由承包人根据招标文件编制完成、签字并被中标通知书所接受的，承包人为实施、完成并保修合同工程向发包人提交的技术、经济文件。</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1.7  标准、规范及有关技术文件：指构成合同文件组成部分的，本合同所指明的和合同工程依法应适用的标准与规范，以及监理工程师、造价工程师对有关技术方面问题做出的补充、修改和批准文件。</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1.8  施工设计图纸：指构成合同文件组成部分的，按规定审批的由发包人提供或经发包人批准由承包人提供，满足承包人施工需要的所有设计文件、施工图纸、模型（包括任何补充和修改的施工图纸、配套说明和有关资料）。图纸应当按照法律规定审查合格。</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1.9  工程量清单：指构成合同文件组成部分的,由发包人在招标文件中提供的,合同工程分部分项工程项目、措施项目、其他项目、规费项目和税金项目的名称和相应数量等的明细清单。</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1.10  发包人：指在协议书中约定，具有工程发包主体资格和支付工程款能力的当事人，以及取得该当事人资格的合法继承人。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1.11  承包人：指在协议书中约定，被发包人接受且具有工程施工承包主体资格的当事人，以及取得该当事人资格的合法继承人。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1.12  分包人：指被发包人接受且具有相应资格，并与承包人签订了分包合同，依法分包合同工程某一部分的当事人，以及取得该当事人资格的合法继承人。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1.13  第三方：除合同双方当事人(含双方雇员及代表其工作的人员)以外的任何他人或组织。</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1.14  设计人：指受发包人委托的，负责合同工程的工程设计专业技术且具有相应工程设计资质的当事人，以及取得该当事人资格的合法继承人。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1.15  监理人：指受发包人委托的，负责合同工程的工程监理专业技术且具有相应工程监理资质的当事人，以及取得该当事人资格的合法继承人。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1.16  工程造价咨询人：指受发包人委托的，负责合同工程的工程造价专业技术且具有相应工程造价咨询资质的当事人，以及取得该当事人资格的合法继承人。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1.17  工程造价管理机构：指国务院有关部门、县级以上人民政府建设行政主管部门或受其委托的工程造价管理机构。</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1.18  发包人代表：指发包人指定的，履行本合同的全权代表。发包人代表由发包人依据第22.1款规定任命并书面通知承包人。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1.19  监理工程师：指监理人委派常驻施工现场负责合同工程的工程监理专业技术的专业人员。监理工程师由监理人提名，经发包人依据第23.1款规定任命并书面通知承包人。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1.20  造价工程师：指工程造价咨询人或监理人委派常驻施工现场负责合同工程的工程造价专业技术的专业人员。造价工程师由工程造价咨询人或监理人提名，经发包人依据第24.1款规定任命并书面通知承包人。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1.21  承包人代表：指承包人指定的，履行本合同和负责合同工程施工现场管理的全权代表。承包人代表由承包人依据第25.1款规定任命并书面通知发包人。</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1.22  合同工期：指合同双方当事人在协议书中约定，按照总日历天数（包括法定节假日）计算的从开始实施到完成合同工程的天数。</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1.23  开工日期：指根据第34条规定，监理工程师在开工令中写明的、承包人按照合同约定最迟在该日期开工的日期。</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1.24  计划竣工日期：指自开工日期起根据合同约定要求承包人完成合同工程并竣工的全部时间（包括根据第36条和第37.2款规定所做的调整）。</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1.25  实际竣工日期：指承包人实际完成合同工程或某单位工程后，由发包人按照第58条规定组织竣工验收、接收工程并颁发工程接收证书的日期。实际竣工日期，按照第38.2款规定确定。</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1.26  缺陷责任期：指履行第59.3款规定的缺陷责任的期限。具体期限在专用条款中约定，包括第59.2款规定的延长期限。</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1.27  基准日期：指招标工程递交投标文件截止日期前28天的日期；非招标工程订立合同前28天的日期。</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1.28  小时或天：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1.29  中标价格：指中标通知书中列明的，发包人接受中标人（承包人）实施、完成并保修合同工程的价格。</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1.30  合同价款：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1.31  费用：指为履行合同所发生或将发生的所有合理开支，包括管理费和其他合理分摊的开支，但不包括利润。</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1.32  分部分项工程费：指为实施、完成并保修永久工程，发生于工程实体项目所需的人工费、材料费、机械使用费、管理费、利润和风险费用。</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1.33  措施项目费：指为实施、完成并保修合同工程，发生于合同工程施工准备和施工过程中的技术、生活、安全、环境保护等方面的非工程实体项目费用。</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1.34  工程款：指为实施、完成并保修合同工程，发包人支付或应当支付给承包人的各种价款，包括进度款、结算款等。</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1.35  暂列金额：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1.36  暂估价：指发包人在工程量清单中提供的用于支付必然发生但暂时不能确定价格的材料、工程设备以及专业工程的金额。</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1.37  计日工：指在施工过程中，承包人完成发包人提出的施工设计图纸以外的零星项目或工作，按照合同中约定计价付款的一种计价方式。</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1.38  质量保证金：指按照第84条约定用于保证在缺陷责任期内履行缺陷修复义务的金额。</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1.39  合同工程：指合同双方当事人在协议书中约定的承包范围内的工程，包括永久工程和（或）临时工程。</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1.40  永久工程：指按照合同约定承包人应当实施、完成并移交给发包人的永久性工程，包括工程设备。</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1.41  临时工程：指实施、完成并保修永久工程过程中所需要的各类临时性工程，不包括施工设备。</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1.42  分包工程：指合同工程中，由具有相应分包资质的分包人实施、完成的非主体结构（除钢结构外）的专业性工程。</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1.43  单位工程：指具有独立的设计文件，竣工后可以独立发挥生产能力和效益的永久工程。组成合同工程的单位工程名称、内容和范围等应在专用条款中明确。</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1.44  施工场地（或工地 、现场）：指由发包人提供的用于合同工程施工的场所，以及发包人在合同中具体指定的供施工使用的其他任何场所。</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1.45  工程设备：指构成或计划构成永久工程一部分的机电设备、金属结构设备、仪器装置及其他类似的设备和装置。</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1.46  施工设备：指承包人临时带入现场用于合同工程施工的仪器、机械、运输工具或其他物品，但不包括用于或安装在合同工程中的工程设备。</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1.47  工程变更：指经发包人批准的，由监理工程师根据第56条规定发出指令的工程任何变更。</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1.48  索赔：指合同履行期间，对于非自己的过错而应由对方当事人承担责任的情况所造成的损失，并根据第36条和第74条规定向对方当事人提出费用补偿和（或）工期顺延的要求。</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1.49  现场签证：指合同双方当事人按照第14.2款约定的指定人选根据第75条规定就施工过程中涉及的责任事件所作的签认证明。</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1.50  不可抗力：指不能预见、不能避免并不能克服的客观情况。</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1.51  竣工验收：指承包人完成了全部合同工作后，发包人按照合同要求进行的验收。</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1.52  国家验收：指政府部门根据法律和政策等有关规定，针对发包人全面组织实施的整个工程正式交付投运前的验收。</w:t>
      </w:r>
    </w:p>
    <w:p>
      <w:pPr>
        <w:pStyle w:val="23"/>
        <w:pageBreakBefore w:val="0"/>
        <w:tabs>
          <w:tab w:val="left" w:pos="900"/>
          <w:tab w:val="left" w:pos="1080"/>
        </w:tabs>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val="0"/>
          <w:bCs w:val="0"/>
          <w:caps w:val="0"/>
          <w:color w:val="auto"/>
          <w:sz w:val="21"/>
          <w:szCs w:val="21"/>
          <w:highlight w:val="none"/>
        </w:rPr>
      </w:pPr>
      <w:r>
        <w:rPr>
          <w:rFonts w:hint="eastAsia" w:ascii="宋体" w:hAnsi="宋体" w:eastAsia="宋体" w:cs="宋体"/>
          <w:b w:val="0"/>
          <w:bCs w:val="0"/>
          <w:caps w:val="0"/>
          <w:color w:val="auto"/>
          <w:sz w:val="21"/>
          <w:szCs w:val="21"/>
          <w:highlight w:val="none"/>
        </w:rPr>
        <w:t>1.53  书面形式：指合同文件、信函、电报、电传、传真、电子数据交换文件、电子邮件等可以有形地表现所载内容的形式。合同双方当事人可在专用条款中注明所采用的书面形式。</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val="0"/>
          <w:bCs w:val="0"/>
          <w:caps w:val="0"/>
          <w:color w:val="auto"/>
          <w:sz w:val="21"/>
          <w:szCs w:val="21"/>
          <w:highlight w:val="none"/>
        </w:rPr>
        <w:t>1.54  国家：指中华人民共和国。</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Cs w:val="0"/>
          <w:caps w:val="0"/>
          <w:color w:val="auto"/>
          <w:sz w:val="21"/>
          <w:szCs w:val="21"/>
          <w:highlight w:val="none"/>
        </w:rPr>
      </w:pPr>
      <w:bookmarkStart w:id="296" w:name="_Toc10624821"/>
      <w:bookmarkStart w:id="297" w:name="_Toc469383981"/>
      <w:r>
        <w:rPr>
          <w:rFonts w:hint="eastAsia" w:ascii="宋体" w:hAnsi="宋体" w:eastAsia="宋体" w:cs="宋体"/>
          <w:bCs w:val="0"/>
          <w:caps w:val="0"/>
          <w:color w:val="auto"/>
          <w:sz w:val="21"/>
          <w:szCs w:val="21"/>
          <w:highlight w:val="none"/>
        </w:rPr>
        <w:t>2  合同文件及解释</w:t>
      </w:r>
      <w:bookmarkEnd w:id="296"/>
      <w:bookmarkEnd w:id="29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2.1 标题和旁注                                                                      </w:t>
      </w:r>
    </w:p>
    <w:p>
      <w:pPr>
        <w:pStyle w:val="23"/>
        <w:pageBreakBefore w:val="0"/>
        <w:tabs>
          <w:tab w:val="left" w:pos="1202"/>
          <w:tab w:val="left" w:pos="1620"/>
          <w:tab w:val="left" w:pos="1800"/>
          <w:tab w:val="left" w:pos="21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本合同条款的标题和旁注不构成合同的组成部分。</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★2.2 合同文件组成及优先顺序</w:t>
      </w:r>
    </w:p>
    <w:p>
      <w:pPr>
        <w:pStyle w:val="23"/>
        <w:pageBreakBefore w:val="0"/>
        <w:tabs>
          <w:tab w:val="left" w:pos="13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下列组成本合同的文件是一个合同整体，彼此应当能相互解释，互为说明。当出现相互矛盾时，组成本合同文件的优先解释顺序如下：</w:t>
      </w:r>
    </w:p>
    <w:p>
      <w:pPr>
        <w:pStyle w:val="23"/>
        <w:pageBreakBefore w:val="0"/>
        <w:numPr>
          <w:ilvl w:val="0"/>
          <w:numId w:val="0"/>
        </w:numPr>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履行本合同的相关补充协议（含工程洽商记录、会议纪要、工程变更、现场签证、等修正文件）；</w:t>
      </w:r>
    </w:p>
    <w:p>
      <w:pPr>
        <w:pStyle w:val="23"/>
        <w:pageBreakBefore w:val="0"/>
        <w:numPr>
          <w:ilvl w:val="0"/>
          <w:numId w:val="0"/>
        </w:numPr>
        <w:tabs>
          <w:tab w:val="left" w:pos="162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协议书；</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中标通知书（适用于招标工程）；</w:t>
      </w:r>
    </w:p>
    <w:p>
      <w:pPr>
        <w:pStyle w:val="23"/>
        <w:pageBreakBefore w:val="0"/>
        <w:numPr>
          <w:ilvl w:val="0"/>
          <w:numId w:val="0"/>
        </w:numPr>
        <w:tabs>
          <w:tab w:val="left" w:pos="162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承包人投标文件及其附件（含评标期间的澄清文件和补充资料）（适用于招标工程）；确认的工程量清单报价单或施工图预算书（适用于非招标工程）；</w:t>
      </w:r>
    </w:p>
    <w:p>
      <w:pPr>
        <w:pStyle w:val="23"/>
        <w:pageBreakBefore w:val="0"/>
        <w:numPr>
          <w:ilvl w:val="0"/>
          <w:numId w:val="0"/>
        </w:numPr>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专用条款；</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通用条款；</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rPr>
        <w:t>标准、规范及有关技术文件；</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rPr>
        <w:t>施工设计图纸；</w:t>
      </w:r>
    </w:p>
    <w:p>
      <w:pPr>
        <w:pStyle w:val="23"/>
        <w:pageBreakBefore w:val="0"/>
        <w:numPr>
          <w:ilvl w:val="0"/>
          <w:numId w:val="0"/>
        </w:numPr>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9）</w:t>
      </w:r>
      <w:r>
        <w:rPr>
          <w:rFonts w:hint="eastAsia" w:ascii="宋体" w:hAnsi="宋体" w:eastAsia="宋体" w:cs="宋体"/>
          <w:caps w:val="0"/>
          <w:color w:val="auto"/>
          <w:sz w:val="21"/>
          <w:szCs w:val="21"/>
          <w:highlight w:val="none"/>
        </w:rPr>
        <w:t>招标文件（包括补充、修改、澄清的文件、招标图纸、答疑纪要、工程量清单及总说明等）；</w:t>
      </w:r>
    </w:p>
    <w:p>
      <w:pPr>
        <w:pStyle w:val="23"/>
        <w:pageBreakBefore w:val="0"/>
        <w:numPr>
          <w:ilvl w:val="0"/>
          <w:numId w:val="0"/>
        </w:numPr>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10</w:t>
      </w:r>
      <w:r>
        <w:rPr>
          <w:rFonts w:hint="eastAsia"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专用条款约定的其他文件。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上述各项合同文件包括合同当事人就该项合同文件所作出的补充和修改，属于同一类</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内容的文件，应以最新签署的为准。</w:t>
      </w:r>
    </w:p>
    <w:p>
      <w:pPr>
        <w:pStyle w:val="23"/>
        <w:pageBreakBefore w:val="0"/>
        <w:tabs>
          <w:tab w:val="left" w:pos="540"/>
          <w:tab w:val="left" w:pos="1202"/>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 监理或造价工程师作出解释</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Cs w:val="0"/>
          <w:caps w:val="0"/>
          <w:color w:val="auto"/>
          <w:sz w:val="21"/>
          <w:szCs w:val="21"/>
          <w:highlight w:val="none"/>
        </w:rPr>
      </w:pPr>
      <w:bookmarkStart w:id="298" w:name="_Toc10624822"/>
      <w:bookmarkStart w:id="299" w:name="_Toc469383982"/>
      <w:r>
        <w:rPr>
          <w:rFonts w:hint="eastAsia" w:ascii="宋体" w:hAnsi="宋体" w:eastAsia="宋体" w:cs="宋体"/>
          <w:bCs w:val="0"/>
          <w:caps w:val="0"/>
          <w:color w:val="auto"/>
          <w:sz w:val="21"/>
          <w:szCs w:val="21"/>
          <w:highlight w:val="none"/>
        </w:rPr>
        <w:t>3  阅读、理解与接受</w:t>
      </w:r>
      <w:bookmarkEnd w:id="298"/>
      <w:bookmarkEnd w:id="299"/>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3.1阅读、理解与接受</w:t>
      </w:r>
    </w:p>
    <w:p>
      <w:pPr>
        <w:pStyle w:val="23"/>
        <w:pageBreakBefore w:val="0"/>
        <w:tabs>
          <w:tab w:val="left" w:pos="540"/>
          <w:tab w:val="left" w:pos="1202"/>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合同双方当事人应认真阅读和理解本合同的全部内容。除合同双方当事人同意修改外，本合同一旦订立，视为合同双方当事人已全面接受本合同的所有条款。</w:t>
      </w:r>
    </w:p>
    <w:p>
      <w:pPr>
        <w:pStyle w:val="23"/>
        <w:pageBreakBefore w:val="0"/>
        <w:tabs>
          <w:tab w:val="left" w:pos="21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3.2修改合同条款的限制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Cs w:val="0"/>
          <w:caps w:val="0"/>
          <w:color w:val="auto"/>
          <w:sz w:val="21"/>
          <w:szCs w:val="21"/>
          <w:highlight w:val="none"/>
        </w:rPr>
      </w:pPr>
      <w:bookmarkStart w:id="300" w:name="_Toc10624823"/>
      <w:bookmarkStart w:id="301" w:name="_Toc469383983"/>
      <w:r>
        <w:rPr>
          <w:rFonts w:hint="eastAsia" w:ascii="宋体" w:hAnsi="宋体" w:eastAsia="宋体" w:cs="宋体"/>
          <w:bCs w:val="0"/>
          <w:caps w:val="0"/>
          <w:color w:val="auto"/>
          <w:sz w:val="21"/>
          <w:szCs w:val="21"/>
          <w:highlight w:val="none"/>
        </w:rPr>
        <w:t>4  语言及适用的法律、标准与规范</w:t>
      </w:r>
      <w:bookmarkEnd w:id="300"/>
      <w:bookmarkEnd w:id="301"/>
    </w:p>
    <w:p>
      <w:pPr>
        <w:pageBreakBefore w:val="0"/>
        <w:tabs>
          <w:tab w:val="left" w:pos="13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4.1语言文字                         </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本合同所使用的语言文字为中文（汉语）。对于必须使用外文表达的专用术语等，应附有中文注释。合同当事人在合同中使用两种以上语言时，汉语为优先解释和说明合同的语言。</w:t>
      </w:r>
    </w:p>
    <w:p>
      <w:pPr>
        <w:pageBreakBefore w:val="0"/>
        <w:tabs>
          <w:tab w:val="left" w:pos="13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4.2 适用法律                                                                                            </w:t>
      </w:r>
    </w:p>
    <w:p>
      <w:pPr>
        <w:pStyle w:val="3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本合同适用的法律为中华人民共和国的现行法律、行政法规、部门规章和合同工程所在地的地方性法规、地方政府规章、行政规范性文件。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4.3 适用标准与规范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本合同适用的标准与规范为国家、行业和广东省的标准与规范或规程，以及发包人在合同中要求使用的标准与规范。</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Cs w:val="0"/>
          <w:caps w:val="0"/>
          <w:color w:val="auto"/>
          <w:sz w:val="21"/>
          <w:szCs w:val="21"/>
          <w:highlight w:val="none"/>
        </w:rPr>
      </w:pPr>
      <w:bookmarkStart w:id="302" w:name="_Toc469383984"/>
      <w:bookmarkStart w:id="303" w:name="_Toc10624824"/>
      <w:r>
        <w:rPr>
          <w:rFonts w:hint="eastAsia" w:ascii="宋体" w:hAnsi="宋体" w:eastAsia="宋体" w:cs="宋体"/>
          <w:bCs w:val="0"/>
          <w:caps w:val="0"/>
          <w:color w:val="auto"/>
          <w:sz w:val="21"/>
          <w:szCs w:val="21"/>
          <w:highlight w:val="none"/>
        </w:rPr>
        <w:t>5  施工设计图纸</w:t>
      </w:r>
      <w:bookmarkEnd w:id="302"/>
      <w:bookmarkEnd w:id="303"/>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5.1图纸的提供</w:t>
      </w:r>
    </w:p>
    <w:p>
      <w:pPr>
        <w:pStyle w:val="2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3"/>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5.2承包人提供配合施工的图纸</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5.3图纸的修改</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5.4图纸错漏的改正</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5.5图纸的使用与退还</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04" w:name="_Toc10624825"/>
      <w:bookmarkStart w:id="305" w:name="_Toc469383985"/>
      <w:r>
        <w:rPr>
          <w:rFonts w:hint="eastAsia" w:ascii="宋体" w:hAnsi="宋体" w:eastAsia="宋体" w:cs="宋体"/>
          <w:caps w:val="0"/>
          <w:color w:val="auto"/>
          <w:sz w:val="21"/>
          <w:szCs w:val="21"/>
          <w:highlight w:val="none"/>
        </w:rPr>
        <w:t>6  通讯联络</w:t>
      </w:r>
      <w:bookmarkEnd w:id="304"/>
      <w:bookmarkEnd w:id="305"/>
    </w:p>
    <w:p>
      <w:pPr>
        <w:pStyle w:val="23"/>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6.1通讯形式    </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    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3"/>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6.2发送通讯</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专递、挂号信等专用条款约定的方式将通讯送至通讯地址的，视为送达。</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06" w:name="_Toc10624826"/>
      <w:bookmarkStart w:id="307" w:name="_Toc469383986"/>
      <w:r>
        <w:rPr>
          <w:rFonts w:hint="eastAsia" w:ascii="宋体" w:hAnsi="宋体" w:eastAsia="宋体" w:cs="宋体"/>
          <w:caps w:val="0"/>
          <w:color w:val="auto"/>
          <w:sz w:val="21"/>
          <w:szCs w:val="21"/>
          <w:highlight w:val="none"/>
        </w:rPr>
        <w:t>7  工程分包</w:t>
      </w:r>
      <w:bookmarkEnd w:id="306"/>
      <w:bookmarkEnd w:id="30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7.1 分包工程的要求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7.2分包工程的批准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承包人可依法将部分工程分包给具有相应分包资质的分包人，但未经发包人同意，承包人不得将工程的任何部分或任何工作分包给第三方。下列情况则属例外：</w:t>
      </w:r>
    </w:p>
    <w:p>
      <w:pPr>
        <w:pStyle w:val="23"/>
        <w:pageBreakBefore w:val="0"/>
        <w:numPr>
          <w:ilvl w:val="0"/>
          <w:numId w:val="0"/>
        </w:numPr>
        <w:kinsoku/>
        <w:wordWrap/>
        <w:overflowPunct/>
        <w:topLinePunct w:val="0"/>
        <w:bidi w:val="0"/>
        <w:adjustRightInd w:val="0"/>
        <w:snapToGrid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施工劳务作业分包；</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按照合同约定的标准购买材料和工程设备；</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合同中已指定的分包工程。</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7.3 签订分包合同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7.4分包工程款结算与支付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 分包工程责任和义务</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工程分包不能免除承包人应承担的任何责任和应履行的任何义务。承包人应在分包场地派驻相应管理人员保证本合同的履行。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分包人应对分包工程负责。分包人的任何违约行为或疏忽导致工程损坏、损害或给发包人造成损失的，承包人应承担连带责任。</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7.6 分包合同终止</w:t>
      </w:r>
    </w:p>
    <w:p>
      <w:pPr>
        <w:pStyle w:val="23"/>
        <w:pageBreakBefore w:val="0"/>
        <w:tabs>
          <w:tab w:val="left" w:pos="12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无论何种原因，当本合同终止时，分包人与承包人签订的分包合同也随即终止。承包人应在本合同终止前向分包人支付分包人应得所有款项。</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08" w:name="_Toc469383987"/>
      <w:bookmarkStart w:id="309" w:name="_Toc10624827"/>
      <w:r>
        <w:rPr>
          <w:rFonts w:hint="eastAsia" w:ascii="宋体" w:hAnsi="宋体" w:eastAsia="宋体" w:cs="宋体"/>
          <w:caps w:val="0"/>
          <w:color w:val="auto"/>
          <w:sz w:val="21"/>
          <w:szCs w:val="21"/>
          <w:highlight w:val="none"/>
        </w:rPr>
        <w:t>8  现场查勘</w:t>
      </w:r>
      <w:bookmarkEnd w:id="308"/>
      <w:bookmarkEnd w:id="30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8.1发包人提供资料的责任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8.2承包人现场查勘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（1）现场地质情况及地形地貌特征；（2）水文和气候条件；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（3）为实施、完成并保修合同工程所需的临时工程和措施项目；</w:t>
      </w:r>
    </w:p>
    <w:p>
      <w:pPr>
        <w:pStyle w:val="23"/>
        <w:pageBreakBefore w:val="0"/>
        <w:tabs>
          <w:tab w:val="left" w:pos="25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4）为实施、完成并保修合同工程所需的材料采购和加工、设备的采购，及所需的施工设备、周转性材料、人员和管理等；（5）场地内外的交通情况及水、电、食宿供应条件；（6）可能对投标报价有影响或起作用的其他情况。</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10" w:name="_Toc10624828"/>
      <w:bookmarkStart w:id="311" w:name="_Toc469383988"/>
      <w:r>
        <w:rPr>
          <w:rFonts w:hint="eastAsia" w:ascii="宋体" w:hAnsi="宋体" w:eastAsia="宋体" w:cs="宋体"/>
          <w:caps w:val="0"/>
          <w:color w:val="auto"/>
          <w:sz w:val="21"/>
          <w:szCs w:val="21"/>
          <w:highlight w:val="none"/>
        </w:rPr>
        <w:t>9  招标错失的修正</w:t>
      </w:r>
      <w:bookmarkEnd w:id="310"/>
      <w:bookmarkEnd w:id="311"/>
    </w:p>
    <w:p>
      <w:pPr>
        <w:pStyle w:val="23"/>
        <w:pageBreakBefore w:val="0"/>
        <w:tabs>
          <w:tab w:val="left" w:pos="21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9.1 合同条款及格式完备性和义务</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发包人招标文件中的合同条款及格式，应被认为是正确的和公平的，并已包括了发包人履行本合同的全部义务，包括但不限于以下内容：</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（1）支付工程款及其他应付款项的义务；</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（2）完成本合同第19.2款约定工作的义务；</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（3）修正不正确合同条款及格式的义务；</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（4）澄清并改正被认定有失公平的合同条款的义务；</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（5）协助承包人实施、完成并保修合同工程的义务。</w:t>
      </w:r>
    </w:p>
    <w:p>
      <w:pPr>
        <w:pStyle w:val="23"/>
        <w:pageBreakBefore w:val="0"/>
        <w:tabs>
          <w:tab w:val="left" w:pos="21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9.2 工程量清单准确性和修正</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发包人招标文件提供的工程量清单及其招标控制价等资料，应被认为是准确的和完整的。当出现下列情形之一的，发包人应及时予以修正，并相应调整合同价款：</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（1）施工设计图纸发生变化的；（2）出现第68.2款规定调整合同价款事件的；</w:t>
      </w:r>
    </w:p>
    <w:p>
      <w:pPr>
        <w:pStyle w:val="23"/>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（3）未按照国家、省有关计价规定编制的其它情形</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（4）工程量清单存在缺项、漏项的</w:t>
      </w:r>
      <w:r>
        <w:rPr>
          <w:rFonts w:hint="eastAsia" w:ascii="宋体" w:hAnsi="宋体" w:eastAsia="宋体" w:cs="宋体"/>
          <w:caps w:val="0"/>
          <w:color w:val="auto"/>
          <w:sz w:val="21"/>
          <w:szCs w:val="21"/>
          <w:highlight w:val="none"/>
          <w:lang w:eastAsia="zh-CN"/>
        </w:rPr>
        <w:t>。</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12" w:name="_Toc469383989"/>
      <w:bookmarkStart w:id="313" w:name="_Toc10624829"/>
      <w:r>
        <w:rPr>
          <w:rFonts w:hint="eastAsia" w:ascii="宋体" w:hAnsi="宋体" w:eastAsia="宋体" w:cs="宋体"/>
          <w:caps w:val="0"/>
          <w:color w:val="auto"/>
          <w:sz w:val="21"/>
          <w:szCs w:val="21"/>
          <w:highlight w:val="none"/>
        </w:rPr>
        <w:t>10  投标文件的完备性</w:t>
      </w:r>
      <w:bookmarkEnd w:id="312"/>
      <w:bookmarkEnd w:id="313"/>
    </w:p>
    <w:p>
      <w:pPr>
        <w:pStyle w:val="23"/>
        <w:pageBreakBefore w:val="0"/>
        <w:tabs>
          <w:tab w:val="left" w:pos="141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10.1投标文件完备性和义务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承包人投标文件中的工程量清单所填单价和合价，应被认为是正确的和完备的，并已包括了承包人履行本合同的全部义务，包括但不限于以下内容：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（1）提供材料和工程设备、服务的义务及处理意外事件的义务；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（2）实施和完成合同工程的义务；（3）工程质量保修的一切义务。</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10.2承包人报价的限制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承包人投标文件中的工程量清单中没有填入单价或合价的清单项目，应认为该项目价款已包含在工程量清单的其他项目的单价或合价中，发包人将不另行支付。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10.3算术性错误的调整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承包人投标文件中出现算术性错误，导致其实际总造价与报价总金额不一致时，合同双方当事人可按照国家、省有关规定予以修正，并相应调整合同价款。</w:t>
      </w:r>
      <w:bookmarkStart w:id="314" w:name="_Toc469383990"/>
      <w:bookmarkStart w:id="315" w:name="_Toc10624830"/>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11  文物和地下障碍物</w:t>
      </w:r>
      <w:bookmarkEnd w:id="314"/>
      <w:bookmarkEnd w:id="31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11.1文物化石等物品保护</w:t>
      </w:r>
      <w:r>
        <w:rPr>
          <w:rFonts w:hint="eastAsia" w:ascii="宋体" w:hAnsi="宋体" w:eastAsia="宋体" w:cs="宋体"/>
          <w:caps w:val="0"/>
          <w:color w:val="auto"/>
          <w:sz w:val="21"/>
          <w:szCs w:val="21"/>
          <w:highlight w:val="none"/>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ascii="宋体" w:hAnsi="宋体" w:eastAsia="宋体" w:cs="宋体"/>
          <w:caps w:val="0"/>
          <w:color w:val="auto"/>
          <w:sz w:val="21"/>
          <w:szCs w:val="21"/>
          <w:highlight w:val="none"/>
        </w:rPr>
        <w:br w:type="textWrapping"/>
      </w:r>
      <w:r>
        <w:rPr>
          <w:rFonts w:hint="eastAsia" w:ascii="宋体" w:hAnsi="宋体" w:eastAsia="宋体" w:cs="宋体"/>
          <w:caps w:val="0"/>
          <w:color w:val="auto"/>
          <w:sz w:val="21"/>
          <w:szCs w:val="21"/>
          <w:highlight w:val="none"/>
        </w:rPr>
        <w:t>如发现文物后隐瞒不报或报告不及时，导致上述文物丢失或遭受破坏的，由责任方赔偿损失，并承担相应的法律责任。</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11.2 地下障碍物处置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本合同已明确指出的地下障碍物（发包人招标文件提供的工程量清单有列明或提供的地质资料已明确反映的），应视为承包人在投标报价时已预见其对施工的影响，并已在合同价款中考虑。</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本合同未有明确指出的地下障碍物（发包人招标文件提供的工程量清单没列明或提供的地质资料不能明确反映的），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12.1发生事故的通知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合同履行期间，合同工程发生质量与安全事故，承包人立即通知监理工程师和发包人。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12.2 事故的处理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合同双方当事人应按照国家规定时限如实上报政府有关部门，配合政府有关部门的调查和处理，由此发生的费用和（或）延误的工期由事故责任方承担。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12.3事故争议认定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合同双方当事人对事故责任有争议时，应按照政府有关部门的认定处理。</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16" w:name="_Toc10624832"/>
      <w:bookmarkStart w:id="317" w:name="_Toc469383992"/>
      <w:r>
        <w:rPr>
          <w:rFonts w:hint="eastAsia" w:ascii="宋体" w:hAnsi="宋体" w:eastAsia="宋体" w:cs="宋体"/>
          <w:b/>
          <w:bCs/>
          <w:caps w:val="0"/>
          <w:color w:val="auto"/>
          <w:sz w:val="21"/>
          <w:szCs w:val="21"/>
          <w:highlight w:val="none"/>
        </w:rPr>
        <w:t>13  交通运输</w:t>
      </w:r>
      <w:bookmarkEnd w:id="316"/>
      <w:bookmarkEnd w:id="317"/>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13.1道路通行权和场外设施  </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13.2</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场内临时道路和交通设施</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除专用条款另有约定外，承包人应负责修建、维修、养护和管理施工场地内所需的临时道路和交通设施，包括维修、养护和管理发包人提供的道路和交通设施，并承担相应费用。</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承包人修建的临时道路和交通设施应免费提供发包人使用。</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13.3场外交通</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13.4超大件和超重件的运输</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13.5道路和桥梁的损坏责任</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因承包人运输造成施工场地内外公共道路和桥梁损坏的，由承包人承担修复损坏的全部费用和可能引起的赔偿。</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13.6水路和航空运输</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本条内容适用于水路运输和航空运输，其中“道路”包括河道、航线、船闸、机场、码头、堤防以及水路或航空运输中其他相似结构物；“车辆”包括船舶和飞机等。</w:t>
      </w:r>
    </w:p>
    <w:p>
      <w:pPr>
        <w:pStyle w:val="23"/>
        <w:pageBreakBefore w:val="0"/>
        <w:tabs>
          <w:tab w:val="left" w:pos="3818"/>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18" w:name="_Toc10624833"/>
      <w:bookmarkStart w:id="319" w:name="_Toc469383993"/>
      <w:r>
        <w:rPr>
          <w:rFonts w:hint="eastAsia" w:ascii="宋体" w:hAnsi="宋体" w:eastAsia="宋体" w:cs="宋体"/>
          <w:b/>
          <w:bCs/>
          <w:caps w:val="0"/>
          <w:color w:val="auto"/>
          <w:sz w:val="21"/>
          <w:szCs w:val="21"/>
          <w:highlight w:val="none"/>
        </w:rPr>
        <w:t>14  专项批准事件的签认</w:t>
      </w:r>
      <w:bookmarkEnd w:id="318"/>
      <w:bookmarkEnd w:id="319"/>
      <w:r>
        <w:rPr>
          <w:rFonts w:hint="eastAsia" w:ascii="宋体" w:hAnsi="宋体" w:eastAsia="宋体" w:cs="宋体"/>
          <w:b/>
          <w:bCs/>
          <w:caps w:val="0"/>
          <w:color w:val="auto"/>
          <w:sz w:val="21"/>
          <w:szCs w:val="21"/>
          <w:highlight w:val="none"/>
        </w:rPr>
        <w:tab/>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14.1 专项批准事件的签认</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3"/>
        <w:pageBreakBefore w:val="0"/>
        <w:tabs>
          <w:tab w:val="left" w:pos="21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14.2专项批准事件签认人的要求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20" w:name="_Toc10624834"/>
      <w:bookmarkStart w:id="321" w:name="_Toc469383994"/>
      <w:r>
        <w:rPr>
          <w:rFonts w:hint="eastAsia" w:ascii="宋体" w:hAnsi="宋体" w:eastAsia="宋体" w:cs="宋体"/>
          <w:b/>
          <w:bCs/>
          <w:caps w:val="0"/>
          <w:color w:val="auto"/>
          <w:sz w:val="21"/>
          <w:szCs w:val="21"/>
          <w:highlight w:val="none"/>
        </w:rPr>
        <w:t>15  专利技术</w:t>
      </w:r>
      <w:bookmarkEnd w:id="320"/>
      <w:bookmarkEnd w:id="32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15.1 侵犯专利技术责任                                                                    </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15.2专利技术的使用</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m2TpNYAAAAI&#10;AQAADwAAAAAAAAABACAAAAAiAAAAZHJzL2Rvd25yZXYueG1sUEsBAhQAFAAAAAgAh07iQEeUyT6s&#10;AQAATQMAAA4AAAAAAAAAAQAgAAAAJQEAAGRycy9lMm9Eb2MueG1sUEsFBgAAAAAGAAYAWQEAAEMF&#10;AAAAAA==&#10;">
                <v:fill on="f" focussize="0,0"/>
                <v:stroke on="f"/>
                <v:imagedata o:title=""/>
                <o:lock v:ext="edit" aspectratio="f"/>
                <v:textbox>
                  <w:txbxContent>
                    <w:p>
                      <w:pPr>
                        <w:rPr>
                          <w:rFonts w:hint="eastAsia"/>
                        </w:rPr>
                      </w:pPr>
                    </w:p>
                  </w:txbxContent>
                </v:textbox>
              </v:shape>
            </w:pict>
          </mc:Fallback>
        </mc:AlternateContent>
      </w:r>
      <w:r>
        <w:rPr>
          <w:rFonts w:hint="eastAsia" w:ascii="宋体" w:hAnsi="宋体" w:eastAsia="宋体" w:cs="宋体"/>
          <w:caps w:val="0"/>
          <w:color w:val="auto"/>
          <w:sz w:val="21"/>
          <w:szCs w:val="21"/>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3"/>
        <w:pageBreakBefore w:val="0"/>
        <w:tabs>
          <w:tab w:val="left" w:pos="16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15.3</w:t>
      </w:r>
      <w:r>
        <w:rPr>
          <w:rFonts w:hint="eastAsia" w:ascii="宋体" w:hAnsi="宋体" w:eastAsia="宋体" w:cs="宋体"/>
          <w:b/>
          <w:bCs/>
          <w:caps w:val="0"/>
          <w:color w:val="auto"/>
          <w:sz w:val="21"/>
          <w:szCs w:val="21"/>
          <w:highlight w:val="none"/>
        </w:rPr>
        <w:t>版权和知识产权</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22" w:name="_Toc469383995"/>
      <w:bookmarkStart w:id="323" w:name="_Toc10624835"/>
      <w:r>
        <w:rPr>
          <w:rFonts w:hint="eastAsia" w:ascii="宋体" w:hAnsi="宋体" w:eastAsia="宋体" w:cs="宋体"/>
          <w:b/>
          <w:bCs/>
          <w:caps w:val="0"/>
          <w:color w:val="auto"/>
          <w:sz w:val="21"/>
          <w:szCs w:val="21"/>
          <w:highlight w:val="none"/>
        </w:rPr>
        <w:t>16  联合的责任</w:t>
      </w:r>
      <w:bookmarkEnd w:id="322"/>
      <w:bookmarkEnd w:id="323"/>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16.1 共同的和各自的责任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16.2联合体文件签暑</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pStyle w:val="23"/>
        <w:pageBreakBefore w:val="0"/>
        <w:tabs>
          <w:tab w:val="left" w:pos="105"/>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24" w:name="_Toc469383996"/>
      <w:bookmarkStart w:id="325" w:name="_Toc10624836"/>
      <w:r>
        <w:rPr>
          <w:rFonts w:hint="eastAsia" w:ascii="宋体" w:hAnsi="宋体" w:eastAsia="宋体" w:cs="宋体"/>
          <w:b/>
          <w:bCs/>
          <w:caps w:val="0"/>
          <w:color w:val="auto"/>
          <w:sz w:val="21"/>
          <w:szCs w:val="21"/>
          <w:highlight w:val="none"/>
        </w:rPr>
        <w:t>17  保障</w:t>
      </w:r>
      <w:bookmarkEnd w:id="324"/>
      <w:bookmarkEnd w:id="325"/>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17.1合同双方相互保障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pageBreakBefore w:val="0"/>
        <w:tabs>
          <w:tab w:val="left" w:pos="1202"/>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17.2承包人对发包人的保障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承包人应保障发包人不承担因承包人移动或使用施工场地外的施工设备和临时设施所造成的损害而引起的赔偿。</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26" w:name="_Toc469383997"/>
      <w:bookmarkStart w:id="327" w:name="_Toc10624837"/>
      <w:r>
        <w:rPr>
          <w:rFonts w:hint="eastAsia" w:ascii="宋体" w:hAnsi="宋体" w:eastAsia="宋体" w:cs="宋体"/>
          <w:b/>
          <w:bCs/>
          <w:caps w:val="0"/>
          <w:color w:val="auto"/>
          <w:sz w:val="21"/>
          <w:szCs w:val="21"/>
          <w:highlight w:val="none"/>
        </w:rPr>
        <w:t>18  财产</w:t>
      </w:r>
      <w:bookmarkEnd w:id="326"/>
      <w:bookmarkEnd w:id="32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18.1用于工程材料、工程设备和施工设备的</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18.2发包人财产及其使用</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如果发包人依据第87.3款规定的情形解除合同，则合同工程和临时工程，应认为是发包人的财产。</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18.3承包人财产及其使用</w:t>
      </w:r>
    </w:p>
    <w:p>
      <w:pPr>
        <w:pageBreakBefore w:val="0"/>
        <w:kinsoku/>
        <w:wordWrap/>
        <w:overflowPunct/>
        <w:topLinePunct w:val="0"/>
        <w:bidi w:val="0"/>
        <w:spacing w:line="360" w:lineRule="auto"/>
        <w:ind w:left="0" w:leftChars="0" w:right="0" w:rightChars="0" w:firstLine="420" w:firstLineChars="200"/>
        <w:jc w:val="both"/>
        <w:textAlignment w:val="auto"/>
        <w:outlineLvl w:val="1"/>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328" w:name="_Toc10624838"/>
      <w:bookmarkStart w:id="329" w:name="_Toc469383998"/>
      <w:r>
        <w:rPr>
          <w:rFonts w:hint="eastAsia" w:ascii="宋体" w:hAnsi="宋体" w:eastAsia="宋体" w:cs="宋体"/>
          <w:b/>
          <w:bCs/>
          <w:caps w:val="0"/>
          <w:color w:val="auto"/>
          <w:sz w:val="21"/>
          <w:szCs w:val="21"/>
          <w:highlight w:val="none"/>
          <w:lang w:val="en-US" w:eastAsia="zh-CN"/>
        </w:rPr>
        <w:t>二、</w:t>
      </w:r>
      <w:r>
        <w:rPr>
          <w:rFonts w:hint="eastAsia" w:ascii="宋体" w:hAnsi="宋体" w:eastAsia="宋体" w:cs="宋体"/>
          <w:b/>
          <w:bCs/>
          <w:caps w:val="0"/>
          <w:color w:val="auto"/>
          <w:sz w:val="21"/>
          <w:szCs w:val="21"/>
          <w:highlight w:val="none"/>
        </w:rPr>
        <w:t>合同主体</w:t>
      </w:r>
      <w:bookmarkEnd w:id="328"/>
      <w:bookmarkEnd w:id="329"/>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30" w:name="_Toc469383999"/>
      <w:bookmarkStart w:id="331" w:name="_Toc10624839"/>
      <w:r>
        <w:rPr>
          <w:rFonts w:hint="eastAsia" w:ascii="宋体" w:hAnsi="宋体" w:eastAsia="宋体" w:cs="宋体"/>
          <w:caps w:val="0"/>
          <w:color w:val="auto"/>
          <w:sz w:val="21"/>
          <w:szCs w:val="21"/>
          <w:highlight w:val="none"/>
        </w:rPr>
        <w:t>19  发包人</w:t>
      </w:r>
      <w:bookmarkEnd w:id="330"/>
      <w:bookmarkEnd w:id="331"/>
    </w:p>
    <w:p>
      <w:pPr>
        <w:pageBreakBefore w:val="0"/>
        <w:tabs>
          <w:tab w:val="left" w:pos="16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19.1 遵守法律                                             </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pageBreakBefore w:val="0"/>
        <w:tabs>
          <w:tab w:val="left" w:pos="16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19.2发包人工作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发包人应按照合同约定完成下列工作，包括但不限于：</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办理土地征用、拆迁、平整施工场地等工作，使施工场地具备施工条件，并在开工后继续负责解决上述工作遗留的问题；</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将施工所需水、电、通讯线路从施工场地外部接驳至专用条款约定的地点，保证施工期间的需要；</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开通施工场地与城乡公共道路间的通道，满足第13条交通运输的需要；</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办理施工许可及其他所需证件、批准文件和办理临时用地、停水、停电、中断道路交通、爆破作业等的申请批准手续（承包人自身施工资质的证件除外）；</w:t>
      </w:r>
    </w:p>
    <w:p>
      <w:pPr>
        <w:pageBreakBefore w:val="0"/>
        <w:tabs>
          <w:tab w:val="left" w:pos="1080"/>
          <w:tab w:val="left" w:pos="1980"/>
        </w:tabs>
        <w:kinsoku/>
        <w:wordWrap/>
        <w:overflowPunct/>
        <w:topLinePunct w:val="0"/>
        <w:bidi w:val="0"/>
        <w:spacing w:line="360" w:lineRule="auto"/>
        <w:ind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确定水准点与坐标控制点，组织现场交验并以书面形式移交给承包人；</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 按照专用条款约定的时间向承包人提供一式两份约定的标准与规范；</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(8) 组织承包人和设计人进行图纸会审和设计交底；</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(9)协调处理施工场地周围地形关系问题和做好邻近建筑物、构筑物（包括文物</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保护建筑）、古树名木等的保护工作；</w:t>
      </w:r>
    </w:p>
    <w:p>
      <w:pPr>
        <w:pageBreakBefore w:val="0"/>
        <w:tabs>
          <w:tab w:val="left" w:pos="1080"/>
          <w:tab w:val="left" w:pos="198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(10)及时接收已完工程，并按照合同约定及时支付工程款及其他各种款项。</w:t>
      </w:r>
    </w:p>
    <w:p>
      <w:pPr>
        <w:pStyle w:val="25"/>
        <w:pageBreakBefore w:val="0"/>
        <w:tabs>
          <w:tab w:val="left" w:pos="1980"/>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发包人可将其中部分工作委托给承包人办理，具体由合同双方当事人在专用条款中约定。除合同价款已包括外，由发包人承担所需费用，并向承包人支付合理利润。</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19.3发包人提供施工场地</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发包人应按照专用条款约定的时间提供施工场地，并在确保承包人按照计划进度顺利开工的时间内给予承包人进入和使用施工场地的权利。</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发包人保留其工作人员、雇员和相关执法人员进入和使用施工场地的权利。</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19.4 发包人支付款项</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发包人应按照合同约定的期限和方式向承包人支付工程款及其他应支付的款项。</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19.5发包人组织竣工验收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发包人应按照第58条规定组织承包人、设计人、监理人和工程造价咨询人（如有）等进行竣工验收。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19.6包人供应材料和工程设备要求</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发包人供应材料和工程设备的，发包人应按照第48条规定向承包人提供材料和工程设备。</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19.7发包人未尽义务的责任</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发包人未能正确完成本合同约定的全部义务，导致费用的增加和（或）延误的工期，由发包人承担；给承包人造成损失的，发包人应予赔偿。</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32" w:name="_Toc10624840"/>
      <w:bookmarkStart w:id="333" w:name="_Toc469384000"/>
      <w:r>
        <w:rPr>
          <w:rFonts w:hint="eastAsia" w:ascii="宋体" w:hAnsi="宋体" w:eastAsia="宋体" w:cs="宋体"/>
          <w:caps w:val="0"/>
          <w:color w:val="auto"/>
          <w:sz w:val="21"/>
          <w:szCs w:val="21"/>
          <w:highlight w:val="none"/>
        </w:rPr>
        <w:t>20  承包人</w:t>
      </w:r>
      <w:bookmarkEnd w:id="332"/>
      <w:bookmarkEnd w:id="333"/>
    </w:p>
    <w:p>
      <w:pPr>
        <w:pageBreakBefore w:val="0"/>
        <w:tabs>
          <w:tab w:val="left" w:pos="16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20.1遵守法律                                                      </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承包人在本项目发包人的工程项目中存在下列行为的，将被拒绝参与发包人后续工程</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投标。拒绝投标时限由发包人（招标人）视严重程度确定，并在专用条款中约定。</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1.将中标工程转包或者违法分包的；</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2.在中标工程中不执行质量、安全生产相关规定的，造成质量或安全事故的；</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3.存在围标或串标情形的；</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4.存在弄虚作假骗取中标情形的；</w:t>
      </w:r>
    </w:p>
    <w:p>
      <w:pPr>
        <w:pStyle w:val="158"/>
        <w:pageBreakBefore w:val="0"/>
        <w:kinsoku/>
        <w:wordWrap/>
        <w:overflowPunct/>
        <w:topLinePunct w:val="0"/>
        <w:bidi w:val="0"/>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aps w:val="0"/>
          <w:color w:val="auto"/>
          <w:kern w:val="2"/>
          <w:sz w:val="21"/>
          <w:szCs w:val="21"/>
          <w:highlight w:val="none"/>
        </w:rPr>
      </w:pPr>
      <w:r>
        <w:rPr>
          <w:rFonts w:hint="eastAsia" w:ascii="宋体" w:hAnsi="宋体" w:eastAsia="宋体" w:cs="宋体"/>
          <w:caps w:val="0"/>
          <w:color w:val="auto"/>
          <w:kern w:val="2"/>
          <w:sz w:val="21"/>
          <w:szCs w:val="21"/>
          <w:highlight w:val="none"/>
        </w:rPr>
        <w:t>5.存在因过错行为被生效法律文书认定承担违约或侵权责任的。</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20.2承包人工作</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承包人应按照合同约定完成下列工作，包括但不限于：</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按照合同约定和监理工程师的指令实施、完成并保修合同工程；</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按照合同约定和监理工程师的要求提交工程进度报告和进度计划；</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按照合同约定和造价工程师的要求提交支付申请和工程款报告，包括绿色施工安全防护费、进度款、结算款和调整合同价款等；</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负责施工场地安全保卫工作，防止因工程施工造成的人身伤害和财产损失，提供和维修非夜间施工使用的照明、围栏设施等安全标志；</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 xml:space="preserve">遵守政府部门有关施工场地交通、环境保护、施工噪声、绿色施工安全防护等的管理规定，办理有关手续，并以书面形式通知发包人，费用按政府有关部门相关文件规定由发（承）包人各自承担； </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做好施工场地地下管线和邻近建筑物、构筑物（包括文物保护建筑）、古树名木的保护工作；</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9</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遵守政府部门有关环境卫生的管理规定，保证施工场地的清洁和做好交工前施工现场的清理工作，并承担因自身责任造成的损失和罚款；</w:t>
      </w:r>
    </w:p>
    <w:p>
      <w:pPr>
        <w:pageBreakBefore w:val="0"/>
        <w:numPr>
          <w:ilvl w:val="0"/>
          <w:numId w:val="0"/>
        </w:numPr>
        <w:tabs>
          <w:tab w:val="left" w:pos="198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10</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工程完工后，应按照合同约定提交竣工验收申请报告和竣工结算文件。</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20.3  承包人实施工作</w:t>
      </w:r>
      <w:r>
        <w:rPr>
          <w:rFonts w:hint="eastAsia" w:ascii="宋体" w:hAnsi="宋体" w:eastAsia="宋体" w:cs="宋体"/>
          <w:caps w:val="0"/>
          <w:color w:val="auto"/>
          <w:sz w:val="21"/>
          <w:szCs w:val="21"/>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20.4 承包人实施施工组织设计和工作安排</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20.5承包人为发包人的人员提供配合</w:t>
      </w:r>
    </w:p>
    <w:p>
      <w:pPr>
        <w:pStyle w:val="33"/>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承包人应按照合同约定或监理工程师的指令，配合和协助下述人员在施工场地及其附近实施与合同工程有关的各项工作：</w:t>
      </w:r>
    </w:p>
    <w:p>
      <w:pPr>
        <w:pageBreakBefore w:val="0"/>
        <w:tabs>
          <w:tab w:val="left" w:pos="1980"/>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（1）发包人的工作人员；（2）发包人的雇员；（3）任何监督管理机构的执法人员。</w:t>
      </w:r>
    </w:p>
    <w:p>
      <w:pPr>
        <w:pStyle w:val="25"/>
        <w:pageBreakBefore w:val="0"/>
        <w:tabs>
          <w:tab w:val="left" w:pos="2520"/>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此类指令若增加了承包人的工作或支出，包括使用了承包人的设备、临时工程或通行道路等，则视为工程变更，按照第72条规定调整合同价款。</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20.6 承包人避免施工损害他人利益</w:t>
      </w:r>
    </w:p>
    <w:p>
      <w:pPr>
        <w:pageBreakBefore w:val="0"/>
        <w:tabs>
          <w:tab w:val="left" w:pos="497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pageBreakBefore w:val="0"/>
        <w:tabs>
          <w:tab w:val="left" w:pos="497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20.7承包人未尽义务的责任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承包人未能正确完成本合同约定的全部义务，导致费用的增加和（或）延误的工期，由承包人承担；给发包人造成损失的，承包人应予赔偿。</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34" w:name="_Toc10624841"/>
      <w:bookmarkStart w:id="335" w:name="_Toc469384001"/>
      <w:r>
        <w:rPr>
          <w:rFonts w:hint="eastAsia" w:ascii="宋体" w:hAnsi="宋体" w:eastAsia="宋体" w:cs="宋体"/>
          <w:b/>
          <w:bCs/>
          <w:caps w:val="0"/>
          <w:color w:val="auto"/>
          <w:sz w:val="21"/>
          <w:szCs w:val="21"/>
          <w:highlight w:val="none"/>
        </w:rPr>
        <w:t>21  现场管理人员任命和更换</w:t>
      </w:r>
      <w:bookmarkEnd w:id="334"/>
      <w:bookmarkEnd w:id="33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21.1发包人现场管理人员任命和更换</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3"/>
        <w:pageBreakBefore w:val="0"/>
        <w:tabs>
          <w:tab w:val="left" w:pos="1320"/>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21.2 承包人代表任命和更换</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21.3监理工程师、造价工程师代表任命和撤回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21.4 承包人代表授权人选任命和撤回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除合同约定或依法应由承包人代表行使的职权外，承包人代表可将其职权以书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36" w:name="_Toc469384002"/>
      <w:bookmarkStart w:id="337" w:name="_Toc10624842"/>
      <w:r>
        <w:rPr>
          <w:rFonts w:hint="eastAsia" w:ascii="宋体" w:hAnsi="宋体" w:eastAsia="宋体" w:cs="宋体"/>
          <w:caps w:val="0"/>
          <w:color w:val="auto"/>
          <w:sz w:val="21"/>
          <w:szCs w:val="21"/>
          <w:highlight w:val="none"/>
        </w:rPr>
        <w:t>22  发包人代表</w:t>
      </w:r>
      <w:bookmarkEnd w:id="336"/>
      <w:bookmarkEnd w:id="33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22.1发包人对其代表授权                          </w:t>
      </w:r>
    </w:p>
    <w:p>
      <w:pPr>
        <w:pStyle w:val="3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22.2 发包人代表职权</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发包人代表应代表发包人履行合同规定的职责、行使合同明文规定和必然隐含的权力，对发包人负责。发包人代表在发包人授予职权范围内工作，发包人应予认可。</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Cs w:val="0"/>
          <w:caps w:val="0"/>
          <w:color w:val="auto"/>
          <w:sz w:val="21"/>
          <w:szCs w:val="21"/>
          <w:highlight w:val="none"/>
        </w:rPr>
      </w:pPr>
      <w:bookmarkStart w:id="338" w:name="_Toc10624843"/>
      <w:bookmarkStart w:id="339" w:name="_Toc469384003"/>
      <w:r>
        <w:rPr>
          <w:rFonts w:hint="eastAsia" w:ascii="宋体" w:hAnsi="宋体" w:eastAsia="宋体" w:cs="宋体"/>
          <w:bCs w:val="0"/>
          <w:caps w:val="0"/>
          <w:color w:val="auto"/>
          <w:sz w:val="21"/>
          <w:szCs w:val="21"/>
          <w:highlight w:val="none"/>
        </w:rPr>
        <w:t>23  监理工程师</w:t>
      </w:r>
      <w:bookmarkEnd w:id="338"/>
      <w:bookmarkEnd w:id="339"/>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23.1发包人对监理工程师授权</w:t>
      </w:r>
    </w:p>
    <w:p>
      <w:pPr>
        <w:pStyle w:val="3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23.2 监理工程师职权</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23.3 监理工程师职权限制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除属于第86条规定的争议外，监理工程师在职权范围内的工作，发包人应予认可，但下列事件应事先取得发包人的专项批准：</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根据第5.2款规定批准承包人提供的配合施工设计图纸；</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根据第7.2款规定同意承包人分包工程；</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根据第18.1款规定批准承包人将材料和工程设备、施工设备移出施工场地；</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根据第33条规定批准承包人的施工组织设计和工程进度计划；</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根据第34.2款规定发出的工程开工令；</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根据第37.2款规定发出加快进度的变更指令；</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rPr>
        <w:t>根据第49.6款规定使用替换材料；</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rPr>
        <w:t>根据第63条规定发出使用暂列金额的工作指令；</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9）</w:t>
      </w:r>
      <w:r>
        <w:rPr>
          <w:rFonts w:hint="eastAsia" w:ascii="宋体" w:hAnsi="宋体" w:eastAsia="宋体" w:cs="宋体"/>
          <w:caps w:val="0"/>
          <w:color w:val="auto"/>
          <w:sz w:val="21"/>
          <w:szCs w:val="21"/>
          <w:highlight w:val="none"/>
        </w:rPr>
        <w:t>根据第64条规定发出使用计日工的工作指令；</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（10）根据第56条规定指令或批准的工程变更；</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（11）根据第75条规定指令或确认的现场签证；</w:t>
      </w:r>
    </w:p>
    <w:p>
      <w:pPr>
        <w:pStyle w:val="73"/>
        <w:pageBreakBefore w:val="0"/>
        <w:kinsoku/>
        <w:wordWrap/>
        <w:overflowPunct/>
        <w:topLinePunct w:val="0"/>
        <w:bidi w:val="0"/>
        <w:spacing w:line="360" w:lineRule="auto"/>
        <w:ind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（12）专用条款约定需要发包人批准的其他事项。</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23.4监理工程师指令</w:t>
      </w:r>
      <w:r>
        <w:rPr>
          <w:rFonts w:hint="eastAsia" w:ascii="宋体" w:hAnsi="宋体" w:eastAsia="宋体" w:cs="宋体"/>
          <w:b/>
          <w:bCs/>
          <w:caps w:val="0"/>
          <w:color w:val="auto"/>
          <w:sz w:val="21"/>
          <w:szCs w:val="21"/>
          <w:highlight w:val="none"/>
          <w:u w:val="dotted"/>
        </w:rPr>
        <w:t xml:space="preserve">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监理工程师应按照合同约定时间向承包人提供实施合同工程的进度、质量和安全工作所需的批准、确认和通知等指令。</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23.5 承包人执行监理工程师指令</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23.6</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监理工程师职权委托</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23.7 监理工程师未尽义务或失误的责任</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监理工程师（含其代表）未能正确完成本合同约定的全部义务，或工作出现失误，导致费用的增加和（或）延误的工期，由发包人承担；给承包人造成损失的，发包人应予赔偿。</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40" w:name="_Toc10624844"/>
      <w:bookmarkStart w:id="341" w:name="_Toc469384004"/>
      <w:r>
        <w:rPr>
          <w:rFonts w:hint="eastAsia" w:ascii="宋体" w:hAnsi="宋体" w:eastAsia="宋体" w:cs="宋体"/>
          <w:caps w:val="0"/>
          <w:color w:val="auto"/>
          <w:sz w:val="21"/>
          <w:szCs w:val="21"/>
          <w:highlight w:val="none"/>
        </w:rPr>
        <w:t>24  造价工程师</w:t>
      </w:r>
      <w:bookmarkEnd w:id="340"/>
      <w:bookmarkEnd w:id="341"/>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24.1 发包人对造价工程师授权                           </w:t>
      </w:r>
    </w:p>
    <w:p>
      <w:pPr>
        <w:pStyle w:val="33"/>
        <w:pageBreakBefore w:val="0"/>
        <w:tabs>
          <w:tab w:val="left" w:pos="1260"/>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24.2  造价工程师职权</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24.3  造价工程师职权限制</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除属于第86条规定的争议外，造价工程师在职权范围内的工作，发包人应予认可，但下列事件应事先取得发包人的专项批准：</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根据第63条规定使用暂列金额；</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根据第64条规定使用计日工；</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根据第65条规定使用暂估价；</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根据第66条确定的提前竣工奖与误期赔偿费；</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根据第67条确定的工程优质费；</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根据第68.2款规定事件调整的合同价款；</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专用条款约定需要发包人批准的其他事项。</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24.4 造价工程师指令</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造价工程师应按照合同约定时间向承包人提供实施合同工程的工程造价工作所需的核实、调整和通知等指令。</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24.5 承包人执行造价工程 </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24.6  造价工程师职权委托</w:t>
      </w:r>
    </w:p>
    <w:p>
      <w:pPr>
        <w:pageBreakBefore w:val="0"/>
        <w:tabs>
          <w:tab w:val="left" w:pos="12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pageBreakBefore w:val="0"/>
        <w:tabs>
          <w:tab w:val="left" w:pos="126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24.7</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造价工程师未尽义务或失误的责任</w:t>
      </w:r>
    </w:p>
    <w:p>
      <w:pPr>
        <w:pageBreakBefore w:val="0"/>
        <w:tabs>
          <w:tab w:val="left" w:pos="540"/>
          <w:tab w:val="left" w:pos="7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造价工程师（含其代表）未能正确完成本合同约定的全部义务，或工作出现失误，导致费用的增加和（或）延误的工期，由发包人承担；给承包人造成损失的，发包人应予赔偿。</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42" w:name="_Toc10624845"/>
      <w:bookmarkStart w:id="343" w:name="_Toc469384005"/>
      <w:r>
        <w:rPr>
          <w:rFonts w:hint="eastAsia" w:ascii="宋体" w:hAnsi="宋体" w:eastAsia="宋体" w:cs="宋体"/>
          <w:caps w:val="0"/>
          <w:color w:val="auto"/>
          <w:sz w:val="21"/>
          <w:szCs w:val="21"/>
          <w:highlight w:val="none"/>
        </w:rPr>
        <w:t>25  承包人代表</w:t>
      </w:r>
      <w:bookmarkEnd w:id="342"/>
      <w:bookmarkEnd w:id="343"/>
    </w:p>
    <w:p>
      <w:pPr>
        <w:pageBreakBefore w:val="0"/>
        <w:tabs>
          <w:tab w:val="left" w:pos="540"/>
          <w:tab w:val="left" w:pos="7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25.1 承包人对其代表授权           </w:t>
      </w:r>
    </w:p>
    <w:p>
      <w:pPr>
        <w:pStyle w:val="33"/>
        <w:pageBreakBefore w:val="0"/>
        <w:tabs>
          <w:tab w:val="left" w:pos="540"/>
          <w:tab w:val="left" w:pos="7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承包人应依据第21.2款规定在专用条款中写明承包人代表具体人选，同时在开工前将承包人代表任命书以书面形式通知发包人，授予其代表承包人履行合同规定职责所需的一切权力。</w:t>
      </w:r>
    </w:p>
    <w:p>
      <w:pPr>
        <w:pageBreakBefore w:val="0"/>
        <w:tabs>
          <w:tab w:val="left" w:pos="540"/>
          <w:tab w:val="left" w:pos="720"/>
          <w:tab w:val="left" w:pos="1260"/>
          <w:tab w:val="left" w:pos="144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25.2 承包人代表职权</w:t>
      </w:r>
    </w:p>
    <w:p>
      <w:pPr>
        <w:pageBreakBefore w:val="0"/>
        <w:tabs>
          <w:tab w:val="left" w:pos="540"/>
          <w:tab w:val="left" w:pos="720"/>
          <w:tab w:val="left" w:pos="1260"/>
          <w:tab w:val="left" w:pos="144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承包人代表应代表承包人履行合同规定的职责、行使合同明文约定或必然隐含的权力，对承包人负责。承包人代表在承包人授予职权范围内的工作，承包人应予认可。</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25.3 承包人代表临时任命</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25.4 紧急情况时承包人代表采取措施及双方责任</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bookmarkStart w:id="344" w:name="_Toc468936969"/>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45" w:name="_Toc10624846"/>
      <w:bookmarkStart w:id="346" w:name="_Toc469384006"/>
      <w:r>
        <w:rPr>
          <w:rFonts w:hint="eastAsia" w:ascii="宋体" w:hAnsi="宋体" w:eastAsia="宋体" w:cs="宋体"/>
          <w:b/>
          <w:bCs/>
          <w:caps w:val="0"/>
          <w:color w:val="auto"/>
          <w:sz w:val="21"/>
          <w:szCs w:val="21"/>
          <w:highlight w:val="none"/>
        </w:rPr>
        <w:t>26  指定分包</w:t>
      </w:r>
      <w:bookmarkEnd w:id="344"/>
      <w:r>
        <w:rPr>
          <w:rFonts w:hint="eastAsia" w:ascii="宋体" w:hAnsi="宋体" w:eastAsia="宋体" w:cs="宋体"/>
          <w:b/>
          <w:bCs/>
          <w:caps w:val="0"/>
          <w:color w:val="auto"/>
          <w:sz w:val="21"/>
          <w:szCs w:val="21"/>
          <w:highlight w:val="none"/>
        </w:rPr>
        <w:t>人</w:t>
      </w:r>
      <w:bookmarkEnd w:id="345"/>
      <w:bookmarkEnd w:id="346"/>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26.1 指定分包人工作</w:t>
      </w:r>
      <w:r>
        <w:rPr>
          <w:rFonts w:hint="eastAsia" w:ascii="宋体" w:hAnsi="宋体" w:eastAsia="宋体" w:cs="宋体"/>
          <w:caps w:val="0"/>
          <w:color w:val="auto"/>
          <w:sz w:val="21"/>
          <w:szCs w:val="21"/>
          <w:highlight w:val="none"/>
        </w:rPr>
        <w:t>指定分包人是指发包人事先指定的从事下列工作之一的分包人：</w:t>
      </w:r>
    </w:p>
    <w:p>
      <w:pPr>
        <w:pStyle w:val="23"/>
        <w:pageBreakBefore w:val="0"/>
        <w:widowControl/>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（1）根据专用条款的约定，发包人依法事先指定的实施、完成部分永久工程的分包人；</w:t>
      </w:r>
    </w:p>
    <w:p>
      <w:pPr>
        <w:pStyle w:val="23"/>
        <w:pageBreakBefore w:val="0"/>
        <w:widowControl/>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（2）根据专用条款的约定，发包人选定的提供合同工程材料、工程设备和服务的分包人。</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26.2 承包人对指定分包人的接受</w:t>
      </w:r>
    </w:p>
    <w:p>
      <w:pPr>
        <w:pStyle w:val="23"/>
        <w:pageBreakBefore w:val="0"/>
        <w:widowControl/>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指定分包人属于承包人的分包人，发包人不应要求承包人有义务接受承包人有理由反对的任何指定分包人。</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26.3  指定分包工程款结算与支付</w:t>
      </w:r>
    </w:p>
    <w:p>
      <w:pPr>
        <w:pStyle w:val="23"/>
        <w:pageBreakBefore w:val="0"/>
        <w:widowControl/>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发包人应按照合同的约定向承包人支付指定分包人的分包工程配合费。</w:t>
      </w:r>
    </w:p>
    <w:p>
      <w:pPr>
        <w:pStyle w:val="23"/>
        <w:pageBreakBefore w:val="0"/>
        <w:widowControl/>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指定分包工程款的结算与支付，按照第7.4款办理。</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26.4承包人对指定分包工程的义务</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指定分包人应按照分包合同的约定对承包人负责。承包人有义务协助、配合指定分包人实施分包工程。</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47" w:name="_Toc10624847"/>
      <w:bookmarkStart w:id="348" w:name="_Toc469384007"/>
      <w:r>
        <w:rPr>
          <w:rFonts w:hint="eastAsia" w:ascii="宋体" w:hAnsi="宋体" w:eastAsia="宋体" w:cs="宋体"/>
          <w:b/>
          <w:bCs/>
          <w:caps w:val="0"/>
          <w:color w:val="auto"/>
          <w:sz w:val="21"/>
          <w:szCs w:val="21"/>
          <w:highlight w:val="none"/>
        </w:rPr>
        <w:t>27  承包人劳务</w:t>
      </w:r>
      <w:bookmarkEnd w:id="347"/>
      <w:bookmarkEnd w:id="348"/>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27.1 承包人提交施工机构安排报告</w:t>
      </w:r>
    </w:p>
    <w:p>
      <w:pPr>
        <w:pageBreakBefore w:val="0"/>
        <w:widowControl/>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27.2承包人人员的雇佣</w:t>
      </w:r>
    </w:p>
    <w:p>
      <w:pPr>
        <w:pageBreakBefore w:val="0"/>
        <w:widowControl/>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承包人除应雇佣投标文件中“主要人员一览表”中指明的人员外，也可以雇佣经监理工程师批准的其他人员，但不得从发包人或服务于发包人的人员中雇佣人员。</w:t>
      </w:r>
    </w:p>
    <w:p>
      <w:pPr>
        <w:pageBreakBefore w:val="0"/>
        <w:tabs>
          <w:tab w:val="left" w:pos="1620"/>
        </w:tabs>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27.3 承包人对雇员应做的工作</w:t>
      </w:r>
      <w:r>
        <w:rPr>
          <w:rFonts w:hint="eastAsia" w:ascii="宋体" w:hAnsi="宋体" w:eastAsia="宋体" w:cs="宋体"/>
          <w:b/>
          <w:bCs/>
          <w:caps w:val="0"/>
          <w:color w:val="auto"/>
          <w:sz w:val="21"/>
          <w:szCs w:val="21"/>
          <w:highlight w:val="none"/>
          <w:u w:val="dotted"/>
        </w:rPr>
        <w:t xml:space="preserve">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承包人应完善雇员的劳务注册手续，并与雇员订立劳动合同，明确双方的权利和义务。雇佣期间，承包人应做好下列工作：</w:t>
      </w:r>
    </w:p>
    <w:p>
      <w:pPr>
        <w:pageBreakBefore w:val="0"/>
        <w:tabs>
          <w:tab w:val="left" w:pos="1080"/>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(1)负责为雇员提供必要的食宿及各种生活设施，采取合理的卫生、劳动保护和安全防护措施，保证雇员的健康和安全；</w:t>
      </w:r>
    </w:p>
    <w:p>
      <w:pPr>
        <w:pageBreakBefore w:val="0"/>
        <w:tabs>
          <w:tab w:val="left" w:pos="1080"/>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(2)保障雇员的合法权利和人身安全，及时采取有效措施抢救和治疗施工中受伤害的雇员；</w:t>
      </w:r>
    </w:p>
    <w:p>
      <w:pPr>
        <w:pageBreakBefore w:val="0"/>
        <w:tabs>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(3)充分考虑和保障雇员的休息时间和法定节假日休假时间，尊重雇员的宗教信仰和风俗习惯；</w:t>
      </w:r>
    </w:p>
    <w:p>
      <w:pPr>
        <w:pageBreakBefore w:val="0"/>
        <w:tabs>
          <w:tab w:val="left" w:pos="1080"/>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(4)在施工现场主要出入口处设榜公布雇员工资发放时间和投诉电话，以及合同工程中标价格、进度款支付情况。</w:t>
      </w:r>
    </w:p>
    <w:p>
      <w:pPr>
        <w:pageBreakBefore w:val="0"/>
        <w:tabs>
          <w:tab w:val="left" w:pos="1080"/>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(5)督促雇员和发包人现场人员应佩戴由合同双方当事人共同盖章、签发的工作证上岗；</w:t>
      </w:r>
    </w:p>
    <w:p>
      <w:pPr>
        <w:pageBreakBefore w:val="0"/>
        <w:tabs>
          <w:tab w:val="left" w:pos="1080"/>
          <w:tab w:val="left" w:pos="216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(6)办理雇员的意外伤害等一切保险，处理雇员因工伤亡事故的善后事宜。</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27.4 承包人特殊时间施工的批准</w:t>
      </w:r>
    </w:p>
    <w:p>
      <w:pPr>
        <w:pStyle w:val="3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27.5承包人向雇员支付劳务工资</w:t>
      </w:r>
    </w:p>
    <w:p>
      <w:pPr>
        <w:pStyle w:val="33"/>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27.6 承包人向工地派遣雇员的要求</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承包人的雇员应是在行业或职业内具有相应资格、技能和经验的人员。承包人应向施工场地派遣足够数量的下列雇员：</w:t>
      </w:r>
    </w:p>
    <w:p>
      <w:pPr>
        <w:pageBreakBefore w:val="0"/>
        <w:numPr>
          <w:ilvl w:val="0"/>
          <w:numId w:val="0"/>
        </w:numPr>
        <w:tabs>
          <w:tab w:val="left" w:pos="2160"/>
          <w:tab w:val="left" w:pos="234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 xml:space="preserve">具有相应资格的专业技工和合格的普工； </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具有相应施工经验的技术人员；</w:t>
      </w:r>
    </w:p>
    <w:p>
      <w:pPr>
        <w:pageBreakBefore w:val="0"/>
        <w:numPr>
          <w:ilvl w:val="0"/>
          <w:numId w:val="0"/>
        </w:numPr>
        <w:tabs>
          <w:tab w:val="left" w:pos="2160"/>
          <w:tab w:val="left" w:pos="234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具有相应岗位资格的各级管理人员。</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27.7 承包人雇员安排和撤换</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承包人安排在施工场地的雇员应保持相对稳定，但有下列行为的任何承包人雇员，监理工程师可要求承包人将其撤换：</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经常行为不当，或工作漫不经心；</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无能力履行义务或玩忽职守；</w:t>
      </w:r>
    </w:p>
    <w:p>
      <w:pPr>
        <w:pageBreakBefore w:val="0"/>
        <w:numPr>
          <w:ilvl w:val="0"/>
          <w:numId w:val="0"/>
        </w:numPr>
        <w:tabs>
          <w:tab w:val="left" w:pos="2160"/>
        </w:tabs>
        <w:kinsoku/>
        <w:wordWrap/>
        <w:overflowPunct/>
        <w:topLinePunct w:val="0"/>
        <w:bidi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不遵守合同的约定；</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有损安全、健康和不利于环境保护的行为。</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27.8  承包人对雇员的保护</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承包人应自始至终采取各种合理的预防措施，防止雇员内部发生打斗和任何无序、非法的不良行为，以确保现场安定和保护现场及邻近人员的生命、财产安全。</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349" w:name="_Toc10624848"/>
      <w:bookmarkStart w:id="350" w:name="_Toc469384008"/>
      <w:r>
        <w:rPr>
          <w:rFonts w:hint="eastAsia" w:ascii="宋体" w:hAnsi="宋体" w:eastAsia="宋体" w:cs="宋体"/>
          <w:b/>
          <w:bCs/>
          <w:caps w:val="0"/>
          <w:color w:val="auto"/>
          <w:sz w:val="21"/>
          <w:szCs w:val="21"/>
          <w:highlight w:val="none"/>
        </w:rPr>
        <w:t>三、担保、保险与风险</w:t>
      </w:r>
      <w:bookmarkEnd w:id="349"/>
      <w:bookmarkEnd w:id="350"/>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51" w:name="_Toc469384009"/>
      <w:bookmarkStart w:id="352" w:name="_Toc10624849"/>
      <w:r>
        <w:rPr>
          <w:rFonts w:hint="eastAsia" w:ascii="宋体" w:hAnsi="宋体" w:eastAsia="宋体" w:cs="宋体"/>
          <w:b/>
          <w:bCs/>
          <w:caps w:val="0"/>
          <w:color w:val="auto"/>
          <w:sz w:val="21"/>
          <w:szCs w:val="21"/>
          <w:highlight w:val="none"/>
        </w:rPr>
        <w:t>28  工程担保</w:t>
      </w:r>
      <w:bookmarkEnd w:id="351"/>
      <w:bookmarkEnd w:id="352"/>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28.1 承包人提供履约担保</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宋体" w:hAnsi="宋体" w:eastAsia="宋体" w:cs="宋体"/>
          <w:caps w:val="0"/>
          <w:color w:val="auto"/>
          <w:sz w:val="21"/>
          <w:szCs w:val="21"/>
          <w:highlight w:val="none"/>
          <w:shd w:val="clear" w:color="auto" w:fill="FFFFFF"/>
        </w:rPr>
        <w:t>履约保证保险</w:t>
      </w:r>
      <w:r>
        <w:rPr>
          <w:rFonts w:hint="eastAsia" w:ascii="宋体" w:hAnsi="宋体" w:eastAsia="宋体" w:cs="宋体"/>
          <w:caps w:val="0"/>
          <w:color w:val="auto"/>
          <w:sz w:val="21"/>
          <w:szCs w:val="21"/>
          <w:highlight w:val="none"/>
        </w:rPr>
        <w:t>的形式，提供履约保函、担保公司担保、</w:t>
      </w:r>
      <w:r>
        <w:rPr>
          <w:rFonts w:hint="eastAsia" w:ascii="宋体" w:hAnsi="宋体" w:eastAsia="宋体" w:cs="宋体"/>
          <w:caps w:val="0"/>
          <w:color w:val="auto"/>
          <w:sz w:val="21"/>
          <w:szCs w:val="21"/>
          <w:highlight w:val="none"/>
          <w:shd w:val="clear" w:color="auto" w:fill="FFFFFF"/>
        </w:rPr>
        <w:t>履约保证保险</w:t>
      </w:r>
      <w:r>
        <w:rPr>
          <w:rFonts w:hint="eastAsia" w:ascii="宋体" w:hAnsi="宋体" w:eastAsia="宋体" w:cs="宋体"/>
          <w:caps w:val="0"/>
          <w:color w:val="auto"/>
          <w:sz w:val="21"/>
          <w:szCs w:val="21"/>
          <w:highlight w:val="none"/>
        </w:rPr>
        <w:t>所发生的费用由承包人承担。</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28.2  履约担保期限和退还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履约担保的有效期，是从提供履约担保之日起至合同工程竣工验收合格之日止。发包人应在担保有效期满后的14 天内将此担保退还给承包人。</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28.3 向发包人支付索赔款项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pageBreakBefore w:val="0"/>
        <w:tabs>
          <w:tab w:val="left" w:pos="540"/>
          <w:tab w:val="left" w:pos="7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28.4 发包人提供支付担保</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按照第28.1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宋体" w:hAnsi="宋体" w:eastAsia="宋体" w:cs="宋体"/>
          <w:caps w:val="0"/>
          <w:color w:val="auto"/>
          <w:sz w:val="21"/>
          <w:szCs w:val="21"/>
          <w:highlight w:val="none"/>
          <w:shd w:val="clear" w:color="auto" w:fill="FFFFFF"/>
        </w:rPr>
        <w:t>支付保证保险</w:t>
      </w:r>
      <w:r>
        <w:rPr>
          <w:rFonts w:hint="eastAsia" w:ascii="宋体" w:hAnsi="宋体" w:eastAsia="宋体" w:cs="宋体"/>
          <w:caps w:val="0"/>
          <w:color w:val="auto"/>
          <w:sz w:val="21"/>
          <w:szCs w:val="21"/>
          <w:highlight w:val="none"/>
        </w:rPr>
        <w:t>的形式，提供支付保函、担保公司担保、</w:t>
      </w:r>
      <w:r>
        <w:rPr>
          <w:rFonts w:hint="eastAsia" w:ascii="宋体" w:hAnsi="宋体" w:eastAsia="宋体" w:cs="宋体"/>
          <w:caps w:val="0"/>
          <w:color w:val="auto"/>
          <w:sz w:val="21"/>
          <w:szCs w:val="21"/>
          <w:highlight w:val="none"/>
          <w:shd w:val="clear" w:color="auto" w:fill="FFFFFF"/>
        </w:rPr>
        <w:t>支付保证保险</w:t>
      </w:r>
      <w:r>
        <w:rPr>
          <w:rFonts w:hint="eastAsia" w:ascii="宋体" w:hAnsi="宋体" w:eastAsia="宋体" w:cs="宋体"/>
          <w:caps w:val="0"/>
          <w:color w:val="auto"/>
          <w:sz w:val="21"/>
          <w:szCs w:val="21"/>
          <w:highlight w:val="none"/>
        </w:rPr>
        <w:t>所发生的费用由发包人承担。</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28.5  支付担保期限和退还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28.6  向承包人支付索赔款项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28.7 双方延长担保期限</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合同双方当事人均应确保合同工程担保有效期符合工期合理顺延的要求。若合同一方当事人未能保证延长担保有效期，另一方当事人可向其索赔担保的全部金额。</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28.8  约定担保事项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合同双方当事人在专用条款中约定担保内容、方式和责任等事项，并签订担保合同，作为本合同附件。</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53" w:name="_Toc10624850"/>
      <w:bookmarkStart w:id="354" w:name="_Toc469384010"/>
      <w:r>
        <w:rPr>
          <w:rFonts w:hint="eastAsia" w:ascii="宋体" w:hAnsi="宋体" w:eastAsia="宋体" w:cs="宋体"/>
          <w:b/>
          <w:bCs/>
          <w:caps w:val="0"/>
          <w:color w:val="auto"/>
          <w:sz w:val="21"/>
          <w:szCs w:val="21"/>
          <w:highlight w:val="none"/>
        </w:rPr>
        <w:t>29  发包人风险</w:t>
      </w:r>
      <w:bookmarkEnd w:id="353"/>
      <w:bookmarkEnd w:id="354"/>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29.1 发包人承担风险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发包人应承担本合同中规定应由发包人承担的风险。</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29.2 发包人风险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自开工之日起至颁发工程接收证书之日止，发包人风险包括但不限于：</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由于永久工程本身或施工而不可避免造成的财产（除工程本身、材料和工程设备和施工设备外）损失或损坏；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由于发包人工作人员及其相关人员（除承包人外）的疏忽或违规造成的人员伤亡、财产损失或损坏；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由于发包人提前使用或占用永久工程或其部分造成的损失或损坏；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由于发包人提供或发包人负责的设计造成的对永久工程、材料和工程设备和施工设备的损失或损害；</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rPr>
        <w:t>由于地质、邻近建筑物、古树名木和物价上涨等非承包人原因造成施工过程中费用的增加。</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55" w:name="_Toc10624851"/>
      <w:bookmarkStart w:id="356" w:name="_Toc469384011"/>
      <w:r>
        <w:rPr>
          <w:rFonts w:hint="eastAsia" w:ascii="宋体" w:hAnsi="宋体" w:eastAsia="宋体" w:cs="宋体"/>
          <w:b/>
          <w:bCs/>
          <w:caps w:val="0"/>
          <w:color w:val="auto"/>
          <w:sz w:val="21"/>
          <w:szCs w:val="21"/>
          <w:highlight w:val="none"/>
        </w:rPr>
        <w:t>30  承包人风险</w:t>
      </w:r>
      <w:bookmarkEnd w:id="355"/>
      <w:bookmarkEnd w:id="356"/>
    </w:p>
    <w:p>
      <w:pPr>
        <w:pStyle w:val="23"/>
        <w:pageBreakBefore w:val="0"/>
        <w:tabs>
          <w:tab w:val="left" w:pos="1320"/>
          <w:tab w:val="left" w:pos="14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30.1  承包人承担风险</w:t>
      </w:r>
    </w:p>
    <w:p>
      <w:pPr>
        <w:pStyle w:val="23"/>
        <w:pageBreakBefore w:val="0"/>
        <w:tabs>
          <w:tab w:val="left" w:pos="14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承包人应承担本合同中规定应由承包人承担的风险。</w:t>
      </w:r>
    </w:p>
    <w:p>
      <w:pPr>
        <w:pStyle w:val="23"/>
        <w:pageBreakBefore w:val="0"/>
        <w:tabs>
          <w:tab w:val="left" w:pos="1320"/>
          <w:tab w:val="left" w:pos="14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30.2承包人风险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自开工之日起直到颁发工程接收证书之日止，承包人风险为：除第29条和第31条以外的人员伤亡以及财产（包括但不限于合同工程、材料、工程设备和施工设备）的损失或损坏。</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57" w:name="_Toc469384012"/>
      <w:bookmarkStart w:id="358" w:name="_Toc10624852"/>
      <w:r>
        <w:rPr>
          <w:rFonts w:hint="eastAsia" w:ascii="宋体" w:hAnsi="宋体" w:eastAsia="宋体" w:cs="宋体"/>
          <w:b/>
          <w:bCs/>
          <w:caps w:val="0"/>
          <w:color w:val="auto"/>
          <w:sz w:val="21"/>
          <w:szCs w:val="21"/>
          <w:highlight w:val="none"/>
        </w:rPr>
        <w:t>31  不可抗力</w:t>
      </w:r>
      <w:bookmarkEnd w:id="357"/>
      <w:bookmarkEnd w:id="358"/>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kern w:val="0"/>
          <w:sz w:val="21"/>
          <w:szCs w:val="21"/>
          <w:highlight w:val="none"/>
        </w:rPr>
      </w:pPr>
      <w:r>
        <w:rPr>
          <w:rFonts w:hint="eastAsia" w:ascii="宋体" w:hAnsi="宋体" w:eastAsia="宋体" w:cs="宋体"/>
          <w:b/>
          <w:bCs/>
          <w:caps w:val="0"/>
          <w:color w:val="auto"/>
          <w:kern w:val="0"/>
          <w:sz w:val="21"/>
          <w:szCs w:val="21"/>
          <w:highlight w:val="none"/>
        </w:rPr>
        <w:t>31.1</w:t>
      </w:r>
      <w:r>
        <w:rPr>
          <w:rFonts w:hint="eastAsia" w:ascii="宋体" w:hAnsi="宋体" w:eastAsia="宋体" w:cs="宋体"/>
          <w:caps w:val="0"/>
          <w:color w:val="auto"/>
          <w:kern w:val="0"/>
          <w:sz w:val="21"/>
          <w:szCs w:val="21"/>
          <w:highlight w:val="none"/>
        </w:rPr>
        <w:t xml:space="preserve">  不可抗力是指合同当事人在签订合同时不可预见，在合同履行过程中不可避免且不能克服的自然灾害和社会性突发事件，如地震、海啸、瘟疫、骚乱、戒严、暴动、战争等。</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31.2 不可抗力处理程序</w:t>
      </w:r>
      <w:r>
        <w:rPr>
          <w:rFonts w:hint="eastAsia" w:ascii="宋体" w:hAnsi="宋体" w:eastAsia="宋体" w:cs="宋体"/>
          <w:caps w:val="0"/>
          <w:color w:val="auto"/>
          <w:sz w:val="21"/>
          <w:szCs w:val="21"/>
          <w:highlight w:val="none"/>
        </w:rPr>
        <w:t>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31.3 不可抗力引起费用的承担</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因不可抗力事件导致的费用，由合同双方当事人按照下列规定承担，并相应调整合同价款：</w:t>
      </w:r>
    </w:p>
    <w:p>
      <w:pPr>
        <w:pStyle w:val="23"/>
        <w:pageBreakBefore w:val="0"/>
        <w:numPr>
          <w:ilvl w:val="0"/>
          <w:numId w:val="6"/>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永久工程本身的损害、已运至施工场地的材料和工程设备的损害，以及因工程损害导致第三者人员伤亡和财产损失，由发包人承担；</w:t>
      </w:r>
    </w:p>
    <w:p>
      <w:pPr>
        <w:pStyle w:val="23"/>
        <w:pageBreakBefore w:val="0"/>
        <w:numPr>
          <w:ilvl w:val="0"/>
          <w:numId w:val="6"/>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承包人施工设备和用于合同工程的周转材料损坏以及停工损失，由承包人承担；发包人提供的施工设备损坏，由发包人承担；</w:t>
      </w:r>
    </w:p>
    <w:p>
      <w:pPr>
        <w:pStyle w:val="23"/>
        <w:pageBreakBefore w:val="0"/>
        <w:numPr>
          <w:ilvl w:val="0"/>
          <w:numId w:val="6"/>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施工场地内的人员伤亡和本款第(1)点、第(2)点以外财产损失及其相关费用，由合同双方当事人各自承担；</w:t>
      </w:r>
    </w:p>
    <w:p>
      <w:pPr>
        <w:pStyle w:val="23"/>
        <w:pageBreakBefore w:val="0"/>
        <w:numPr>
          <w:ilvl w:val="0"/>
          <w:numId w:val="6"/>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停工期间，承包人应监理工程师要求照管工程的费用，由发包人承担；</w:t>
      </w:r>
    </w:p>
    <w:p>
      <w:pPr>
        <w:pStyle w:val="23"/>
        <w:pageBreakBefore w:val="0"/>
        <w:numPr>
          <w:ilvl w:val="0"/>
          <w:numId w:val="6"/>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工程所需的清理、修复费用，由发包人承担。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31.4 不可抗力引起工期的处理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dstrike/>
          <w:color w:val="auto"/>
          <w:sz w:val="21"/>
          <w:szCs w:val="21"/>
          <w:highlight w:val="none"/>
        </w:rPr>
      </w:pPr>
      <w:r>
        <w:rPr>
          <w:rFonts w:hint="eastAsia" w:ascii="宋体" w:hAnsi="宋体" w:eastAsia="宋体" w:cs="宋体"/>
          <w:caps w:val="0"/>
          <w:color w:val="auto"/>
          <w:sz w:val="21"/>
          <w:szCs w:val="21"/>
          <w:highlight w:val="none"/>
        </w:rPr>
        <w:t>因发生不可抗力事件导致工期延误的，工期相应顺延；不能按期竣工的，承包人无需为此支付任何误期赔偿费。发包人要求赶工的，承包人应采取赶工措施，赶工费用由发包人支付。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31.5 延迟履约发生不可抗力的责任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合同任何一方当事人延迟履行合同后发生不可抗力事件的，不能免除另一方当事人因不可抗力造成损失的责任。</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31.6 避免和减少不可抗力的损失</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59" w:name="_Toc10624853"/>
      <w:bookmarkStart w:id="360" w:name="_Toc469384013"/>
      <w:r>
        <w:rPr>
          <w:rFonts w:hint="eastAsia" w:ascii="宋体" w:hAnsi="宋体" w:eastAsia="宋体" w:cs="宋体"/>
          <w:b/>
          <w:bCs/>
          <w:caps w:val="0"/>
          <w:color w:val="auto"/>
          <w:sz w:val="21"/>
          <w:szCs w:val="21"/>
          <w:highlight w:val="none"/>
        </w:rPr>
        <w:t>32  保险</w:t>
      </w:r>
      <w:bookmarkEnd w:id="359"/>
      <w:bookmarkEnd w:id="360"/>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32.1    发包人办理保险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发包人应按照下列规定办理保险，并支付保险费：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工程开工前，为合同工程办理建筑工程一切险、安装工程一切险；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工程开工前，为施工场地内的自有人员（包括监理工程师、造价工程师在内）办理工伤保险、意外伤害保险；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为第三者办理第三者责任险；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为运至施工场地内用于永久工程的材料和待安装工程设备办理保险。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保险期从办理保险之日起至工程竣工验收合格之日止。</w:t>
      </w:r>
    </w:p>
    <w:p>
      <w:pPr>
        <w:pStyle w:val="23"/>
        <w:pageBreakBefore w:val="0"/>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发包人可将其中部分事项委托给承包人办理，具体由合同双方当事人在专用条款中约定。除合同价款已包括外，由发包人承担所需保险费用，并向承包人支付合理利润。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（5）工程开工前，为合同工程办理工程质量保险；并由保险公司对工程质量、施工安全进行综合担保，以及聘请专业的团队进行工程建设全过程风险、质量控制。</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32.2 承包人办理保险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承包人应按照下列规定办理保险，并支付保险费：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(1)工程开工前，为施工场地内自有人员（包括分包人在内）办理工伤保险、意外伤害保险；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(2)为施工场地内的自有施工设备、第32.1款第(4)点以外采购进场的材料和工程设备等办理保险。</w:t>
      </w:r>
    </w:p>
    <w:p>
      <w:pPr>
        <w:pStyle w:val="23"/>
        <w:pageBreakBefore w:val="0"/>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保险期从开工之日起至工程竣工验收合格之日止。</w:t>
      </w:r>
    </w:p>
    <w:p>
      <w:pPr>
        <w:pStyle w:val="23"/>
        <w:pageBreakBefore w:val="0"/>
        <w:tabs>
          <w:tab w:val="left" w:pos="108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32.3 双方提供保险单和凭证</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合同一方当事人应按照本合同要求向另一方当事人提供有效的投保保险单和保险凭证。</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32.4 未按规定投保的补救</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合同双方当事人应遵守本条规定办理有关保险事项。如果未按规定投保的，应按下列规定补偿：</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(1)由于负有投保义务的合同一方当事人未按合同约定办理保险，或未能使保险持续有效的，则另一方当事人可代为办理，所需费用由对方当事人承担；</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(2)由于负有投保义务的合同一方当事人未按合同约定办理某项保险，导致受益人未能得到保险人的赔偿，则该项保险金应由负有投保义务的一方当事人支付。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32.5 发生保险事故双方应尽的责任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3"/>
        <w:pageBreakBefore w:val="0"/>
        <w:tabs>
          <w:tab w:val="left" w:pos="1320"/>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32.6  工程变更被保险人应尽的责任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当合同工程的性质、规模或计划发生变更时，被保险人应及时通知保险人，并在合同履行期间按照本条规定保证足够的保险额，由此造成的费用由责任方承担。</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32.7 保险赔偿金的用途</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从保险人收到的因合同工程本身损失或损坏的保险金,应专项用于修复合同工程的损失或损坏，或作为对未能修复合同工程这些损失或损坏的补偿。</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32.8 约定投保事项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outlineLvl w:val="1"/>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具体投保内容、保险金、保险期限及相关责任等事项，合同双方当事人应在专用条款中约定。</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361" w:name="_Toc469384014"/>
      <w:bookmarkStart w:id="362" w:name="_Toc10624854"/>
      <w:r>
        <w:rPr>
          <w:rFonts w:hint="eastAsia" w:ascii="宋体" w:hAnsi="宋体" w:eastAsia="宋体" w:cs="宋体"/>
          <w:b/>
          <w:bCs/>
          <w:caps w:val="0"/>
          <w:color w:val="auto"/>
          <w:sz w:val="21"/>
          <w:szCs w:val="21"/>
          <w:highlight w:val="none"/>
        </w:rPr>
        <w:t>四、工  期</w:t>
      </w:r>
      <w:bookmarkEnd w:id="361"/>
      <w:bookmarkEnd w:id="362"/>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63" w:name="_Toc10624855"/>
      <w:bookmarkStart w:id="364" w:name="_Toc469384015"/>
      <w:r>
        <w:rPr>
          <w:rFonts w:hint="eastAsia" w:ascii="宋体" w:hAnsi="宋体" w:eastAsia="宋体" w:cs="宋体"/>
          <w:b/>
          <w:bCs/>
          <w:caps w:val="0"/>
          <w:color w:val="auto"/>
          <w:sz w:val="21"/>
          <w:szCs w:val="21"/>
          <w:highlight w:val="none"/>
        </w:rPr>
        <w:t>33  进度计划和报告</w:t>
      </w:r>
      <w:bookmarkEnd w:id="363"/>
      <w:bookmarkEnd w:id="364"/>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33.1提交工程进度计划</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签订本合同后的31天内，向监理工程师提交一式两份施工组织设计和合同工程进度计划，向发包方提交一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33.2  工程进度的监督和检查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承包人应按照经监理工程师确认并由其报发包人批准的进度计划组织施工，接受监理工程师对工程进度的监督和检查。</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33.3 提交施工进度报告和修订进度计划</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（1）施工、安装、试验以及其他发包人工作等进展情况的图表和说明；</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（2）材料、设备、货物的采购和制造商名称、地点以及进入现场情况；</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（3）索赔情况和安全统计；</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（4）实际进度与计划进度的对比，以及为消除延误正在或准备采取的措施。</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33.4 实际进度与进度计划不符时的处理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65" w:name="_Toc469384016"/>
      <w:bookmarkStart w:id="366" w:name="_Toc10624856"/>
      <w:r>
        <w:rPr>
          <w:rFonts w:hint="eastAsia" w:ascii="宋体" w:hAnsi="宋体" w:eastAsia="宋体" w:cs="宋体"/>
          <w:b/>
          <w:bCs/>
          <w:caps w:val="0"/>
          <w:color w:val="auto"/>
          <w:sz w:val="21"/>
          <w:szCs w:val="21"/>
          <w:highlight w:val="none"/>
        </w:rPr>
        <w:t>34  开工</w:t>
      </w:r>
      <w:bookmarkEnd w:id="365"/>
      <w:bookmarkEnd w:id="366"/>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34.1  开工条件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工程开工必须具备法律规定的开工条件，并已经领取了施工许可证。</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34.2  工程开工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34.3  承包人未按时开工的处理程序和责任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caps w:val="0"/>
          <w:color w:val="auto"/>
          <w:sz w:val="21"/>
          <w:szCs w:val="21"/>
          <w:highlight w:val="none"/>
        </w:rPr>
        <w:t xml:space="preserve">34.4 </w:t>
      </w:r>
      <w:r>
        <w:rPr>
          <w:rFonts w:hint="eastAsia" w:ascii="宋体" w:hAnsi="宋体" w:eastAsia="宋体" w:cs="宋体"/>
          <w:b/>
          <w:bCs/>
          <w:caps w:val="0"/>
          <w:color w:val="auto"/>
          <w:sz w:val="21"/>
          <w:szCs w:val="21"/>
          <w:highlight w:val="none"/>
        </w:rPr>
        <w:t>发包人推迟开工的处理程序和责任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67" w:name="_Toc10624857"/>
      <w:bookmarkStart w:id="368" w:name="_Toc469384017"/>
      <w:r>
        <w:rPr>
          <w:rFonts w:hint="eastAsia" w:ascii="宋体" w:hAnsi="宋体" w:eastAsia="宋体" w:cs="宋体"/>
          <w:b/>
          <w:bCs/>
          <w:caps w:val="0"/>
          <w:color w:val="auto"/>
          <w:sz w:val="21"/>
          <w:szCs w:val="21"/>
          <w:highlight w:val="none"/>
        </w:rPr>
        <w:t>35  暂停施工和复工</w:t>
      </w:r>
      <w:bookmarkEnd w:id="367"/>
      <w:bookmarkEnd w:id="368"/>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35.1  暂停施工的指令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35.2复工的要求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35.3 暂停施工持续56天以上的复工要求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3"/>
        <w:pageBreakBefore w:val="0"/>
        <w:numPr>
          <w:ilvl w:val="0"/>
          <w:numId w:val="7"/>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如果此项停工仅影响合同工程的一部分时，则根据第56.2款规定及时提出工程变更，取消该部分工程，并书面通知发包人，抄送监理工程师和造价工程师；</w:t>
      </w:r>
    </w:p>
    <w:p>
      <w:pPr>
        <w:pStyle w:val="23"/>
        <w:pageBreakBefore w:val="0"/>
        <w:numPr>
          <w:ilvl w:val="0"/>
          <w:numId w:val="7"/>
        </w:numPr>
        <w:tabs>
          <w:tab w:val="left" w:pos="10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如果此项停工影响整个合同工程时，则根据第87.4款规定解除合同。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因承包人的原因引起暂停施工持续56天以上，承包人不采取有效的复工措施，造成工期延误的，发包人可根据第87.3款规定解除合同。</w:t>
      </w:r>
    </w:p>
    <w:p>
      <w:pPr>
        <w:pStyle w:val="23"/>
        <w:pageBreakBefore w:val="0"/>
        <w:tabs>
          <w:tab w:val="left" w:pos="216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35.4 发包人、承包人原因和不可抗力因素造成暂停施工的责任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因发包人的原因造成暂停施工且引起工期延误的，承包人有权要求发包人增加由此发生的费用和（或）顺延工期，并支付合理利润。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因承包人下列原因造成的暂停施工，增加的费用和（或）延误的工期由承包人承担：</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工作失误或违约造成的；</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为合同工程合理施工和安全保障所必需的；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施工现场气候条件（除不可抗力停工外）导致的；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擅自停工的；</w:t>
      </w: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专用条款约定的其他原因。</w:t>
      </w:r>
    </w:p>
    <w:p>
      <w:pPr>
        <w:pStyle w:val="23"/>
        <w:pageBreakBefore w:val="0"/>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因不可抗力因素造成暂停施工的，按照第31条规定处理。</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35.5 发包人不按规定支付工程款造成暂停施工的责任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35.6 暂停施工结束后的处理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69" w:name="_Toc469384018"/>
      <w:bookmarkStart w:id="370" w:name="_Toc10624858"/>
      <w:r>
        <w:rPr>
          <w:rFonts w:hint="eastAsia" w:ascii="宋体" w:hAnsi="宋体" w:eastAsia="宋体" w:cs="宋体"/>
          <w:b/>
          <w:bCs/>
          <w:caps w:val="0"/>
          <w:color w:val="auto"/>
          <w:sz w:val="21"/>
          <w:szCs w:val="21"/>
          <w:highlight w:val="none"/>
        </w:rPr>
        <w:t>36  工期和工期延误</w:t>
      </w:r>
      <w:bookmarkEnd w:id="369"/>
      <w:bookmarkEnd w:id="370"/>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36.1  工期计算</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cap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upright="1"/>
                    </wps:wsp>
                  </a:graphicData>
                </a:graphic>
              </wp:anchor>
            </w:drawing>
          </mc:Choice>
          <mc:Fallback>
            <w:pict>
              <v:shape id="_x0000_s1026" o:spid="_x0000_s1026" o:spt="202" type="#_x0000_t202" style="position:absolute;left:0pt;margin-left:-9pt;margin-top:31pt;height:26.45pt;width:77pt;z-index:251660288;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l/3ojXAAAA&#10;CgEAAA8AAAAAAAAAAQAgAAAAIgAAAGRycy9kb3ducmV2LnhtbFBLAQIUABQAAAAIAIdO4kA8OG3A&#10;rAEAAE0DAAAOAAAAAAAAAAEAIAAAACYBAABkcnMvZTJvRG9jLnhtbFBLBQYAAAAABgAGAFkBAABE&#10;BQ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eastAsia="宋体" w:cs="宋体"/>
          <w:caps w:val="0"/>
          <w:color w:val="auto"/>
          <w:sz w:val="21"/>
          <w:szCs w:val="21"/>
          <w:highlight w:val="none"/>
        </w:rPr>
        <w:t>如合同工期与广东省建设工程工期定额规定不一致的，需说明与省工期定额规定不一致的原因，并制定保障措施，确保质量、施工安全。</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36.2 工期约定的要求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合同双方当事人应在专用条款中约定合同工程的工期，工期从开工日期开始计算。合同中包括有多个单位工程的，应在专用条款中约定各单位工程的工期。</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36.3  工期顺延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发包人未能按照专用条款的约定提供施工设计图纸及其它开工条件；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（2）发包人未能按照专用条款约定的时间支付工程预付款、绿色施工安全防护费和进度款；</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 发包人代表或施工现场发包人雇用的其他人员造成的人为因素；</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 监理工程师未按照合同约定及时提供所需指令、回复等；</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 工程变更（含增加合同工作内容、改变合同的任何一项工作等）；</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 工程量增加；（7） 一周内非承包人原因停水、停电、停气造成停工累计超过8小时；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（8） 不可抗力；（9） 发包人风险事件；（10）因发包人的原因导致的暂停施工；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lang w:eastAsia="zh-CN"/>
        </w:rPr>
      </w:pPr>
      <w:r>
        <w:rPr>
          <w:rFonts w:hint="eastAsia" w:ascii="宋体" w:hAnsi="宋体" w:eastAsia="宋体" w:cs="宋体"/>
          <w:caps w:val="0"/>
          <w:color w:val="auto"/>
          <w:sz w:val="21"/>
          <w:szCs w:val="21"/>
          <w:highlight w:val="none"/>
        </w:rPr>
        <w:t>（11）非承包人失误、违约，以及监理工程师同意的工期顺延</w:t>
      </w:r>
      <w:r>
        <w:rPr>
          <w:rFonts w:hint="eastAsia" w:hAnsi="宋体" w:eastAsia="宋体" w:cs="宋体"/>
          <w:caps w:val="0"/>
          <w:color w:val="auto"/>
          <w:sz w:val="21"/>
          <w:szCs w:val="21"/>
          <w:highlight w:val="none"/>
          <w:lang w:val="en-US" w:eastAsia="zh-CN"/>
        </w:rPr>
        <w:t>;</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（12）发包人造成工期延误的其他原因。</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36.4 提交工期顺延报告</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36.5工期顺延持续发生的要求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如果工期顺延事件持续发生时，承包人应每隔7天向监理工程师发出工期顺延意向书，并在工期顺延事件终结后的14天内，向监理工程师提交最终工期顺延报告和详细资料。</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36.6 拒绝延期</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如果承包人未能在第36.4款和第36.5款（发生时）规定的时间内提交（最终）工期顺延报告和详细资料，则视为该事件不影响施工进度或承包人放弃顺延工期的权利。 </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36.7 工期顺延的核实与确定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如果监理工程师在收到上述报告和资料后的28天内未予核实也未对承包人作出进一步要求，则视为监理工程师已认可承包人上述报告中提出的顺延工期天数。</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36.8 承包人误期的赔偿、责任承担</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承包人未能按照合同进度计划完成工作，或因承包人的原因造成工期延误，发包人可按照本条规定的时限和第66.2款规定要求承包人支付该支付期的误期赔偿费。</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36.9 赶工措施费</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71" w:name="_Toc469384019"/>
      <w:bookmarkStart w:id="372" w:name="_Toc10624859"/>
      <w:r>
        <w:rPr>
          <w:rFonts w:hint="eastAsia" w:ascii="宋体" w:hAnsi="宋体" w:eastAsia="宋体" w:cs="宋体"/>
          <w:b/>
          <w:bCs/>
          <w:caps w:val="0"/>
          <w:color w:val="auto"/>
          <w:sz w:val="21"/>
          <w:szCs w:val="21"/>
          <w:highlight w:val="none"/>
        </w:rPr>
        <w:t>37  加快进度</w:t>
      </w:r>
      <w:bookmarkEnd w:id="371"/>
      <w:bookmarkEnd w:id="372"/>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37.1 承包人原因加快进度的要求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ascii="宋体" w:hAnsi="宋体" w:eastAsia="宋体" w:cs="宋体"/>
          <w:caps w:val="0"/>
          <w:color w:val="auto"/>
          <w:sz w:val="21"/>
          <w:szCs w:val="21"/>
          <w:highlight w:val="none"/>
        </w:rPr>
        <w:br w:type="textWrapping"/>
      </w:r>
      <w:r>
        <w:rPr>
          <w:rFonts w:hint="eastAsia" w:ascii="宋体" w:hAnsi="宋体" w:eastAsia="宋体" w:cs="宋体"/>
          <w:caps w:val="0"/>
          <w:color w:val="auto"/>
          <w:sz w:val="21"/>
          <w:szCs w:val="21"/>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37.2 发包人原因加快进度的要求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3"/>
        <w:pageBreakBefore w:val="0"/>
        <w:numPr>
          <w:ilvl w:val="0"/>
          <w:numId w:val="8"/>
        </w:numPr>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加快进度拟采取的措施；</w:t>
      </w:r>
    </w:p>
    <w:p>
      <w:pPr>
        <w:pStyle w:val="23"/>
        <w:pageBreakBefore w:val="0"/>
        <w:numPr>
          <w:ilvl w:val="0"/>
          <w:numId w:val="8"/>
        </w:numPr>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加快进度后的进度计划,以及与原计划的对比；</w:t>
      </w:r>
    </w:p>
    <w:p>
      <w:pPr>
        <w:pStyle w:val="23"/>
        <w:pageBreakBefore w:val="0"/>
        <w:numPr>
          <w:ilvl w:val="0"/>
          <w:numId w:val="8"/>
        </w:numPr>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加快进度所需的合同价款增加额（含第66.1款规定的提前竣工奖）。该增加额按照第72.2款、第72.3款和第72.5款规定计算。</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发包人应在接到建议书后的7天内予以答复。如果发包人接受了该建议书，则监理工程师应以书面形式发出变更指令，相应调整工期；造价工程师应核实并相应调整合同价款。</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73" w:name="_Toc469384020"/>
      <w:bookmarkStart w:id="374" w:name="_Toc10624860"/>
      <w:r>
        <w:rPr>
          <w:rFonts w:hint="eastAsia" w:ascii="宋体" w:hAnsi="宋体" w:eastAsia="宋体" w:cs="宋体"/>
          <w:b/>
          <w:bCs/>
          <w:caps w:val="0"/>
          <w:color w:val="auto"/>
          <w:sz w:val="21"/>
          <w:szCs w:val="21"/>
          <w:highlight w:val="none"/>
        </w:rPr>
        <w:t>38  竣工日期</w:t>
      </w:r>
      <w:bookmarkEnd w:id="373"/>
      <w:bookmarkEnd w:id="374"/>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38.1 约定计划竣工日期</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合同双方当事人应在协议书和专用条款中约定合同工程的计划竣工日期。</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38.2 实际竣工日期的确定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除发生不可抗力事件致使发包人不能按时竣工验收外，实际竣工日期按照下列情况分别确定：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工程经竣工验收合格的，以承包人提交竣工验收申请报告之日为实际竣工日期；</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承包人已按照第57.2款规定提交竣工验收申请报告，但发包人未按照第58.3款规定完成合同工程验收的，以承包人提交竣工验收申请报告之日为实际竣工日期；</w:t>
      </w:r>
    </w:p>
    <w:p>
      <w:pPr>
        <w:pStyle w:val="23"/>
        <w:pageBreakBefore w:val="0"/>
        <w:tabs>
          <w:tab w:val="left" w:pos="1980"/>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hAnsi="宋体" w:eastAsia="宋体" w:cs="宋体"/>
          <w:caps w:val="0"/>
          <w:color w:val="auto"/>
          <w:sz w:val="21"/>
          <w:szCs w:val="21"/>
          <w:highlight w:val="none"/>
          <w:lang w:eastAsia="zh-CN"/>
        </w:rPr>
        <w:t>（</w:t>
      </w:r>
      <w:r>
        <w:rPr>
          <w:rFonts w:hint="eastAsia"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工程未经竣工验收，发包人擅自使用的，以转移占有工程之日为实际竣工日期。</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38.3延迟竣工的责任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因发包人的原因导致实际竣工日期迟于计划竣工日期的，发包人应承担由此增加的费用和（或）延误的工期，并向承包人支付合理利润。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因承包人的原因导致实际竣工日期迟于计划竣工日期的，承包人应按照第40条规定赔偿发包人由此造成的损失，并向发包人支付误期赔偿费。</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75" w:name="_Toc10624861"/>
      <w:bookmarkStart w:id="376" w:name="_Toc469384021"/>
      <w:r>
        <w:rPr>
          <w:rFonts w:hint="eastAsia" w:ascii="宋体" w:hAnsi="宋体" w:eastAsia="宋体" w:cs="宋体"/>
          <w:b/>
          <w:bCs/>
          <w:caps w:val="0"/>
          <w:color w:val="auto"/>
          <w:sz w:val="21"/>
          <w:szCs w:val="21"/>
          <w:highlight w:val="none"/>
        </w:rPr>
        <w:t>39  提前竣工</w:t>
      </w:r>
      <w:bookmarkEnd w:id="375"/>
      <w:bookmarkEnd w:id="376"/>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39.1 提前竣工的要求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发包人要求承包人提前竣工，或承包人按照第37.2款规定提交提前竣工建议书为发包人接受的，监理工程师应与承包人商定采取加快工程进度的措施，并修订合同工程进度计划。</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39.2  提前竣工天数的计算</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提前竣工天数按照第38.2款规定确定的计划竣工天数减去实际竣工天数计算，其公式为：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提前竣工天数=计划竣工天数 — 实际竣工天数</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合同工程提前竣工，发包人应承担承包人由此增加的费用，并按照第66.1款规定向承包人支付提前竣工奖。</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77" w:name="_Toc10624862"/>
      <w:bookmarkStart w:id="378" w:name="_Toc469384022"/>
      <w:r>
        <w:rPr>
          <w:rFonts w:hint="eastAsia" w:ascii="宋体" w:hAnsi="宋体" w:eastAsia="宋体" w:cs="宋体"/>
          <w:b/>
          <w:bCs/>
          <w:caps w:val="0"/>
          <w:color w:val="auto"/>
          <w:sz w:val="21"/>
          <w:szCs w:val="21"/>
          <w:highlight w:val="none"/>
        </w:rPr>
        <w:t>40  误期赔偿</w:t>
      </w:r>
      <w:bookmarkEnd w:id="377"/>
      <w:bookmarkEnd w:id="378"/>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40.1误期的赔偿</w:t>
      </w:r>
      <w:r>
        <w:rPr>
          <w:rFonts w:hint="eastAsia" w:ascii="宋体" w:hAnsi="宋体" w:eastAsia="宋体" w:cs="宋体"/>
          <w:caps w:val="0"/>
          <w:color w:val="auto"/>
          <w:sz w:val="21"/>
          <w:szCs w:val="21"/>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40.2  实际延误天数的计算</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误期（实际延误天数）按照实际施工天数减去计划施工天数计算，其公式为：</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实际延误天数＝实际施工天数 － 计划施工天数</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合同工程发生误期，承包人应赔偿发包人由此造成的损失，并按照第66.2款规定向发包人支付误期赔偿费。</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379" w:name="_Toc10624863"/>
      <w:bookmarkStart w:id="380" w:name="_Toc469384023"/>
      <w:r>
        <w:rPr>
          <w:rFonts w:hint="eastAsia" w:ascii="宋体" w:hAnsi="宋体" w:eastAsia="宋体" w:cs="宋体"/>
          <w:b/>
          <w:bCs/>
          <w:caps w:val="0"/>
          <w:color w:val="auto"/>
          <w:sz w:val="21"/>
          <w:szCs w:val="21"/>
          <w:highlight w:val="none"/>
          <w:lang w:val="en-US" w:eastAsia="zh-CN"/>
        </w:rPr>
        <w:t>五、</w:t>
      </w:r>
      <w:r>
        <w:rPr>
          <w:rFonts w:hint="eastAsia" w:ascii="宋体" w:hAnsi="宋体" w:eastAsia="宋体" w:cs="宋体"/>
          <w:b/>
          <w:bCs/>
          <w:caps w:val="0"/>
          <w:color w:val="auto"/>
          <w:sz w:val="21"/>
          <w:szCs w:val="21"/>
          <w:highlight w:val="none"/>
        </w:rPr>
        <w:t>质量与安全</w:t>
      </w:r>
      <w:bookmarkEnd w:id="379"/>
      <w:bookmarkEnd w:id="380"/>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81" w:name="_Toc10624864"/>
      <w:bookmarkStart w:id="382" w:name="_Toc469384024"/>
      <w:r>
        <w:rPr>
          <w:rFonts w:hint="eastAsia" w:ascii="宋体" w:hAnsi="宋体" w:eastAsia="宋体" w:cs="宋体"/>
          <w:b/>
          <w:bCs/>
          <w:caps w:val="0"/>
          <w:color w:val="auto"/>
          <w:sz w:val="21"/>
          <w:szCs w:val="21"/>
          <w:highlight w:val="none"/>
        </w:rPr>
        <w:t>★41  质量与安全管理</w:t>
      </w:r>
      <w:bookmarkEnd w:id="381"/>
      <w:bookmarkEnd w:id="382"/>
    </w:p>
    <w:p>
      <w:pPr>
        <w:pageBreakBefore w:val="0"/>
        <w:tabs>
          <w:tab w:val="left" w:pos="78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41.1 履行职责和义务</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41.2 质量与安全的监管</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41.3  管理的要求</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41.4 承包人对质量与安全负责</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kern w:val="0"/>
          <w:sz w:val="21"/>
          <w:szCs w:val="21"/>
          <w:highlight w:val="none"/>
        </w:rPr>
      </w:pPr>
      <w:r>
        <w:rPr>
          <w:rFonts w:hint="eastAsia" w:ascii="宋体" w:hAnsi="宋体" w:eastAsia="宋体" w:cs="宋体"/>
          <w:caps w:val="0"/>
          <w:color w:val="auto"/>
          <w:kern w:val="0"/>
          <w:sz w:val="21"/>
          <w:szCs w:val="21"/>
          <w:highlight w:val="none"/>
        </w:rPr>
        <w:t>因承包人原因造成工程质量未达到合同约定标准的，发包人有权要求承包人返工直至工程质量达到合同约定的标准为止，并由承包人承担由此增加的费用和延误工期的责任。</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41.5 发包人对质量与安全应负的责任</w:t>
      </w:r>
    </w:p>
    <w:p>
      <w:pPr>
        <w:pageBreakBefore w:val="0"/>
        <w:kinsoku/>
        <w:wordWrap/>
        <w:overflowPunct/>
        <w:topLinePunct w:val="0"/>
        <w:autoSpaceDE w:val="0"/>
        <w:autoSpaceDN w:val="0"/>
        <w:bidi w:val="0"/>
        <w:adjustRightInd w:val="0"/>
        <w:spacing w:line="360" w:lineRule="auto"/>
        <w:ind w:left="0" w:leftChars="0" w:right="0" w:rightChars="0" w:firstLine="420" w:firstLineChars="200"/>
        <w:jc w:val="both"/>
        <w:textAlignment w:val="auto"/>
        <w:rPr>
          <w:rFonts w:hint="eastAsia" w:ascii="宋体" w:hAnsi="宋体" w:eastAsia="宋体" w:cs="宋体"/>
          <w:caps w:val="0"/>
          <w:color w:val="auto"/>
          <w:kern w:val="0"/>
          <w:sz w:val="21"/>
          <w:szCs w:val="21"/>
          <w:highlight w:val="none"/>
        </w:rPr>
      </w:pPr>
      <w:r>
        <w:rPr>
          <w:rFonts w:hint="eastAsia" w:ascii="宋体" w:hAnsi="宋体" w:eastAsia="宋体" w:cs="宋体"/>
          <w:caps w:val="0"/>
          <w:color w:val="auto"/>
          <w:kern w:val="0"/>
          <w:sz w:val="21"/>
          <w:szCs w:val="21"/>
          <w:highlight w:val="none"/>
        </w:rPr>
        <w:t>因发包人原因造成工程质量未达到合同约定标准的，由发包人承担由此增加的费用和延误工期的责任，增加的费用按本合同相关条款以及投标报价或预算的计价原则计算。</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41.6 监理人的质量检查和</w:t>
      </w:r>
      <w:r>
        <w:rPr>
          <w:rFonts w:hint="eastAsia" w:ascii="宋体" w:hAnsi="宋体" w:eastAsia="宋体" w:cs="宋体"/>
          <w:b/>
          <w:bCs/>
          <w:caps w:val="0"/>
          <w:color w:val="auto"/>
          <w:sz w:val="21"/>
          <w:szCs w:val="21"/>
          <w:highlight w:val="none"/>
          <w:lang w:val="en-US" w:eastAsia="zh-CN"/>
        </w:rPr>
        <w:t>检验</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83" w:name="_Toc10624865"/>
      <w:bookmarkStart w:id="384" w:name="_Toc469384025"/>
      <w:r>
        <w:rPr>
          <w:rFonts w:hint="eastAsia" w:ascii="宋体" w:hAnsi="宋体" w:eastAsia="宋体" w:cs="宋体"/>
          <w:b/>
          <w:bCs/>
          <w:caps w:val="0"/>
          <w:color w:val="auto"/>
          <w:sz w:val="21"/>
          <w:szCs w:val="21"/>
          <w:highlight w:val="none"/>
        </w:rPr>
        <w:t>★42  质量标准</w:t>
      </w:r>
      <w:bookmarkEnd w:id="383"/>
      <w:bookmarkEnd w:id="384"/>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42.1 约定工程质量标准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合同双方当事人应在专用条款中约定工程质量标准，但不得低于国家或行业的强制性标准。工程质量应当达到专用条款约定的质量标准。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工程质量验收，按照合同约定的标准执行；合同没有约定的，按照国家或行业的质量验收标准执行。</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42.2</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承包人保证工程质量的职责</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承包人对合同工程的质量向发包人负责，其职责包括但不限于下列内容：</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编制施工技术方案，确定施工技术措施；</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 提供和组织足够的工程技术人员，检查和控制工程施工质量；</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 控制施工所用的材料和工程设备，使其符合标准与规范、设计要求及合同约定的标准；</w:t>
      </w:r>
    </w:p>
    <w:p>
      <w:pPr>
        <w:pageBreakBefore w:val="0"/>
        <w:tabs>
          <w:tab w:val="right" w:pos="9864"/>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 负责合同工程施工中出现质量问题或竣工验收不合格的返修工作；</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 参加合同工程的所有验收工作，包括隐蔽验收、中间验收；参加竣工验收，组织分包人参加工程验收工作；</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 承担质量保修期的工程保修责任；(7) 承担其他工程质量责任。</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42.3 质量保证体系</w:t>
      </w:r>
    </w:p>
    <w:p>
      <w:pPr>
        <w:pStyle w:val="3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承包人应建立健全完善的质量保证体系。</w:t>
      </w:r>
    </w:p>
    <w:p>
      <w:pPr>
        <w:pageBreakBefore w:val="0"/>
        <w:kinsoku/>
        <w:wordWrap/>
        <w:overflowPunct/>
        <w:topLinePunct w:val="0"/>
        <w:autoSpaceDE w:val="0"/>
        <w:autoSpaceDN w:val="0"/>
        <w:bidi w:val="0"/>
        <w:adjustRightInd w:val="0"/>
        <w:spacing w:line="360" w:lineRule="auto"/>
        <w:ind w:left="0" w:leftChars="0" w:right="0" w:rightChars="0" w:firstLine="420" w:firstLineChars="200"/>
        <w:jc w:val="both"/>
        <w:textAlignment w:val="auto"/>
        <w:rPr>
          <w:rFonts w:hint="eastAsia" w:ascii="宋体" w:hAnsi="宋体" w:eastAsia="宋体" w:cs="宋体"/>
          <w:caps w:val="0"/>
          <w:color w:val="auto"/>
          <w:kern w:val="0"/>
          <w:sz w:val="21"/>
          <w:szCs w:val="21"/>
          <w:highlight w:val="none"/>
        </w:rPr>
      </w:pPr>
      <w:r>
        <w:rPr>
          <w:rFonts w:hint="eastAsia" w:ascii="宋体" w:hAnsi="宋体" w:eastAsia="宋体" w:cs="宋体"/>
          <w:caps w:val="0"/>
          <w:color w:val="auto"/>
          <w:kern w:val="0"/>
          <w:sz w:val="21"/>
          <w:szCs w:val="21"/>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kern w:val="0"/>
          <w:sz w:val="21"/>
          <w:szCs w:val="21"/>
          <w:highlight w:val="none"/>
        </w:rPr>
      </w:pPr>
      <w:r>
        <w:rPr>
          <w:rFonts w:hint="eastAsia" w:ascii="宋体" w:hAnsi="宋体" w:eastAsia="宋体" w:cs="宋体"/>
          <w:caps w:val="0"/>
          <w:color w:val="auto"/>
          <w:kern w:val="0"/>
          <w:sz w:val="21"/>
          <w:szCs w:val="21"/>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42.4 工程质量有争议的处理</w:t>
      </w:r>
    </w:p>
    <w:p>
      <w:pPr>
        <w:pageBreakBefore w:val="0"/>
        <w:tabs>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合同双方当事人对工程质量有争议的，按照第86.4款规定调解或认定，所需的费用及由此造成的损失，由责任方承担。双方均有责任的，由双方根据其责任划分分别承担。</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385" w:name="_Toc10624866"/>
      <w:bookmarkStart w:id="386" w:name="_Toc469384026"/>
      <w:r>
        <w:rPr>
          <w:rFonts w:hint="eastAsia" w:ascii="宋体" w:hAnsi="宋体" w:eastAsia="宋体" w:cs="宋体"/>
          <w:caps w:val="0"/>
          <w:color w:val="auto"/>
          <w:sz w:val="21"/>
          <w:szCs w:val="21"/>
          <w:highlight w:val="none"/>
        </w:rPr>
        <w:t>★43  工程质量创优</w:t>
      </w:r>
      <w:bookmarkEnd w:id="385"/>
      <w:bookmarkEnd w:id="386"/>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43.1发包人鼓励质量创优</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43.2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承包人争取质量创优</w:t>
      </w:r>
    </w:p>
    <w:p>
      <w:pPr>
        <w:pageBreakBefore w:val="0"/>
        <w:tabs>
          <w:tab w:val="left" w:pos="1620"/>
        </w:tabs>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承包人应采取有效措施确保合同工程质量与施工安全，在保证工程质量、施工安全达到国家或行业的强制性标准的前提下，提高工程质量与施工安全管理水平，争取合同工程质量创优。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87" w:name="_Toc10624867"/>
      <w:bookmarkStart w:id="388" w:name="_Toc469384027"/>
      <w:r>
        <w:rPr>
          <w:rFonts w:hint="eastAsia" w:ascii="宋体" w:hAnsi="宋体" w:eastAsia="宋体" w:cs="宋体"/>
          <w:b/>
          <w:bCs/>
          <w:caps w:val="0"/>
          <w:color w:val="auto"/>
          <w:sz w:val="21"/>
          <w:szCs w:val="21"/>
          <w:highlight w:val="none"/>
        </w:rPr>
        <w:t>44  工程的照管</w:t>
      </w:r>
      <w:bookmarkEnd w:id="387"/>
      <w:bookmarkEnd w:id="388"/>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44.1  工程照管</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44.2</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照管期间承包人造成损失的责任</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承包人在负责工程照管期间，如因自身原因造成合同工程或其任何部分，以及材料和工程设备或临时工程的损坏，承包人应自费修复上述损坏，保证合同工程质量达到合同约定的标准。</w:t>
      </w:r>
      <w:bookmarkStart w:id="389" w:name="_Toc469384028"/>
      <w:bookmarkStart w:id="390" w:name="_Toc10624868"/>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★45  </w:t>
      </w:r>
      <w:bookmarkEnd w:id="389"/>
      <w:r>
        <w:rPr>
          <w:rFonts w:hint="eastAsia" w:ascii="宋体" w:hAnsi="宋体" w:eastAsia="宋体" w:cs="宋体"/>
          <w:b/>
          <w:bCs/>
          <w:caps w:val="0"/>
          <w:color w:val="auto"/>
          <w:sz w:val="21"/>
          <w:szCs w:val="21"/>
          <w:highlight w:val="none"/>
        </w:rPr>
        <w:t>绿色施工安全防护</w:t>
      </w:r>
      <w:bookmarkEnd w:id="390"/>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45.1 绿色施工安全防护的要求</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45.2  用工实名制、工人工资支付分账管理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aps w:val="0"/>
          <w:color w:val="auto"/>
          <w:sz w:val="21"/>
          <w:szCs w:val="21"/>
          <w:highlight w:val="none"/>
        </w:rPr>
        <w:t xml:space="preserve">                                                                            </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建筑施工实名制以建设项目为管理单位。施工总承包企业对实名制管理负总责；专业承包企业和劳务分包企业按照合同约定，对本企业施工范围的实名制管理负责。</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建设单位、施工总承包企业、专业承包企业和劳务分包企业存在违反有关文件规定情形的，需承担相应的责任。</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45.3 发包人责任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在合同工程实施、完成及保修期间，发包人承担下列责任：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（1）发包人应配合承包人做好绿色施工安全防护工作，定期对其现场机构雇佣的全部人员进行绿色施工安全防护教育和培训。</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（2）发包人应对其现场机构雇佣的全部人员的安全事故承担责任，但由于承包人原因造成发包人人员安全事故的，应由承包人承担责任。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（3）发包人有下列行为之一或由于发包人原因造成安全事故的，由发包人承担责任，由此增加的费用和延误的工期由发包人承担。</w:t>
      </w:r>
    </w:p>
    <w:p>
      <w:pPr>
        <w:pageBreakBefore w:val="0"/>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1）要求承包人违反绿色施工安全防护操作规程施工的；</w:t>
      </w:r>
    </w:p>
    <w:p>
      <w:pPr>
        <w:pageBreakBefore w:val="0"/>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2）对承包人提出不符合国家、省有关安绿色施工安全防护全文明施工法律和强制性标准规定要求的；</w:t>
      </w:r>
    </w:p>
    <w:p>
      <w:pPr>
        <w:pageBreakBefore w:val="0"/>
        <w:tabs>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3）明示或暗示承包人购买、租赁、使用不符合安全施工要求的安全防护用具、机械设备、施工机具及配件、消防设施和器材的。</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（4）发包人应负责赔偿下列情形造成的第三者人身伤亡和财产损失。</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1）工程或工程的任何部分对土地的占用所造成的第三者财产损失；</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2）由于发包人原因在施工场地及其毗邻造成的第三者人身伤亡和财产损失。</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45.4 承包人责任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在合同工程实施、完成及保修期间，承包人承担下列责任：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（1）承包人应严格按照国家、省、市有关绿色施工安全防护的标准、内容与规范制定绿色施工安全防护操作规程，配备必要的安全生产和劳动保护设施，加强对承包人人员的施工安全教育和培训。</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（2）承包人应对合同工程的绿色施工安全防护负责，采取有效的安全措施消除安全事故隐患，并接受和配合依法实施的监督检查。</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（4）承包人应按监理工程师的指令制定应对灾害的紧急预案，并按预案做好安全检查，配置必要的救助物资和器材，切实保护好有关人员的人身和财产安全。</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（5）承包人违反本条规定或由于承包人原因造成安全事故的，由承包人承担责任，由此增加的费用和延误的工期由承包人承担。</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（6）承包人应对其履行合同所雇佣的全部人员，包括分包人人员的安全事故承担责任，但由于发包人原因造成承包人人员安全事故的，应由发包人承担责任。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（7）由于承包人原因在施工场地内及其毗邻造成的第三者人身伤亡和财产损失，由承包人负责赔偿。</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45.5 施工措施的审查与整改</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45.6</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治安管理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合同双方当事人不仅应协助现场治安管理机构或联防组织维护施工场地的社会治安，而且应做好包括有关人员现场生活、居住场所在内的施工场地内的治安保卫工作。</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45.7 施工场地的环保、卫生要求 </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45.8  发包人鼓励创建文明工地</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发包人应配合承包人加强绿色施工安全防护管理，鼓励承包人实施省、市级或其它级别文明工地。对于工程获得省、市级或其它级别文明工地的，应按照第80条规定向承包人支付文明工地增加费。</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45.9特别安全生产事项</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需单独编制危险性较大分部分项专项工程施工方案的，及要求进行专家论证的超过一定规模的危险性较大的分部分项工程，承包人应及时编制和组织论证。</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91" w:name="_Toc10624869"/>
      <w:bookmarkStart w:id="392" w:name="_Toc469384029"/>
      <w:r>
        <w:rPr>
          <w:rFonts w:hint="eastAsia" w:ascii="宋体" w:hAnsi="宋体" w:eastAsia="宋体" w:cs="宋体"/>
          <w:b/>
          <w:bCs/>
          <w:caps w:val="0"/>
          <w:color w:val="auto"/>
          <w:sz w:val="21"/>
          <w:szCs w:val="21"/>
          <w:highlight w:val="none"/>
        </w:rPr>
        <w:t>46  测量放线</w:t>
      </w:r>
      <w:bookmarkEnd w:id="391"/>
      <w:bookmarkEnd w:id="392"/>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46.1测设施工控制网</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46.2  施工控制网（点）管理与使用</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承包人应负责施工控制网点的管理。施工控制网点丢失或损坏的，承包人应及时修复。承包人应承担施工控制网点的管理与修复费用，并在工程竣工后将施工控制网点移交发包人。</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监理工程师需要使用施工控制网的，承包人应提供必要的协助，发包人无需为此支付任何费用。</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46.3 承包人测量放线的责任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46.4 测量放线误差的处理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0"/>
        <w:pageBreakBefore w:val="0"/>
        <w:tabs>
          <w:tab w:val="left" w:pos="720"/>
          <w:tab w:val="left" w:pos="108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46.5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保护基准点或线等标志</w:t>
      </w:r>
    </w:p>
    <w:p>
      <w:pPr>
        <w:pStyle w:val="10"/>
        <w:pageBreakBefore w:val="0"/>
        <w:tabs>
          <w:tab w:val="left" w:pos="207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93" w:name="_Toc10624870"/>
      <w:bookmarkStart w:id="394" w:name="_Toc469384030"/>
      <w:r>
        <w:rPr>
          <w:rFonts w:hint="eastAsia" w:ascii="宋体" w:hAnsi="宋体" w:eastAsia="宋体" w:cs="宋体"/>
          <w:b/>
          <w:bCs/>
          <w:caps w:val="0"/>
          <w:color w:val="auto"/>
          <w:sz w:val="21"/>
          <w:szCs w:val="21"/>
          <w:highlight w:val="none"/>
        </w:rPr>
        <w:t>47  钻孔与勘探性开挖</w:t>
      </w:r>
      <w:bookmarkEnd w:id="393"/>
      <w:bookmarkEnd w:id="394"/>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47.1发出钻孔和勘探性开挖工作指令</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0"/>
        <w:pageBreakBefore w:val="0"/>
        <w:tabs>
          <w:tab w:val="left" w:pos="720"/>
          <w:tab w:val="left" w:pos="108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47.2 钻孔和勘探性开挖工作的费用</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除工程量清单中已列有此类工作的支付项目和额度外，此项工作所发生的一切费用，经造价工程师核实后，由合同双方当事人按照第72条规定办理。</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95" w:name="_Toc10624871"/>
      <w:bookmarkStart w:id="396" w:name="_Toc469384031"/>
      <w:r>
        <w:rPr>
          <w:rFonts w:hint="eastAsia" w:ascii="宋体" w:hAnsi="宋体" w:eastAsia="宋体" w:cs="宋体"/>
          <w:b/>
          <w:bCs/>
          <w:caps w:val="0"/>
          <w:color w:val="auto"/>
          <w:sz w:val="21"/>
          <w:szCs w:val="21"/>
          <w:highlight w:val="none"/>
        </w:rPr>
        <w:t>48  发包人供应材料和工程设备</w:t>
      </w:r>
      <w:bookmarkEnd w:id="395"/>
      <w:bookmarkEnd w:id="396"/>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48.1约定供应的材料和工程设备</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48.2 发包人交货日期的要求</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48.3 发包人供应材料和工程设备</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48.4  发包人供应材料和工程设备的责任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48.5 承包人保管发包人供应的材料和工程设备</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48.6供应材料和工程设备与约定不符时发包人的责任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发包人供应的材料和工程设备与一览表不符时，发包人应按照下列规定承担相应责任：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材料和工程设备的单价与一览表不符，由发包人承担所有价差；</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材料和工程设备的品种、规格、型号、质量标准与一览表不符，承包人可以拒绝接受保管，由发包人运出施工场地并重新采购；</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材料和工程设备的品种、规格、型号、质量标准与一览表不符，经发包人同意，承包人可代为调剂替换，由发包人承担相应费用；</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交货地点与一览表不符，除合同双方当事人协商确定外，由发包人重新运至一览表指定地点，并承担由此增加的费用和（或）延误的工期；</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(5)供应数量少于一览表约定的数量时，由发包人补齐；多于一览表约定的数量时，发包人应将多出的部分运出施工场地；</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0"/>
        <w:pageBreakBefore w:val="0"/>
        <w:tabs>
          <w:tab w:val="left" w:pos="216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48.7 供应材料和工程设备使用前的检验</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48.8  约定结算方式</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97" w:name="_Toc10624872"/>
      <w:bookmarkStart w:id="398" w:name="_Toc469384032"/>
      <w:r>
        <w:rPr>
          <w:rFonts w:hint="eastAsia" w:ascii="宋体" w:hAnsi="宋体" w:eastAsia="宋体" w:cs="宋体"/>
          <w:b/>
          <w:bCs/>
          <w:caps w:val="0"/>
          <w:color w:val="auto"/>
          <w:sz w:val="21"/>
          <w:szCs w:val="21"/>
          <w:highlight w:val="none"/>
        </w:rPr>
        <w:t>49  承包人采购材料和工程设备</w:t>
      </w:r>
      <w:bookmarkEnd w:id="397"/>
      <w:bookmarkEnd w:id="398"/>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49.1 承包人采购材料和工程设备</w:t>
      </w:r>
      <w:r>
        <w:rPr>
          <w:rFonts w:hint="eastAsia" w:ascii="宋体" w:hAnsi="宋体" w:eastAsia="宋体" w:cs="宋体"/>
          <w:caps w:val="0"/>
          <w:color w:val="auto"/>
          <w:sz w:val="21"/>
          <w:szCs w:val="21"/>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49.2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承包人供货与清点要求</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49.3 承包人采购材料和工程设备的责任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49.4 承包人使用采购的材料和工程设备的责任</w:t>
      </w:r>
      <w:r>
        <w:rPr>
          <w:rFonts w:hint="eastAsia" w:ascii="宋体" w:hAnsi="宋体" w:eastAsia="宋体" w:cs="宋体"/>
          <w:b/>
          <w:bCs/>
          <w:caps w:val="0"/>
          <w:color w:val="auto"/>
          <w:sz w:val="21"/>
          <w:szCs w:val="21"/>
          <w:highlight w:val="none"/>
          <w:u w:val="dotted"/>
        </w:rPr>
        <w:t xml:space="preserve"> </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49.5 </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承包人不执行指令的责任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49.6 使用替换材料的申请与批准</w:t>
      </w:r>
    </w:p>
    <w:p>
      <w:pPr>
        <w:pStyle w:val="10"/>
        <w:pageBreakBefore w:val="0"/>
        <w:tabs>
          <w:tab w:val="left" w:pos="12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49.7采购材料和工程设备使用前的检验</w:t>
      </w:r>
    </w:p>
    <w:p>
      <w:pPr>
        <w:pStyle w:val="10"/>
        <w:pageBreakBefore w:val="0"/>
        <w:tabs>
          <w:tab w:val="left" w:pos="180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49.8 禁止指定采购材料和工程设备</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承包人采购材料和工程设备的，除专用条款另有约定外，发包人不得指定生产厂家或供应商。</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399" w:name="_Toc469384033"/>
      <w:bookmarkStart w:id="400" w:name="_Toc10624873"/>
      <w:r>
        <w:rPr>
          <w:rFonts w:hint="eastAsia" w:ascii="宋体" w:hAnsi="宋体" w:eastAsia="宋体" w:cs="宋体"/>
          <w:b/>
          <w:bCs/>
          <w:caps w:val="0"/>
          <w:color w:val="auto"/>
          <w:sz w:val="21"/>
          <w:szCs w:val="21"/>
          <w:highlight w:val="none"/>
        </w:rPr>
        <w:t>50  材料和工程设备的检验试验</w:t>
      </w:r>
      <w:bookmarkEnd w:id="399"/>
      <w:bookmarkEnd w:id="400"/>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50.1进入现场检验试验</w:t>
      </w:r>
      <w:r>
        <w:rPr>
          <w:rFonts w:hint="eastAsia" w:ascii="宋体" w:hAnsi="宋体" w:eastAsia="宋体" w:cs="宋体"/>
          <w:caps w:val="0"/>
          <w:color w:val="auto"/>
          <w:sz w:val="21"/>
          <w:szCs w:val="21"/>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0"/>
        <w:pageBreakBefore w:val="0"/>
        <w:tabs>
          <w:tab w:val="left" w:pos="360"/>
          <w:tab w:val="left" w:pos="7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50.2  材料和工程设备的见证取样与不见证取样检验试验</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材料和工程设备等产品的检验试验，包括见证取样和不见证取样两种情形：</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50.3 材料和工程设备的使用</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材料和工程设备等产品检验试验合格的，可在合同工程中使用。材料和工程设备等产品检验试验不合格的，禁止在合同工程中使用，并及时清出施工场地。</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50.4 材料和工程设备的检验试验费用</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除合同价款已包括外，材料和工程设备等产品的检验试验费，按照实际发生的费用计算。</w:t>
      </w:r>
    </w:p>
    <w:p>
      <w:pPr>
        <w:pStyle w:val="10"/>
        <w:pageBreakBefore w:val="0"/>
        <w:tabs>
          <w:tab w:val="left" w:pos="1620"/>
          <w:tab w:val="left" w:pos="1980"/>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（1）现场使用前材料和工程设备等产品的检验试验，发包人供应的，检验试验费由发包人承担；承包人采购的，检验试验费由承包人承担。</w:t>
      </w:r>
    </w:p>
    <w:p>
      <w:pPr>
        <w:pStyle w:val="10"/>
        <w:pageBreakBefore w:val="0"/>
        <w:tabs>
          <w:tab w:val="left" w:pos="1620"/>
          <w:tab w:val="left" w:pos="2160"/>
          <w:tab w:val="left" w:pos="25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（2）施工过程中材料和工程设备等产品的检验试验，合格的，检验试验费由发包人承担。不合格的，发包人供应的，检验试验费由发包人承担；承包人采购的，检验试验费由承包人承担。</w:t>
      </w:r>
    </w:p>
    <w:p>
      <w:pPr>
        <w:pStyle w:val="10"/>
        <w:pageBreakBefore w:val="0"/>
        <w:tabs>
          <w:tab w:val="left" w:pos="1620"/>
          <w:tab w:val="left" w:pos="1980"/>
          <w:tab w:val="left" w:pos="2520"/>
          <w:tab w:val="left" w:pos="270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50.5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再次检验试验及其费用承担</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监理工程师对承包人自行检验试验结果有疑问的，或重新查验检验试验结果的，可要求承包人共同对材料和工程设备等产品再次检验试验。</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（1）合格的，再次检验试验费和（或）延误的工期由发包人承担，并向承包人支付合理利润。</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（2）不合格的，发包人供应的，再次检验试验费和（或）延误的工期由发包人承担，并向承包人支付合理利润；承包人采购的，再次检验试验费和（或）延误的工期由承包人承担。</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50.6 材料和工程设备质量有争议的处理</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合同双方当事人对材料和工程设备等产品质量有争议的，所需的检验试验费由责任方承担。双方均有责任的，由双方根据其责任划分分别承担。</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01" w:name="_Toc469384034"/>
      <w:bookmarkStart w:id="402" w:name="_Toc10624874"/>
      <w:r>
        <w:rPr>
          <w:rFonts w:hint="eastAsia" w:ascii="宋体" w:hAnsi="宋体" w:eastAsia="宋体" w:cs="宋体"/>
          <w:b/>
          <w:bCs/>
          <w:caps w:val="0"/>
          <w:color w:val="auto"/>
          <w:sz w:val="21"/>
          <w:szCs w:val="21"/>
          <w:highlight w:val="none"/>
        </w:rPr>
        <w:t>51  施工设备和临时设施</w:t>
      </w:r>
      <w:bookmarkEnd w:id="401"/>
      <w:bookmarkEnd w:id="402"/>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51.1 承包人配置的施工设备和临时设施</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进入施工场地的承包人施工设备，需经监理工程师核查后才能投入使用。承包人更换合同约定自身施工设备的，应经监理工程师同意并由其报发包人批准后方可实施。</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51.2 发包人提供的施工设备和临时设施</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如果发包人提供施工设备或临时设施的，合同双方当事人应在专用条款中约定施工设备或临时设施的品种、规格、型号和提供的时间、地点等内容。</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51.3 承包人增加或更换施工设备</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51.4施工设备和临时设施的使用要求</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运至施工现场的施工设备和在施工现场修建的临时设施，均应视为专门用于实施合同工程。除经监理工程师同意并由其报发包人批准，承包人可根据合同工程进度计划撤走闲置的施工设备外，承包人不得将上述施工设备和临时设施中的任何部分运出施工场地或挪作他用。</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03" w:name="_Toc10624875"/>
      <w:bookmarkStart w:id="404" w:name="_Toc469384035"/>
      <w:r>
        <w:rPr>
          <w:rFonts w:hint="eastAsia" w:ascii="宋体" w:hAnsi="宋体" w:eastAsia="宋体" w:cs="宋体"/>
          <w:b/>
          <w:bCs/>
          <w:caps w:val="0"/>
          <w:color w:val="auto"/>
          <w:sz w:val="21"/>
          <w:szCs w:val="21"/>
          <w:highlight w:val="none"/>
        </w:rPr>
        <w:t>★52  工程质量检查</w:t>
      </w:r>
      <w:bookmarkEnd w:id="403"/>
      <w:bookmarkEnd w:id="404"/>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52.1 承包人对工程质量检查的义务</w:t>
      </w:r>
      <w:r>
        <w:rPr>
          <w:rFonts w:hint="eastAsia" w:ascii="宋体" w:hAnsi="宋体" w:eastAsia="宋体" w:cs="宋体"/>
          <w:caps w:val="0"/>
          <w:color w:val="auto"/>
          <w:sz w:val="21"/>
          <w:szCs w:val="21"/>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52.2 工程质量检查的要求</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52.3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工程质量不达标准的处理和责任</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52.4 质量检查不得影响施工</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52.5  现场工艺试验</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05" w:name="_Toc10624876"/>
      <w:bookmarkStart w:id="406" w:name="_Toc469384036"/>
      <w:r>
        <w:rPr>
          <w:rFonts w:hint="eastAsia" w:ascii="宋体" w:hAnsi="宋体" w:eastAsia="宋体" w:cs="宋体"/>
          <w:b/>
          <w:bCs/>
          <w:caps w:val="0"/>
          <w:color w:val="auto"/>
          <w:sz w:val="21"/>
          <w:szCs w:val="21"/>
          <w:highlight w:val="none"/>
        </w:rPr>
        <w:t>★53  隐蔽工程和中间验收</w:t>
      </w:r>
      <w:bookmarkEnd w:id="405"/>
      <w:bookmarkEnd w:id="406"/>
    </w:p>
    <w:p>
      <w:pPr>
        <w:pStyle w:val="10"/>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53.1隐蔽工程和中间验收的通知</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0"/>
        <w:pageBreakBefore w:val="0"/>
        <w:tabs>
          <w:tab w:val="left" w:pos="7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53.2参加验收的限制</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0"/>
        <w:pageBreakBefore w:val="0"/>
        <w:tabs>
          <w:tab w:val="left" w:pos="7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53.3 验收结果的确认</w:t>
      </w:r>
    </w:p>
    <w:p>
      <w:pPr>
        <w:pStyle w:val="10"/>
        <w:pageBreakBefore w:val="0"/>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0"/>
        <w:pageBreakBefore w:val="0"/>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验收不合格的，承包人应按照监理工程师的指令修改后重新验收，由此增加的费用和（或）延误的工期由承包人承担。</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53.4 隐蔽工程的拍摄或照相</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如监理工程师有指令，承包人应对隐蔽工程进行拍摄或照相，保证监理工程师能充分检查和测量隐蔽的工程。</w:t>
      </w:r>
    </w:p>
    <w:p>
      <w:pPr>
        <w:pStyle w:val="10"/>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53.5 承包人私自隐蔽</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承包人未通知监理工程师到场验收，私自将隐蔽工程覆盖的，监理工程师有权指令承包人进行钻孔探测或剥露验收，由此增加的费用和（或）延误的工期由承包人承担。</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07" w:name="_Toc10624877"/>
      <w:bookmarkStart w:id="408" w:name="_Toc469384037"/>
      <w:r>
        <w:rPr>
          <w:rFonts w:hint="eastAsia" w:ascii="宋体" w:hAnsi="宋体" w:eastAsia="宋体" w:cs="宋体"/>
          <w:b/>
          <w:bCs/>
          <w:caps w:val="0"/>
          <w:color w:val="auto"/>
          <w:sz w:val="21"/>
          <w:szCs w:val="21"/>
          <w:highlight w:val="none"/>
        </w:rPr>
        <w:t>★54  重新验收和额外检查检验</w:t>
      </w:r>
      <w:bookmarkEnd w:id="407"/>
      <w:bookmarkEnd w:id="408"/>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54.1重新验收</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0"/>
        <w:pageBreakBefore w:val="0"/>
        <w:tabs>
          <w:tab w:val="left" w:pos="540"/>
          <w:tab w:val="left" w:pos="7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54.2额外检查检验</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09" w:name="_Toc10624878"/>
      <w:bookmarkStart w:id="410" w:name="_Toc469384038"/>
      <w:r>
        <w:rPr>
          <w:rFonts w:hint="eastAsia" w:ascii="宋体" w:hAnsi="宋体" w:eastAsia="宋体" w:cs="宋体"/>
          <w:b/>
          <w:bCs/>
          <w:caps w:val="0"/>
          <w:color w:val="auto"/>
          <w:sz w:val="21"/>
          <w:szCs w:val="21"/>
          <w:highlight w:val="none"/>
        </w:rPr>
        <w:t>55  工程试车</w:t>
      </w:r>
      <w:bookmarkEnd w:id="409"/>
      <w:bookmarkEnd w:id="410"/>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55.1 试车内容</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按照合同约定需要试车的，试车的内容应与承包人承包的安装范围相一致。</w:t>
      </w:r>
    </w:p>
    <w:p>
      <w:pPr>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55.2 单机试车的通知和限制</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55.3 单机试车结果的确认</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55.4 联动试车通知和结果的确认</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55.5  试车费用和不达要求处理</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试车费用，除已含在合同价款外，由发包人承担。试车达不到验收要求的，按照下列规定处理： </w:t>
      </w:r>
    </w:p>
    <w:p>
      <w:pPr>
        <w:pageBreakBefore w:val="0"/>
        <w:numPr>
          <w:ilvl w:val="0"/>
          <w:numId w:val="9"/>
        </w:numPr>
        <w:tabs>
          <w:tab w:val="left" w:pos="1080"/>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由于设计原因试车达不到验收要求，发包人应要求设计人修改设计，承包人按照修改后的设计重新安装。发包人承担修改设计、拆除及重新安装的全部费用和延误的工期。</w:t>
      </w:r>
    </w:p>
    <w:p>
      <w:pPr>
        <w:pageBreakBefore w:val="0"/>
        <w:numPr>
          <w:ilvl w:val="0"/>
          <w:numId w:val="9"/>
        </w:numPr>
        <w:tabs>
          <w:tab w:val="left" w:pos="1080"/>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pageBreakBefore w:val="0"/>
        <w:numPr>
          <w:ilvl w:val="0"/>
          <w:numId w:val="9"/>
        </w:numPr>
        <w:tabs>
          <w:tab w:val="left" w:pos="1080"/>
          <w:tab w:val="left" w:pos="198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由于承包人施工原因试车达不到验收要求，承包人应按照监理工程师要求重新安装和试车，并承担拆除、重新安装和重新试车的费用和延误的工期。</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55.6 投料试车</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投料试车应在永久工程竣工验收后，由发包人负责。如果发包人要求在永久工程竣工验收前进行试车或需要承包人配合时，应事先取得承包人同意，并另行签订补充协议。</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11" w:name="_Toc10624879"/>
      <w:bookmarkStart w:id="412" w:name="_Toc469384039"/>
      <w:r>
        <w:rPr>
          <w:rFonts w:hint="eastAsia" w:ascii="宋体" w:hAnsi="宋体" w:eastAsia="宋体" w:cs="宋体"/>
          <w:b/>
          <w:bCs/>
          <w:caps w:val="0"/>
          <w:color w:val="auto"/>
          <w:sz w:val="21"/>
          <w:szCs w:val="21"/>
          <w:highlight w:val="none"/>
        </w:rPr>
        <w:t>★56  工程变更</w:t>
      </w:r>
      <w:bookmarkEnd w:id="411"/>
      <w:bookmarkEnd w:id="412"/>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56.1工程变更权限</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合同履行期间，经发包人批准，监理工程师可按照第56.3款约定的变更程序向承包人发出变更指令，承包人应按照合同约定实施变更工作。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没有经发包人批准也没有监理工程师的工程变更指令，承包人应按照合同约定施工，无权对合同工程作出任何变更。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工程量偏差不属于工程变更，该项工程量增减不需要任何指令。</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56.2 工程变更内容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合同履行期间，发包人可对合同工程或其任何部分的形式、质量或数量作出变更。发生下列情形之一，应按照本条规定进行变更。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改变合同工程中任何工程数量（不含工程量的偏差）；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(2) 删减任何工作，但删减的工作不能转由发包人或其他人实施；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 改变任何工作内容的性质、质量或其他特征；</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 改变工程任何部分的标高、基线、位置和(或)尺寸；</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 为完成永久工程所必须的任何额外工作；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对合同工程工期、质量标准等实质性变更的，应在作出变更前，与承包人签订补充协议书，作为本合同的补充文件。</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56.3  工程变更程序</w:t>
      </w:r>
      <w:bookmarkStart w:id="413" w:name="OLE_LINK1"/>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合同工程发生变更</w:t>
      </w:r>
      <w:bookmarkEnd w:id="413"/>
      <w:r>
        <w:rPr>
          <w:rFonts w:hint="eastAsia" w:ascii="宋体" w:hAnsi="宋体" w:eastAsia="宋体" w:cs="宋体"/>
          <w:caps w:val="0"/>
          <w:color w:val="auto"/>
          <w:sz w:val="21"/>
          <w:szCs w:val="21"/>
          <w:highlight w:val="none"/>
        </w:rPr>
        <w:t>，合同双方当事人以及监理工程师、造价工程师应遵循下列程序实施工程变更的相关工作。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(1)合同工程可能发生或发生工程变更时，监理工程师或承包人可依据下列情况及时提出。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2）合同工程发生第56.2款所列情形的，监理工程师应至少提前14天以书面形式向承包人发出变更指令，并提供变更的施工设计图纸及其说明等资料。</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变更工作影响工期的，承包人应提出调整工期的要求。发包人认为有必要时，可要求承包人提交提前或者延长工期的施工进度计划或相应施工措施等资料。</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(4)承包人应在发包人确定工程变更报告后的7天内，按照监理工程师发出的变更指令及时组织实施变更工作。否则，由此引起的损失和（或）延误的工期由承包人承担。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56.4 承包人提出工程变更建议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发包人采纳承包人的建议，给发包人带来降低合同价款、缩短工期或提交工程经济效益等利益的，发包人应按照国家有关规定并在专用条款中约定的计算方法予以奖励。</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56.5 工程变更导致合同价款和工期的调整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3"/>
        <w:pageBreakBefore w:val="0"/>
        <w:numPr>
          <w:ilvl w:val="0"/>
          <w:numId w:val="0"/>
        </w:numPr>
        <w:kinsoku/>
        <w:wordWrap/>
        <w:overflowPunct/>
        <w:topLinePunct w:val="0"/>
        <w:bidi w:val="0"/>
        <w:adjustRightInd w:val="0"/>
        <w:snapToGrid w:val="0"/>
        <w:spacing w:line="360" w:lineRule="auto"/>
        <w:ind w:leftChars="200" w:right="0" w:rightChars="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为了便于组织施工而采取的技术措施变更或临时工程变更；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（2）为了施工安全、避免干扰等原因而采取的技术措施变更或临时工程变更；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）因承包人违约、过错或承包人引起的其他变更。</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14" w:name="_Toc469384040"/>
      <w:bookmarkStart w:id="415" w:name="_Toc10624880"/>
      <w:r>
        <w:rPr>
          <w:rFonts w:hint="eastAsia" w:ascii="宋体" w:hAnsi="宋体" w:eastAsia="宋体" w:cs="宋体"/>
          <w:b/>
          <w:bCs/>
          <w:caps w:val="0"/>
          <w:color w:val="auto"/>
          <w:sz w:val="21"/>
          <w:szCs w:val="21"/>
          <w:highlight w:val="none"/>
        </w:rPr>
        <w:t>57  竣工验收条件</w:t>
      </w:r>
      <w:bookmarkEnd w:id="414"/>
      <w:bookmarkEnd w:id="415"/>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57.1竣工验收条件</w:t>
      </w:r>
      <w:r>
        <w:rPr>
          <w:rFonts w:hint="eastAsia" w:ascii="宋体" w:hAnsi="宋体" w:eastAsia="宋体" w:cs="宋体"/>
          <w:caps w:val="0"/>
          <w:color w:val="auto"/>
          <w:sz w:val="21"/>
          <w:szCs w:val="21"/>
          <w:highlight w:val="none"/>
        </w:rPr>
        <w:t>承包人实施、完成合同工程的全部工作内容，经自检评定并符合下列条件的，则认为合同工程已具备竣工验收条件。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(2）已按照合同约定的内容和份数备齐了符合国家或行业、省要求的竣工资料（质量控制资料、竣工结算文件等）；</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(3）已按照监理工程师的指令编制了在缺陷责任期内完成的尾工（甩项）工程和缺陷修补工作清单，以及相应的实施计划；</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(4）监理工程师要求在竣工验收前应完成的其他工作：</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(5）监理工程师要求提交的竣工验收资料清单。</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57.2 </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提交竣工验收申请报告</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0"/>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57.3 竣工验收条件的限制</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如果承包人不按照规定提交竣工资料或提交的资料不符合要求，则认为合同工程尚未具备竣工验收条件。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★58.1竣工验收标准</w:t>
      </w:r>
      <w:r>
        <w:rPr>
          <w:rFonts w:hint="eastAsia" w:ascii="宋体" w:hAnsi="宋体" w:eastAsia="宋体" w:cs="宋体"/>
          <w:caps w:val="0"/>
          <w:color w:val="auto"/>
          <w:sz w:val="21"/>
          <w:szCs w:val="21"/>
          <w:highlight w:val="none"/>
        </w:rPr>
        <w:t>合同双方当事人应在专用条款中约定合同工程竣工验收标准，但约定的竣工验收标准应符合国家或行业、省的有关规定。</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合同工程需要进行国家验收的，竣工验收是国家验收的一部分。</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58.2核查竣工验收条件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发包人收到承包人按照第57.2 款规定提交的竣工验收申请报告后，应及时通知监理工程师核查合同工程是否具备竣工验收条件。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(2）经核查已具备竣工验收条件的，监理工程师应在收到竣工验收申请报告后的14天内书面提请发包人组织合同工程验收。</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58.3 完成验收和确认</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58.4</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组织验收的限制</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发包人未按照第58.3款规定完成合同工程验收，或验收后14天内未予确认也未提出修改意见，视为承包人提交的竣工验收申请报告已被认可。</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竣工验收申请报告被认可，则表明已完成合同工程，视为竣工验收合格，但由于不可抗力事件致使发包人不能完成验收的除外。</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58.5 不组织验收的责任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发包人未按照第58.3款规定完成合同工程验收，从收到监理工程师书面提请后的第29天起承担合同工程照管责任和其他一切意外责任。</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58.6</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接收工程</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竣工验收合格的，发包人应接收工程，并在收到承包人提交的竣工验收申请报告后的56天内向承包人颁发工程接收证书。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58.7 竣工日期的写明</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竣工验收合格的合同工程，发包人应按照第38.2款规定在工程接收证书上写明合同工程的实际竣工日期。</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58.8 单位工程或工程部位验收</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发包人要求某一单位工程或任一工程部位提前办理竣工验收的，应与承包人签订单位工程或工程部位竣工验收协议，作为本合同的附件。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（2）发包人在全部工程竣工前，使用已接收的单位工程或工程部位导致承包人费用增加的，发包人应承担由此增加的费用和（或）延误的工期，并向承包人支付合理利润。</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58.9  施工期运行</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合同工程尚未全部竣工（其中某项或某几项单位工程或工程部位已竣工），根据合同约定需要在施工期运行的，应由发包人按照第58.8款规定验收合格，并确保安全后，才能投入施工期运行。</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在施工期运行中，发现单位工程或工程部位存在缺陷或损坏的，由承包人按照第59.3款规定进行修复。</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58.10  竣工清场</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专用条款没有约定的，工程接收证书颁发后，承包人应按照下列要求对施工场地进行清理，直至监理工程师检验合格为止。竣工清场费用由承包人承担。</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（1）施工场地内残留的垃圾已全部清除出场；</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（2）临时设施已拆除，场地已按照合同要求进行清理、平整或复原；</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（3）按照合同约定应撤离的承包人设备和剩余的材料，包括废弃的施工设备和材料，已按照计划撤离施工场地；</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（4）建筑物周边及其附近道路、河道的施工堆积物，已按照监理工程师指令全部清理；</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（5）监理工程师指令的其他场地清理工作已全部完成。</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如承包人未按照监理工程师的要求恢复临时占地，或者场地清理未达到合同约定的，发包人可自行或委托第三方恢复或清理，所发生的费用从应支付或将支付给承包人的款项中扣除。</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58.11 施工队伍的撤离</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58.12</w:t>
      </w:r>
      <w:r>
        <w:rPr>
          <w:rFonts w:hint="eastAsia" w:ascii="宋体" w:hAnsi="宋体" w:eastAsia="宋体" w:cs="宋体"/>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使用未验收或验收未通过工程的责任</w:t>
      </w:r>
      <w:r>
        <w:rPr>
          <w:rFonts w:hint="eastAsia" w:ascii="宋体" w:hAnsi="宋体" w:eastAsia="宋体" w:cs="宋体"/>
          <w:caps w:val="0"/>
          <w:color w:val="auto"/>
          <w:sz w:val="21"/>
          <w:szCs w:val="21"/>
          <w:highlight w:val="none"/>
        </w:rPr>
        <w:t xml:space="preserve"> </w:t>
      </w:r>
    </w:p>
    <w:p>
      <w:pPr>
        <w:pStyle w:val="3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合同工程未经竣工验收或竣工验收不合格的，发包人不得使用。发包人强行使用的，由此发生的质量问题及其他问题，由发包人承担责任。</w:t>
      </w:r>
    </w:p>
    <w:p>
      <w:pPr>
        <w:pageBreakBefore w:val="0"/>
        <w:tabs>
          <w:tab w:val="left" w:pos="16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58.13</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b/>
          <w:bCs/>
          <w:caps w:val="0"/>
          <w:color w:val="auto"/>
          <w:sz w:val="21"/>
          <w:szCs w:val="21"/>
          <w:highlight w:val="none"/>
        </w:rPr>
        <w:t>工程竣工质量争议的责任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合同工程竣工验收时发生工程质量争议，经第86.4款规定调解或认定工程质量符合合同要求的，由发包人承担由此增加的费用和（或）延误的工期。</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16" w:name="_Toc10624882"/>
      <w:bookmarkStart w:id="417" w:name="_Toc469384042"/>
      <w:r>
        <w:rPr>
          <w:rFonts w:hint="eastAsia" w:ascii="宋体" w:hAnsi="宋体" w:eastAsia="宋体" w:cs="宋体"/>
          <w:b/>
          <w:bCs/>
          <w:caps w:val="0"/>
          <w:color w:val="auto"/>
          <w:sz w:val="21"/>
          <w:szCs w:val="21"/>
          <w:highlight w:val="none"/>
        </w:rPr>
        <w:t>59  缺陷责任与质量保修</w:t>
      </w:r>
      <w:bookmarkEnd w:id="416"/>
      <w:bookmarkEnd w:id="417"/>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59.1 缺陷责任期计算</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合同双方当事人应在专用条款中约定缺陷责任期。</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缺陷责任期自实际竣工之日起计算。在全部工程竣工验收前，已经发包人提前验收的单位工程，其缺陷责任期的起算日期相应提前。</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59.2 缺陷责任期延长</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59.3  缺陷责任</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合同工程存在某项缺陷或损坏的，合同双方当事人应按照下列规定承担缺陷责任以及由此产生的费用。</w:t>
      </w:r>
    </w:p>
    <w:p>
      <w:pPr>
        <w:pStyle w:val="3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（1）承包人应在缺陷责任期内对已交付使用的工程承担缺陷责任。</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59.4  重新检（试）验</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任何一项缺陷或损坏修复后，经检查证明其影响了工程或工程设备的使用性能，承包人应按照第54条规定重新检（试）验，重新检（试）验的费用由责任方承担。</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59.5 承包人的进入权</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缺陷责任期内承包人为缺陷修复工作需要，有权进入工程现场，但应遵守发包人的保安和保密等规定。</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59.6 颁发缺陷责任期终止证书</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在专用条款约定的缺陷责任期（包括第59.2款延长的期限）终止后的14天内，发包人应向承包人颁发缺陷责任期终止证书。</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59.7 签订工程质量保修书</w:t>
      </w:r>
    </w:p>
    <w:p>
      <w:pPr>
        <w:pStyle w:val="3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59.8 质量保修期计算</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合同双方当事人应在专用条款和合同工程质量保修书中约定质量保修期。</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质量保修期自实际竣工之日起计算。在全部工程竣工验收前，已经发包人提前验收的单位工程，其质量保修期的起算日期相应提前。</w:t>
      </w:r>
    </w:p>
    <w:p>
      <w:pPr>
        <w:pageBreakBefore w:val="0"/>
        <w:tabs>
          <w:tab w:val="left" w:pos="360"/>
          <w:tab w:val="left" w:pos="90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59.9 工程质量保修</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59.10 修复质量缺陷以外的费用</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承包人修复属于质量缺陷以外的费用，由责任方承担。</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418" w:name="_Toc10624883"/>
      <w:bookmarkStart w:id="419" w:name="_Toc469384043"/>
      <w:r>
        <w:rPr>
          <w:rFonts w:hint="eastAsia" w:ascii="宋体" w:hAnsi="宋体" w:eastAsia="宋体" w:cs="宋体"/>
          <w:b/>
          <w:bCs/>
          <w:caps w:val="0"/>
          <w:color w:val="auto"/>
          <w:sz w:val="21"/>
          <w:szCs w:val="21"/>
          <w:highlight w:val="none"/>
          <w:lang w:val="en-US" w:eastAsia="zh-CN"/>
        </w:rPr>
        <w:t>六、</w:t>
      </w:r>
      <w:r>
        <w:rPr>
          <w:rFonts w:hint="eastAsia" w:ascii="宋体" w:hAnsi="宋体" w:eastAsia="宋体" w:cs="宋体"/>
          <w:b/>
          <w:bCs/>
          <w:caps w:val="0"/>
          <w:color w:val="auto"/>
          <w:sz w:val="21"/>
          <w:szCs w:val="21"/>
          <w:highlight w:val="none"/>
        </w:rPr>
        <w:t>造  价</w:t>
      </w:r>
      <w:bookmarkEnd w:id="418"/>
      <w:bookmarkEnd w:id="419"/>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bookmarkStart w:id="420" w:name="_Toc469384044"/>
      <w:bookmarkStart w:id="421" w:name="_Toc10624884"/>
      <w:r>
        <w:rPr>
          <w:rFonts w:hint="eastAsia" w:ascii="宋体" w:hAnsi="宋体" w:eastAsia="宋体" w:cs="宋体"/>
          <w:caps w:val="0"/>
          <w:color w:val="auto"/>
          <w:sz w:val="21"/>
          <w:szCs w:val="21"/>
          <w:highlight w:val="none"/>
        </w:rPr>
        <w:t>60  资金计划和安排</w:t>
      </w:r>
      <w:bookmarkEnd w:id="420"/>
      <w:bookmarkEnd w:id="42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60.1承包人提交资金需求计划书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工程进度计划被批准后，承包人应向发包人提交一份合同工程资金需求计划书；工程进度计划更新后，承包人应及时向发包人提交一份更新后的工程资金需求计划书。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60.2  发包人提供资金安排证据</w:t>
      </w:r>
    </w:p>
    <w:p>
      <w:pPr>
        <w:pStyle w:val="23"/>
        <w:pageBreakBefore w:val="0"/>
        <w:tabs>
          <w:tab w:val="left" w:pos="180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22" w:name="_Toc10624885"/>
      <w:bookmarkStart w:id="423" w:name="_Toc469384045"/>
      <w:r>
        <w:rPr>
          <w:rFonts w:hint="eastAsia" w:ascii="宋体" w:hAnsi="宋体" w:eastAsia="宋体" w:cs="宋体"/>
          <w:b/>
          <w:bCs/>
          <w:caps w:val="0"/>
          <w:color w:val="auto"/>
          <w:sz w:val="21"/>
          <w:szCs w:val="21"/>
          <w:highlight w:val="none"/>
        </w:rPr>
        <w:t>★61  工程量</w:t>
      </w:r>
      <w:bookmarkEnd w:id="422"/>
      <w:bookmarkEnd w:id="423"/>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61.1清单工程量包括的工作内容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61.2 清单的工程量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工程量清单中开列的工程量是根据合同工程施工设计图纸提供的预计工程量，不能作为承包人履行合同义务中应予完成合同工程的实际和准确工程量。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发包人应按照承包人实际完成的应予计量的工程量与其在工程量清单中填报的单价或合价的乘积向承包人支付工程款。</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24" w:name="_Toc10624886"/>
      <w:bookmarkStart w:id="425" w:name="_Toc469384046"/>
      <w:r>
        <w:rPr>
          <w:rFonts w:hint="eastAsia" w:ascii="宋体" w:hAnsi="宋体" w:eastAsia="宋体" w:cs="宋体"/>
          <w:b/>
          <w:bCs/>
          <w:caps w:val="0"/>
          <w:color w:val="auto"/>
          <w:sz w:val="21"/>
          <w:szCs w:val="21"/>
          <w:highlight w:val="none"/>
        </w:rPr>
        <w:t>★62  工程计量和计价</w:t>
      </w:r>
      <w:bookmarkEnd w:id="424"/>
      <w:bookmarkEnd w:id="42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62.1工程计量和计价的依据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62.2 工程计量和计价的要求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造价工程师负责工程计量和计价的核实工作。</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62.3 已完工程款额报告的提交和核实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62.4 现场计量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62.5 收到已完工程款额报告的限制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62.6  复核计量结果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62.7不予计量</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对承包人超出施工设计图纸范围或因承包人的原因造成返工的工程量，造价工程师均不予计量。</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62.8 各项工作价款的计算</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dstrike/>
          <w:color w:val="auto"/>
          <w:sz w:val="21"/>
          <w:szCs w:val="21"/>
          <w:highlight w:val="none"/>
        </w:rPr>
      </w:pPr>
      <w:bookmarkStart w:id="426" w:name="_Toc10624887"/>
      <w:bookmarkStart w:id="427" w:name="_Toc469384047"/>
      <w:r>
        <w:rPr>
          <w:rFonts w:hint="eastAsia" w:ascii="宋体" w:hAnsi="宋体" w:eastAsia="宋体" w:cs="宋体"/>
          <w:b/>
          <w:bCs/>
          <w:caps w:val="0"/>
          <w:color w:val="auto"/>
          <w:sz w:val="21"/>
          <w:szCs w:val="21"/>
          <w:highlight w:val="none"/>
        </w:rPr>
        <w:t>★63  暂列金额</w:t>
      </w:r>
      <w:bookmarkEnd w:id="426"/>
      <w:bookmarkEnd w:id="427"/>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63.1暂列金额的用途</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合同双方当事人应在专用条款中明确工程量清单中开列的已标价的暂列金额。</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63.2 暂列金额的支付</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63.3 提供暂列金额支付票据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造价工程师有要求时，承包人应提供使用暂列金额支付项目的所有报价单、发票、账单或收据。</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dstrike/>
          <w:color w:val="auto"/>
          <w:sz w:val="21"/>
          <w:szCs w:val="21"/>
          <w:highlight w:val="none"/>
        </w:rPr>
      </w:pPr>
      <w:bookmarkStart w:id="428" w:name="_Toc469384048"/>
      <w:bookmarkStart w:id="429" w:name="_Toc10624888"/>
      <w:r>
        <w:rPr>
          <w:rFonts w:hint="eastAsia" w:ascii="宋体" w:hAnsi="宋体" w:eastAsia="宋体" w:cs="宋体"/>
          <w:b/>
          <w:bCs/>
          <w:caps w:val="0"/>
          <w:color w:val="auto"/>
          <w:sz w:val="21"/>
          <w:szCs w:val="21"/>
          <w:highlight w:val="none"/>
        </w:rPr>
        <w:t>★64  计日工</w:t>
      </w:r>
      <w:bookmarkEnd w:id="428"/>
      <w:bookmarkEnd w:id="42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64.1计日工单价的用途</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承包人投标文件中填报的计日工单价或价格是用于实施发包人要求的合同以外零星工作项目所需的人工单价、材料、工程设备价格和施工设备机械台班单价。</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64.2 </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计日工的确认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经发包人批准后，监理工程师应就使用计日工项目发出书面指令。任一按照计日工方式计价的工作，承包人应在该项工作实施结束后的24小时内，向监理工程师提交有计日工记录的现场签证报告一式两份。</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64.3 计日工的支付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每个支付期末，承包人应按照第81.1款规定向发包人提交本期间所有计日工记录的签证汇总表，以说明本期间自己认为有权得到的计日工费用。 </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dstrike/>
          <w:color w:val="auto"/>
          <w:sz w:val="21"/>
          <w:szCs w:val="21"/>
          <w:highlight w:val="none"/>
        </w:rPr>
      </w:pPr>
      <w:bookmarkStart w:id="430" w:name="_Toc469384049"/>
      <w:bookmarkStart w:id="431" w:name="_Toc10624889"/>
      <w:r>
        <w:rPr>
          <w:rFonts w:hint="eastAsia" w:ascii="宋体" w:hAnsi="宋体" w:eastAsia="宋体" w:cs="宋体"/>
          <w:b/>
          <w:bCs/>
          <w:caps w:val="0"/>
          <w:color w:val="auto"/>
          <w:sz w:val="21"/>
          <w:szCs w:val="21"/>
          <w:highlight w:val="none"/>
        </w:rPr>
        <w:t>★65  暂估价</w:t>
      </w:r>
      <w:bookmarkEnd w:id="430"/>
      <w:bookmarkEnd w:id="43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65.1  招标暂估价项目的要求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65.2 非招标材料和工程设备暂估</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65.3  非招标专业工程暂估价的要求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32" w:name="_Toc10624890"/>
      <w:bookmarkStart w:id="433" w:name="_Toc469384050"/>
      <w:r>
        <w:rPr>
          <w:rFonts w:hint="eastAsia" w:ascii="宋体" w:hAnsi="宋体" w:eastAsia="宋体" w:cs="宋体"/>
          <w:b/>
          <w:bCs/>
          <w:caps w:val="0"/>
          <w:color w:val="auto"/>
          <w:sz w:val="21"/>
          <w:szCs w:val="21"/>
          <w:highlight w:val="none"/>
        </w:rPr>
        <w:t>★66  提前竣工奖与误期赔偿费</w:t>
      </w:r>
      <w:bookmarkEnd w:id="432"/>
      <w:bookmarkEnd w:id="433"/>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66.1 提前竣工奖</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66.2  误期赔偿费</w:t>
      </w:r>
      <w:r>
        <w:rPr>
          <w:rFonts w:hint="eastAsia" w:ascii="宋体" w:hAnsi="宋体" w:eastAsia="宋体" w:cs="宋体"/>
          <w:caps w:val="0"/>
          <w:color w:val="auto"/>
          <w:sz w:val="21"/>
          <w:szCs w:val="21"/>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ascii="宋体" w:hAnsi="宋体" w:eastAsia="宋体" w:cs="宋体"/>
          <w:caps w:val="0"/>
          <w:color w:val="auto"/>
          <w:sz w:val="21"/>
          <w:szCs w:val="21"/>
          <w:highlight w:val="none"/>
        </w:rPr>
        <w:br w:type="textWrapping"/>
      </w:r>
      <w:r>
        <w:rPr>
          <w:rFonts w:hint="eastAsia" w:ascii="宋体" w:hAnsi="宋体" w:eastAsia="宋体" w:cs="宋体"/>
          <w:caps w:val="0"/>
          <w:color w:val="auto"/>
          <w:sz w:val="21"/>
          <w:szCs w:val="21"/>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34" w:name="_Toc469384051"/>
      <w:bookmarkStart w:id="435" w:name="_Toc10624891"/>
      <w:r>
        <w:rPr>
          <w:rFonts w:hint="eastAsia" w:ascii="宋体" w:hAnsi="宋体" w:eastAsia="宋体" w:cs="宋体"/>
          <w:b/>
          <w:bCs/>
          <w:caps w:val="0"/>
          <w:color w:val="auto"/>
          <w:sz w:val="21"/>
          <w:szCs w:val="21"/>
          <w:highlight w:val="none"/>
        </w:rPr>
        <w:t>★67  工程优质费</w:t>
      </w:r>
      <w:bookmarkEnd w:id="434"/>
      <w:bookmarkEnd w:id="43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67.1 工程优质费的约定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67.2 工程优质费计提与支付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36" w:name="_Toc10624892"/>
      <w:bookmarkStart w:id="437" w:name="_Toc469384052"/>
      <w:r>
        <w:rPr>
          <w:rFonts w:hint="eastAsia" w:ascii="宋体" w:hAnsi="宋体" w:eastAsia="宋体" w:cs="宋体"/>
          <w:b/>
          <w:bCs/>
          <w:caps w:val="0"/>
          <w:color w:val="auto"/>
          <w:sz w:val="21"/>
          <w:szCs w:val="21"/>
          <w:highlight w:val="none"/>
        </w:rPr>
        <w:t>★68  合同价款的约定与调整</w:t>
      </w:r>
      <w:bookmarkEnd w:id="436"/>
      <w:bookmarkEnd w:id="437"/>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68.1  约定合同价款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 xml:space="preserve">68.2 </w:t>
      </w:r>
      <w:r>
        <w:rPr>
          <w:rFonts w:hint="eastAsia" w:ascii="宋体" w:hAnsi="宋体" w:eastAsia="宋体" w:cs="宋体"/>
          <w:b/>
          <w:bCs/>
          <w:caps w:val="0"/>
          <w:color w:val="auto"/>
          <w:sz w:val="21"/>
          <w:szCs w:val="21"/>
          <w:highlight w:val="none"/>
        </w:rPr>
        <w:t>合同价款的方式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下列各种确定合同价款的方式，双方可在专用条款内约定采用其中一种：</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（3）按实结算合同。承包方根据相关资料编制预算，合同价款是暂定价，双方在专用条款内约定合同价款调整方法。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（4）其它价格形式。合同当事人可在专用条款中约定其他合同价格形式。</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68.3 合同价款的调整事件</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合同双方当事人应明确合同价款的调整事件。除专用条款另有约定外，调整事件应包括：</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后继法律变化事件；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项目特征描述不符事件；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分部分项工程量清单缺项漏项事件；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工程变更事件；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工程量偏差事件；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费用索赔事件；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rPr>
        <w:t>现场签证事件；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rPr>
        <w:t>物价涨落事件；</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9）</w:t>
      </w:r>
      <w:r>
        <w:rPr>
          <w:rFonts w:hint="eastAsia" w:ascii="宋体" w:hAnsi="宋体" w:eastAsia="宋体" w:cs="宋体"/>
          <w:caps w:val="0"/>
          <w:color w:val="auto"/>
          <w:sz w:val="21"/>
          <w:szCs w:val="21"/>
          <w:highlight w:val="none"/>
        </w:rPr>
        <w:t>专用条款约定的其他事件。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本款(1)至(9)调整事件应分别按照第69条至第76条的规定调整合同价款。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68.4 调整合同价款</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根据第68.2款规定事件调整合同价款，如果是按照第48条规定由发包人自行供应或发包人招标、承包人采购材料和工程设备的，均不应考虑第72.2款规定的承包人报价下浮率因素。</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bookmarkStart w:id="438" w:name="_Toc10624893"/>
      <w:bookmarkStart w:id="439" w:name="_Toc469384053"/>
      <w:r>
        <w:rPr>
          <w:rFonts w:hint="eastAsia" w:ascii="宋体" w:hAnsi="宋体" w:eastAsia="宋体" w:cs="宋体"/>
          <w:b w:val="0"/>
          <w:bCs w:val="0"/>
          <w:caps w:val="0"/>
          <w:color w:val="auto"/>
          <w:sz w:val="21"/>
          <w:szCs w:val="21"/>
          <w:highlight w:val="none"/>
        </w:rPr>
        <w:t>★</w:t>
      </w:r>
      <w:r>
        <w:rPr>
          <w:rFonts w:hint="eastAsia" w:ascii="宋体" w:hAnsi="宋体" w:eastAsia="宋体" w:cs="宋体"/>
          <w:caps w:val="0"/>
          <w:color w:val="auto"/>
          <w:sz w:val="21"/>
          <w:szCs w:val="21"/>
          <w:highlight w:val="none"/>
        </w:rPr>
        <w:t>69  后继法律变化事件</w:t>
      </w:r>
      <w:bookmarkEnd w:id="438"/>
      <w:bookmarkEnd w:id="43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69.1 后继法律变化的价款调整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69.2 调整价款的方法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发生第69.1款情况的，应根据合同工程实际情况，按照上述法律和政策规定计算调整的合同价款。</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0" w:firstLineChars="200"/>
        <w:jc w:val="both"/>
        <w:textAlignment w:val="auto"/>
        <w:rPr>
          <w:rFonts w:hint="eastAsia" w:ascii="宋体" w:hAnsi="宋体" w:eastAsia="宋体" w:cs="宋体"/>
          <w:b w:val="0"/>
          <w:bCs w:val="0"/>
          <w:caps w:val="0"/>
          <w:color w:val="auto"/>
          <w:sz w:val="21"/>
          <w:szCs w:val="21"/>
          <w:highlight w:val="none"/>
        </w:rPr>
      </w:pPr>
      <w:bookmarkStart w:id="440" w:name="_Toc469384054"/>
      <w:bookmarkStart w:id="441" w:name="_Toc10624894"/>
      <w:r>
        <w:rPr>
          <w:rFonts w:hint="eastAsia" w:ascii="宋体" w:hAnsi="宋体" w:eastAsia="宋体" w:cs="宋体"/>
          <w:b w:val="0"/>
          <w:bCs w:val="0"/>
          <w:caps w:val="0"/>
          <w:color w:val="auto"/>
          <w:sz w:val="21"/>
          <w:szCs w:val="21"/>
          <w:highlight w:val="none"/>
        </w:rPr>
        <w:t>★</w:t>
      </w:r>
      <w:r>
        <w:rPr>
          <w:rFonts w:hint="eastAsia" w:ascii="宋体" w:hAnsi="宋体" w:eastAsia="宋体" w:cs="宋体"/>
          <w:bCs w:val="0"/>
          <w:caps w:val="0"/>
          <w:color w:val="auto"/>
          <w:sz w:val="21"/>
          <w:szCs w:val="21"/>
          <w:highlight w:val="none"/>
        </w:rPr>
        <w:t>70  项目特征描述不符事件</w:t>
      </w:r>
      <w:bookmarkEnd w:id="440"/>
      <w:bookmarkEnd w:id="44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70.1 项目特征的准确性</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70.2 项目特征描述不符的价款调整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合同履行期间，出现实际施工设计图纸（含设计变更）与招标文件提供的工程量清单任一项目特征描述不符，且该变化引起工程造价增减事件的，合同双方当事人应调整合同价款。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70.3 调整价款的方法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发生第70.2款情况的，应按照实际施工的项目特征重新确定相应工程量清单项目的综合单价，计算调整的合同价款。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caps w:val="0"/>
          <w:color w:val="auto"/>
          <w:sz w:val="21"/>
          <w:szCs w:val="21"/>
          <w:highlight w:val="none"/>
        </w:rPr>
      </w:pPr>
      <w:bookmarkStart w:id="442" w:name="_Toc469384055"/>
      <w:bookmarkStart w:id="443" w:name="_Toc10624895"/>
      <w:r>
        <w:rPr>
          <w:rFonts w:hint="eastAsia" w:ascii="宋体" w:hAnsi="宋体" w:eastAsia="宋体" w:cs="宋体"/>
          <w:b/>
          <w:bCs/>
          <w:caps w:val="0"/>
          <w:color w:val="auto"/>
          <w:sz w:val="21"/>
          <w:szCs w:val="21"/>
          <w:highlight w:val="none"/>
        </w:rPr>
        <w:t>★71  分部分项工程量清单缺项漏项事件</w:t>
      </w:r>
      <w:bookmarkEnd w:id="442"/>
      <w:bookmarkEnd w:id="443"/>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71.1 清单缺项漏项的价款调整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合同履行期间，出现工程量清单中分部分项工程缺项漏项事件的，合同双方当事人应调整合同价款。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71.2   调整分部分项工程费的方法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-542290</wp:posOffset>
                </wp:positionH>
                <wp:positionV relativeFrom="paragraph">
                  <wp:posOffset>125095</wp:posOffset>
                </wp:positionV>
                <wp:extent cx="1695450" cy="1695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95450" cy="169545"/>
                        </a:xfrm>
                        <a:prstGeom prst="rect">
                          <a:avLst/>
                        </a:prstGeom>
                        <a:noFill/>
                        <a:ln>
                          <a:noFill/>
                        </a:ln>
                      </wps:spPr>
                      <wps:txbx>
                        <w:txbxContent>
                          <w:p>
                            <w:pPr>
                              <w:rPr>
                                <w:rFonts w:cs="Times New Roman"/>
                              </w:rPr>
                            </w:pPr>
                          </w:p>
                        </w:txbxContent>
                      </wps:txbx>
                      <wps:bodyPr upright="1"/>
                    </wps:wsp>
                  </a:graphicData>
                </a:graphic>
              </wp:anchor>
            </w:drawing>
          </mc:Choice>
          <mc:Fallback>
            <w:pict>
              <v:shape id="_x0000_s1026" o:spid="_x0000_s1026" o:spt="202" type="#_x0000_t202" style="position:absolute;left:0pt;margin-left:-42.7pt;margin-top:9.85pt;height:13.35pt;width:133.5pt;z-index:251661312;mso-width-relative:page;mso-height-relative:page;" filled="f" stroked="f" coordsize="21600,21600" o:gfxdata="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hyMW1gAAAAkBAAAP&#10;AAAAAAAAAAEAIAAAACIAAABkcnMvZG93bnJldi54bWxQSwECFAAUAAAACACHTuJAwstg3agBAABO&#10;AwAADgAAAAAAAAABACAAAAAlAQAAZHJzL2Uyb0RvYy54bWxQSwUGAAAAAAYABgBZAQAAPwU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eastAsia="宋体" w:cs="宋体"/>
          <w:caps w:val="0"/>
          <w:color w:val="auto"/>
          <w:sz w:val="21"/>
          <w:szCs w:val="21"/>
          <w:highlight w:val="none"/>
        </w:rPr>
        <w:t>工程量清单中分部分项工程出现缺项漏项，造成新增工程量清单项目的，应按照第72.2款规定计算调整的分部分项工程费。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71.3  调整措施项目费的方法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工程量清单中分部分项工程出现缺项漏项，引起增加措施项目的，应按照第72.3款规定在提交的实施方案被批准后计算调整的措施项目费。</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44" w:name="_Toc469384056"/>
      <w:bookmarkStart w:id="445" w:name="_Toc10624896"/>
      <w:r>
        <w:rPr>
          <w:rFonts w:hint="eastAsia" w:ascii="宋体" w:hAnsi="宋体" w:eastAsia="宋体" w:cs="宋体"/>
          <w:b/>
          <w:bCs/>
          <w:caps w:val="0"/>
          <w:color w:val="auto"/>
          <w:sz w:val="21"/>
          <w:szCs w:val="21"/>
          <w:highlight w:val="none"/>
        </w:rPr>
        <w:t>★72  工程变更事件</w:t>
      </w:r>
      <w:bookmarkEnd w:id="444"/>
      <w:bookmarkEnd w:id="44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72.1 工程变更的价款调整</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合同履行期间，出现第56条工程变更事件的，合同双方当事人应调整合同价款。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72.2  调整分部分项工程费的方法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工程变更引起分部分项工程项目发生变化，属于第73.2款规定情况的，按照其规定调整；否则按照下列规定调整分部分项工程费：</w:t>
      </w:r>
    </w:p>
    <w:p>
      <w:pPr>
        <w:pStyle w:val="23"/>
        <w:pageBreakBefore w:val="0"/>
        <w:tabs>
          <w:tab w:val="left" w:pos="1380"/>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(1)合同中有适用于变更工程项目的，按照该项目的单价或合价调整;</w:t>
      </w:r>
    </w:p>
    <w:p>
      <w:pPr>
        <w:pStyle w:val="23"/>
        <w:pageBreakBefore w:val="0"/>
        <w:tabs>
          <w:tab w:val="left" w:pos="1620"/>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(2)合同中没有适用、只有类似于变更工程项目的，可在合理范围内参照类似项目的单价或合价调整;</w:t>
      </w:r>
    </w:p>
    <w:p>
      <w:pPr>
        <w:pStyle w:val="23"/>
        <w:pageBreakBefore w:val="0"/>
        <w:tabs>
          <w:tab w:val="left" w:pos="1380"/>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其中，招标工程：承包人报价浮动率L=（1—中标价格/招标控制价）×100%；</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非招标工程：承包人报价浮动率L=（1—报价值/施工图预算）×100%。</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式中：中标价格、招标控制价或报价值、施工图预算，均不含绿色施工安全防护费。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72.3 调整措施项目费的方法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绿色施工安全防护费，按照实际发生变化的措施项目调整，不得浮动。</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(2)凡可计算工程量的措施项目费，按照实际发生变化的措施项目的工程量乘以第72.2款规定的单价或合价调整。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如果不利一方当事人未按本款规定事先将拟实施的方案提交给另一方当事人，则认为工程变更不引起措施项目费的调整或不利一方当事人放弃调整措施项目费的权利。</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72.4  调整承包人报价偏差的方法</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(1)当P</w:t>
      </w:r>
      <w:r>
        <w:rPr>
          <w:rFonts w:hint="eastAsia" w:ascii="宋体" w:hAnsi="宋体" w:eastAsia="宋体" w:cs="宋体"/>
          <w:caps w:val="0"/>
          <w:color w:val="auto"/>
          <w:sz w:val="21"/>
          <w:szCs w:val="21"/>
          <w:highlight w:val="none"/>
          <w:vertAlign w:val="subscript"/>
        </w:rPr>
        <w:t xml:space="preserve">0 </w:t>
      </w:r>
      <w:r>
        <w:rPr>
          <w:rFonts w:hint="eastAsia" w:ascii="宋体" w:hAnsi="宋体" w:eastAsia="宋体" w:cs="宋体"/>
          <w:caps w:val="0"/>
          <w:color w:val="auto"/>
          <w:sz w:val="21"/>
          <w:szCs w:val="21"/>
          <w:highlight w:val="none"/>
        </w:rPr>
        <w:t>&lt;P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 xml:space="preserve"> ×(1-L)×(1-15%)时，该类项目的综合单价按照P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 xml:space="preserve"> ×(1-L)×(1-15%)调整。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(2)当P</w:t>
      </w:r>
      <w:r>
        <w:rPr>
          <w:rFonts w:hint="eastAsia" w:ascii="宋体" w:hAnsi="宋体" w:eastAsia="宋体" w:cs="宋体"/>
          <w:caps w:val="0"/>
          <w:color w:val="auto"/>
          <w:sz w:val="21"/>
          <w:szCs w:val="21"/>
          <w:highlight w:val="none"/>
          <w:vertAlign w:val="subscript"/>
        </w:rPr>
        <w:t xml:space="preserve">0 </w:t>
      </w:r>
      <w:r>
        <w:rPr>
          <w:rFonts w:hint="eastAsia" w:ascii="宋体" w:hAnsi="宋体" w:eastAsia="宋体" w:cs="宋体"/>
          <w:caps w:val="0"/>
          <w:color w:val="auto"/>
          <w:sz w:val="21"/>
          <w:szCs w:val="21"/>
          <w:highlight w:val="none"/>
        </w:rPr>
        <w:t>&gt;P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 xml:space="preserve"> × (1+15%)时，该类项目的综合单价按照P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 xml:space="preserve"> ×（1+15%)调整。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式中：P</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——承包人在工程量清单中填报的综合单价。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——发包人招标控制价或施工预算相应清单项目的综合单价。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L——第72.2款规定的承包人报价浮动率。</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72.5 删减工作或工程的补偿</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46" w:name="_Toc10624897"/>
      <w:bookmarkStart w:id="447" w:name="_Toc469384057"/>
      <w:r>
        <w:rPr>
          <w:rFonts w:hint="eastAsia" w:ascii="宋体" w:hAnsi="宋体" w:eastAsia="宋体" w:cs="宋体"/>
          <w:b/>
          <w:bCs/>
          <w:caps w:val="0"/>
          <w:color w:val="auto"/>
          <w:sz w:val="21"/>
          <w:szCs w:val="21"/>
          <w:highlight w:val="none"/>
        </w:rPr>
        <w:t>★73  工程量偏差事件</w:t>
      </w:r>
      <w:bookmarkEnd w:id="446"/>
      <w:bookmarkEnd w:id="447"/>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73.1工程量偏差价款调整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73.2  调整分部分项工程费的方法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（1）当Q</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﹥1.1Q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时，S=1.1Q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+（Q</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-1.1Q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1</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vertAlign w:val="subscript"/>
        </w:rPr>
      </w:pPr>
      <w:r>
        <w:rPr>
          <w:rFonts w:hint="eastAsia" w:ascii="宋体" w:hAnsi="宋体" w:eastAsia="宋体" w:cs="宋体"/>
          <w:caps w:val="0"/>
          <w:color w:val="auto"/>
          <w:sz w:val="21"/>
          <w:szCs w:val="21"/>
          <w:highlight w:val="none"/>
        </w:rPr>
        <w:t>（2）当Q</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﹤0.9Q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时，S=0.9Q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-（0.9Q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-Q</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1</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式中S——调整后的某一分部分项工程费结算价；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Q</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——最终完成的工程量；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Q</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——工程量清单中开列的工程量；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——按照最终完成工程量重新调整后的综合单价；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P</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——承包人在工程量清单中填报的综合单价。</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73.3</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调整措施项目费的方法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3"/>
        <w:pageBreakBefore w:val="0"/>
        <w:tabs>
          <w:tab w:val="left" w:pos="90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（1）当S</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﹥1.1S</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时，M</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=M</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+△M</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（2）当S</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﹤0.9S</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时，M</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=M</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–△M</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式中M</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——调整后的发生变化措施项目费结算价；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M</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——承包人在工程量清单中填报的措施项目费；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∆M——按照第72.3款规定调整的发生变化部分的措施项目费；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S</w:t>
      </w:r>
      <w:r>
        <w:rPr>
          <w:rFonts w:hint="eastAsia" w:ascii="宋体" w:hAnsi="宋体" w:eastAsia="宋体" w:cs="宋体"/>
          <w:caps w:val="0"/>
          <w:color w:val="auto"/>
          <w:sz w:val="21"/>
          <w:szCs w:val="21"/>
          <w:highlight w:val="none"/>
          <w:vertAlign w:val="subscript"/>
        </w:rPr>
        <w:t>1</w:t>
      </w:r>
      <w:r>
        <w:rPr>
          <w:rFonts w:hint="eastAsia" w:ascii="宋体" w:hAnsi="宋体" w:eastAsia="宋体" w:cs="宋体"/>
          <w:caps w:val="0"/>
          <w:color w:val="auto"/>
          <w:sz w:val="21"/>
          <w:szCs w:val="21"/>
          <w:highlight w:val="none"/>
        </w:rPr>
        <w:t>——调整后的某一分部分项工程费结算价；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S</w:t>
      </w:r>
      <w:r>
        <w:rPr>
          <w:rFonts w:hint="eastAsia" w:ascii="宋体" w:hAnsi="宋体" w:eastAsia="宋体" w:cs="宋体"/>
          <w:caps w:val="0"/>
          <w:color w:val="auto"/>
          <w:sz w:val="21"/>
          <w:szCs w:val="21"/>
          <w:highlight w:val="none"/>
          <w:vertAlign w:val="subscript"/>
        </w:rPr>
        <w:t>0</w:t>
      </w:r>
      <w:r>
        <w:rPr>
          <w:rFonts w:hint="eastAsia" w:ascii="宋体" w:hAnsi="宋体" w:eastAsia="宋体" w:cs="宋体"/>
          <w:caps w:val="0"/>
          <w:color w:val="auto"/>
          <w:sz w:val="21"/>
          <w:szCs w:val="21"/>
          <w:highlight w:val="none"/>
        </w:rPr>
        <w:t>——承包人报价文件对应的某一分部分项工程费。</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48" w:name="_Toc469384058"/>
      <w:bookmarkStart w:id="449" w:name="_Toc10624898"/>
      <w:r>
        <w:rPr>
          <w:rFonts w:hint="eastAsia" w:ascii="宋体" w:hAnsi="宋体" w:eastAsia="宋体" w:cs="宋体"/>
          <w:b/>
          <w:bCs/>
          <w:caps w:val="0"/>
          <w:color w:val="auto"/>
          <w:sz w:val="21"/>
          <w:szCs w:val="21"/>
          <w:highlight w:val="none"/>
        </w:rPr>
        <w:t>★74  费用索赔事件</w:t>
      </w:r>
      <w:bookmarkEnd w:id="448"/>
      <w:bookmarkEnd w:id="44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74.1 索赔的价款调整</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费用索赔是指合同履行期间，对于非自己过错而应由对方当事人承担责任的情况造成的损失，向对方当事人提出经济补偿要求的行为。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合同履行期间，出现费用索赔事件的，合同双方当事人应调整合同价款。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74.2 发出索赔意向书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如果承包人根据合同约定提出任何费用或其它形式的损失索赔时，应在该索赔事件首次发生之后的14天内向造价工程师发出索赔意向书，并抄送发包人。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74.3 索赔记录的保存和审查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74.4 提交费用索赔报告</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74.5 无权索赔</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如果承包人提出的索赔未能遵守第74.2款至第74.4款规定，则承包人无权获得索赔或只限于获得由造价工程师按照提供记录予以核实的部分款额。</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74.6 核实费用索赔报告的限制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74.7 反索赔</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承包人未能按照合同约定履行各项义务或发生错误，给发包人造成损失，发包人可按照本条规定的时限和要求向承包人提出索赔。</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74.8 调整价款的确认与支付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费用索赔报告被认可，则表明该事件已索赔成功，合同双方当事人应确认由此引起调整的合同价款，并作为追加（减）合同价款，与工程进度款或结算款同期支付。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50" w:name="_Toc469384059"/>
      <w:bookmarkStart w:id="451" w:name="_Toc10624899"/>
      <w:r>
        <w:rPr>
          <w:rFonts w:hint="eastAsia" w:ascii="宋体" w:hAnsi="宋体" w:eastAsia="宋体" w:cs="宋体"/>
          <w:b/>
          <w:bCs/>
          <w:caps w:val="0"/>
          <w:color w:val="auto"/>
          <w:sz w:val="21"/>
          <w:szCs w:val="21"/>
          <w:highlight w:val="none"/>
        </w:rPr>
        <w:t>★75  现场签证事件</w:t>
      </w:r>
      <w:bookmarkEnd w:id="450"/>
      <w:bookmarkEnd w:id="45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75.1 现场签证的价款调整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现场签证是指合同双方当事人就施工过程中涉及的责任事件所作的签认证明。</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合同履行期间，出现现场签证事件的，合同双方当事人应调整合同价款。</w:t>
      </w:r>
    </w:p>
    <w:p>
      <w:pPr>
        <w:pStyle w:val="20"/>
        <w:pageBreakBefore w:val="0"/>
        <w:kinsoku/>
        <w:wordWrap/>
        <w:overflowPunct/>
        <w:topLinePunct w:val="0"/>
        <w:bidi w:val="0"/>
        <w:spacing w:after="0" w:line="360" w:lineRule="auto"/>
        <w:ind w:firstLine="422" w:firstLineChars="200"/>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75.2现场签证的提出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75.3 现场签证报告的确认</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75.4  现场签证的要求</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计日工有相应单价或合同中有适用单价的项目，合同双方当事人仅在现场签证报告中列明完成该类项目所需的人工、材料、工程设备和施工设备机械台班的数量。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计日工没有相应单价或合同中没有适用单价的项目，合同双方当事人应在现场签证报告中列明完成这类项目所需的人工、材料、工程设备和施工设备机械台班的数量和单价。</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75.5 现场签证工作的实施</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承包人应在发包人确认现场签证报告后的48小时内，按照监理工程师发出的工作指令及时组织实施相关工作。否则，由此引起的损失和（或）延误的工期由承包人承担。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75.6  现场签证的限制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合同工程发生现场签证事件，未经发包人签证、确认，承包人便擅自实施相关工作的，除非征得发包人同意，否则发生的费用由承包人承担。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75.7 调整价款的确认与支付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现场签证工作完成后的48小时内，合同双方当事人应确认由此引起调整的合同价款，并作为追加合同价款，与工程进度款同期支付。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52" w:name="_Toc469384060"/>
      <w:bookmarkStart w:id="453" w:name="_Toc10624900"/>
      <w:r>
        <w:rPr>
          <w:rFonts w:hint="eastAsia" w:ascii="宋体" w:hAnsi="宋体" w:eastAsia="宋体" w:cs="宋体"/>
          <w:b/>
          <w:bCs/>
          <w:caps w:val="0"/>
          <w:color w:val="auto"/>
          <w:sz w:val="21"/>
          <w:szCs w:val="21"/>
          <w:highlight w:val="none"/>
        </w:rPr>
        <w:t>★76  物价涨落事件</w:t>
      </w:r>
      <w:bookmarkEnd w:id="452"/>
      <w:bookmarkEnd w:id="453"/>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76.1物价涨落的价款调整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合同履行期间，除专用合同条款另有约定外，市场价格波动超过合同当事人约定的范围，合同价格应当调整。合同当事人可以在专用条款中约定按通用条款76.3款选择一种方式对合同价格进行调整。 </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76.2 人工费的调整方法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执行第76.3款“第1种方式：采用造价信息进行价格调整”规定的，                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76.3  承包人采购材料和工程设备的材料设备费、施工机械费调整方法</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第1种方式：采用造价信息进行价格调整。</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（1）材料、工程设备价格变化的价款调整按照发包人提供的基准价格，按以下风险范围规定执行:</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（2）施工机械台班单价或施工机械使用费发生变化超过省级或行业建设主管部门或其授权的工程造价管理机构规定的范围时，按规定调整合同价格。</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 xml:space="preserve">第2种方式：专用合同条款约定的其他方式。 </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76.4</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承包人采购材料设备的调价限制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执行第76.3款“第1种方式：采用造价信息进行价格调整”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76.5 发包人供应材料设备的价款调整</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发包人供应材料和工程设备的，由发包人按照实际变化调整，列入合同工程的工程造价内。</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0" w:firstLineChars="200"/>
        <w:jc w:val="both"/>
        <w:textAlignment w:val="auto"/>
        <w:rPr>
          <w:rFonts w:hint="eastAsia" w:ascii="宋体" w:hAnsi="宋体" w:eastAsia="宋体" w:cs="宋体"/>
          <w:b w:val="0"/>
          <w:bCs w:val="0"/>
          <w:caps w:val="0"/>
          <w:color w:val="auto"/>
          <w:sz w:val="21"/>
          <w:szCs w:val="21"/>
          <w:highlight w:val="none"/>
        </w:rPr>
      </w:pPr>
      <w:bookmarkStart w:id="454" w:name="_Toc469384061"/>
      <w:bookmarkStart w:id="455" w:name="_Toc10624901"/>
      <w:r>
        <w:rPr>
          <w:rFonts w:hint="eastAsia" w:ascii="宋体" w:hAnsi="宋体" w:eastAsia="宋体" w:cs="宋体"/>
          <w:b w:val="0"/>
          <w:bCs w:val="0"/>
          <w:caps w:val="0"/>
          <w:color w:val="auto"/>
          <w:sz w:val="21"/>
          <w:szCs w:val="21"/>
          <w:highlight w:val="none"/>
        </w:rPr>
        <w:t>★</w:t>
      </w:r>
      <w:r>
        <w:rPr>
          <w:rFonts w:hint="eastAsia" w:ascii="宋体" w:hAnsi="宋体" w:eastAsia="宋体" w:cs="宋体"/>
          <w:bCs w:val="0"/>
          <w:caps w:val="0"/>
          <w:color w:val="auto"/>
          <w:sz w:val="21"/>
          <w:szCs w:val="21"/>
          <w:highlight w:val="none"/>
        </w:rPr>
        <w:t>77  合同价款调整程序</w:t>
      </w:r>
      <w:bookmarkEnd w:id="454"/>
      <w:bookmarkEnd w:id="455"/>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77.1</w:t>
      </w:r>
      <w:r>
        <w:rPr>
          <w:rFonts w:hint="eastAsia" w:ascii="宋体" w:hAnsi="宋体" w:eastAsia="宋体" w:cs="宋体"/>
          <w:caps w:val="0"/>
          <w:color w:val="auto"/>
          <w:sz w:val="21"/>
          <w:szCs w:val="21"/>
          <w:highlight w:val="none"/>
        </w:rPr>
        <w:t xml:space="preserve">合同价款调整程序的规定  </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合同履行期间，出现第68.2款规定调整合同价款事件的，除费用索赔、现场签证事件分别按照第74条、第75条规定程序外，合同双方当事人应按照本条规定程序调整合同价款。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77.2 </w:t>
      </w:r>
      <w:r>
        <w:rPr>
          <w:rFonts w:hint="eastAsia" w:ascii="宋体" w:hAnsi="宋体" w:eastAsia="宋体" w:cs="宋体"/>
          <w:caps w:val="0"/>
          <w:color w:val="auto"/>
          <w:sz w:val="21"/>
          <w:szCs w:val="21"/>
          <w:highlight w:val="none"/>
        </w:rPr>
        <w:t>合同价款调增报告的提出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77.3 </w:t>
      </w:r>
      <w:r>
        <w:rPr>
          <w:rFonts w:hint="eastAsia" w:ascii="宋体" w:hAnsi="宋体" w:eastAsia="宋体" w:cs="宋体"/>
          <w:caps w:val="0"/>
          <w:color w:val="auto"/>
          <w:sz w:val="21"/>
          <w:szCs w:val="21"/>
          <w:highlight w:val="none"/>
        </w:rPr>
        <w:t>调增价款的核实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77.4 </w:t>
      </w:r>
      <w:r>
        <w:rPr>
          <w:rFonts w:hint="eastAsia" w:ascii="宋体" w:hAnsi="宋体" w:eastAsia="宋体" w:cs="宋体"/>
          <w:caps w:val="0"/>
          <w:color w:val="auto"/>
          <w:sz w:val="21"/>
          <w:szCs w:val="21"/>
          <w:highlight w:val="none"/>
        </w:rPr>
        <w:t>调增价款的支付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经合同双方当事人确认或造价工程师暂定调增的合同价款，作为追加合同价款，与工程进度款或结算款同期支付。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77.5 </w:t>
      </w:r>
      <w:r>
        <w:rPr>
          <w:rFonts w:hint="eastAsia" w:ascii="宋体" w:hAnsi="宋体" w:eastAsia="宋体" w:cs="宋体"/>
          <w:b/>
          <w:bCs/>
          <w:caps w:val="0"/>
          <w:color w:val="auto"/>
          <w:sz w:val="21"/>
          <w:szCs w:val="21"/>
          <w:highlight w:val="none"/>
          <w:u w:val="dotted"/>
        </w:rPr>
        <w:t xml:space="preserve"> </w:t>
      </w:r>
      <w:r>
        <w:rPr>
          <w:rFonts w:hint="eastAsia" w:ascii="宋体" w:hAnsi="宋体" w:eastAsia="宋体" w:cs="宋体"/>
          <w:caps w:val="0"/>
          <w:color w:val="auto"/>
          <w:sz w:val="21"/>
          <w:szCs w:val="21"/>
          <w:highlight w:val="none"/>
        </w:rPr>
        <w:t>合同价款调减事件的处理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11"/>
        <w:pageBreakBefore w:val="0"/>
        <w:numPr>
          <w:ilvl w:val="0"/>
          <w:numId w:val="0"/>
        </w:numPr>
        <w:tabs>
          <w:tab w:val="left" w:pos="420"/>
          <w:tab w:val="left" w:pos="1287"/>
        </w:tabs>
        <w:kinsoku/>
        <w:wordWrap/>
        <w:overflowPunct/>
        <w:topLinePunct w:val="0"/>
        <w:bidi w:val="0"/>
        <w:spacing w:before="0" w:after="0"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bookmarkStart w:id="456" w:name="_Toc10624902"/>
      <w:bookmarkStart w:id="457" w:name="_Toc469384062"/>
      <w:r>
        <w:rPr>
          <w:rFonts w:hint="eastAsia" w:ascii="宋体" w:hAnsi="宋体" w:eastAsia="宋体" w:cs="宋体"/>
          <w:b w:val="0"/>
          <w:bCs w:val="0"/>
          <w:caps w:val="0"/>
          <w:color w:val="auto"/>
          <w:sz w:val="21"/>
          <w:szCs w:val="21"/>
          <w:highlight w:val="none"/>
        </w:rPr>
        <w:t>★</w:t>
      </w:r>
      <w:r>
        <w:rPr>
          <w:rFonts w:hint="eastAsia" w:ascii="宋体" w:hAnsi="宋体" w:eastAsia="宋体" w:cs="宋体"/>
          <w:caps w:val="0"/>
          <w:color w:val="auto"/>
          <w:sz w:val="21"/>
          <w:szCs w:val="21"/>
          <w:highlight w:val="none"/>
        </w:rPr>
        <w:t>78  支付事项</w:t>
      </w:r>
      <w:bookmarkEnd w:id="456"/>
      <w:bookmarkEnd w:id="457"/>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78.1 </w:t>
      </w:r>
      <w:r>
        <w:rPr>
          <w:rFonts w:hint="eastAsia" w:ascii="宋体" w:hAnsi="宋体" w:eastAsia="宋体" w:cs="宋体"/>
          <w:caps w:val="0"/>
          <w:color w:val="auto"/>
          <w:sz w:val="21"/>
          <w:szCs w:val="21"/>
          <w:highlight w:val="none"/>
        </w:rPr>
        <w:t>支付工程款项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发包人应按照下列规定向承包人支付工程款及其他各种款项：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(1)预付款按照第79条的规定支付；(2) 绿色施工安全防护费按照第80条规定支付；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(3)进度款按照第81条的规定支付；(4)结算款按照第83条的规定支付；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(5)质量保证金按照第84条的规定支付；(6)最终清算款按照第85条的规定支付。</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78.2 </w:t>
      </w:r>
      <w:r>
        <w:rPr>
          <w:rFonts w:hint="eastAsia" w:ascii="宋体" w:hAnsi="宋体" w:eastAsia="宋体" w:cs="宋体"/>
          <w:caps w:val="0"/>
          <w:color w:val="auto"/>
          <w:sz w:val="21"/>
          <w:szCs w:val="21"/>
          <w:highlight w:val="none"/>
        </w:rPr>
        <w:t>延迟支付的利息计算</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5"/>
        <w:pageBreakBefore w:val="0"/>
        <w:kinsoku/>
        <w:wordWrap/>
        <w:overflowPunct/>
        <w:topLinePunct w:val="0"/>
        <w:bidi w:val="0"/>
        <w:spacing w:line="360" w:lineRule="auto"/>
        <w:textAlignment w:val="auto"/>
        <w:rPr>
          <w:rFonts w:hint="eastAsia" w:ascii="宋体" w:hAnsi="宋体" w:eastAsia="宋体" w:cs="宋体"/>
          <w:caps w:val="0"/>
          <w:color w:val="auto"/>
          <w:sz w:val="21"/>
          <w:szCs w:val="21"/>
          <w:highlight w:val="none"/>
        </w:rPr>
      </w:pPr>
      <w:r>
        <w:rPr>
          <w:rFonts w:hint="eastAsia" w:ascii="宋体" w:hAnsi="宋体" w:eastAsia="宋体" w:cs="宋体"/>
          <w:b w:val="0"/>
          <w:bCs w:val="0"/>
          <w:caps w:val="0"/>
          <w:color w:val="auto"/>
          <w:sz w:val="21"/>
          <w:szCs w:val="21"/>
          <w:highlight w:val="none"/>
        </w:rPr>
        <w:t xml:space="preserve">78.3  </w:t>
      </w:r>
      <w:r>
        <w:rPr>
          <w:rFonts w:hint="eastAsia" w:ascii="宋体" w:hAnsi="宋体" w:eastAsia="宋体" w:cs="宋体"/>
          <w:caps w:val="0"/>
          <w:color w:val="auto"/>
          <w:sz w:val="21"/>
          <w:szCs w:val="21"/>
          <w:highlight w:val="none"/>
        </w:rPr>
        <w:t>承包人提供支付凭证</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78.4 </w:t>
      </w:r>
      <w:r>
        <w:rPr>
          <w:rFonts w:hint="eastAsia" w:ascii="宋体" w:hAnsi="宋体" w:eastAsia="宋体" w:cs="宋体"/>
          <w:caps w:val="0"/>
          <w:color w:val="auto"/>
          <w:sz w:val="21"/>
          <w:szCs w:val="21"/>
          <w:highlight w:val="none"/>
        </w:rPr>
        <w:t>承包人未按规定支付款项的限制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3"/>
        <w:pageBreakBefore w:val="0"/>
        <w:numPr>
          <w:ilvl w:val="0"/>
          <w:numId w:val="10"/>
        </w:numPr>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立即停止向承包人支付应付的款项；</w:t>
      </w:r>
    </w:p>
    <w:p>
      <w:pPr>
        <w:pStyle w:val="23"/>
        <w:pageBreakBefore w:val="0"/>
        <w:numPr>
          <w:ilvl w:val="0"/>
          <w:numId w:val="10"/>
        </w:numPr>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在相应支付期应付的工程款范围内，直接向雇员、分包人和材料设备供应商支付承包人应付的款项。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58" w:name="_Toc10624903"/>
      <w:bookmarkStart w:id="459" w:name="_Toc469384063"/>
      <w:r>
        <w:rPr>
          <w:rFonts w:hint="eastAsia" w:ascii="宋体" w:hAnsi="宋体" w:eastAsia="宋体" w:cs="宋体"/>
          <w:b/>
          <w:bCs/>
          <w:caps w:val="0"/>
          <w:color w:val="auto"/>
          <w:sz w:val="21"/>
          <w:szCs w:val="21"/>
          <w:highlight w:val="none"/>
        </w:rPr>
        <w:t>★79  预付款</w:t>
      </w:r>
      <w:bookmarkEnd w:id="458"/>
      <w:bookmarkEnd w:id="459"/>
    </w:p>
    <w:p>
      <w:pPr>
        <w:pStyle w:val="35"/>
        <w:pageBreakBefore w:val="0"/>
        <w:kinsoku/>
        <w:wordWrap/>
        <w:overflowPunct/>
        <w:topLinePunct w:val="0"/>
        <w:bidi w:val="0"/>
        <w:spacing w:line="360" w:lineRule="auto"/>
        <w:ind w:firstLine="420" w:firstLineChars="200"/>
        <w:textAlignment w:val="auto"/>
        <w:rPr>
          <w:rFonts w:hint="eastAsia" w:ascii="宋体" w:hAnsi="宋体" w:eastAsia="宋体" w:cs="宋体"/>
          <w:caps w:val="0"/>
          <w:color w:val="auto"/>
          <w:sz w:val="21"/>
          <w:szCs w:val="21"/>
          <w:highlight w:val="none"/>
        </w:rPr>
      </w:pPr>
      <w:r>
        <w:rPr>
          <w:rFonts w:hint="eastAsia" w:ascii="宋体" w:hAnsi="宋体" w:eastAsia="宋体" w:cs="宋体"/>
          <w:b w:val="0"/>
          <w:bCs w:val="0"/>
          <w:caps w:val="0"/>
          <w:color w:val="auto"/>
          <w:sz w:val="21"/>
          <w:szCs w:val="21"/>
          <w:highlight w:val="none"/>
        </w:rPr>
        <w:t xml:space="preserve">79.1  </w:t>
      </w:r>
      <w:r>
        <w:rPr>
          <w:rFonts w:hint="eastAsia" w:ascii="宋体" w:hAnsi="宋体" w:eastAsia="宋体" w:cs="宋体"/>
          <w:caps w:val="0"/>
          <w:color w:val="auto"/>
          <w:sz w:val="21"/>
          <w:szCs w:val="21"/>
          <w:highlight w:val="none"/>
        </w:rPr>
        <w:t>预付款的约定及管理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除专用条款另有约定外，合同双方当事人应约定预付款，并在专用条款中明确预付款金额、支付办法和抵扣方式。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10%，不高于合同价款（扣除暂列金额）的30%。</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79.2 </w:t>
      </w:r>
      <w:r>
        <w:rPr>
          <w:rFonts w:hint="eastAsia" w:ascii="宋体" w:hAnsi="宋体" w:eastAsia="宋体" w:cs="宋体"/>
          <w:caps w:val="0"/>
          <w:color w:val="auto"/>
          <w:sz w:val="21"/>
          <w:szCs w:val="21"/>
          <w:highlight w:val="none"/>
        </w:rPr>
        <w:t>预付款支付申请的提交、核实与支付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承包人在完成下列工作后，应按照专用条款约定的期限内向造价工程师提交预付款支付申请，并抄送发包人。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（1）签订本合同；（2）按照第28.1款规定提供履约担保；</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（3）向发包人提供与预付款等额的预付款保函的正本。</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造价工程师应对支付申请进行核实，并在收到支付申请后的7天内报发包人确认后向发包人发出支付证书，同时抄送承包人。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发包人在造价工程师签发支付证书后的30天内向承包人支付预付款，并通知造价工程师。</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79.3 </w:t>
      </w:r>
      <w:r>
        <w:rPr>
          <w:rFonts w:hint="eastAsia" w:ascii="宋体" w:hAnsi="宋体" w:eastAsia="宋体" w:cs="宋体"/>
          <w:caps w:val="0"/>
          <w:color w:val="auto"/>
          <w:sz w:val="21"/>
          <w:szCs w:val="21"/>
          <w:highlight w:val="none"/>
        </w:rPr>
        <w:t>预付款支付的限制</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没有按时支付预付款的，承包人应在付款期满后的10天向发包人发出要求支付的通知；发包人收到通知后仍不按要求支付，承包人可在发出通知14天后暂停施工。发包人可与承包人协商签订延期支付协议，经承包人同意后可延期支付，承包人有权按照第78.2款规定获得延期支付的利息。发包方承担由此增加的费用和（或）延误的工期，并向承包人支付合理利润。</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79.4 </w:t>
      </w:r>
      <w:r>
        <w:rPr>
          <w:rFonts w:hint="eastAsia" w:ascii="宋体" w:hAnsi="宋体" w:eastAsia="宋体" w:cs="宋体"/>
          <w:caps w:val="0"/>
          <w:color w:val="auto"/>
          <w:sz w:val="21"/>
          <w:szCs w:val="21"/>
          <w:highlight w:val="none"/>
        </w:rPr>
        <w:t>预付款的扣回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79.5  </w:t>
      </w:r>
      <w:r>
        <w:rPr>
          <w:rFonts w:hint="eastAsia" w:ascii="宋体" w:hAnsi="宋体" w:eastAsia="宋体" w:cs="宋体"/>
          <w:caps w:val="0"/>
          <w:color w:val="auto"/>
          <w:sz w:val="21"/>
          <w:szCs w:val="21"/>
          <w:highlight w:val="none"/>
        </w:rPr>
        <w:t>预付款保函的有效与退还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承包人应保持预付款保函在预付款全部扣回之前一直有效。发包人应在预付款扣完后的14天内将预付款保函退还承包人，并不得向承包人收取预付款的任何利息。</w:t>
      </w:r>
      <w:bookmarkStart w:id="460" w:name="_Toc10624904"/>
      <w:bookmarkStart w:id="461" w:name="_Toc469384064"/>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★80  绿色施工安全防护费</w:t>
      </w:r>
      <w:bookmarkEnd w:id="460"/>
      <w:bookmarkEnd w:id="461"/>
    </w:p>
    <w:p>
      <w:pPr>
        <w:pStyle w:val="35"/>
        <w:pageBreakBefore w:val="0"/>
        <w:kinsoku/>
        <w:wordWrap/>
        <w:overflowPunct/>
        <w:topLinePunct w:val="0"/>
        <w:bidi w:val="0"/>
        <w:spacing w:line="360" w:lineRule="auto"/>
        <w:ind w:firstLine="422" w:firstLineChars="200"/>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80.1 内容、</w:t>
      </w:r>
      <w:r>
        <w:rPr>
          <w:rFonts w:hint="eastAsia" w:ascii="宋体" w:hAnsi="宋体" w:eastAsia="宋体" w:cs="宋体"/>
          <w:caps w:val="0"/>
          <w:color w:val="auto"/>
          <w:sz w:val="21"/>
          <w:szCs w:val="21"/>
          <w:highlight w:val="none"/>
        </w:rPr>
        <w:t>范围和金额</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约定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u w:val="dotted"/>
        </w:rPr>
      </w:pPr>
      <w:r>
        <w:rPr>
          <w:rFonts w:hint="eastAsia" w:ascii="宋体" w:hAnsi="宋体" w:eastAsia="宋体" w:cs="宋体"/>
          <w:b/>
          <w:bCs/>
          <w:caps w:val="0"/>
          <w:color w:val="auto"/>
          <w:sz w:val="21"/>
          <w:szCs w:val="21"/>
          <w:highlight w:val="none"/>
        </w:rPr>
        <w:t xml:space="preserve">80.2 </w:t>
      </w:r>
      <w:r>
        <w:rPr>
          <w:rFonts w:hint="eastAsia" w:ascii="宋体" w:hAnsi="宋体" w:eastAsia="宋体" w:cs="宋体"/>
          <w:caps w:val="0"/>
          <w:color w:val="auto"/>
          <w:sz w:val="21"/>
          <w:szCs w:val="21"/>
          <w:highlight w:val="none"/>
        </w:rPr>
        <w:t>支付申请的提交与核实</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专用条款没有约定的，承包人应在接到监理工程师按照第34.2款规定发出开工令后的7天内向造价工程师提交绿色施工安全防护费支付申请，并抄送发包人。造价工程师应对支付申请进行核实，并在收到支付申请后的7天内报发包人确认后向发包人发出支付证书，同时抄送承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80.3  费用支付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建设行政主管部门的规定，在专用条款中约定绿色施工安全防护费的支付办法和抵扣方式。除专用条款另有约定外，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80.4  支付限制</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没有按时支付绿色施工安全防护费的，承包人应在付款期满后的10天向发包人发出要求支付的通知；发包人收到通知后仍不按要求支付，承包人可在发出通知14天后暂停施工。发包人应承担由此增加的费用和（或）延误的工期，并向承包人支付合理利润。</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80.5 管理要求</w:t>
      </w:r>
      <w:r>
        <w:rPr>
          <w:rFonts w:hint="eastAsia" w:ascii="宋体" w:hAnsi="宋体" w:eastAsia="宋体" w:cs="宋体"/>
          <w:caps w:val="0"/>
          <w:color w:val="auto"/>
          <w:sz w:val="21"/>
          <w:szCs w:val="21"/>
          <w:highlight w:val="none"/>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80.6  工程文明工地增加费计提与支付</w:t>
      </w:r>
    </w:p>
    <w:p>
      <w:pPr>
        <w:pStyle w:val="23"/>
        <w:pageBreakBefore w:val="0"/>
        <w:tabs>
          <w:tab w:val="left" w:pos="16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除专用条款另有约定外，获得省、市级或其它级别文明工地的文明工地增加费，招标工程的根据中标通知书日期，非招标工程的根据合同签订日期的同时期执行的广东省建设工程计价依据文明工地增加费、广州市住房和城乡建设局发布的文明工地增加费、广州市建设工程造价管理站发布的文明工地增加费计算。当合同工程同时获得上述多个奖项的，文明工地增加费只按最高奖项的额度计算。文明工地增加费列入竣工结算文件中，与竣工结算款一并支付。在竣工结算后获得奖项的，发包人应在获得奖项后的28天内支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62" w:name="_Toc10624905"/>
      <w:bookmarkStart w:id="463" w:name="_Toc469384065"/>
      <w:r>
        <w:rPr>
          <w:rFonts w:hint="eastAsia" w:ascii="宋体" w:hAnsi="宋体" w:eastAsia="宋体" w:cs="宋体"/>
          <w:b/>
          <w:bCs/>
          <w:caps w:val="0"/>
          <w:color w:val="auto"/>
          <w:sz w:val="21"/>
          <w:szCs w:val="21"/>
          <w:highlight w:val="none"/>
        </w:rPr>
        <w:t>★81  进度款</w:t>
      </w:r>
      <w:bookmarkEnd w:id="462"/>
      <w:bookmarkEnd w:id="463"/>
    </w:p>
    <w:p>
      <w:pPr>
        <w:pageBreakBefore w:val="0"/>
        <w:kinsoku/>
        <w:wordWrap/>
        <w:overflowPunct/>
        <w:topLinePunct w:val="0"/>
        <w:bidi w:val="0"/>
        <w:spacing w:line="360" w:lineRule="auto"/>
        <w:ind w:firstLine="422" w:firstLineChars="200"/>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81.1约定支付期限、比例和提交支付申请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upright="1"/>
                    </wps:wsp>
                  </a:graphicData>
                </a:graphic>
              </wp:anchor>
            </w:drawing>
          </mc:Choice>
          <mc:Fallback>
            <w:pict>
              <v:shape id="_x0000_s1026" o:spid="_x0000_s1026" o:spt="202" type="#_x0000_t202" style="position:absolute;left:0pt;margin-left:-18pt;margin-top:737pt;height:47.05pt;width:111pt;z-index:251662336;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YDi11wAA&#10;AA0BAAAPAAAAAAAAAAEAIAAAACIAAABkcnMvZG93bnJldi54bWxQSwECFAAUAAAACACHTuJA5XUZ&#10;Ta0BAABOAwAADgAAAAAAAAABACAAAAAmAQAAZHJzL2Uyb0RvYy54bWxQSwUGAAAAAAYABgBZAQAA&#10;RQ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宋体" w:hAnsi="宋体" w:eastAsia="宋体" w:cs="宋体"/>
          <w:caps w:val="0"/>
          <w:color w:val="auto"/>
          <w:sz w:val="21"/>
          <w:szCs w:val="21"/>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已完工程款；</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已实际支付的工程款；</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本期间完成的工程款；</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本期间完成的计日工费用；</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本期间应支付的暂列金额价款；</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根据第66条规定本期间应扣除的误期赔偿费；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rPr>
        <w:t>根据第68条至第76条规定本期间应支付的调整工程款；</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rPr>
        <w:t>根据第79条本期间应扣回的预付款；</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9）</w:t>
      </w:r>
      <w:r>
        <w:rPr>
          <w:rFonts w:hint="eastAsia" w:ascii="宋体" w:hAnsi="宋体" w:eastAsia="宋体" w:cs="宋体"/>
          <w:caps w:val="0"/>
          <w:color w:val="auto"/>
          <w:sz w:val="21"/>
          <w:szCs w:val="21"/>
          <w:highlight w:val="none"/>
        </w:rPr>
        <w:t>根据第80条规定本期间应支付或扣回的绿色施工安全防护费；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10）</w:t>
      </w:r>
      <w:r>
        <w:rPr>
          <w:rFonts w:hint="eastAsia" w:ascii="宋体" w:hAnsi="宋体" w:eastAsia="宋体" w:cs="宋体"/>
          <w:caps w:val="0"/>
          <w:color w:val="auto"/>
          <w:sz w:val="21"/>
          <w:szCs w:val="21"/>
          <w:highlight w:val="none"/>
        </w:rPr>
        <w:t>根据第84条本期间应扣留的质量保证金；</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11）</w:t>
      </w:r>
      <w:r>
        <w:rPr>
          <w:rFonts w:hint="eastAsia" w:ascii="宋体" w:hAnsi="宋体" w:eastAsia="宋体" w:cs="宋体"/>
          <w:caps w:val="0"/>
          <w:color w:val="auto"/>
          <w:sz w:val="21"/>
          <w:szCs w:val="21"/>
          <w:highlight w:val="none"/>
        </w:rPr>
        <w:t>根据合同约定，本期间应支付或扣留（回）的其他款项；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12）</w:t>
      </w:r>
      <w:r>
        <w:rPr>
          <w:rFonts w:hint="eastAsia" w:ascii="宋体" w:hAnsi="宋体" w:eastAsia="宋体" w:cs="宋体"/>
          <w:caps w:val="0"/>
          <w:color w:val="auto"/>
          <w:sz w:val="21"/>
          <w:szCs w:val="21"/>
          <w:highlight w:val="none"/>
        </w:rPr>
        <w:t>本期间应支付的工程款。</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81.2 签发期中支付证书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ascii="宋体" w:hAnsi="宋体" w:eastAsia="宋体" w:cs="宋体"/>
          <w:caps w:val="0"/>
          <w:color w:val="auto"/>
          <w:sz w:val="21"/>
          <w:szCs w:val="21"/>
          <w:highlight w:val="none"/>
        </w:rPr>
        <w:br w:type="textWrapping"/>
      </w:r>
      <w:r>
        <w:rPr>
          <w:rFonts w:hint="eastAsia" w:ascii="宋体" w:hAnsi="宋体" w:eastAsia="宋体" w:cs="宋体"/>
          <w:caps w:val="0"/>
          <w:color w:val="auto"/>
          <w:sz w:val="21"/>
          <w:szCs w:val="21"/>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造价工程师签发期中支付证书，不应视为发包人已同意、批准或接受了承包人完成该部分工作。</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81.3 进度款支付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发包人应在造价工程师签发期中支付证书后的14天内，按照期中支付证书列明的金额向承包人支付进度款，并通知造价工程师。</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81.4签发期中支付证书的限制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81.5进度款支付的限制</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10"/>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81.6修正支付证书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64" w:name="_Toc10624906"/>
      <w:bookmarkStart w:id="465" w:name="_Toc469384066"/>
      <w:r>
        <w:rPr>
          <w:rFonts w:hint="eastAsia" w:ascii="宋体" w:hAnsi="宋体" w:eastAsia="宋体" w:cs="宋体"/>
          <w:b/>
          <w:bCs/>
          <w:caps w:val="0"/>
          <w:color w:val="auto"/>
          <w:sz w:val="21"/>
          <w:szCs w:val="21"/>
          <w:highlight w:val="none"/>
        </w:rPr>
        <w:t>★82  竣工结算</w:t>
      </w:r>
      <w:bookmarkEnd w:id="464"/>
      <w:bookmarkEnd w:id="465"/>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82.1约定结算程序和期限</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在办理竣工结算期间，发包人按照第78条规定应向承包人支付的工程款及其他款项不停止。</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82.2递交结算文件及其限制</w:t>
      </w:r>
    </w:p>
    <w:p>
      <w:pPr>
        <w:pStyle w:val="23"/>
        <w:pageBreakBefore w:val="0"/>
        <w:tabs>
          <w:tab w:val="left" w:pos="2641"/>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82.3核实结算文件及其限制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造价工程师在收到竣工结算文件后的28天内，不核实竣工结算或未提出核实意见的，视为承包人递交的竣工结算已被认可。</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承包人在收到造价工程师提出的核实意见后的28天内，不确认也未提出异议的，视为造价工程师提出的核实意见已被认可，竣工结算办理完毕。</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82.4复核再次递交结算文件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造价工程师应在收到承包人按照第82.3款规定再次递交的竣工结算文件后的28天内予以复核，并将复核结果通知承包人、抄报发包人。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（1）经复核无误的，除属于第86条规定的争议外，发包人应在7天内在竣工结算文件上签字确认，竣工结算办理完毕。</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（2）经复核认为有误的：无误部分按照本款第(1)点规定办理不完全竣工结算；有误部分由造价工程师与合同双方当事人协商解决，或按照第86条规定处理。</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82.5交付工程</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发包人应在已核实无误的竣工结算文件上签名确认，拒不签认的，承包人可不交付竣工工程。</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承包人未及时递交竣工结算文件的，发包人要求交付竣工工程，承包人应当交付；发包人不要求交付竣工工程，承包人承担照管永久工程责任。</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66" w:name="_Toc10624907"/>
      <w:bookmarkStart w:id="467" w:name="_Toc469384067"/>
      <w:r>
        <w:rPr>
          <w:rFonts w:hint="eastAsia" w:ascii="宋体" w:hAnsi="宋体" w:eastAsia="宋体" w:cs="宋体"/>
          <w:b/>
          <w:bCs/>
          <w:caps w:val="0"/>
          <w:color w:val="auto"/>
          <w:sz w:val="21"/>
          <w:szCs w:val="21"/>
          <w:highlight w:val="none"/>
        </w:rPr>
        <w:t>★83  结算款</w:t>
      </w:r>
      <w:bookmarkEnd w:id="466"/>
      <w:bookmarkEnd w:id="46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83.1提交竣工支付申请</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pageBreakBefore w:val="0"/>
        <w:tabs>
          <w:tab w:val="left" w:pos="2641"/>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（1）根据合同完成全部或所有工程的总造价；（2）根据合同约定发包人应付的所有款项。</w:t>
      </w:r>
    </w:p>
    <w:p>
      <w:pPr>
        <w:pStyle w:val="23"/>
        <w:pageBreakBefore w:val="0"/>
        <w:tabs>
          <w:tab w:val="left" w:pos="2641"/>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b/>
          <w:bCs/>
          <w:caps w:val="0"/>
          <w:color w:val="auto"/>
          <w:sz w:val="21"/>
          <w:szCs w:val="21"/>
          <w:highlight w:val="none"/>
        </w:rPr>
        <w:t>83.2签发竣工结算支付证书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造价工程师在收到上述资料后，应按照第82.3款、第82.4款规定核实竣工结算文件，并在发包人签字确认竣工结算文件后的7天内，向发包人签发竣工结算支付证书，同时抄送承包人。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83.3竣工结算款支付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发包人应在造价工程师签发竣工结算支付证书后的28天内，按照竣工结算支付证书列明的金额向承包人支付结算款，并通知造价工程师。</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83.4签发竣工结算支付证书的限制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83.5竣工结算款支付的限制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发包人未按照第83.3款和第83.4款规定支付竣工结算款的，承包人可催告发包人支付竣工结算款，如双方达成延期支付协议，承包人有权按照第78.2款规定获得延期支付的利息。</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68" w:name="_Toc469384068"/>
      <w:bookmarkStart w:id="469" w:name="_Toc10624908"/>
      <w:r>
        <w:rPr>
          <w:rFonts w:hint="eastAsia" w:ascii="宋体" w:hAnsi="宋体" w:eastAsia="宋体" w:cs="宋体"/>
          <w:b/>
          <w:bCs/>
          <w:caps w:val="0"/>
          <w:color w:val="auto"/>
          <w:sz w:val="21"/>
          <w:szCs w:val="21"/>
          <w:highlight w:val="none"/>
        </w:rPr>
        <w:t>★84  质量保证金</w:t>
      </w:r>
      <w:bookmarkEnd w:id="468"/>
      <w:bookmarkEnd w:id="46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84.1质量保证金的用途和限制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质量保证金用于承包人对合同工程质量的担保。承包人未按照法律有关规定和合同约定履行质量保修义务的，发包人有权从质量保证金中扣留用于质量保修的各项支出。</w:t>
      </w:r>
    </w:p>
    <w:p>
      <w:pPr>
        <w:pStyle w:val="23"/>
        <w:pageBreakBefore w:val="0"/>
        <w:tabs>
          <w:tab w:val="left" w:pos="90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84.2质量保证金的约定与扣留</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约定质量保证金金额。除专用条款另有约定外，质量保证金为合同价款的3％（采取银行保函）。发包人应按照该比例从每支付期应支付给承包人的进度款或结算款中扣留，直到扣留的质量保证金总额达到专用条款约定的的金额为止。</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84.3质量保证金返还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ascii="宋体" w:hAnsi="宋体" w:eastAsia="宋体" w:cs="宋体"/>
          <w:caps w:val="0"/>
          <w:color w:val="auto"/>
          <w:kern w:val="0"/>
          <w:sz w:val="21"/>
          <w:szCs w:val="21"/>
          <w:highlight w:val="none"/>
        </w:rPr>
        <w:t>发包人在退还质量保证金的同时按照中国人民银行发布的同期同类贷款基准利率支付利息。</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84.4 质量保证金扣留</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70" w:name="_Toc10624909"/>
      <w:r>
        <w:rPr>
          <w:rFonts w:hint="eastAsia" w:ascii="宋体" w:hAnsi="宋体" w:eastAsia="宋体" w:cs="宋体"/>
          <w:b/>
          <w:bCs/>
          <w:caps w:val="0"/>
          <w:color w:val="auto"/>
          <w:sz w:val="21"/>
          <w:szCs w:val="21"/>
          <w:highlight w:val="none"/>
        </w:rPr>
        <w:t>85  最终清算款</w:t>
      </w:r>
      <w:bookmarkEnd w:id="470"/>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85.1提交最终清算支付申请</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85.2</w:t>
      </w:r>
      <w:r>
        <w:rPr>
          <w:rFonts w:hint="eastAsia" w:ascii="宋体" w:hAnsi="宋体" w:eastAsia="宋体" w:cs="宋体"/>
          <w:caps w:val="0"/>
          <w:color w:val="auto"/>
          <w:sz w:val="21"/>
          <w:szCs w:val="21"/>
          <w:highlight w:val="none"/>
        </w:rPr>
        <w:t xml:space="preserve"> </w:t>
      </w:r>
      <w:r>
        <w:rPr>
          <w:rFonts w:hint="eastAsia" w:ascii="宋体" w:hAnsi="宋体" w:eastAsia="宋体" w:cs="宋体"/>
          <w:b/>
          <w:bCs/>
          <w:caps w:val="0"/>
          <w:color w:val="auto"/>
          <w:sz w:val="21"/>
          <w:szCs w:val="21"/>
          <w:highlight w:val="none"/>
        </w:rPr>
        <w:t>签发最终清算</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支付证书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抄报发包人。发包人应在收到核实结果后的7天内在最终清算文件上签字确认。造价工程师应在发包人签字确认最终清算文件后的7天内，向发包人签发最终清算支付证书，同时抄送承包人。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85.3最终清算款支付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发包人应在造价工程师签发最终清算支付证书后的14 天内，按照最终清算支付证书列明的金额向承包人支付最终清算款，并通知造价工程师。</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85.4签发最终清算支付证书限制</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85.5 最终清算款支付的限制</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未按照第85.3款和第85.4款规定支付最终清算款的，承包人可催告发包人支付最终清算款，如双方达成延期支付协议，承包人有权按照第78.2款规定获得延期支付的利息。若该永久工程按照第83.5款规定进行折价或依法拍卖的，承包人就该工程折价或拍卖的价款优先受偿。</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85.6最终清算款争议的处理</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承包人对发包人支付的最终清算款有异议的，按照第86条约定的争议处理。</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bookmarkStart w:id="471" w:name="_Toc469384069"/>
      <w:bookmarkStart w:id="472" w:name="_Toc10624910"/>
      <w:r>
        <w:rPr>
          <w:rFonts w:hint="eastAsia" w:ascii="宋体" w:hAnsi="宋体" w:eastAsia="宋体" w:cs="宋体"/>
          <w:b/>
          <w:bCs/>
          <w:caps w:val="0"/>
          <w:color w:val="auto"/>
          <w:sz w:val="21"/>
          <w:szCs w:val="21"/>
          <w:highlight w:val="none"/>
          <w:lang w:val="en-US" w:eastAsia="zh-CN"/>
        </w:rPr>
        <w:t>七、</w:t>
      </w:r>
      <w:r>
        <w:rPr>
          <w:rFonts w:hint="eastAsia" w:ascii="宋体" w:hAnsi="宋体" w:eastAsia="宋体" w:cs="宋体"/>
          <w:b/>
          <w:bCs/>
          <w:caps w:val="0"/>
          <w:color w:val="auto"/>
          <w:sz w:val="21"/>
          <w:szCs w:val="21"/>
          <w:highlight w:val="none"/>
        </w:rPr>
        <w:t>合同争议、解除与终止</w:t>
      </w:r>
      <w:bookmarkEnd w:id="471"/>
      <w:bookmarkEnd w:id="472"/>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73" w:name="_Toc469384070"/>
      <w:bookmarkStart w:id="474" w:name="_Toc10624911"/>
      <w:r>
        <w:rPr>
          <w:rFonts w:hint="eastAsia" w:ascii="宋体" w:hAnsi="宋体" w:eastAsia="宋体" w:cs="宋体"/>
          <w:b/>
          <w:bCs/>
          <w:caps w:val="0"/>
          <w:color w:val="auto"/>
          <w:sz w:val="21"/>
          <w:szCs w:val="21"/>
          <w:highlight w:val="none"/>
        </w:rPr>
        <w:t>86  合同争议</w:t>
      </w:r>
      <w:bookmarkEnd w:id="473"/>
      <w:bookmarkEnd w:id="474"/>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86.1认可暂定结果或产生争议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合同双方当事人在收到监理工程师或造价工程师的暂定结果之日起，超过14天，未对暂定结果予以确认也未提出意见的，视为合同双方当事人已认可暂定结果。</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86.2 双方协商</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86.3解决争议方式</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86.4调解或认定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建设工程安全监督机构，负责有关工程安全方面争议的调解或认定；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 建设工程质量监督机构，负责有关工程质量方面争议的调解或认定；</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(3) 建设工程造价管理机构，负责有关工程造价方面争议的调解或认定。</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86.5 调解或认定结果的确认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合同双方当事人应在收到争议调解或认定机构书面结果后的28天内，对调解或认定结果以书面形式予以确认。</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86.6 仲裁或诉讼</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若合同双方或一方当事人在收到争议调解或认定机构的书面结果后明确表示不同意，或在28天内没有书面确认，任何一方均可按照专用条款约定的下列任一种方式解决争议：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向约定的仲裁委员会申请仲裁；</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(2) 向有管辖权的人民法院提起诉讼。</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86.7争议期间继续施工</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争议期间，除下列情况停止施工外，合同双方当事人都应继续履行合同，保持工程连续施工，保护好已完工程：</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 合同双方当事人协商同意；(2) 合同一方当事人违约导致合同无法履行；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(3) 工程造价管理机构调解需要，且合同双方当事人同意；</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(4) 仲裁委员会仲裁需要，且合同双方当事人同意：(5) 人民法院诉讼需要。</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87.1 协商一致解除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合同双方当事人协商一致，可以解除合同。</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87.2不可抗力导致解除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因不可抗力事件致使合同无法继续履行的，合同双方当事人可以解除合同。</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87.3因承包人的原因解除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承包人有下列情形之一者，发包人可以解除合同：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)承包人未能按照第34.2款规定的开工期限内开工，经监理工程师催告后的28天内仍未开工的；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)按照第33条规定的进度计划未表明有停工且监理工程师也未按照第35.1款规定发出暂停施工令，但承包人停止施工时间持续达56天或累计停止施工时间达70天的；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)承包人违反第18.1款或第51.4款规定未经监理工程师批准，私自将已按照合同约定进入施工现场的施工设备、临时设施或材料运出施工现场的；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 xml:space="preserve">)承包人拖延完工且能偿付的误期赔偿费已达到专用条款约定最高限额的；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)承包人转包工程、违法分包或未经许可擅自分包工程的；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)承包人未按照合同约定或监理工程师的指令，经监理工程师书面指出后仍未按要求改正的；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7</w:t>
      </w:r>
      <w:r>
        <w:rPr>
          <w:rFonts w:hint="eastAsia" w:ascii="宋体" w:hAnsi="宋体" w:eastAsia="宋体" w:cs="宋体"/>
          <w:caps w:val="0"/>
          <w:color w:val="auto"/>
          <w:sz w:val="21"/>
          <w:szCs w:val="21"/>
          <w:highlight w:val="none"/>
        </w:rPr>
        <w:t>)承包人履行合同期间有欺诈行为的；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8</w:t>
      </w:r>
      <w:r>
        <w:rPr>
          <w:rFonts w:hint="eastAsia" w:ascii="宋体" w:hAnsi="宋体" w:eastAsia="宋体" w:cs="宋体"/>
          <w:caps w:val="0"/>
          <w:color w:val="auto"/>
          <w:sz w:val="21"/>
          <w:szCs w:val="21"/>
          <w:highlight w:val="none"/>
        </w:rPr>
        <w:t>)承包人向任何人付给或企图付给任何贿赂、礼品、赏金、回扣或其他贵重物品，以引诱或报偿他人，但付给承包人相关人员的奖励则属例外；</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(9)承包人在缺陷责任期内未能对发生的缺陷进行修复，且又拒绝按照监理工程师指令再进行修补的；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(10)承包人无法继续履行、明确表示或以行为表明不履行合同约定主要义务的；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(11)承包人延迟履行合同约定主要义务，经催告后在合理期限内仍未履行的；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(12)承包人破产或清偿的，但以机构重组或联合为目的的除外；</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(13)承包人被认为是严重违反合同的其他违约行为。</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在这种情况下，发包人可自行或委托第三方实施、完成合同工程或其任何部分，并可使用根据第18.2款留下的承包人临时工程，直至永久工程完工为止。</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87.4 因发包人的原因解除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发包人有下列情形之一者，承包人可以解除合同：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)非承包人原因未按照第34.2款规定期限内发出开工令，经承包人催告后28天内仍未发出开工令的；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 xml:space="preserve">)按照第35.3款规定非承包人原因造成暂停施工持续56天以上或累计停工时间超过了70天的；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 xml:space="preserve">)监理工程师未按照合同约定及时发出工作指令，导致承包人无法继续施工的；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)发包人未按照第78.1款规定向承包人支付工程款，经承包人催告后28天内仍未支付的；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w:t>
      </w:r>
      <w:r>
        <w:rPr>
          <w:rFonts w:hint="eastAsia" w:ascii="宋体" w:hAnsi="宋体" w:eastAsia="宋体" w:cs="宋体"/>
          <w:caps w:val="0"/>
          <w:color w:val="auto"/>
          <w:sz w:val="21"/>
          <w:szCs w:val="21"/>
          <w:highlight w:val="none"/>
          <w:lang w:val="en-US" w:eastAsia="zh-CN"/>
        </w:rPr>
        <w:t>6</w:t>
      </w:r>
      <w:r>
        <w:rPr>
          <w:rFonts w:hint="eastAsia" w:ascii="宋体" w:hAnsi="宋体" w:eastAsia="宋体" w:cs="宋体"/>
          <w:caps w:val="0"/>
          <w:color w:val="auto"/>
          <w:sz w:val="21"/>
          <w:szCs w:val="21"/>
          <w:highlight w:val="none"/>
        </w:rPr>
        <w:t>)发包人无法继续履行、明确表示或以行为表明不履行合同约定主要义务的；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(7)发包人延迟履行合同约定主要义务，经催告后在合理期限内仍未履行的；</w:t>
      </w:r>
    </w:p>
    <w:p>
      <w:pPr>
        <w:pStyle w:val="23"/>
        <w:pageBreakBefore w:val="0"/>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(8)发包人破产或清偿的，但以机构重组或联合为目的的除外；</w:t>
      </w:r>
    </w:p>
    <w:p>
      <w:pPr>
        <w:pStyle w:val="23"/>
        <w:pageBreakBefore w:val="0"/>
        <w:tabs>
          <w:tab w:val="left" w:pos="2160"/>
        </w:tabs>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(9)发包人被认为是严重违反合同的其他违约行为。</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87.5 书面通知合同解除</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87.6合同解除后双方的责任和义务</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75" w:name="_Toc10624913"/>
      <w:bookmarkStart w:id="476" w:name="_Toc469384072"/>
      <w:r>
        <w:rPr>
          <w:rFonts w:hint="eastAsia" w:ascii="宋体" w:hAnsi="宋体" w:eastAsia="宋体" w:cs="宋体"/>
          <w:b/>
          <w:bCs/>
          <w:caps w:val="0"/>
          <w:color w:val="auto"/>
          <w:sz w:val="21"/>
          <w:szCs w:val="21"/>
          <w:highlight w:val="none"/>
        </w:rPr>
        <w:t>88  合同解除的支付</w:t>
      </w:r>
      <w:bookmarkEnd w:id="475"/>
      <w:bookmarkEnd w:id="476"/>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88.1 协商一致解除的支付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根据第87.1款规定解除合同的，按照达成的协议办理结算和支付工程款。</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88.2不可抗力解除的支付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根据第87.2款规定解除合同的，发包人应向承包人支付合同解除之日前已完成工程但尚未支付的工程款。此外，发包人还应支付下列款项：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已实施或部分实施的措施项目应付款项；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承包人为合同工程合理订购且已交付的材料和工程设备货款。发包人一经支付此项货款，该材料和工程设备即成为发包人的财产；</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承包人为完成合同工程而预期开支的任何合理款项，且该项款项未包括在本款其他各项支付之内；</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根据第31.3款规定的任何工作应支付的款项；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根据第87.6款规定承包人撤离现场所需的合理款项，包括雇员遣送费和临时工程拆除、施工设备运离现场的款项。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88.3 因承包人的原因解除的支付</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88.4 因发包人的原因解除的支付</w:t>
      </w:r>
      <w:r>
        <w:rPr>
          <w:rFonts w:hint="eastAsia" w:ascii="宋体" w:hAnsi="宋体" w:eastAsia="宋体" w:cs="宋体"/>
          <w:b/>
          <w:bCs/>
          <w:caps w:val="0"/>
          <w:color w:val="auto"/>
          <w:sz w:val="21"/>
          <w:szCs w:val="21"/>
          <w:highlight w:val="none"/>
          <w:u w:val="dotted"/>
        </w:rPr>
        <w:t xml:space="preserve">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89.1 合同解除后的终止</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b/>
          <w:bCs/>
          <w:caps w:val="0"/>
          <w:color w:val="auto"/>
          <w:sz w:val="21"/>
          <w:szCs w:val="21"/>
          <w:highlight w:val="none"/>
        </w:rPr>
        <w:t xml:space="preserve">   </w:t>
      </w:r>
      <w:r>
        <w:rPr>
          <w:rFonts w:hint="eastAsia" w:ascii="宋体" w:hAnsi="宋体" w:eastAsia="宋体" w:cs="宋体"/>
          <w:caps w:val="0"/>
          <w:color w:val="auto"/>
          <w:sz w:val="21"/>
          <w:szCs w:val="21"/>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89.2双方履行完全部义务后的终止</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除第59条和第84条规定的质量保修条款外，合同双方当事人履行完本合同全部义务，发包人向承包人支付完竣工结算款，承包人向发包人交付竣工工程后，本合同即告终止。</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89.3 合同终止后双方的义务</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本合同的权利义务终止后，合同双方当事人仍应遵循诚实信用原则，继续履行合同约定的通知、协助、保密等义务。</w:t>
      </w:r>
    </w:p>
    <w:p>
      <w:pPr>
        <w:pStyle w:val="23"/>
        <w:keepNext w:val="0"/>
        <w:keepLines w:val="0"/>
        <w:pageBreakBefore w:val="0"/>
        <w:widowControl w:val="0"/>
        <w:tabs>
          <w:tab w:val="left" w:pos="900"/>
          <w:tab w:val="left" w:pos="1080"/>
        </w:tabs>
        <w:kinsoku/>
        <w:wordWrap/>
        <w:overflowPunct/>
        <w:topLinePunct w:val="0"/>
        <w:autoSpaceDE/>
        <w:autoSpaceDN/>
        <w:bidi w:val="0"/>
        <w:adjustRightInd/>
        <w:snapToGrid/>
        <w:spacing w:line="360" w:lineRule="auto"/>
        <w:ind w:right="0" w:rightChars="0"/>
        <w:jc w:val="center"/>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八、违 约 责 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bookmarkStart w:id="477" w:name="_Toc10624915"/>
      <w:r>
        <w:rPr>
          <w:rFonts w:hint="eastAsia" w:ascii="宋体" w:hAnsi="宋体" w:eastAsia="宋体" w:cs="宋体"/>
          <w:caps w:val="0"/>
          <w:color w:val="auto"/>
          <w:sz w:val="21"/>
          <w:szCs w:val="21"/>
          <w:highlight w:val="none"/>
        </w:rPr>
        <w:t>★</w:t>
      </w:r>
      <w:r>
        <w:rPr>
          <w:rFonts w:hint="eastAsia" w:ascii="宋体" w:hAnsi="宋体" w:eastAsia="宋体" w:cs="宋体"/>
          <w:b/>
          <w:bCs/>
          <w:caps w:val="0"/>
          <w:color w:val="auto"/>
          <w:sz w:val="21"/>
          <w:szCs w:val="21"/>
          <w:highlight w:val="none"/>
        </w:rPr>
        <w:t>90  承包人的违约责任</w:t>
      </w:r>
      <w:bookmarkEnd w:id="477"/>
    </w:p>
    <w:p>
      <w:pPr>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90.1承包人责任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因承包人违反本合同约定给发包人造成损失的，承包人应当赔偿发包人损失。</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90.2承包人责任承担费用</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承包人向发包人的索赔不成立时，承包人应赔偿发包人由此发生的费用。</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bookmarkStart w:id="478" w:name="_Toc489260630"/>
      <w:bookmarkStart w:id="479" w:name="_Toc10624916"/>
      <w:r>
        <w:rPr>
          <w:rFonts w:hint="eastAsia" w:ascii="宋体" w:hAnsi="宋体" w:eastAsia="宋体" w:cs="宋体"/>
          <w:caps w:val="0"/>
          <w:color w:val="auto"/>
          <w:sz w:val="21"/>
          <w:szCs w:val="21"/>
          <w:highlight w:val="none"/>
        </w:rPr>
        <w:t>★</w:t>
      </w:r>
      <w:r>
        <w:rPr>
          <w:rFonts w:hint="eastAsia" w:ascii="宋体" w:hAnsi="宋体" w:eastAsia="宋体" w:cs="宋体"/>
          <w:b/>
          <w:bCs/>
          <w:caps w:val="0"/>
          <w:color w:val="auto"/>
          <w:sz w:val="21"/>
          <w:szCs w:val="21"/>
          <w:highlight w:val="none"/>
        </w:rPr>
        <w:t>91 发包人的违约责任</w:t>
      </w:r>
      <w:bookmarkEnd w:id="478"/>
      <w:bookmarkEnd w:id="479"/>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91.1发包人责任 </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因发包人违反本合同约定造成承包人损失的，发包人应予以赔偿。</w:t>
      </w:r>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91.2 发包人责任承担费用</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发包人向承包人的索赔不成立时，发包人应赔偿承包人由此发生的费用。</w:t>
      </w:r>
    </w:p>
    <w:p>
      <w:pPr>
        <w:pageBreakBefore w:val="0"/>
        <w:kinsoku/>
        <w:wordWrap/>
        <w:overflowPunct/>
        <w:topLinePunct w:val="0"/>
        <w:bidi w:val="0"/>
        <w:spacing w:line="360" w:lineRule="auto"/>
        <w:ind w:left="0" w:leftChars="0" w:right="0" w:rightChars="0" w:firstLine="420" w:firstLineChars="200"/>
        <w:jc w:val="both"/>
        <w:textAlignment w:val="auto"/>
        <w:outlineLvl w:val="2"/>
        <w:rPr>
          <w:rFonts w:hint="eastAsia" w:ascii="宋体" w:hAnsi="宋体" w:eastAsia="宋体" w:cs="宋体"/>
          <w:b/>
          <w:bCs/>
          <w:caps w:val="0"/>
          <w:color w:val="auto"/>
          <w:sz w:val="21"/>
          <w:szCs w:val="21"/>
          <w:highlight w:val="none"/>
        </w:rPr>
      </w:pPr>
      <w:bookmarkStart w:id="480" w:name="_Toc489260631"/>
      <w:bookmarkStart w:id="481" w:name="_Toc10624917"/>
      <w:r>
        <w:rPr>
          <w:rFonts w:hint="eastAsia" w:ascii="宋体" w:hAnsi="宋体" w:eastAsia="宋体" w:cs="宋体"/>
          <w:caps w:val="0"/>
          <w:color w:val="auto"/>
          <w:sz w:val="21"/>
          <w:szCs w:val="21"/>
          <w:highlight w:val="none"/>
        </w:rPr>
        <w:t>★</w:t>
      </w:r>
      <w:r>
        <w:rPr>
          <w:rFonts w:hint="eastAsia" w:ascii="宋体" w:hAnsi="宋体" w:eastAsia="宋体" w:cs="宋体"/>
          <w:b/>
          <w:bCs/>
          <w:caps w:val="0"/>
          <w:color w:val="auto"/>
          <w:sz w:val="21"/>
          <w:szCs w:val="21"/>
          <w:highlight w:val="none"/>
        </w:rPr>
        <w:t>92  除外责任</w:t>
      </w:r>
      <w:bookmarkEnd w:id="480"/>
      <w:bookmarkEnd w:id="481"/>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非发、承包人责任</w:t>
      </w:r>
    </w:p>
    <w:p>
      <w:pPr>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非承包人的原因，且承包人无过错，而产生的各类损失，承包人不承担赔偿责任。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u w:val="single"/>
        </w:rPr>
      </w:pPr>
      <w:r>
        <w:rPr>
          <w:rFonts w:hint="eastAsia" w:ascii="宋体" w:hAnsi="宋体" w:eastAsia="宋体" w:cs="宋体"/>
          <w:caps w:val="0"/>
          <w:color w:val="auto"/>
          <w:sz w:val="21"/>
          <w:szCs w:val="21"/>
          <w:highlight w:val="none"/>
        </w:rPr>
        <w:t>因不可抗力导致本合同全部或部分不能履行时，双方各自承担其因此而造成的损失、损害。</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1"/>
        <w:rPr>
          <w:rFonts w:hint="eastAsia" w:ascii="宋体" w:hAnsi="宋体" w:eastAsia="宋体" w:cs="宋体"/>
          <w:b/>
          <w:bCs/>
          <w:caps w:val="0"/>
          <w:color w:val="auto"/>
          <w:sz w:val="21"/>
          <w:szCs w:val="21"/>
          <w:highlight w:val="none"/>
        </w:rPr>
      </w:pPr>
      <w:bookmarkStart w:id="482" w:name="_Toc469384074"/>
      <w:bookmarkStart w:id="483" w:name="_Toc10624918"/>
      <w:r>
        <w:rPr>
          <w:rFonts w:hint="eastAsia" w:ascii="宋体" w:hAnsi="宋体" w:eastAsia="宋体" w:cs="宋体"/>
          <w:b/>
          <w:bCs/>
          <w:caps w:val="0"/>
          <w:color w:val="auto"/>
          <w:sz w:val="21"/>
          <w:szCs w:val="21"/>
          <w:highlight w:val="none"/>
        </w:rPr>
        <w:t>九、其  他</w:t>
      </w:r>
      <w:bookmarkEnd w:id="482"/>
      <w:bookmarkEnd w:id="483"/>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84" w:name="_Toc10624919"/>
      <w:bookmarkStart w:id="485" w:name="_Toc469384075"/>
      <w:r>
        <w:rPr>
          <w:rFonts w:hint="eastAsia" w:ascii="宋体" w:hAnsi="宋体" w:eastAsia="宋体" w:cs="宋体"/>
          <w:b/>
          <w:bCs/>
          <w:caps w:val="0"/>
          <w:color w:val="auto"/>
          <w:sz w:val="21"/>
          <w:szCs w:val="21"/>
          <w:highlight w:val="none"/>
        </w:rPr>
        <w:t>93  缴纳税费</w:t>
      </w:r>
      <w:bookmarkEnd w:id="484"/>
      <w:bookmarkEnd w:id="485"/>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93.1约定缴纳一切税费</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合同双方当事人应按照国家现行税法和有关部门现行规定缴纳合同工程需缴的一切税费。</w:t>
      </w:r>
    </w:p>
    <w:p>
      <w:pPr>
        <w:pStyle w:val="23"/>
        <w:pageBreakBefore w:val="0"/>
        <w:tabs>
          <w:tab w:val="left" w:pos="1320"/>
        </w:tabs>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93.2没交或少交税费的责任</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0" w:firstLineChars="200"/>
        <w:jc w:val="both"/>
        <w:textAlignment w:val="auto"/>
        <w:outlineLvl w:val="2"/>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合同任何一方当事人没交或少交合同工程需缴税费的，违法方应足额补交，并承担相应的法律责任；给另一方当事人造成损失的，违法方应赔偿损失。</w:t>
      </w:r>
      <w:bookmarkStart w:id="486" w:name="_Toc469384076"/>
      <w:bookmarkStart w:id="487" w:name="_Toc10624920"/>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94  保密要求</w:t>
      </w:r>
      <w:bookmarkEnd w:id="486"/>
      <w:bookmarkEnd w:id="487"/>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 xml:space="preserve">94.1提供保密信息和履行保密义务    </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94.2 保密信息知悉权限</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94.3签订保密协议</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94.4 配合政府要求并做好保密工作</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94.5书面说明保密程度</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1）</w:t>
      </w:r>
      <w:r>
        <w:rPr>
          <w:rFonts w:hint="eastAsia" w:ascii="宋体" w:hAnsi="宋体" w:eastAsia="宋体" w:cs="宋体"/>
          <w:caps w:val="0"/>
          <w:color w:val="auto"/>
          <w:sz w:val="21"/>
          <w:szCs w:val="21"/>
          <w:highlight w:val="none"/>
        </w:rPr>
        <w:t>提供前已由合同双方当事人所持有的；</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2）</w:t>
      </w:r>
      <w:r>
        <w:rPr>
          <w:rFonts w:hint="eastAsia" w:ascii="宋体" w:hAnsi="宋体" w:eastAsia="宋体" w:cs="宋体"/>
          <w:caps w:val="0"/>
          <w:color w:val="auto"/>
          <w:sz w:val="21"/>
          <w:szCs w:val="21"/>
          <w:highlight w:val="none"/>
        </w:rPr>
        <w:t>已公开发表或非对方当事人原因向公众公开的；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3）</w:t>
      </w:r>
      <w:r>
        <w:rPr>
          <w:rFonts w:hint="eastAsia" w:ascii="宋体" w:hAnsi="宋体" w:eastAsia="宋体" w:cs="宋体"/>
          <w:caps w:val="0"/>
          <w:color w:val="auto"/>
          <w:sz w:val="21"/>
          <w:szCs w:val="21"/>
          <w:highlight w:val="none"/>
        </w:rPr>
        <w:t>已由各相关方书面同意其公开的；</w:t>
      </w: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4）</w:t>
      </w:r>
      <w:r>
        <w:rPr>
          <w:rFonts w:hint="eastAsia" w:ascii="宋体" w:hAnsi="宋体" w:eastAsia="宋体" w:cs="宋体"/>
          <w:caps w:val="0"/>
          <w:color w:val="auto"/>
          <w:sz w:val="21"/>
          <w:szCs w:val="21"/>
          <w:highlight w:val="none"/>
        </w:rPr>
        <w:t>在未获取保密信息前由对方当事人独立开发的；</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lang w:eastAsia="zh-CN"/>
        </w:rPr>
        <w:t>（</w:t>
      </w:r>
      <w:r>
        <w:rPr>
          <w:rFonts w:hint="eastAsia" w:ascii="宋体" w:hAnsi="宋体" w:eastAsia="宋体" w:cs="宋体"/>
          <w:caps w:val="0"/>
          <w:color w:val="auto"/>
          <w:sz w:val="21"/>
          <w:szCs w:val="21"/>
          <w:highlight w:val="none"/>
          <w:lang w:val="en-US" w:eastAsia="zh-CN"/>
        </w:rPr>
        <w:t>5）</w:t>
      </w:r>
      <w:r>
        <w:rPr>
          <w:rFonts w:hint="eastAsia" w:ascii="宋体" w:hAnsi="宋体" w:eastAsia="宋体" w:cs="宋体"/>
          <w:caps w:val="0"/>
          <w:color w:val="auto"/>
          <w:sz w:val="21"/>
          <w:szCs w:val="21"/>
          <w:highlight w:val="none"/>
        </w:rPr>
        <w:t>对方当事人从对保密信息不承担保密义务的第三方处合法获得的。</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88" w:name="_Toc469384077"/>
      <w:bookmarkStart w:id="489" w:name="_Toc10624921"/>
      <w:r>
        <w:rPr>
          <w:rFonts w:hint="eastAsia" w:ascii="宋体" w:hAnsi="宋体" w:eastAsia="宋体" w:cs="宋体"/>
          <w:b/>
          <w:bCs/>
          <w:caps w:val="0"/>
          <w:color w:val="auto"/>
          <w:sz w:val="21"/>
          <w:szCs w:val="21"/>
          <w:highlight w:val="none"/>
        </w:rPr>
        <w:t>95 廉政建设</w:t>
      </w:r>
      <w:bookmarkEnd w:id="488"/>
      <w:bookmarkEnd w:id="489"/>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95.1 廉政建设</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合同双方当事人在签订本合同时，应同时签订廉政合同，作为本合同的附件。合同双方当事人在合同履行期间应遵守国家和政府有关廉政方面的规定和要求，禁止任何腐败行为。</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u w:val="dotted"/>
        </w:rPr>
      </w:pPr>
      <w:r>
        <w:rPr>
          <w:rFonts w:hint="eastAsia" w:ascii="宋体" w:hAnsi="宋体" w:eastAsia="宋体" w:cs="宋体"/>
          <w:b/>
          <w:bCs/>
          <w:caps w:val="0"/>
          <w:color w:val="auto"/>
          <w:sz w:val="21"/>
          <w:szCs w:val="21"/>
          <w:highlight w:val="none"/>
        </w:rPr>
        <w:t>95.2 违反责任</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90" w:name="_Toc10624922"/>
      <w:bookmarkStart w:id="491" w:name="_Toc469384078"/>
      <w:r>
        <w:rPr>
          <w:rFonts w:hint="eastAsia" w:ascii="宋体" w:hAnsi="宋体" w:eastAsia="宋体" w:cs="宋体"/>
          <w:b/>
          <w:bCs/>
          <w:caps w:val="0"/>
          <w:color w:val="auto"/>
          <w:sz w:val="21"/>
          <w:szCs w:val="21"/>
          <w:highlight w:val="none"/>
        </w:rPr>
        <w:t>96  禁止转让</w:t>
      </w:r>
      <w:bookmarkEnd w:id="490"/>
      <w:bookmarkEnd w:id="491"/>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96.1履行合同</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本合同一经签署，合同双方当事人均应按照本合同规定行使各自的权利、履行各自的义务。</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96.2不得转让</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caps w:val="0"/>
          <w:color w:val="auto"/>
          <w:sz w:val="21"/>
          <w:szCs w:val="21"/>
          <w:highlight w:val="none"/>
        </w:rPr>
        <w:t>除合同另有约定外，未经另一方当事人同意，合同一方当事人不得将本合同的全部或部分权利、义务转让给第三方。</w:t>
      </w:r>
    </w:p>
    <w:p>
      <w:pPr>
        <w:pStyle w:val="23"/>
        <w:pageBreakBefore w:val="0"/>
        <w:tabs>
          <w:tab w:val="left" w:pos="540"/>
        </w:tabs>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92" w:name="_Toc469384079"/>
      <w:bookmarkStart w:id="493" w:name="_Toc10624923"/>
      <w:r>
        <w:rPr>
          <w:rFonts w:hint="eastAsia" w:ascii="宋体" w:hAnsi="宋体" w:eastAsia="宋体" w:cs="宋体"/>
          <w:b/>
          <w:bCs/>
          <w:caps w:val="0"/>
          <w:color w:val="auto"/>
          <w:sz w:val="21"/>
          <w:szCs w:val="21"/>
          <w:highlight w:val="none"/>
        </w:rPr>
        <w:t>97  合同份数</w:t>
      </w:r>
      <w:bookmarkEnd w:id="492"/>
      <w:bookmarkEnd w:id="493"/>
    </w:p>
    <w:p>
      <w:pPr>
        <w:pageBreakBefore w:val="0"/>
        <w:kinsoku/>
        <w:wordWrap/>
        <w:overflowPunct/>
        <w:topLinePunct w:val="0"/>
        <w:bidi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97.1 约定提供合同文本</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除专用条款另有约定外，发包人应按照第94.2款规定的份数免费为承包人提供合同文本。</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ascii="宋体" w:hAnsi="宋体" w:eastAsia="宋体" w:cs="宋体"/>
          <w:b/>
          <w:bCs/>
          <w:caps w:val="0"/>
          <w:color w:val="auto"/>
          <w:sz w:val="21"/>
          <w:szCs w:val="21"/>
          <w:highlight w:val="none"/>
        </w:rPr>
        <w:t>97.2 正副本效力</w:t>
      </w:r>
    </w:p>
    <w:p>
      <w:pPr>
        <w:pStyle w:val="23"/>
        <w:pageBreakBefore w:val="0"/>
        <w:kinsoku/>
        <w:wordWrap/>
        <w:overflowPunct/>
        <w:topLinePunct w:val="0"/>
        <w:bidi w:val="0"/>
        <w:adjustRightInd w:val="0"/>
        <w:snapToGrid w:val="0"/>
        <w:spacing w:line="360" w:lineRule="auto"/>
        <w:ind w:left="0" w:leftChars="0" w:right="0" w:rightChars="0" w:firstLine="420" w:firstLineChars="200"/>
        <w:jc w:val="both"/>
        <w:textAlignment w:val="auto"/>
        <w:rPr>
          <w:rFonts w:hint="eastAsia" w:ascii="宋体" w:hAnsi="宋体" w:eastAsia="宋体" w:cs="宋体"/>
          <w:b/>
          <w:bCs/>
          <w:caps w:val="0"/>
          <w:color w:val="auto"/>
          <w:sz w:val="21"/>
          <w:szCs w:val="21"/>
          <w:highlight w:val="none"/>
          <w:u w:val="single"/>
        </w:rPr>
      </w:pPr>
      <w:r>
        <w:rPr>
          <w:rFonts w:hint="eastAsia" w:ascii="宋体" w:hAnsi="宋体" w:eastAsia="宋体" w:cs="宋体"/>
          <w:caps w:val="0"/>
          <w:color w:val="auto"/>
          <w:sz w:val="21"/>
          <w:szCs w:val="21"/>
          <w:highlight w:val="none"/>
        </w:rPr>
        <w:t>本合同正、副本份数，由合同双方当事人根据需要在专用条款中约定。正本与副本具有同等效力，当正本与副本不一致时，以正本为准。</w:t>
      </w:r>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outlineLvl w:val="2"/>
        <w:rPr>
          <w:rFonts w:hint="eastAsia" w:ascii="宋体" w:hAnsi="宋体" w:eastAsia="宋体" w:cs="宋体"/>
          <w:b/>
          <w:bCs/>
          <w:caps w:val="0"/>
          <w:color w:val="auto"/>
          <w:sz w:val="21"/>
          <w:szCs w:val="21"/>
          <w:highlight w:val="none"/>
        </w:rPr>
      </w:pPr>
      <w:bookmarkStart w:id="494" w:name="_Toc469384080"/>
      <w:bookmarkStart w:id="495" w:name="_Toc10624924"/>
      <w:r>
        <w:rPr>
          <w:rFonts w:hint="eastAsia" w:hAnsi="宋体" w:eastAsia="宋体" w:cs="宋体"/>
          <w:b/>
          <w:bCs/>
          <w:caps w:val="0"/>
          <w:color w:val="auto"/>
          <w:sz w:val="21"/>
          <w:szCs w:val="21"/>
          <w:highlight w:val="none"/>
          <w:lang w:eastAsia="zh-CN"/>
        </w:rPr>
        <w:t>9</w:t>
      </w:r>
      <w:r>
        <w:rPr>
          <w:rFonts w:hint="eastAsia" w:hAnsi="宋体" w:eastAsia="宋体" w:cs="宋体"/>
          <w:b/>
          <w:bCs/>
          <w:caps w:val="0"/>
          <w:color w:val="auto"/>
          <w:sz w:val="21"/>
          <w:szCs w:val="21"/>
          <w:highlight w:val="none"/>
          <w:lang w:val="en-US" w:eastAsia="zh-CN"/>
        </w:rPr>
        <w:t>8</w:t>
      </w:r>
      <w:r>
        <w:rPr>
          <w:rFonts w:hint="eastAsia" w:ascii="宋体" w:hAnsi="宋体" w:eastAsia="宋体" w:cs="宋体"/>
          <w:b/>
          <w:bCs/>
          <w:caps w:val="0"/>
          <w:color w:val="auto"/>
          <w:sz w:val="21"/>
          <w:szCs w:val="21"/>
          <w:highlight w:val="none"/>
        </w:rPr>
        <w:t xml:space="preserve">  合同</w:t>
      </w:r>
      <w:bookmarkEnd w:id="494"/>
      <w:r>
        <w:rPr>
          <w:rFonts w:hint="eastAsia" w:ascii="宋体" w:hAnsi="宋体" w:eastAsia="宋体" w:cs="宋体"/>
          <w:b/>
          <w:bCs/>
          <w:caps w:val="0"/>
          <w:color w:val="auto"/>
          <w:sz w:val="21"/>
          <w:szCs w:val="21"/>
          <w:highlight w:val="none"/>
        </w:rPr>
        <w:t>管理</w:t>
      </w:r>
      <w:bookmarkEnd w:id="495"/>
    </w:p>
    <w:p>
      <w:pPr>
        <w:pStyle w:val="23"/>
        <w:pageBreakBefore w:val="0"/>
        <w:kinsoku/>
        <w:wordWrap/>
        <w:overflowPunct/>
        <w:topLinePunct w:val="0"/>
        <w:bidi w:val="0"/>
        <w:adjustRightInd w:val="0"/>
        <w:snapToGrid w:val="0"/>
        <w:spacing w:line="360" w:lineRule="auto"/>
        <w:ind w:left="0" w:leftChars="0" w:right="0" w:rightChars="0" w:firstLine="422" w:firstLineChars="200"/>
        <w:jc w:val="both"/>
        <w:textAlignment w:val="auto"/>
        <w:rPr>
          <w:rFonts w:hint="eastAsia" w:ascii="宋体" w:hAnsi="宋体" w:eastAsia="宋体" w:cs="宋体"/>
          <w:b/>
          <w:bCs/>
          <w:caps w:val="0"/>
          <w:color w:val="auto"/>
          <w:sz w:val="21"/>
          <w:szCs w:val="21"/>
          <w:highlight w:val="none"/>
        </w:rPr>
      </w:pPr>
      <w:r>
        <w:rPr>
          <w:rFonts w:hint="eastAsia" w:hAnsi="宋体" w:eastAsia="宋体" w:cs="宋体"/>
          <w:b/>
          <w:bCs/>
          <w:caps w:val="0"/>
          <w:color w:val="auto"/>
          <w:sz w:val="21"/>
          <w:szCs w:val="21"/>
          <w:highlight w:val="none"/>
          <w:lang w:eastAsia="zh-CN"/>
        </w:rPr>
        <w:t>9</w:t>
      </w:r>
      <w:r>
        <w:rPr>
          <w:rFonts w:hint="eastAsia" w:hAnsi="宋体" w:eastAsia="宋体" w:cs="宋体"/>
          <w:b/>
          <w:bCs/>
          <w:caps w:val="0"/>
          <w:color w:val="auto"/>
          <w:sz w:val="21"/>
          <w:szCs w:val="21"/>
          <w:highlight w:val="none"/>
          <w:lang w:val="en-US" w:eastAsia="zh-CN"/>
        </w:rPr>
        <w:t>8</w:t>
      </w:r>
      <w:r>
        <w:rPr>
          <w:rFonts w:hint="eastAsia" w:ascii="宋体" w:hAnsi="宋体" w:eastAsia="宋体" w:cs="宋体"/>
          <w:b/>
          <w:bCs/>
          <w:caps w:val="0"/>
          <w:color w:val="auto"/>
          <w:sz w:val="21"/>
          <w:szCs w:val="21"/>
          <w:highlight w:val="none"/>
        </w:rPr>
        <w:t>.1 合同管理</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caps w:val="0"/>
          <w:color w:val="auto"/>
          <w:sz w:val="21"/>
          <w:szCs w:val="21"/>
          <w:highlight w:val="none"/>
        </w:rPr>
      </w:pPr>
      <w:r>
        <w:rPr>
          <w:rFonts w:hint="eastAsia" w:ascii="宋体" w:hAnsi="宋体" w:eastAsia="宋体" w:cs="宋体"/>
          <w:caps w:val="0"/>
          <w:color w:val="auto"/>
          <w:sz w:val="21"/>
          <w:szCs w:val="21"/>
          <w:highlight w:val="none"/>
        </w:rPr>
        <w:t>合同双方当事人应按照第22条至第25条的职责划分，督促各自人员认真履行合同管理职责，加强合同管理。</w:t>
      </w:r>
    </w:p>
    <w:p>
      <w:pPr>
        <w:pageBreakBefore w:val="0"/>
        <w:kinsoku/>
        <w:wordWrap/>
        <w:overflowPunct/>
        <w:topLinePunct w:val="0"/>
        <w:bidi w:val="0"/>
        <w:spacing w:line="360" w:lineRule="auto"/>
        <w:ind w:left="0" w:leftChars="0" w:right="0" w:rightChars="0" w:firstLine="420" w:firstLineChars="200"/>
        <w:jc w:val="both"/>
        <w:textAlignment w:val="auto"/>
        <w:rPr>
          <w:rFonts w:hint="eastAsia" w:ascii="宋体" w:hAnsi="宋体" w:eastAsia="宋体" w:cs="宋体"/>
          <w:b/>
          <w:bCs/>
          <w:caps w:val="0"/>
          <w:color w:val="auto"/>
          <w:kern w:val="0"/>
          <w:sz w:val="21"/>
          <w:szCs w:val="21"/>
          <w:highlight w:val="none"/>
        </w:rPr>
      </w:pPr>
      <w:r>
        <w:rPr>
          <w:rFonts w:hint="eastAsia" w:ascii="宋体" w:hAnsi="宋体" w:eastAsia="宋体" w:cs="宋体"/>
          <w:caps w:val="0"/>
          <w:color w:val="auto"/>
          <w:sz w:val="21"/>
          <w:szCs w:val="21"/>
          <w:highlight w:val="none"/>
        </w:rPr>
        <w:t xml:space="preserve">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ageBreakBefore w:val="0"/>
        <w:kinsoku/>
        <w:wordWrap/>
        <w:overflowPunct/>
        <w:topLinePunct w:val="0"/>
        <w:bidi w:val="0"/>
        <w:spacing w:line="360" w:lineRule="auto"/>
        <w:textAlignment w:val="auto"/>
        <w:rPr>
          <w:rFonts w:hint="eastAsia" w:ascii="宋体" w:hAnsi="宋体" w:eastAsia="宋体" w:cs="宋体"/>
          <w:b/>
          <w:bCs/>
          <w:caps w:val="0"/>
          <w:color w:val="auto"/>
          <w:kern w:val="0"/>
          <w:sz w:val="18"/>
          <w:szCs w:val="21"/>
          <w:highlight w:val="none"/>
        </w:rPr>
      </w:pPr>
    </w:p>
    <w:p>
      <w:pPr>
        <w:pStyle w:val="8"/>
        <w:pageBreakBefore w:val="0"/>
        <w:numPr>
          <w:ilvl w:val="0"/>
          <w:numId w:val="0"/>
        </w:numPr>
        <w:tabs>
          <w:tab w:val="left" w:pos="420"/>
          <w:tab w:val="left" w:pos="432"/>
        </w:tabs>
        <w:kinsoku/>
        <w:overflowPunct/>
        <w:topLinePunct w:val="0"/>
        <w:bidi w:val="0"/>
        <w:spacing w:line="360" w:lineRule="auto"/>
        <w:ind w:left="433" w:leftChars="206" w:firstLine="177" w:firstLineChars="49"/>
        <w:jc w:val="center"/>
        <w:textAlignment w:val="auto"/>
        <w:rPr>
          <w:rFonts w:hint="eastAsia" w:ascii="宋体" w:hAnsi="宋体" w:eastAsia="宋体" w:cs="宋体"/>
          <w:b/>
          <w:bCs/>
          <w:color w:val="auto"/>
          <w:sz w:val="36"/>
          <w:szCs w:val="36"/>
          <w:highlight w:val="none"/>
        </w:rPr>
      </w:pPr>
      <w:bookmarkStart w:id="496" w:name="_Toc469384081"/>
      <w:bookmarkStart w:id="497" w:name="_Toc10624925"/>
      <w:r>
        <w:rPr>
          <w:rFonts w:hint="eastAsia" w:ascii="宋体" w:hAnsi="宋体" w:eastAsia="宋体" w:cs="宋体"/>
          <w:b/>
          <w:bCs/>
          <w:color w:val="auto"/>
          <w:sz w:val="36"/>
          <w:szCs w:val="36"/>
          <w:highlight w:val="none"/>
        </w:rPr>
        <w:t>第三部分    专用条款</w:t>
      </w:r>
      <w:bookmarkEnd w:id="496"/>
      <w:bookmarkEnd w:id="497"/>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leftChars="0" w:firstLine="422" w:firstLineChars="200"/>
        <w:textAlignment w:val="auto"/>
        <w:rPr>
          <w:rFonts w:hint="eastAsia" w:ascii="宋体" w:hAnsi="宋体" w:eastAsia="宋体" w:cs="宋体"/>
          <w:b/>
          <w:bCs/>
          <w:color w:val="auto"/>
          <w:sz w:val="21"/>
          <w:szCs w:val="24"/>
          <w:highlight w:val="none"/>
        </w:rPr>
      </w:pPr>
      <w:bookmarkStart w:id="498" w:name="_Toc10624926"/>
      <w:bookmarkStart w:id="499" w:name="_Toc469384082"/>
      <w:r>
        <w:rPr>
          <w:rFonts w:hint="eastAsia" w:ascii="宋体" w:hAnsi="宋体" w:eastAsia="宋体" w:cs="宋体"/>
          <w:b/>
          <w:bCs/>
          <w:color w:val="auto"/>
          <w:sz w:val="21"/>
          <w:szCs w:val="24"/>
          <w:highlight w:val="none"/>
        </w:rPr>
        <w:t>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定义</w:t>
      </w:r>
      <w:bookmarkEnd w:id="498"/>
      <w:bookmarkEnd w:id="499"/>
      <w:r>
        <w:rPr>
          <w:rFonts w:hint="eastAsia" w:ascii="宋体" w:hAnsi="宋体" w:eastAsia="宋体" w:cs="宋体"/>
          <w:b/>
          <w:bCs/>
          <w:color w:val="auto"/>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1.14 设计人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本工程设计人：</w:t>
      </w:r>
      <w:r>
        <w:rPr>
          <w:rFonts w:hint="eastAsia" w:ascii="宋体" w:hAnsi="宋体" w:eastAsia="宋体" w:cs="宋体"/>
          <w:color w:val="auto"/>
          <w:kern w:val="0"/>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1.15 监理人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本工程监理人：</w:t>
      </w:r>
      <w:r>
        <w:rPr>
          <w:rFonts w:hint="eastAsia" w:ascii="宋体" w:hAnsi="宋体" w:eastAsia="宋体" w:cs="宋体"/>
          <w:color w:val="auto"/>
          <w:kern w:val="0"/>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1.43 单位工程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名称：</w:t>
      </w:r>
      <w:r>
        <w:rPr>
          <w:rFonts w:hint="eastAsia" w:ascii="宋体" w:hAnsi="宋体" w:eastAsia="宋体" w:cs="宋体"/>
          <w:color w:val="auto"/>
          <w:kern w:val="0"/>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内容：</w:t>
      </w:r>
      <w:r>
        <w:rPr>
          <w:rFonts w:hint="eastAsia" w:ascii="宋体" w:hAnsi="宋体" w:eastAsia="宋体" w:cs="宋体"/>
          <w:color w:val="auto"/>
          <w:kern w:val="0"/>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范围：</w:t>
      </w:r>
      <w:r>
        <w:rPr>
          <w:rFonts w:hint="eastAsia" w:ascii="宋体" w:hAnsi="宋体" w:eastAsia="宋体" w:cs="宋体"/>
          <w:color w:val="auto"/>
          <w:kern w:val="0"/>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1.53 所采用的书面形式包括： 包括但不限于文书、信件、电报、 传真、 电子邮件等形式。</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00" w:name="_Toc10624927"/>
      <w:bookmarkStart w:id="501" w:name="_Toc469384083"/>
      <w:r>
        <w:rPr>
          <w:rFonts w:hint="eastAsia" w:ascii="宋体" w:hAnsi="宋体" w:eastAsia="宋体" w:cs="宋体"/>
          <w:b/>
          <w:bCs/>
          <w:color w:val="auto"/>
          <w:sz w:val="21"/>
          <w:szCs w:val="24"/>
          <w:highlight w:val="none"/>
        </w:rPr>
        <w:t>2</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合同文件及解释</w:t>
      </w:r>
      <w:bookmarkEnd w:id="500"/>
      <w:bookmarkEnd w:id="501"/>
      <w:r>
        <w:rPr>
          <w:rFonts w:hint="eastAsia" w:ascii="宋体" w:hAnsi="宋体" w:eastAsia="宋体" w:cs="宋体"/>
          <w:b/>
          <w:bCs/>
          <w:color w:val="auto"/>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2.2 合同文件组成及解释顺序：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本合同履行期间发包人与承包人双方签订的补充合同（协议）修正文件（含工程洽商记录、会议纪要、变更签证等）；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等）。</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02" w:name="_Toc469384084"/>
      <w:bookmarkStart w:id="503" w:name="_Toc10624928"/>
      <w:r>
        <w:rPr>
          <w:rFonts w:hint="eastAsia" w:ascii="宋体" w:hAnsi="宋体" w:eastAsia="宋体" w:cs="宋体"/>
          <w:b/>
          <w:bCs/>
          <w:color w:val="auto"/>
          <w:sz w:val="21"/>
          <w:szCs w:val="24"/>
          <w:highlight w:val="none"/>
        </w:rPr>
        <w:t>4</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语言及适用的法律、标准与规范</w:t>
      </w:r>
      <w:bookmarkEnd w:id="502"/>
      <w:bookmarkEnd w:id="503"/>
      <w:r>
        <w:rPr>
          <w:rFonts w:hint="eastAsia" w:ascii="宋体" w:hAnsi="宋体" w:eastAsia="宋体" w:cs="宋体"/>
          <w:b/>
          <w:bCs/>
          <w:color w:val="auto"/>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4.3 约定适用的标准、规范的名称：</w:t>
      </w:r>
      <w:r>
        <w:rPr>
          <w:rFonts w:hint="eastAsia" w:ascii="宋体" w:hAnsi="宋体" w:eastAsia="宋体" w:cs="宋体"/>
          <w:color w:val="auto"/>
          <w:kern w:val="0"/>
          <w:sz w:val="21"/>
          <w:szCs w:val="24"/>
          <w:highlight w:val="none"/>
          <w:u w:val="single"/>
          <w:lang w:val="en-US" w:eastAsia="zh-CN"/>
        </w:rPr>
        <w:t xml:space="preserve">  国家、行业、广东省和广州市的标准和规程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u w:val="none"/>
        </w:rPr>
        <w:t>国内没有相应标准、规范时的约定：</w:t>
      </w:r>
      <w:r>
        <w:rPr>
          <w:rFonts w:hint="eastAsia" w:ascii="宋体" w:hAnsi="宋体" w:eastAsia="宋体" w:cs="宋体"/>
          <w:color w:val="auto"/>
          <w:kern w:val="0"/>
          <w:sz w:val="21"/>
          <w:szCs w:val="24"/>
          <w:highlight w:val="none"/>
          <w:u w:val="single"/>
        </w:rPr>
        <w:t>按施工图纸，招标文件和广州</w:t>
      </w:r>
      <w:r>
        <w:rPr>
          <w:rFonts w:hint="eastAsia" w:ascii="宋体" w:hAnsi="宋体" w:eastAsia="宋体" w:cs="宋体"/>
          <w:color w:val="auto"/>
          <w:kern w:val="0"/>
          <w:sz w:val="21"/>
          <w:szCs w:val="24"/>
          <w:highlight w:val="none"/>
          <w:u w:val="single"/>
          <w:lang w:val="en-US" w:eastAsia="zh-CN"/>
        </w:rPr>
        <w:t>市黄埔区</w:t>
      </w:r>
      <w:r>
        <w:rPr>
          <w:rFonts w:hint="eastAsia" w:ascii="宋体" w:hAnsi="宋体" w:eastAsia="宋体" w:cs="宋体"/>
          <w:color w:val="auto"/>
          <w:kern w:val="0"/>
          <w:sz w:val="21"/>
          <w:szCs w:val="24"/>
          <w:highlight w:val="none"/>
          <w:u w:val="single"/>
        </w:rPr>
        <w:t>开发区相关规定及答疑纪要的要求执行</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u w:val="single"/>
        </w:rPr>
        <w:t>。</w:t>
      </w:r>
    </w:p>
    <w:p>
      <w:pPr>
        <w:keepNext w:val="0"/>
        <w:keepLines w:val="0"/>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kern w:val="0"/>
          <w:sz w:val="21"/>
          <w:szCs w:val="24"/>
          <w:highlight w:val="none"/>
          <w:u w:val="singl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04" w:name="_Toc469384085"/>
      <w:bookmarkStart w:id="505" w:name="_Toc10624929"/>
      <w:r>
        <w:rPr>
          <w:rFonts w:hint="eastAsia" w:ascii="宋体" w:hAnsi="宋体" w:eastAsia="宋体" w:cs="宋体"/>
          <w:b/>
          <w:bCs/>
          <w:color w:val="auto"/>
          <w:sz w:val="21"/>
          <w:szCs w:val="24"/>
          <w:highlight w:val="none"/>
        </w:rPr>
        <w:t>5</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施工设计图纸</w:t>
      </w:r>
      <w:bookmarkEnd w:id="504"/>
      <w:bookmarkEnd w:id="50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5.1 发包人提供施工设计图纸</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（1）提供的时间：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开工前</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eastAsia="zh-CN"/>
        </w:rPr>
        <w:t>。</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（2）提供的数量：</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贰套</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eastAsia="zh-CN"/>
        </w:rPr>
        <w:t>。</w:t>
      </w:r>
    </w:p>
    <w:p>
      <w:pPr>
        <w:keepNext w:val="0"/>
        <w:keepLines w:val="0"/>
        <w:pageBreakBefore w:val="0"/>
        <w:widowControl w:val="0"/>
        <w:kinsoku/>
        <w:wordWrap/>
        <w:overflowPunct/>
        <w:topLinePunct w:val="0"/>
        <w:bidi w:val="0"/>
        <w:spacing w:line="360" w:lineRule="auto"/>
        <w:ind w:firstLine="211" w:firstLineChars="100"/>
        <w:jc w:val="center"/>
        <w:textAlignment w:val="auto"/>
        <w:rPr>
          <w:rFonts w:hint="eastAsia" w:ascii="宋体" w:hAnsi="宋体" w:eastAsia="宋体" w:cs="宋体"/>
          <w:b/>
          <w:bCs/>
          <w:color w:val="auto"/>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06" w:name="_Toc469384086"/>
      <w:bookmarkStart w:id="507" w:name="_Toc10624930"/>
      <w:r>
        <w:rPr>
          <w:rFonts w:hint="eastAsia" w:ascii="宋体" w:hAnsi="宋体" w:eastAsia="宋体" w:cs="宋体"/>
          <w:b/>
          <w:bCs/>
          <w:color w:val="auto"/>
          <w:sz w:val="21"/>
          <w:szCs w:val="24"/>
          <w:highlight w:val="none"/>
        </w:rPr>
        <w:t xml:space="preserve">6 </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通信联络</w:t>
      </w:r>
      <w:bookmarkEnd w:id="506"/>
      <w:bookmarkEnd w:id="50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6.2 各方通讯地址、收件人及其他送达方式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各方通讯地址和收件人：</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发包人：</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通讯地址：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收件人：</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邮政编码：</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承包人： </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通讯地址：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收件人：</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邮政编码：</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监理人：</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通讯地址：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收件人：</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邮政编码：</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设计</w:t>
      </w:r>
      <w:r>
        <w:rPr>
          <w:rFonts w:hint="eastAsia" w:ascii="宋体" w:hAnsi="宋体" w:eastAsia="宋体" w:cs="宋体"/>
          <w:color w:val="auto"/>
          <w:sz w:val="21"/>
          <w:szCs w:val="24"/>
          <w:highlight w:val="none"/>
        </w:rPr>
        <w:t xml:space="preserve">人： </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通讯地址：</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收件人：</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邮政编码：</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视为送达的其他方式：</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电子邮件、快递、挂号信等。</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left="120"/>
        <w:textAlignment w:val="auto"/>
        <w:rPr>
          <w:rFonts w:hint="eastAsia" w:ascii="宋体" w:hAnsi="宋体" w:eastAsia="宋体" w:cs="宋体"/>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08" w:name="_Toc10624931"/>
      <w:bookmarkStart w:id="509" w:name="_Toc469384087"/>
      <w:r>
        <w:rPr>
          <w:rFonts w:hint="eastAsia" w:ascii="宋体" w:hAnsi="宋体" w:eastAsia="宋体" w:cs="宋体"/>
          <w:b/>
          <w:bCs/>
          <w:color w:val="auto"/>
          <w:sz w:val="21"/>
          <w:szCs w:val="24"/>
          <w:highlight w:val="none"/>
        </w:rPr>
        <w:t>7</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工程分包</w:t>
      </w:r>
      <w:bookmarkEnd w:id="508"/>
      <w:bookmarkEnd w:id="509"/>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合同约定的工程项目承包人不得转包，必须分包的少量子项工程和专业工程，事先需取得监理人、发包人的审查同意后方可进场施工。</w:t>
      </w:r>
    </w:p>
    <w:p>
      <w:pPr>
        <w:keepNext w:val="0"/>
        <w:keepLines w:val="0"/>
        <w:pageBreakBefore w:val="0"/>
        <w:widowControl w:val="0"/>
        <w:kinsoku/>
        <w:wordWrap/>
        <w:overflowPunct/>
        <w:topLinePunct w:val="0"/>
        <w:bidi w:val="0"/>
        <w:spacing w:line="360" w:lineRule="auto"/>
        <w:ind w:left="120"/>
        <w:textAlignment w:val="auto"/>
        <w:rPr>
          <w:rFonts w:hint="eastAsia" w:ascii="宋体" w:hAnsi="宋体" w:eastAsia="宋体" w:cs="宋体"/>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sz w:val="21"/>
          <w:szCs w:val="24"/>
          <w:highlight w:val="none"/>
        </w:rPr>
      </w:pPr>
      <w:bookmarkStart w:id="510" w:name="_Toc469384088"/>
      <w:bookmarkStart w:id="511" w:name="_Toc10624932"/>
      <w:r>
        <w:rPr>
          <w:rFonts w:hint="eastAsia" w:ascii="宋体" w:hAnsi="宋体" w:eastAsia="宋体" w:cs="宋体"/>
          <w:b/>
          <w:bCs/>
          <w:color w:val="auto"/>
          <w:sz w:val="21"/>
          <w:szCs w:val="24"/>
          <w:highlight w:val="none"/>
        </w:rPr>
        <w:t xml:space="preserve">13 </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交通运输</w:t>
      </w:r>
      <w:bookmarkEnd w:id="510"/>
      <w:bookmarkEnd w:id="511"/>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13.1 办理道路通行权和修建场外设施的费用：</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13.2 修建场内临时道路和交通设施的费用：</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rPr>
        <w:t>13.4 运输超大件和超重件的费用：</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12" w:name="_Toc469384090"/>
      <w:bookmarkStart w:id="513" w:name="_Toc10624934"/>
      <w:r>
        <w:rPr>
          <w:rFonts w:hint="eastAsia" w:ascii="宋体" w:hAnsi="宋体" w:eastAsia="宋体" w:cs="宋体"/>
          <w:b/>
          <w:bCs/>
          <w:color w:val="auto"/>
          <w:sz w:val="21"/>
          <w:szCs w:val="24"/>
          <w:highlight w:val="none"/>
        </w:rPr>
        <w:t xml:space="preserve">19 </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发包人</w:t>
      </w:r>
      <w:bookmarkEnd w:id="512"/>
      <w:bookmarkEnd w:id="513"/>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19.2 发包人完成下列工作的约定</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办理土地征用、拆迁、平整施工场地等工作的时间：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开工前</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完成施工所需水、电、通讯线路接驳的时间及地点：</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rPr>
        <w:t>由承包人自行解决，费用已包在本工程中标总造价中</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开通施工现场与城乡公共道路间的通道的时间：</w:t>
      </w:r>
      <w:r>
        <w:rPr>
          <w:rFonts w:hint="eastAsia" w:ascii="宋体" w:hAnsi="宋体" w:eastAsia="宋体" w:cs="宋体"/>
          <w:color w:val="auto"/>
          <w:sz w:val="21"/>
          <w:szCs w:val="24"/>
          <w:highlight w:val="none"/>
          <w:u w:val="single"/>
        </w:rPr>
        <w:t xml:space="preserve">  通道按现状，不论满足施工要求与否，该通道及施工便道均由承包人自行解决，费用已包在本工程中标总造价中</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rPr>
        <w:t>。</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提供施工所需的有关资料的时间：</w:t>
      </w:r>
      <w:r>
        <w:rPr>
          <w:rFonts w:hint="eastAsia" w:ascii="宋体" w:hAnsi="宋体" w:eastAsia="宋体" w:cs="宋体"/>
          <w:color w:val="auto"/>
          <w:sz w:val="21"/>
          <w:szCs w:val="24"/>
          <w:highlight w:val="none"/>
          <w:u w:val="single"/>
        </w:rPr>
        <w:t xml:space="preserve">   根据施工计划提前提供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办理施工所需的有关证件和批准手续的时间：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6）</w:t>
      </w:r>
      <w:r>
        <w:rPr>
          <w:rFonts w:hint="eastAsia" w:ascii="宋体" w:hAnsi="宋体" w:eastAsia="宋体" w:cs="宋体"/>
          <w:color w:val="auto"/>
          <w:sz w:val="21"/>
          <w:szCs w:val="24"/>
          <w:highlight w:val="none"/>
        </w:rPr>
        <w:t>现场交验的时间：</w:t>
      </w:r>
      <w:r>
        <w:rPr>
          <w:rFonts w:hint="eastAsia" w:ascii="宋体" w:hAnsi="宋体" w:eastAsia="宋体" w:cs="宋体"/>
          <w:color w:val="auto"/>
          <w:sz w:val="21"/>
          <w:szCs w:val="24"/>
          <w:highlight w:val="none"/>
          <w:u w:val="single"/>
        </w:rPr>
        <w:t xml:space="preserve">   开工前交验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7）</w:t>
      </w:r>
      <w:r>
        <w:rPr>
          <w:rFonts w:hint="eastAsia" w:ascii="宋体" w:hAnsi="宋体" w:eastAsia="宋体" w:cs="宋体"/>
          <w:color w:val="auto"/>
          <w:sz w:val="21"/>
          <w:szCs w:val="24"/>
          <w:highlight w:val="none"/>
        </w:rPr>
        <w:t>提供标准与规范的时间：</w:t>
      </w:r>
      <w:r>
        <w:rPr>
          <w:rFonts w:hint="eastAsia" w:ascii="宋体" w:hAnsi="宋体" w:eastAsia="宋体" w:cs="宋体"/>
          <w:color w:val="auto"/>
          <w:sz w:val="21"/>
          <w:szCs w:val="24"/>
          <w:highlight w:val="none"/>
          <w:u w:val="single"/>
        </w:rPr>
        <w:t xml:space="preserve">   工程施工前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组织图纸会审和设计交底的时间：</w:t>
      </w:r>
      <w:r>
        <w:rPr>
          <w:rFonts w:hint="eastAsia" w:ascii="宋体" w:hAnsi="宋体" w:eastAsia="宋体" w:cs="宋体"/>
          <w:color w:val="auto"/>
          <w:sz w:val="21"/>
          <w:szCs w:val="24"/>
          <w:highlight w:val="none"/>
          <w:u w:val="single"/>
        </w:rPr>
        <w:t xml:space="preserve">    工程施工前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协调处理施工周围场地系问题和邻近建筑物等保护工作的约定：</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委托承包人办理的工作有：</w:t>
      </w:r>
      <w:r>
        <w:rPr>
          <w:rFonts w:hint="eastAsia" w:ascii="宋体" w:hAnsi="宋体" w:eastAsia="宋体" w:cs="宋体"/>
          <w:color w:val="auto"/>
          <w:sz w:val="21"/>
          <w:szCs w:val="24"/>
          <w:highlight w:val="none"/>
          <w:u w:val="single"/>
        </w:rPr>
        <w:t xml:space="preserve">  工程质监登记</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u w:val="single"/>
          <w:lang w:val="en-US" w:eastAsia="zh-CN"/>
        </w:rPr>
        <w:t>报监项目）</w:t>
      </w:r>
      <w:r>
        <w:rPr>
          <w:rFonts w:hint="eastAsia" w:ascii="宋体" w:hAnsi="宋体" w:eastAsia="宋体" w:cs="宋体"/>
          <w:color w:val="auto"/>
          <w:sz w:val="21"/>
          <w:szCs w:val="24"/>
          <w:highlight w:val="none"/>
          <w:u w:val="single"/>
        </w:rPr>
        <w:t xml:space="preserve">、合同鉴证、施工许可证等一切施工所需的审批，申领手续以及规划验收、环保验收等后期验收工作，费用按政策规定各自承担相应部分。  </w:t>
      </w:r>
      <w:r>
        <w:rPr>
          <w:rFonts w:hint="eastAsia" w:ascii="宋体" w:hAnsi="宋体" w:eastAsia="宋体" w:cs="宋体"/>
          <w:color w:val="auto"/>
          <w:sz w:val="21"/>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19.3 提供施工场地的时间：</w:t>
      </w:r>
      <w:r>
        <w:rPr>
          <w:rFonts w:hint="eastAsia" w:ascii="宋体" w:hAnsi="宋体" w:eastAsia="宋体" w:cs="宋体"/>
          <w:color w:val="auto"/>
          <w:sz w:val="21"/>
          <w:szCs w:val="24"/>
          <w:highlight w:val="none"/>
          <w:u w:val="single"/>
        </w:rPr>
        <w:t xml:space="preserve">   </w:t>
      </w:r>
      <w:r>
        <w:rPr>
          <w:rFonts w:hint="eastAsia" w:ascii="宋体" w:hAnsi="宋体" w:eastAsia="宋体" w:cs="宋体"/>
          <w:color w:val="auto"/>
          <w:sz w:val="21"/>
          <w:szCs w:val="24"/>
          <w:highlight w:val="none"/>
          <w:u w:val="single"/>
          <w:lang w:val="en-US" w:eastAsia="zh-CN"/>
        </w:rPr>
        <w:t xml:space="preserve">工程施工前  </w:t>
      </w:r>
      <w:r>
        <w:rPr>
          <w:rFonts w:hint="eastAsia" w:ascii="宋体" w:hAnsi="宋体" w:eastAsia="宋体" w:cs="宋体"/>
          <w:color w:val="auto"/>
          <w:sz w:val="21"/>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19.4 支付款项</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（1）工程款支付</w:t>
      </w:r>
      <w:r>
        <w:rPr>
          <w:rFonts w:hint="eastAsia" w:ascii="宋体" w:hAnsi="宋体" w:eastAsia="宋体" w:cs="宋体"/>
          <w:color w:val="auto"/>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本合同签订后3个工作日内，支付</w:t>
      </w:r>
      <w:r>
        <w:rPr>
          <w:rFonts w:hint="eastAsia" w:ascii="宋体" w:hAnsi="宋体" w:eastAsia="宋体" w:cs="宋体"/>
          <w:color w:val="auto"/>
          <w:kern w:val="0"/>
          <w:sz w:val="21"/>
          <w:szCs w:val="24"/>
          <w:highlight w:val="none"/>
          <w:lang w:eastAsia="zh-CN"/>
        </w:rPr>
        <w:t>合同价款的</w:t>
      </w:r>
      <w:r>
        <w:rPr>
          <w:rFonts w:hint="eastAsia" w:ascii="宋体" w:hAnsi="宋体" w:eastAsia="宋体" w:cs="宋体"/>
          <w:color w:val="auto"/>
          <w:kern w:val="0"/>
          <w:sz w:val="21"/>
          <w:szCs w:val="24"/>
          <w:highlight w:val="none"/>
          <w:lang w:val="en-US" w:eastAsia="zh-CN"/>
        </w:rPr>
        <w:t>30%</w:t>
      </w:r>
      <w:r>
        <w:rPr>
          <w:rFonts w:hint="eastAsia" w:ascii="宋体" w:hAnsi="宋体" w:eastAsia="宋体" w:cs="宋体"/>
          <w:color w:val="auto"/>
          <w:kern w:val="0"/>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当完成工作量达到80%时，支付</w:t>
      </w:r>
      <w:r>
        <w:rPr>
          <w:rFonts w:hint="eastAsia" w:ascii="宋体" w:hAnsi="宋体" w:eastAsia="宋体" w:cs="宋体"/>
          <w:color w:val="auto"/>
          <w:kern w:val="0"/>
          <w:sz w:val="21"/>
          <w:szCs w:val="24"/>
          <w:highlight w:val="none"/>
          <w:lang w:eastAsia="zh-CN"/>
        </w:rPr>
        <w:t>至合同价款的</w:t>
      </w:r>
      <w:r>
        <w:rPr>
          <w:rFonts w:hint="eastAsia" w:ascii="宋体" w:hAnsi="宋体" w:eastAsia="宋体" w:cs="宋体"/>
          <w:color w:val="auto"/>
          <w:kern w:val="0"/>
          <w:sz w:val="21"/>
          <w:szCs w:val="24"/>
          <w:highlight w:val="none"/>
        </w:rPr>
        <w:t>70%【累计付款至合同价款若有暂定金(含暂列金额和暂估价)扣除未计量部分暂定金(含暂列金额 和暂估价)后的70%】；</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lang w:eastAsia="zh-CN"/>
        </w:rPr>
        <w:t>）工程完工</w:t>
      </w:r>
      <w:r>
        <w:rPr>
          <w:rFonts w:hint="eastAsia" w:ascii="宋体" w:hAnsi="宋体" w:eastAsia="宋体" w:cs="宋体"/>
          <w:color w:val="auto"/>
          <w:kern w:val="0"/>
          <w:sz w:val="21"/>
          <w:szCs w:val="24"/>
          <w:highlight w:val="none"/>
        </w:rPr>
        <w:t>，工程竣工验收合格后，甲方在7个日历日内向乙方支付至合同总价的85% 【累计付款至合同价款若有暂定金(含暂列金额和暂估价)扣除未计量部分暂定金(含暂列金额 和暂估价)后的</w:t>
      </w:r>
      <w:r>
        <w:rPr>
          <w:rFonts w:hint="eastAsia" w:ascii="宋体" w:hAnsi="宋体" w:cs="宋体"/>
          <w:color w:val="auto"/>
          <w:kern w:val="0"/>
          <w:sz w:val="21"/>
          <w:szCs w:val="24"/>
          <w:highlight w:val="none"/>
          <w:lang w:val="en-US" w:eastAsia="zh-CN"/>
        </w:rPr>
        <w:t>85</w:t>
      </w:r>
      <w:r>
        <w:rPr>
          <w:rFonts w:hint="eastAsia" w:ascii="宋体" w:hAnsi="宋体" w:eastAsia="宋体" w:cs="宋体"/>
          <w:color w:val="auto"/>
          <w:kern w:val="0"/>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向</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递交完整的竣工档案及结算申请，并经广州</w:t>
      </w:r>
      <w:r>
        <w:rPr>
          <w:rFonts w:hint="eastAsia" w:ascii="宋体" w:hAnsi="宋体" w:eastAsia="宋体" w:cs="宋体"/>
          <w:color w:val="auto"/>
          <w:kern w:val="0"/>
          <w:sz w:val="21"/>
          <w:szCs w:val="24"/>
          <w:highlight w:val="none"/>
          <w:lang w:val="en-US" w:eastAsia="zh-CN"/>
        </w:rPr>
        <w:t>黄埔区</w:t>
      </w:r>
      <w:r>
        <w:rPr>
          <w:rFonts w:hint="eastAsia" w:ascii="宋体" w:hAnsi="宋体" w:eastAsia="宋体" w:cs="宋体"/>
          <w:color w:val="auto"/>
          <w:kern w:val="0"/>
          <w:sz w:val="21"/>
          <w:szCs w:val="24"/>
          <w:highlight w:val="none"/>
        </w:rPr>
        <w:t>财政局</w:t>
      </w:r>
      <w:r>
        <w:rPr>
          <w:rFonts w:hint="eastAsia" w:ascii="宋体" w:hAnsi="宋体" w:eastAsia="宋体" w:cs="宋体"/>
          <w:color w:val="auto"/>
          <w:kern w:val="0"/>
          <w:sz w:val="21"/>
          <w:szCs w:val="24"/>
          <w:highlight w:val="none"/>
          <w:lang w:val="en-US" w:eastAsia="zh-CN"/>
        </w:rPr>
        <w:t>或其授权单位</w:t>
      </w:r>
      <w:r>
        <w:rPr>
          <w:rFonts w:hint="eastAsia" w:ascii="宋体" w:hAnsi="宋体" w:eastAsia="宋体" w:cs="宋体"/>
          <w:color w:val="auto"/>
          <w:kern w:val="0"/>
          <w:sz w:val="21"/>
          <w:szCs w:val="24"/>
          <w:highlight w:val="none"/>
        </w:rPr>
        <w:t>审定施工结算后支付工程款至结算价的9</w:t>
      </w:r>
      <w:r>
        <w:rPr>
          <w:rFonts w:hint="eastAsia" w:ascii="宋体" w:hAnsi="宋体" w:eastAsia="宋体" w:cs="宋体"/>
          <w:color w:val="auto"/>
          <w:kern w:val="0"/>
          <w:sz w:val="21"/>
          <w:szCs w:val="24"/>
          <w:highlight w:val="none"/>
          <w:lang w:val="en-US" w:eastAsia="zh-CN"/>
        </w:rPr>
        <w:t>7</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5</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缺陷责任期</w:t>
      </w:r>
      <w:r>
        <w:rPr>
          <w:rFonts w:hint="eastAsia" w:ascii="宋体" w:hAnsi="宋体" w:eastAsia="宋体" w:cs="宋体"/>
          <w:color w:val="auto"/>
          <w:kern w:val="0"/>
          <w:sz w:val="21"/>
          <w:szCs w:val="24"/>
          <w:highlight w:val="none"/>
          <w:lang w:val="en-US" w:eastAsia="zh-CN"/>
        </w:rPr>
        <w:t>满</w:t>
      </w:r>
      <w:r>
        <w:rPr>
          <w:rFonts w:hint="eastAsia" w:ascii="宋体" w:hAnsi="宋体" w:eastAsia="宋体" w:cs="宋体"/>
          <w:color w:val="auto"/>
          <w:kern w:val="0"/>
          <w:sz w:val="21"/>
          <w:szCs w:val="24"/>
          <w:highlight w:val="none"/>
        </w:rPr>
        <w:t>且完成决算后，</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向</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无息支付剩余款项。</w:t>
      </w:r>
      <w:r>
        <w:rPr>
          <w:rFonts w:hint="eastAsia" w:ascii="宋体" w:hAnsi="宋体" w:eastAsia="宋体" w:cs="宋体"/>
          <w:color w:val="auto"/>
          <w:kern w:val="0"/>
          <w:sz w:val="21"/>
          <w:szCs w:val="24"/>
          <w:highlight w:val="none"/>
          <w:lang w:eastAsia="zh-CN"/>
        </w:rPr>
        <w:t>承包方应无条件配合发包方完成决算工作。</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color w:val="auto"/>
          <w:highlight w:val="none"/>
          <w:lang w:val="en-US" w:eastAsia="zh-CN"/>
        </w:rPr>
        <w:t>注：若乙方为联合体单位，本合同所有款项甲方统一向联合体牵头人支付，由牵头人向甲方开具相应数额的合同款增值税专用发票，同时由牵头方按照约定的履约担保金额向甲方提供履约银行保函。（联合体中标适用）</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（2）工程款支付方式</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按协议书所注明的银行账户转账。</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14" w:name="_Toc10624935"/>
      <w:bookmarkStart w:id="515" w:name="_Toc469384091"/>
      <w:r>
        <w:rPr>
          <w:rFonts w:hint="eastAsia" w:ascii="宋体" w:hAnsi="宋体" w:eastAsia="宋体" w:cs="宋体"/>
          <w:b/>
          <w:bCs/>
          <w:color w:val="auto"/>
          <w:sz w:val="21"/>
          <w:szCs w:val="24"/>
          <w:highlight w:val="none"/>
        </w:rPr>
        <w:t xml:space="preserve">20 </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承包人</w:t>
      </w:r>
      <w:bookmarkEnd w:id="514"/>
      <w:bookmarkEnd w:id="515"/>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 xml:space="preserve">20.1 遵守法律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承包人在本项目发包人的工程项目中存在通用条款20.1所列行为的，将被拒绝参与发包人后续工程投标。</w:t>
      </w:r>
      <w:r>
        <w:rPr>
          <w:rFonts w:hint="eastAsia" w:ascii="宋体" w:hAnsi="宋体" w:eastAsia="宋体" w:cs="宋体"/>
          <w:color w:val="auto"/>
          <w:sz w:val="21"/>
          <w:szCs w:val="24"/>
          <w:highlight w:val="none"/>
          <w:lang w:eastAsia="zh-CN"/>
        </w:rPr>
        <w:t>拒绝投标时限：</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u w:val="single"/>
          <w:lang w:val="en-US" w:eastAsia="zh-CN"/>
        </w:rPr>
        <w:t xml:space="preserve"> 3年</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20.2 承包人完成下列工作的约定，包括但不限于：</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（3）提交支付申请和工程款</w:t>
      </w:r>
      <w:r>
        <w:rPr>
          <w:rFonts w:hint="eastAsia" w:ascii="宋体" w:hAnsi="宋体" w:eastAsia="宋体" w:cs="宋体"/>
          <w:color w:val="auto"/>
          <w:sz w:val="21"/>
          <w:szCs w:val="24"/>
          <w:highlight w:val="none"/>
          <w:lang w:eastAsia="zh-CN"/>
        </w:rPr>
        <w:t>额报告期限</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u w:val="single"/>
          <w:lang w:val="en-US" w:eastAsia="zh-CN"/>
        </w:rPr>
        <w:t>按本合同约定执行  。</w:t>
      </w:r>
      <w:r>
        <w:rPr>
          <w:rFonts w:hint="eastAsia" w:ascii="宋体" w:hAnsi="宋体" w:eastAsia="宋体" w:cs="宋体"/>
          <w:color w:val="auto"/>
          <w:sz w:val="21"/>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u w:val="single"/>
          <w:lang w:eastAsia="zh-CN"/>
        </w:rPr>
      </w:pPr>
      <w:r>
        <w:rPr>
          <w:rFonts w:hint="eastAsia" w:ascii="宋体" w:hAnsi="宋体" w:eastAsia="宋体" w:cs="宋体"/>
          <w:color w:val="auto"/>
          <w:sz w:val="21"/>
          <w:szCs w:val="24"/>
          <w:highlight w:val="none"/>
          <w:lang w:val="en-US" w:eastAsia="zh-CN"/>
        </w:rPr>
        <w:t>（5）向发包人提供施工场</w:t>
      </w:r>
      <w:r>
        <w:rPr>
          <w:rFonts w:hint="eastAsia" w:ascii="宋体" w:hAnsi="宋体" w:eastAsia="宋体" w:cs="宋体"/>
          <w:color w:val="auto"/>
          <w:sz w:val="21"/>
          <w:szCs w:val="24"/>
          <w:highlight w:val="none"/>
          <w:lang w:eastAsia="zh-CN"/>
        </w:rPr>
        <w:t>地办公和生活的房屋及设施的数量和时间等要求：</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u w:val="singl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6）办完施工场地交通</w:t>
      </w:r>
      <w:r>
        <w:rPr>
          <w:rFonts w:hint="eastAsia" w:ascii="宋体" w:hAnsi="宋体" w:eastAsia="宋体" w:cs="宋体"/>
          <w:color w:val="auto"/>
          <w:sz w:val="21"/>
          <w:szCs w:val="24"/>
          <w:highlight w:val="none"/>
          <w:lang w:eastAsia="zh-CN"/>
        </w:rPr>
        <w:t>、环境保护、施工噪声、绿色施工安全防护等手续的时间：</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u w:val="single"/>
          <w:lang w:val="en-US" w:eastAsia="zh-CN"/>
        </w:rPr>
        <w:t xml:space="preserve"> 开工前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（8）做好施工场地地下管线和邻近建筑物、构筑物（包括文物保护建筑）、古树名木保护工作的约定：</w:t>
      </w:r>
      <w:r>
        <w:rPr>
          <w:rFonts w:hint="eastAsia" w:ascii="宋体" w:hAnsi="宋体" w:eastAsia="宋体" w:cs="宋体"/>
          <w:color w:val="auto"/>
          <w:sz w:val="21"/>
          <w:szCs w:val="24"/>
          <w:highlight w:val="none"/>
          <w:u w:val="single"/>
          <w:lang w:eastAsia="zh-CN"/>
        </w:rPr>
        <w:t xml:space="preserve">   除文物保护外的保护费全部由承包人承担</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（9）保证施工场地的清洁和做好交工前施工现场清理工作的约定：</w:t>
      </w:r>
      <w:r>
        <w:rPr>
          <w:rFonts w:hint="eastAsia" w:ascii="宋体" w:hAnsi="宋体" w:eastAsia="宋体" w:cs="宋体"/>
          <w:color w:val="auto"/>
          <w:sz w:val="21"/>
          <w:szCs w:val="24"/>
          <w:highlight w:val="none"/>
          <w:u w:val="single"/>
          <w:lang w:eastAsia="zh-CN"/>
        </w:rPr>
        <w:t xml:space="preserve"> </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满足文明施工要求</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u w:val="single"/>
          <w:lang w:eastAsia="zh-CN"/>
        </w:rPr>
        <w:t>。</w:t>
      </w:r>
      <w:r>
        <w:rPr>
          <w:rFonts w:hint="eastAsia" w:ascii="宋体" w:hAnsi="宋体" w:eastAsia="宋体" w:cs="宋体"/>
          <w:color w:val="auto"/>
          <w:sz w:val="21"/>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（10）提交竣工验收申请报告和竣工结算文件</w:t>
      </w:r>
      <w:r>
        <w:rPr>
          <w:rFonts w:hint="eastAsia" w:ascii="宋体" w:hAnsi="宋体" w:eastAsia="宋体" w:cs="宋体"/>
          <w:color w:val="auto"/>
          <w:sz w:val="21"/>
          <w:szCs w:val="24"/>
          <w:highlight w:val="none"/>
          <w:u w:val="single"/>
          <w:lang w:val="en-US" w:eastAsia="zh-CN"/>
        </w:rPr>
        <w:t xml:space="preserve">  按专用条款规定提交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u w:val="single"/>
          <w:lang w:val="en-US" w:eastAsia="zh-CN"/>
        </w:rPr>
      </w:pPr>
      <w:r>
        <w:rPr>
          <w:rFonts w:hint="eastAsia" w:ascii="宋体" w:hAnsi="宋体" w:eastAsia="宋体" w:cs="宋体"/>
          <w:color w:val="auto"/>
          <w:sz w:val="21"/>
          <w:szCs w:val="24"/>
          <w:highlight w:val="none"/>
          <w:lang w:val="en-US" w:eastAsia="zh-CN"/>
        </w:rPr>
        <w:t>20.3 承包人提供施工所需劳务、材料、国产设备、施工设备和其他物品的约定：</w:t>
      </w:r>
      <w:r>
        <w:rPr>
          <w:rFonts w:hint="eastAsia" w:ascii="宋体" w:hAnsi="宋体" w:eastAsia="宋体" w:cs="宋体"/>
          <w:color w:val="auto"/>
          <w:sz w:val="21"/>
          <w:szCs w:val="24"/>
          <w:highlight w:val="none"/>
          <w:u w:val="single"/>
          <w:lang w:val="en-US" w:eastAsia="zh-CN"/>
        </w:rPr>
        <w:t xml:space="preserve">  承包人按本合同通用条款要求执行，并承担相关费用 。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1）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（2）承包人应根据相关规定及发包人的要求、合同约定对发包人另行发包的专业承包单位进行统一管理和配合服务。包括但不限于：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按照《关于规范我市建设工程施工承包管理的通知》【穗建筑[2006]709号】的规定，承包人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w:t>
      </w:r>
      <w:r>
        <w:rPr>
          <w:rFonts w:hint="eastAsia" w:ascii="宋体" w:hAnsi="宋体" w:eastAsia="宋体" w:cs="宋体"/>
          <w:color w:val="auto"/>
          <w:sz w:val="21"/>
          <w:szCs w:val="24"/>
          <w:highlight w:val="none"/>
          <w:lang w:eastAsia="zh-CN"/>
        </w:rPr>
        <w:t>工程的施工，承担由于自身管理、配合服务和协调不到位而导致的违约责任和连带违约责任。</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16" w:name="_Toc469384092"/>
      <w:bookmarkStart w:id="517" w:name="_Toc10624936"/>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 xml:space="preserve">21 </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现场管理人员任命和更换</w:t>
      </w:r>
      <w:bookmarkEnd w:id="516"/>
      <w:bookmarkEnd w:id="517"/>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21.2 承包人代表任命和更换：</w:t>
      </w:r>
      <w:r>
        <w:rPr>
          <w:rFonts w:hint="eastAsia" w:ascii="宋体" w:hAnsi="宋体" w:eastAsia="宋体" w:cs="宋体"/>
          <w:color w:val="auto"/>
          <w:sz w:val="21"/>
          <w:szCs w:val="24"/>
          <w:highlight w:val="none"/>
          <w:u w:val="single"/>
          <w:lang w:val="en-US" w:eastAsia="zh-CN"/>
        </w:rPr>
        <w:t xml:space="preserve">    经监理人或发包人批准同意      。</w:t>
      </w:r>
      <w:r>
        <w:rPr>
          <w:rFonts w:hint="eastAsia" w:ascii="宋体" w:hAnsi="宋体" w:eastAsia="宋体" w:cs="宋体"/>
          <w:color w:val="auto"/>
          <w:sz w:val="21"/>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21.3 监理工程师代表任命和撤回：</w:t>
      </w:r>
      <w:r>
        <w:rPr>
          <w:rFonts w:hint="eastAsia" w:ascii="宋体" w:hAnsi="宋体" w:eastAsia="宋体" w:cs="宋体"/>
          <w:color w:val="auto"/>
          <w:sz w:val="21"/>
          <w:szCs w:val="24"/>
          <w:highlight w:val="none"/>
          <w:u w:val="single"/>
          <w:lang w:val="en-US" w:eastAsia="zh-CN"/>
        </w:rPr>
        <w:t xml:space="preserve">    经发包人批准同意          。</w:t>
      </w:r>
      <w:r>
        <w:rPr>
          <w:rFonts w:hint="eastAsia" w:ascii="宋体" w:hAnsi="宋体" w:eastAsia="宋体" w:cs="宋体"/>
          <w:color w:val="auto"/>
          <w:sz w:val="21"/>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jc w:val="both"/>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21.4 承包人代表授权人选任命和撤回：</w:t>
      </w:r>
      <w:r>
        <w:rPr>
          <w:rFonts w:hint="eastAsia" w:ascii="宋体" w:hAnsi="宋体" w:eastAsia="宋体" w:cs="宋体"/>
          <w:color w:val="auto"/>
          <w:sz w:val="21"/>
          <w:szCs w:val="24"/>
          <w:highlight w:val="none"/>
          <w:u w:val="single"/>
          <w:lang w:val="en-US" w:eastAsia="zh-CN"/>
        </w:rPr>
        <w:t xml:space="preserve">                           </w:t>
      </w:r>
      <w:r>
        <w:rPr>
          <w:rFonts w:hint="eastAsia" w:ascii="宋体" w:hAnsi="宋体" w:eastAsia="宋体" w:cs="宋体"/>
          <w:color w:val="auto"/>
          <w:sz w:val="21"/>
          <w:szCs w:val="24"/>
          <w:highlight w:val="none"/>
          <w:lang w:val="en-US" w:eastAsia="zh-CN"/>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18" w:name="_Toc10624937"/>
      <w:bookmarkStart w:id="519" w:name="_Toc469384093"/>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22 发包人代表</w:t>
      </w:r>
      <w:bookmarkEnd w:id="518"/>
      <w:bookmarkEnd w:id="51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22.1 发包人代表及其权力的限制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（1）发包人任命（              ）为发包人代表，其通讯方式为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通讯地址：</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邮政编码：</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联系电话：</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传真号码：</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（2）发包人对发包人代表权力做如下限制：</w:t>
      </w:r>
      <w:r>
        <w:rPr>
          <w:rFonts w:hint="eastAsia" w:ascii="宋体" w:hAnsi="宋体" w:eastAsia="宋体" w:cs="宋体"/>
          <w:color w:val="auto"/>
          <w:kern w:val="0"/>
          <w:sz w:val="21"/>
          <w:szCs w:val="24"/>
          <w:highlight w:val="none"/>
          <w:u w:val="single"/>
          <w:lang w:val="en-US" w:eastAsia="zh-CN"/>
        </w:rPr>
        <w:t xml:space="preserve">   常驻现场，代表发包人履行与承包人签订的本建设工程施工合同。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20" w:name="_Toc469384094"/>
      <w:bookmarkStart w:id="521" w:name="_Toc10624938"/>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23</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监理工程师</w:t>
      </w:r>
      <w:bookmarkEnd w:id="520"/>
      <w:bookmarkEnd w:id="521"/>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23.1 负责合同工程的监理人及任命的监理工程师</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（1） 监理人：</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法定代表人：</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 任命（</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）为监理工程师，其通讯方式为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 xml:space="preserve">通讯地址： </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邮政编码：</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联系电话：</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i w:val="0"/>
          <w:iCs w:val="0"/>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传真号码：</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4"/>
          <w:highlight w:val="none"/>
          <w:u w:val="single"/>
        </w:rPr>
      </w:pPr>
      <w:r>
        <w:rPr>
          <w:rFonts w:hint="eastAsia" w:ascii="宋体" w:hAnsi="宋体" w:eastAsia="宋体" w:cs="宋体"/>
          <w:color w:val="auto"/>
          <w:kern w:val="0"/>
          <w:sz w:val="21"/>
          <w:szCs w:val="24"/>
          <w:highlight w:val="none"/>
          <w:lang w:val="en-US" w:eastAsia="zh-CN"/>
        </w:rPr>
        <w:t xml:space="preserve"> 23.3 (12)需要发包人批准的其他事项：按发包人与监理单位签订的监理合同有关规定执行，涉及变更签证或费用调整的，需经发包人书面认可；常驻现场，代表监理单位履行与发包人签订的监理合同。</w:t>
      </w:r>
      <w:r>
        <w:rPr>
          <w:rFonts w:hint="eastAsia" w:ascii="宋体" w:hAnsi="宋体" w:eastAsia="宋体" w:cs="宋体"/>
          <w:color w:val="auto"/>
          <w:kern w:val="0"/>
          <w:sz w:val="21"/>
          <w:szCs w:val="24"/>
          <w:highlight w:val="none"/>
          <w:u w:val="single"/>
          <w:lang w:val="en-US" w:eastAsia="zh-CN"/>
        </w:rPr>
        <w:t xml:space="preserve">一旦发现承包人使用的施工材料及设备影响工程进度和质量的，发包人、监理人有权要求承包人增加或更换施工设备，承包人应予及时增加或更换，由此增加的费用和工期延误责任由承包人承担。承包人承诺用于本工程的主要施工机械，应以不影响施工为原则按照投标书承诺的数量、性能、规格及时进场， 若未经监理人同意而擅自减少、更换主要施工机械，或把施工机械擅自调离现场且影响施工进度，在收到监理人书面通知后1天内仍未按要求进场者，则每台机械扣除工程款500元/天。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sz w:val="21"/>
          <w:szCs w:val="24"/>
          <w:highlight w:val="none"/>
          <w:u w:val="single"/>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22" w:name="_Toc10624940"/>
      <w:bookmarkStart w:id="523" w:name="_Toc469384096"/>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25</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val="en-US" w:eastAsia="zh-CN"/>
        </w:rPr>
        <w:t xml:space="preserve"> 承包人代表</w:t>
      </w:r>
      <w:bookmarkEnd w:id="522"/>
      <w:bookmarkEnd w:id="52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25.1 承包人任命（</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）为承包人代表，代表承包人全权处理本工程的一切事务。其通讯方式为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通讯地址：</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邮政编码：</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联系电话：</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传真号码：</w:t>
      </w:r>
      <w:r>
        <w:rPr>
          <w:rFonts w:hint="eastAsia" w:ascii="宋体" w:hAnsi="宋体" w:eastAsia="宋体" w:cs="宋体"/>
          <w:color w:val="auto"/>
          <w:kern w:val="0"/>
          <w:sz w:val="21"/>
          <w:szCs w:val="24"/>
          <w:highlight w:val="none"/>
          <w:u w:val="single"/>
          <w:lang w:val="en-US" w:eastAsia="zh-CN"/>
        </w:rPr>
        <w:t xml:space="preserve">              </w:t>
      </w:r>
      <w:bookmarkStart w:id="524" w:name="_Toc10624942"/>
      <w:bookmarkStart w:id="525" w:name="_Toc469384098"/>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义务：按照在投标文件中签署的（或在签订本合同前提交的）《项目负责人驻场承诺书》中的承诺常驻现场，代表承包人履行与发包人签订的本建设工程施工合同。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（1）承包人如需更换项目负责人或技术负责人，按有关规定执行，后任继续行使合同文件约定的前任的职权，履行前任的义务。未征得发包人书面同意，承包人不得更换项目负责人。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发包人可以与承包人协商，建议更换其认为不称职的项目负责人，承包人应及时采纳发包人的建议予以更换，新更换的项目负责人应满足招标文件及本项目相应的资质要求并能胜任本项目的项目负责人工作。</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（3）承包人项目负责人不得兼任其他工程项目负责人，否则发包人可按单方面终止合同处理。</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b/>
          <w:bCs/>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28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工程担保</w:t>
      </w:r>
      <w:bookmarkEnd w:id="524"/>
      <w:bookmarkEnd w:id="52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28.1 承包人提供履约担保的约定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（1）履约担保的金额：（大写）</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 xml:space="preserve"> （小写</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（2） 提供履约担保的时间:</w:t>
      </w:r>
      <w:r>
        <w:rPr>
          <w:rFonts w:hint="eastAsia" w:ascii="宋体" w:hAnsi="宋体" w:eastAsia="宋体" w:cs="宋体"/>
          <w:color w:val="auto"/>
          <w:kern w:val="0"/>
          <w:sz w:val="21"/>
          <w:szCs w:val="24"/>
          <w:highlight w:val="none"/>
          <w:u w:val="single"/>
          <w:lang w:val="en-US" w:eastAsia="zh-CN"/>
        </w:rPr>
        <w:t xml:space="preserve">           /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28.8 担保内容、方式和责任等事项的约定：</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（1）履约担保：承包人向发包人提交担保金额为中标价</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的履约担保，以支票或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（2）履约担保的返还方式：履约担保为支票的，待工程完成</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时，发包人退回承包人</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的履约保证金；工程完工后，再退回</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保证金（累计付至</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）；待工程初验后退还剩余的履约保证金(均不计利息)。履约担保为银行保函的，在工程验收合格后返还承包人。</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b/>
          <w:bCs/>
          <w:color w:val="auto"/>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31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val="en-US" w:eastAsia="zh-CN"/>
        </w:rPr>
        <w:t xml:space="preserve"> 不可抗力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31.1 不可抗力的约定按本合同通用条款执行，自然灾害的范围及其认定方式，按下述约定执行：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（2）里氏5级（含本数）以上地震。</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31.3 双方关于不可抗力事件导致的费用承担按本合同有关专用条款约定执行。</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bookmarkStart w:id="526" w:name="_Toc469384099"/>
      <w:bookmarkStart w:id="527" w:name="_Toc10624943"/>
      <w:r>
        <w:rPr>
          <w:rFonts w:hint="eastAsia" w:ascii="宋体" w:hAnsi="宋体" w:eastAsia="宋体" w:cs="宋体"/>
          <w:b/>
          <w:bCs/>
          <w:color w:val="auto"/>
          <w:sz w:val="21"/>
          <w:szCs w:val="24"/>
          <w:highlight w:val="none"/>
        </w:rPr>
        <w:t>32</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保险</w:t>
      </w:r>
      <w:bookmarkEnd w:id="526"/>
      <w:bookmarkEnd w:id="52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32.2 承包人办理保险</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承包人对其运至施工场地内用于工程的材料和待安装设备办理保险并支付保险费用。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32.8本工程双方约定投保内容如下：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（1）发包人投保内容：按广州市建设项目劳动保险相关规定投保。</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（2）发包人委托承包人办理的保险事项：       /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（3）承包人投保内容：按政府规定办理，其它保险项目由承包人自定。</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28" w:name="_Toc10624944"/>
      <w:bookmarkStart w:id="529" w:name="_Toc469384100"/>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33</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进度计划和报告</w:t>
      </w:r>
      <w:bookmarkEnd w:id="528"/>
      <w:bookmarkEnd w:id="52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33.3 提交工程进度计划</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（1）承包人应于接到中标通知书后7天内向发包人提交总体工程进度计划（网络计划），并于接到中标通知书5天内提交施工组织设计（施工方案）给发包人。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承包人提交的施工组织设计应当按监理工程师及国家、省、市及广州开发区关于施工承包管理的要求编制。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（2）总监理工程师在接到承包人提交的施工组织设计和工程进度计划后，予以确认或提出修改意见。</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工程师确认的时间：</w:t>
      </w:r>
      <w:r>
        <w:rPr>
          <w:rFonts w:hint="eastAsia" w:ascii="宋体" w:hAnsi="宋体" w:eastAsia="宋体" w:cs="宋体"/>
          <w:color w:val="auto"/>
          <w:kern w:val="0"/>
          <w:sz w:val="21"/>
          <w:szCs w:val="24"/>
          <w:highlight w:val="none"/>
          <w:u w:val="single"/>
          <w:lang w:val="en-US" w:eastAsia="zh-CN"/>
        </w:rPr>
        <w:t>开工前。</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33.3 为便于总监理工程师掌握和控制工期，承包人应于每月底向总监理工程师填报各专业工程（含各分部、分项工程及专业承包工程）的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33.4 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30" w:name="_Toc469384101"/>
      <w:bookmarkStart w:id="531" w:name="_Toc10624945"/>
      <w:r>
        <w:rPr>
          <w:rFonts w:hint="eastAsia" w:ascii="宋体" w:hAnsi="宋体" w:eastAsia="宋体" w:cs="宋体"/>
          <w:b/>
          <w:bCs/>
          <w:color w:val="auto"/>
          <w:sz w:val="21"/>
          <w:szCs w:val="24"/>
          <w:highlight w:val="none"/>
        </w:rPr>
        <w:t>34</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开工</w:t>
      </w:r>
      <w:bookmarkEnd w:id="530"/>
      <w:bookmarkEnd w:id="531"/>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rPr>
        <w:t xml:space="preserve">   34.2 </w:t>
      </w:r>
      <w:r>
        <w:rPr>
          <w:rFonts w:hint="eastAsia" w:ascii="宋体" w:hAnsi="宋体" w:eastAsia="宋体" w:cs="宋体"/>
          <w:color w:val="auto"/>
          <w:kern w:val="0"/>
          <w:sz w:val="21"/>
          <w:szCs w:val="24"/>
          <w:highlight w:val="none"/>
          <w:lang w:val="en-US" w:eastAsia="zh-CN"/>
        </w:rPr>
        <w:t>工程开工</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监理工程师在本合同签订后的（</w:t>
      </w:r>
      <w:r>
        <w:rPr>
          <w:rFonts w:hint="eastAsia" w:ascii="宋体" w:hAnsi="宋体" w:eastAsia="宋体" w:cs="宋体"/>
          <w:color w:val="auto"/>
          <w:kern w:val="0"/>
          <w:sz w:val="21"/>
          <w:szCs w:val="24"/>
          <w:highlight w:val="none"/>
          <w:u w:val="single"/>
          <w:lang w:val="en-US" w:eastAsia="zh-CN"/>
        </w:rPr>
        <w:t xml:space="preserve">  15  </w:t>
      </w:r>
      <w:r>
        <w:rPr>
          <w:rFonts w:hint="eastAsia" w:ascii="宋体" w:hAnsi="宋体" w:eastAsia="宋体" w:cs="宋体"/>
          <w:color w:val="auto"/>
          <w:kern w:val="0"/>
          <w:sz w:val="21"/>
          <w:szCs w:val="24"/>
          <w:highlight w:val="none"/>
          <w:lang w:val="en-US" w:eastAsia="zh-CN"/>
        </w:rPr>
        <w:t>）天内签发开工令。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34.3 延期开工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（1）因发包人原因不能按照协议书约定的开工日期开工或暂停施工的，总监理工程师应通知承包人推迟开工日期，经监理单位、发包人确认后，工期可相应顺延，但不作费用补偿。</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（2）承包人未能主动及时地履行其协调、配合服务义务而造成专业承包单位无法开工，由此产生的工期延误等损失由承包人承担，并承担违约责任。</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32" w:name="_Toc10624946"/>
      <w:bookmarkStart w:id="533" w:name="_Toc469384102"/>
      <w:r>
        <w:rPr>
          <w:rFonts w:hint="eastAsia" w:ascii="宋体" w:hAnsi="宋体" w:eastAsia="宋体" w:cs="宋体"/>
          <w:b/>
          <w:bCs/>
          <w:color w:val="auto"/>
          <w:sz w:val="21"/>
          <w:szCs w:val="24"/>
          <w:highlight w:val="none"/>
        </w:rPr>
        <w:t>35</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暂停施工和复工</w:t>
      </w:r>
      <w:bookmarkEnd w:id="532"/>
      <w:bookmarkEnd w:id="53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35.4 承包人原因造成暂停施工的其他原因：</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1.因下列原因，总监理工程师报经发包人同意，可通知承包人暂停施工：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（1）工程设计发生重大变更；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（2）不可抗力；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（3）质量事故；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（4）安全生产事故；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（5）因承包人管理不善，可能导致现场混乱；</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（6）承包人违规施工，经监理工程师通知改正但仍不执行。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承包人不得以与发包人有争议为由或者以争议未解决为由而单方面停工。否则，应按约定承担工期延误的违约责任。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因发生上述第（1）、（2）项原因而暂停施工的，工期可协商调整，因发生上述第（3）、（4）、（5）、（6）项原因而暂停施工的，工期不予顺延,承包人必须承担由此发生的费用并向发包人承担违约责任。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(1)拒绝监理单位管理；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(2)施工组织设计（方案）未获总监理工程师批准而进行施工；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(3)未经监理单位检验而进行下一道工序作业者；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(4)擅自采用未经监理单位及发包人认可或批准的材料的，或者使用的原材料、构配件不合格或未经检查确认的，或者擅自采用未经认可的代用材料的；</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(5)擅自变更设计图纸的要求；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(6)转包工程；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(7)擅自让未经总监理工程师批准的专业承包单位进场作业；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(8)存在安全隐患，未按监理单位要求及时进行整改；</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(9)未按双方约定的资料上报要求上报所需资料的。</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3.因不可抗力引起工程停工，工期按专用条款第35.4款约定执行，费用承担按以下原则：</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（1）因工程损害导致第三方人员伤亡和财产损失，如系在工程竣工验收合格移交给发包人使用前造成的，费用由承包人承担；如系在工程竣工验收合格移交给发包人使用后发生的，费用由发包人承担。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（2）运至施工场地用于施工的材料和待安装的设备的损害，属发包人供应的由发包人承担；属承包人采购的由承包人承担。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（3）发包人承包人人员伤亡由其所在单位负责，并承担相应费用。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（4）承包人机械设备损坏及停工损失由承包人承担。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（5）停工期间，承包人应总监理工程师要求留在施工场地的必要的管理人员及保卫人员的费用由承包人承担。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（6）工程所需清理、修复费用由承包人承担。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4.由于承包人自身原因或施工承包管理、配合及协调不力，而导致专业承包工程停工，产生的费用由承包人承担。         </w:t>
      </w:r>
      <w:r>
        <w:rPr>
          <w:rFonts w:hint="eastAsia" w:ascii="宋体" w:hAnsi="宋体" w:eastAsia="宋体" w:cs="宋体"/>
          <w:color w:val="auto"/>
          <w:kern w:val="0"/>
          <w:sz w:val="21"/>
          <w:szCs w:val="24"/>
          <w:highlight w:val="none"/>
        </w:rPr>
        <w:t xml:space="preserve">                                         </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bookmarkStart w:id="534" w:name="_Toc10624947"/>
      <w:bookmarkStart w:id="535" w:name="_Toc469384103"/>
      <w:r>
        <w:rPr>
          <w:rFonts w:hint="eastAsia" w:ascii="宋体" w:hAnsi="宋体" w:eastAsia="宋体" w:cs="宋体"/>
          <w:b/>
          <w:bCs/>
          <w:color w:val="auto"/>
          <w:sz w:val="21"/>
          <w:szCs w:val="24"/>
          <w:highlight w:val="none"/>
        </w:rPr>
        <w:t>36</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工期及工期延误</w:t>
      </w:r>
      <w:bookmarkEnd w:id="534"/>
      <w:bookmarkEnd w:id="53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36.1 本工程工期为日历天。其中开工时间初定为</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年</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月</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lang w:val="en-US" w:eastAsia="zh-CN"/>
        </w:rPr>
        <w:t>日（具体开工日期以发包人或监理单位开工令或批准的开工报告日期为准）。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36.3 承包人必须采取一切有效措施保证竣工日期，不得延误。除非发生了以下情形：</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（1）政府对本工程建设项目作出停建、缓建的决定；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（2）重大设计变更导致本工程在规划、使用、功能方面有重大调整；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（3）不可抗力持续影响而延误工期超过12天以上；</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（4）本合同通用条款约定的其他非承包人原因导致的工期延误。</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36.7 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pPr>
        <w:keepNext w:val="0"/>
        <w:keepLines w:val="0"/>
        <w:pageBreakBefore w:val="0"/>
        <w:widowControl w:val="0"/>
        <w:kinsoku/>
        <w:wordWrap/>
        <w:overflowPunct/>
        <w:topLinePunct w:val="0"/>
        <w:bidi w:val="0"/>
        <w:spacing w:line="360" w:lineRule="auto"/>
        <w:ind w:left="330" w:leftChars="57" w:hanging="210" w:hangingChars="100"/>
        <w:textAlignment w:val="auto"/>
        <w:rPr>
          <w:rFonts w:hint="eastAsia" w:ascii="宋体" w:hAnsi="宋体" w:eastAsia="宋体" w:cs="宋体"/>
          <w:color w:val="auto"/>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36" w:name="_Toc469384104"/>
      <w:bookmarkStart w:id="537" w:name="_Toc10624948"/>
      <w:r>
        <w:rPr>
          <w:rFonts w:hint="eastAsia" w:ascii="宋体" w:hAnsi="宋体" w:eastAsia="宋体" w:cs="宋体"/>
          <w:b/>
          <w:bCs/>
          <w:color w:val="auto"/>
          <w:sz w:val="21"/>
          <w:szCs w:val="24"/>
          <w:highlight w:val="none"/>
        </w:rPr>
        <w:t>38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竣工日期</w:t>
      </w:r>
      <w:bookmarkEnd w:id="536"/>
      <w:bookmarkEnd w:id="53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38.1 计划竣工日期：</w:t>
      </w:r>
      <w:r>
        <w:rPr>
          <w:rFonts w:hint="eastAsia" w:ascii="宋体" w:hAnsi="宋体" w:eastAsia="宋体" w:cs="宋体"/>
          <w:color w:val="auto"/>
          <w:kern w:val="0"/>
          <w:sz w:val="21"/>
          <w:szCs w:val="24"/>
          <w:highlight w:val="none"/>
          <w:u w:val="single"/>
          <w:lang w:val="en-US" w:eastAsia="zh-CN"/>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38" w:name="_Toc10624949"/>
      <w:bookmarkStart w:id="539" w:name="_Toc469384105"/>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★42</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质量标准、目标</w:t>
      </w:r>
      <w:bookmarkEnd w:id="538"/>
      <w:bookmarkEnd w:id="53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42.1 约定的工程质量标准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承包人必须严格按照设计施工图和国家及行业颁发的现行有关设计、施工及验收规范的要求进行施工，确保工程质量，工程的质量要求达到合格质量标准。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42.2 承包人保证工程质量的责任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（1）承包人对图纸中存在的问题有责任和义务提前以书面形式报告工程师及发包人，以供发包人同监理人核实并及时要求设计方修改设计图纸。</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本工程项目的所有材料、设备及配件须达到现行中华人民共和国以及省、自治区、直辖市或行业的工程建设标准、规范的要求，产品应有生产许可证书、出厂合格证书，经监理工程师和发包人代表认可后方可使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（3）工程质量不符合设计要求、质量不合格者，监理工程师可指令承包人停工或返工，返工费用由承包人承担，工期不予顺延。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（4）发生须紧急抢修事故，承包人接到通知后，应立即到达事故现场抢修；否则，发包人可以另委托单位抢修，属承包人施工质量问题造成的修复等费用全部由承包人承担。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本工程按照本合同专用条款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（6）工程师按规范、标准、设计图纸要求和频率所进行的检查检测不应成为承包人工期顺延的理由。</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（7）隐蔽工程和中间验收按相应工程施工及验收规范要求执行。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42.3 质量保证体系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承包人应当完善质量管理制度，建立质量控制流程，建立并保持一个有效的工程质量管理体系。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（2）承包人提交总监理工程师批准的施工组织设计或者施工方案必须附有完备的工程质量保证措施，包括：</w:t>
      </w:r>
      <w:r>
        <w:rPr>
          <w:rFonts w:hint="eastAsia" w:ascii="宋体" w:hAnsi="宋体" w:eastAsia="宋体" w:cs="宋体"/>
          <w:color w:val="auto"/>
          <w:kern w:val="0"/>
          <w:sz w:val="21"/>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（3）单项工程开工前，承包人必须按要求对职工分级进行技术交底，组织学习有关规程、标准、规范和工艺要求，在施工中必须按规程及工艺进行操作。</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hAnsi="宋体" w:eastAsia="宋体" w:cs="宋体"/>
          <w:b/>
          <w:bCs/>
          <w:color w:val="auto"/>
          <w:sz w:val="21"/>
          <w:szCs w:val="24"/>
          <w:highlight w:val="none"/>
          <w:lang w:val="en-US" w:eastAsia="zh-CN"/>
        </w:rPr>
      </w:pPr>
      <w:bookmarkStart w:id="540" w:name="_Toc469384106"/>
      <w:bookmarkStart w:id="541" w:name="_Toc10624950"/>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hAnsi="宋体" w:eastAsia="宋体" w:cs="宋体"/>
          <w:b/>
          <w:bCs/>
          <w:color w:val="auto"/>
          <w:sz w:val="21"/>
          <w:szCs w:val="24"/>
          <w:highlight w:val="none"/>
          <w:lang w:val="en-US" w:eastAsia="zh-CN"/>
        </w:rPr>
      </w:pPr>
      <w:r>
        <w:rPr>
          <w:rFonts w:hint="eastAsia" w:hAnsi="宋体" w:eastAsia="宋体" w:cs="宋体"/>
          <w:b/>
          <w:bCs/>
          <w:color w:val="auto"/>
          <w:sz w:val="21"/>
          <w:szCs w:val="24"/>
          <w:highlight w:val="none"/>
          <w:lang w:val="en-US" w:eastAsia="zh-CN"/>
        </w:rPr>
        <w:t>★45</w:t>
      </w:r>
      <w:bookmarkEnd w:id="540"/>
      <w:r>
        <w:rPr>
          <w:rFonts w:hint="eastAsia" w:hAnsi="宋体" w:eastAsia="宋体" w:cs="宋体"/>
          <w:b/>
          <w:bCs/>
          <w:color w:val="auto"/>
          <w:sz w:val="21"/>
          <w:szCs w:val="24"/>
          <w:highlight w:val="none"/>
          <w:lang w:val="en-US" w:eastAsia="zh-CN"/>
        </w:rPr>
        <w:t xml:space="preserve">  绿色施工安全防护</w:t>
      </w:r>
      <w:bookmarkEnd w:id="541"/>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45.1 绿色施工安全防护的要求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（1）承包人应在施工现场采取维护安全、防范危险、预防火灾等措施，在特殊作业环境应对作业人员采取劳动保护措施。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承包人应加强周边学校、居民住宅的环境保护，制定文明施工措施（包括防尘、防噪音、施工围蔽等），施工现场严格按照《广州市建设工程文明施工管理规定》（广州市人民政府令62号）实施，施工围蔽严格按照穗开建【2018】192号《关于固化我区土地围蔽、施工围蔽围墙建设标准的通知》及《广州市住房和城乡建设局等9部门关于印发广州市建设工程绿色施工围蔽指导图集（V2.0版）的通知》实施，相关费用在投标报价中考虑，不另行计价。如承包人未及时按要求做好围蔽等安全文明施工措施，业主可另行委托单位实施，业主按实际发生的费用在安全措施费中扣。</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（3）承包人应按规定对工程施工人员进行安全教育和管理。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（4）承包人应书面记录专项安全施工组织设计方案审查、安全检查、安全技术交底、安全隐患整改、安全教育等重要安全管理活动。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45.4 承包人责任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承包人除按本合同通用条款执行外，还应落实以下安全责任：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（1）承包人应建立安全责任制，明确各部门安全工作的岗位责任人，建立健全正常运转的各种安全工作保证体系和规章制度，将安全生产目标分解落实到实处。</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（2）承包人按规定数量配置安全员。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（3）承包人在开工前须向质量安全监督机构提交备案的书面资料。</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（4）承包人在编制施工组织设计时，应当根据工程的特点编制相应的安全技术措施。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（5）承包人按有关安全和防护的规定组织施工生产，不得使用不合标准的防护器材、机具和材料。</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45.2 用工实名制、工人工资支付分账管理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按《广东省住房和城乡建设厅关于印发房屋建筑和市政基础设施工程用工实名管理暂行办法的通知》（粤建规范〔2018〕1号）、《广州市住房和城乡建设委员会关于转发&lt;广东省住房和城乡建设厅关于房屋建筑和市政基础设施工程用工实名管理暂行办法&gt;的通知》（穗建筑〔2018〕981号）、《广州市住房和城乡建设委员会关于实施&lt;广州市建设领域工人工资支付分账管理实施细则&gt;的通知》（穗建筑〔 2017 〕1344 号 ）、《关于印发广州市建设领域工人工资支付分账管理实施细则的通知》（穗建规字〔2017〕10号）等文件规定执行。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（1）按时足额支付农民工工资</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1）承包人应当根据劳动合同约定的工人工资标准等内容，按照依法签订的集体合同或劳动合同约定的日期按月支付工资，并不得低于当地最低工资标准。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2）承包人支付工人工资应编制工资支付表，如实记录支付表、支付时间、支付对象、支付数额等工资支付情况，并保存备查。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3）承包人应对其专业分包或劳务分包单位工资支付进行监督，督促其依法支付工人工资。</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4）承包人应按上述要求及国家、地方有关规定按时支付工人工资，否则，视为违约，并按相应条款承担违约责任。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（2）承包人拖欠农民工工资，被农民工投诉属实的，承包人必须在3天内发放拖欠的款项。若继续拖延被投诉的，经查实，承包人除应立即支付拖欠款项外，还应支付10000元违约金给发包人。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（4）若承包人在本工程内发生无故拖欠农民工工资现象，将被作不良记录，上报区建设行政主管部门。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lang w:val="en-US" w:eastAsia="zh-CN"/>
        </w:rPr>
        <w:t>45.6 治安管理：</w:t>
      </w:r>
      <w:r>
        <w:rPr>
          <w:rFonts w:hint="eastAsia" w:ascii="宋体" w:hAnsi="宋体" w:eastAsia="宋体" w:cs="宋体"/>
          <w:color w:val="auto"/>
          <w:kern w:val="0"/>
          <w:sz w:val="21"/>
          <w:szCs w:val="24"/>
          <w:highlight w:val="none"/>
          <w:u w:val="single"/>
          <w:lang w:val="en-US" w:eastAsia="zh-CN"/>
        </w:rPr>
        <w:t>按通用条款的规定。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45.9 特别安全生产事项</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危险性较大分部分项专项工程施工技术措施标准、要求：</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危险性较大分部分项专项工程施工技术措施费：</w:t>
      </w:r>
      <w:r>
        <w:rPr>
          <w:rFonts w:hint="eastAsia" w:ascii="宋体" w:hAnsi="宋体" w:eastAsia="宋体" w:cs="宋体"/>
          <w:color w:val="auto"/>
          <w:kern w:val="0"/>
          <w:sz w:val="21"/>
          <w:szCs w:val="24"/>
          <w:highlight w:val="none"/>
          <w:u w:val="single"/>
          <w:lang w:val="en-US" w:eastAsia="zh-CN"/>
        </w:rPr>
        <w:t xml:space="preserve">         /          </w:t>
      </w:r>
      <w:r>
        <w:rPr>
          <w:rFonts w:hint="eastAsia" w:ascii="宋体" w:hAnsi="宋体" w:eastAsia="宋体" w:cs="宋体"/>
          <w:color w:val="auto"/>
          <w:kern w:val="0"/>
          <w:sz w:val="21"/>
          <w:szCs w:val="24"/>
          <w:highlight w:val="none"/>
          <w:lang w:val="en-US" w:eastAsia="zh-CN"/>
        </w:rPr>
        <w:t>元。</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42" w:name="_Toc10624951"/>
      <w:bookmarkStart w:id="543" w:name="_Toc469384107"/>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b/>
          <w:bCs/>
          <w:color w:val="auto"/>
          <w:sz w:val="21"/>
          <w:szCs w:val="24"/>
          <w:highlight w:val="none"/>
        </w:rPr>
        <w:t>46</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测量放线</w:t>
      </w:r>
      <w:bookmarkEnd w:id="542"/>
      <w:bookmarkEnd w:id="54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46</w:t>
      </w:r>
      <w:r>
        <w:rPr>
          <w:rFonts w:hint="eastAsia" w:ascii="宋体" w:hAnsi="宋体" w:eastAsia="宋体" w:cs="宋体"/>
          <w:color w:val="auto"/>
          <w:kern w:val="0"/>
          <w:sz w:val="21"/>
          <w:szCs w:val="24"/>
          <w:highlight w:val="none"/>
        </w:rPr>
        <w:t>.1 承包人提交施工控制网资料的时间：</w:t>
      </w:r>
      <w:r>
        <w:rPr>
          <w:rFonts w:hint="eastAsia" w:ascii="宋体" w:hAnsi="宋体" w:eastAsia="宋体" w:cs="宋体"/>
          <w:color w:val="auto"/>
          <w:kern w:val="0"/>
          <w:sz w:val="21"/>
          <w:szCs w:val="24"/>
          <w:highlight w:val="none"/>
          <w:u w:val="single"/>
          <w:lang w:val="en-US" w:eastAsia="zh-CN"/>
        </w:rPr>
        <w:t>开工令下达后7天内。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46</w:t>
      </w:r>
      <w:r>
        <w:rPr>
          <w:rFonts w:hint="eastAsia" w:ascii="宋体" w:hAnsi="宋体" w:eastAsia="宋体" w:cs="宋体"/>
          <w:color w:val="auto"/>
          <w:kern w:val="0"/>
          <w:sz w:val="21"/>
          <w:szCs w:val="24"/>
          <w:highlight w:val="none"/>
        </w:rPr>
        <w:t>.4 测量放线误差的约定：</w:t>
      </w:r>
      <w:r>
        <w:rPr>
          <w:rFonts w:hint="eastAsia" w:ascii="宋体" w:hAnsi="宋体" w:eastAsia="宋体" w:cs="宋体"/>
          <w:color w:val="auto"/>
          <w:kern w:val="0"/>
          <w:sz w:val="21"/>
          <w:szCs w:val="24"/>
          <w:highlight w:val="none"/>
          <w:u w:val="single"/>
          <w:lang w:val="en-US" w:eastAsia="zh-CN"/>
        </w:rPr>
        <w:t>按有关规范执行。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bookmarkStart w:id="544" w:name="_Toc10624952"/>
      <w:bookmarkStart w:id="545" w:name="_Toc469384108"/>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b/>
          <w:bCs/>
          <w:color w:val="auto"/>
          <w:sz w:val="21"/>
          <w:szCs w:val="24"/>
          <w:highlight w:val="none"/>
        </w:rPr>
        <w:t>48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发包人供应材料和工程设备</w:t>
      </w:r>
      <w:bookmarkEnd w:id="544"/>
      <w:bookmarkEnd w:id="54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发包</w:t>
      </w:r>
      <w:r>
        <w:rPr>
          <w:rFonts w:hint="eastAsia" w:ascii="宋体" w:hAnsi="宋体" w:eastAsia="宋体" w:cs="宋体"/>
          <w:color w:val="auto"/>
          <w:kern w:val="0"/>
          <w:sz w:val="21"/>
          <w:szCs w:val="24"/>
          <w:highlight w:val="none"/>
        </w:rPr>
        <w:t>人不供应材料和工程设备，本条不适用。</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46" w:name="_Toc469384109"/>
      <w:bookmarkStart w:id="547" w:name="_Toc10624953"/>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b/>
          <w:bCs/>
          <w:color w:val="auto"/>
          <w:sz w:val="21"/>
          <w:szCs w:val="24"/>
          <w:highlight w:val="none"/>
        </w:rPr>
        <w:t>49</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承包人采购材料和工程设备</w:t>
      </w:r>
      <w:bookmarkEnd w:id="546"/>
      <w:bookmarkEnd w:id="54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4"/>
          <w:highlight w:val="none"/>
          <w:lang w:val="en-US" w:eastAsia="zh-CN"/>
        </w:rPr>
        <w:t>按</w:t>
      </w:r>
      <w:r>
        <w:rPr>
          <w:rFonts w:hint="eastAsia" w:ascii="宋体" w:hAnsi="宋体" w:eastAsia="宋体" w:cs="宋体"/>
          <w:color w:val="auto"/>
          <w:kern w:val="0"/>
          <w:sz w:val="21"/>
          <w:szCs w:val="24"/>
          <w:highlight w:val="none"/>
        </w:rPr>
        <w:t>通用条款规定，由承包人负责运输和保管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对工程材料、设备规格、数量和质量负责，</w:t>
      </w:r>
      <w:r>
        <w:rPr>
          <w:rFonts w:hint="eastAsia" w:ascii="宋体" w:hAnsi="宋体" w:eastAsia="宋体" w:cs="宋体"/>
          <w:color w:val="auto"/>
          <w:sz w:val="21"/>
          <w:szCs w:val="21"/>
          <w:highlight w:val="none"/>
          <w:u w:val="single"/>
        </w:rPr>
        <w:t>同时所有材料、设备报价必须报监理、业主同意后方可使用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u w:val="singl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bookmarkStart w:id="548" w:name="_Toc10624954"/>
      <w:bookmarkStart w:id="549" w:name="_Toc469384110"/>
      <w:r>
        <w:rPr>
          <w:rFonts w:hint="eastAsia" w:ascii="宋体" w:hAnsi="宋体" w:eastAsia="宋体" w:cs="宋体"/>
          <w:b/>
          <w:bCs/>
          <w:color w:val="auto"/>
          <w:sz w:val="21"/>
          <w:szCs w:val="24"/>
          <w:highlight w:val="none"/>
        </w:rPr>
        <w:t>50</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材料和工程设备的检验试验</w:t>
      </w:r>
      <w:bookmarkEnd w:id="548"/>
      <w:bookmarkEnd w:id="54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按照通用条款执行。</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50" w:name="_Toc10624955"/>
      <w:bookmarkStart w:id="551" w:name="_Toc469384111"/>
      <w:r>
        <w:rPr>
          <w:rFonts w:hint="eastAsia" w:ascii="宋体" w:hAnsi="宋体" w:eastAsia="宋体" w:cs="宋体"/>
          <w:b/>
          <w:bCs/>
          <w:color w:val="auto"/>
          <w:sz w:val="21"/>
          <w:szCs w:val="24"/>
          <w:highlight w:val="none"/>
        </w:rPr>
        <w:t>51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施工设备和临时设施</w:t>
      </w:r>
      <w:bookmarkEnd w:id="550"/>
      <w:bookmarkEnd w:id="551"/>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sz w:val="21"/>
          <w:szCs w:val="24"/>
          <w:highlight w:val="none"/>
        </w:rPr>
        <w:t xml:space="preserve">   </w:t>
      </w:r>
      <w:r>
        <w:rPr>
          <w:rFonts w:hint="eastAsia" w:ascii="宋体" w:hAnsi="宋体" w:eastAsia="宋体" w:cs="宋体"/>
          <w:color w:val="auto"/>
          <w:kern w:val="0"/>
          <w:sz w:val="21"/>
          <w:szCs w:val="24"/>
          <w:highlight w:val="none"/>
        </w:rPr>
        <w:t>承包人承担</w:t>
      </w:r>
      <w:r>
        <w:rPr>
          <w:rFonts w:hint="eastAsia" w:ascii="宋体" w:hAnsi="宋体" w:eastAsia="宋体" w:cs="宋体"/>
          <w:color w:val="auto"/>
          <w:kern w:val="0"/>
          <w:sz w:val="21"/>
          <w:szCs w:val="24"/>
          <w:highlight w:val="none"/>
          <w:lang w:val="en-US" w:eastAsia="zh-CN"/>
        </w:rPr>
        <w:t>配置施工设备和</w:t>
      </w:r>
      <w:r>
        <w:rPr>
          <w:rFonts w:hint="eastAsia" w:ascii="宋体" w:hAnsi="宋体" w:eastAsia="宋体" w:cs="宋体"/>
          <w:color w:val="auto"/>
          <w:kern w:val="0"/>
          <w:sz w:val="21"/>
          <w:szCs w:val="24"/>
          <w:highlight w:val="none"/>
        </w:rPr>
        <w:t>修建临时设施的</w:t>
      </w:r>
      <w:r>
        <w:rPr>
          <w:rFonts w:hint="eastAsia" w:ascii="宋体" w:hAnsi="宋体" w:eastAsia="宋体" w:cs="宋体"/>
          <w:color w:val="auto"/>
          <w:kern w:val="0"/>
          <w:sz w:val="21"/>
          <w:szCs w:val="24"/>
          <w:highlight w:val="none"/>
          <w:lang w:val="en-US" w:eastAsia="zh-CN"/>
        </w:rPr>
        <w:t>所有</w:t>
      </w:r>
      <w:r>
        <w:rPr>
          <w:rFonts w:hint="eastAsia" w:ascii="宋体" w:hAnsi="宋体" w:eastAsia="宋体" w:cs="宋体"/>
          <w:color w:val="auto"/>
          <w:kern w:val="0"/>
          <w:sz w:val="21"/>
          <w:szCs w:val="24"/>
          <w:highlight w:val="none"/>
        </w:rPr>
        <w:t>费用</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发包人可协助但不承担任何费用</w:t>
      </w:r>
      <w:r>
        <w:rPr>
          <w:rFonts w:hint="eastAsia" w:ascii="宋体" w:hAnsi="宋体" w:eastAsia="宋体" w:cs="宋体"/>
          <w:color w:val="auto"/>
          <w:kern w:val="0"/>
          <w:sz w:val="21"/>
          <w:szCs w:val="24"/>
          <w:highlight w:val="none"/>
        </w:rPr>
        <w:t>。</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52" w:name="_Toc10624956"/>
      <w:bookmarkStart w:id="553" w:name="_Toc469384112"/>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53</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隐蔽工程和中间验收</w:t>
      </w:r>
      <w:bookmarkEnd w:id="552"/>
      <w:bookmarkEnd w:id="55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隐蔽</w:t>
      </w:r>
      <w:r>
        <w:rPr>
          <w:rFonts w:hint="eastAsia" w:ascii="宋体" w:hAnsi="宋体" w:eastAsia="宋体" w:cs="宋体"/>
          <w:color w:val="auto"/>
          <w:kern w:val="0"/>
          <w:sz w:val="21"/>
          <w:szCs w:val="24"/>
          <w:highlight w:val="none"/>
        </w:rPr>
        <w:t>工程或中间验收部位未经专业监理工程师验收合格，不得隐蔽或继续施工，否则该部分工程被视</w:t>
      </w:r>
      <w:r>
        <w:rPr>
          <w:rFonts w:hint="eastAsia" w:ascii="宋体" w:hAnsi="宋体" w:eastAsia="宋体" w:cs="宋体"/>
          <w:color w:val="auto"/>
          <w:kern w:val="0"/>
          <w:sz w:val="21"/>
          <w:szCs w:val="24"/>
          <w:highlight w:val="none"/>
          <w:lang w:val="en-US" w:eastAsia="zh-CN"/>
        </w:rPr>
        <w:t>为不合</w:t>
      </w:r>
      <w:r>
        <w:rPr>
          <w:rFonts w:hint="eastAsia" w:ascii="宋体" w:hAnsi="宋体" w:eastAsia="宋体" w:cs="宋体"/>
          <w:color w:val="auto"/>
          <w:kern w:val="0"/>
          <w:sz w:val="21"/>
          <w:szCs w:val="24"/>
          <w:highlight w:val="none"/>
        </w:rPr>
        <w:t>格，由此所产生的返工费用由承包人承担。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53</w:t>
      </w:r>
      <w:r>
        <w:rPr>
          <w:rFonts w:hint="eastAsia" w:ascii="宋体" w:hAnsi="宋体" w:eastAsia="宋体" w:cs="宋体"/>
          <w:color w:val="auto"/>
          <w:kern w:val="0"/>
          <w:sz w:val="21"/>
          <w:szCs w:val="24"/>
          <w:highlight w:val="none"/>
        </w:rPr>
        <w:t>.1 中间验收的部位有：</w:t>
      </w:r>
      <w:r>
        <w:rPr>
          <w:rFonts w:hint="eastAsia" w:ascii="宋体" w:hAnsi="宋体" w:eastAsia="宋体" w:cs="宋体"/>
          <w:color w:val="auto"/>
          <w:kern w:val="0"/>
          <w:sz w:val="21"/>
          <w:szCs w:val="24"/>
          <w:highlight w:val="none"/>
          <w:u w:val="single"/>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rPr>
      </w:pPr>
      <w:bookmarkStart w:id="554" w:name="_Toc10624958"/>
      <w:bookmarkStart w:id="555" w:name="_Toc469384114"/>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r>
        <w:rPr>
          <w:rFonts w:hint="eastAsia" w:ascii="宋体" w:hAnsi="宋体" w:eastAsia="宋体" w:cs="宋体"/>
          <w:b/>
          <w:bCs/>
          <w:color w:val="auto"/>
          <w:sz w:val="21"/>
          <w:szCs w:val="24"/>
          <w:highlight w:val="none"/>
        </w:rPr>
        <w:t>56</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工程变更</w:t>
      </w:r>
      <w:bookmarkEnd w:id="554"/>
      <w:bookmarkEnd w:id="55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56.</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工程变更权限</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开工前，发包人组织承包人、监理单位、设计单位对施工图纸进行会审。如需实施工程变更签证，承包人需在实施相应变更签证前向发包人提出（确属不可预见因素除外）。否则工程实施过程中每实施一项变更签证，承包人须按该变更签证工程价款的3%向发包人支付违约金，引起的工期延误不予顺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同时，如实施工程变更，承包人应以书面形式通知发包人和监理工程师，经监理工程师审查并报发包人同意后，由发包人与设计单位商定修改或变更设计方案进行实施。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变更应由监理工程师发出变更指令，没有监理工程师的指令，承包人不得进行上述变更。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按施工图纸实施使得工程量少于施工合同工程量清单中已确定或有规定的数量的，则该项工程量减少不需要任何指令。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所有涉及工期和工程量的变更均应获得发包人书面批准才能生效。</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56.3 工程变更程序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工程变更申报程序按广州开发区、黄埔区以及建设业主的有关规定执行。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u w:val="singl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56" w:name="_Toc469384115"/>
      <w:bookmarkStart w:id="557" w:name="_Toc10624959"/>
      <w:r>
        <w:rPr>
          <w:rFonts w:hint="eastAsia" w:ascii="宋体" w:hAnsi="宋体" w:eastAsia="宋体" w:cs="宋体"/>
          <w:b/>
          <w:bCs/>
          <w:color w:val="auto"/>
          <w:sz w:val="21"/>
          <w:szCs w:val="24"/>
          <w:highlight w:val="none"/>
        </w:rPr>
        <w:t>★58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竣工验收</w:t>
      </w:r>
      <w:bookmarkEnd w:id="556"/>
      <w:bookmarkEnd w:id="55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58.1 竣工验收标准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合同工程竣工验收标准：</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按照国家和行业规范、设计要求完成施工，一次性验收合格。</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58.2 竣工验收条件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承包人提供竣工图纸的约定：承包人工程竣工资料必须按照国家及广州市、开发区有关工程竣工资料档案管理的要求进行整理归档。承包人在工程竣工验收合格后四十五个日历天内，向发包人提供符合要求按规格编制成册的工程竣工图及有关的技术档案资料一式</w:t>
      </w:r>
      <w:r>
        <w:rPr>
          <w:rFonts w:hint="eastAsia" w:ascii="宋体" w:hAnsi="宋体" w:eastAsia="宋体" w:cs="宋体"/>
          <w:color w:val="auto"/>
          <w:kern w:val="0"/>
          <w:sz w:val="21"/>
          <w:szCs w:val="24"/>
          <w:highlight w:val="none"/>
          <w:lang w:val="en-US" w:eastAsia="zh-CN"/>
        </w:rPr>
        <w:t>四</w:t>
      </w:r>
      <w:r>
        <w:rPr>
          <w:rFonts w:hint="eastAsia" w:ascii="宋体" w:hAnsi="宋体" w:eastAsia="宋体" w:cs="宋体"/>
          <w:color w:val="auto"/>
          <w:kern w:val="0"/>
          <w:sz w:val="21"/>
          <w:szCs w:val="24"/>
          <w:highlight w:val="none"/>
        </w:rPr>
        <w:t>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★58.8 单位工程和工程部位验收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1）单位工程若按验收规程评定达不到合格标准的，视为承包人违约，承包人除按要求进行整改至验收合格为止外，另外须向发包人支付工程结算价5%的违约金。所有的违约金直接在下期支付的工程款当中扣除或在工程结算款中扣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（2）按规定必须检验的单元工程未经检验合格而私自覆盖的，每个单元工程扣除工程款5000元，私自覆盖事后又检验不合格的，除上述扣款外每个单元工程再扣除工程款2000元。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58.9 施工期运行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合同工程无单位工程、无工程部位在施工期运行的，本款不适用。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58.10</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竣工清场</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按通用条款规定。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58.11</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施工队伍的撤离</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按通用条款规定，承包人的人员和施工设备全部撤离施工现场。</w:t>
      </w:r>
    </w:p>
    <w:p>
      <w:pPr>
        <w:keepNext w:val="0"/>
        <w:keepLines w:val="0"/>
        <w:pageBreakBefore w:val="0"/>
        <w:widowControl w:val="0"/>
        <w:kinsoku/>
        <w:wordWrap/>
        <w:overflowPunct/>
        <w:topLinePunct w:val="0"/>
        <w:bidi w:val="0"/>
        <w:spacing w:line="360" w:lineRule="auto"/>
        <w:ind w:firstLine="105" w:firstLineChars="50"/>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58" w:name="_Toc469384116"/>
      <w:bookmarkStart w:id="559" w:name="_Toc10624960"/>
      <w:r>
        <w:rPr>
          <w:rFonts w:hint="eastAsia" w:ascii="宋体" w:hAnsi="宋体" w:eastAsia="宋体" w:cs="宋体"/>
          <w:b/>
          <w:bCs/>
          <w:color w:val="auto"/>
          <w:sz w:val="21"/>
          <w:szCs w:val="24"/>
          <w:highlight w:val="none"/>
        </w:rPr>
        <w:t>59</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缺陷责任与质量保修</w:t>
      </w:r>
      <w:bookmarkEnd w:id="558"/>
      <w:bookmarkEnd w:id="55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59.1 缺陷责任期计算</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缺陷责任期：</w:t>
      </w:r>
      <w:r>
        <w:rPr>
          <w:rFonts w:hint="eastAsia" w:ascii="宋体" w:hAnsi="宋体" w:eastAsia="宋体" w:cs="宋体"/>
          <w:color w:val="auto"/>
          <w:kern w:val="0"/>
          <w:sz w:val="21"/>
          <w:szCs w:val="24"/>
          <w:highlight w:val="none"/>
          <w:u w:val="single"/>
          <w:lang w:val="en-US" w:eastAsia="zh-CN"/>
        </w:rPr>
        <w:t>自工程竣工验收通过之日起一年。</w:t>
      </w:r>
      <w:r>
        <w:rPr>
          <w:rFonts w:hint="eastAsia" w:ascii="宋体" w:hAnsi="宋体" w:eastAsia="宋体" w:cs="宋体"/>
          <w:color w:val="auto"/>
          <w:kern w:val="0"/>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59.8 质量保修期计算</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b/>
          <w:bCs/>
          <w:color w:val="auto"/>
          <w:kern w:val="0"/>
          <w:sz w:val="21"/>
          <w:szCs w:val="24"/>
          <w:highlight w:val="none"/>
          <w:lang w:val="en-US" w:eastAsia="zh-CN"/>
        </w:rPr>
      </w:pPr>
      <w:r>
        <w:rPr>
          <w:rFonts w:hint="eastAsia" w:ascii="宋体" w:hAnsi="宋体" w:eastAsia="宋体" w:cs="宋体"/>
          <w:color w:val="auto"/>
          <w:kern w:val="0"/>
          <w:sz w:val="21"/>
          <w:szCs w:val="24"/>
          <w:highlight w:val="none"/>
        </w:rPr>
        <w:t>质量保修期：</w:t>
      </w:r>
      <w:r>
        <w:rPr>
          <w:rFonts w:hint="eastAsia" w:ascii="宋体" w:hAnsi="宋体" w:eastAsia="宋体" w:cs="宋体"/>
          <w:color w:val="auto"/>
          <w:kern w:val="0"/>
          <w:sz w:val="21"/>
          <w:szCs w:val="24"/>
          <w:highlight w:val="none"/>
          <w:u w:val="single"/>
          <w:lang w:val="en-US" w:eastAsia="zh-CN"/>
        </w:rPr>
        <w:t>在工程缺陷责任期内，因可归责于承包人原因造成的质量缺陷，承包人必须无偿修理；在工程缺陷责任期内，因可归责于承包人原因造成的质量缺陷造成人身和财产损害的，承包人承担损害赔偿责任。在质保期间，如承包人不履行维修义务，发包人有权委托第三方进行修复，费用直接在质保金当中扣除，如质保金不足以支付的，承包人继续承担支付责任。</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w:t>
      </w:r>
    </w:p>
    <w:p>
      <w:pPr>
        <w:keepNext w:val="0"/>
        <w:keepLines w:val="0"/>
        <w:pageBreakBefore w:val="0"/>
        <w:widowControl w:val="0"/>
        <w:numPr>
          <w:ilvl w:val="0"/>
          <w:numId w:val="0"/>
        </w:numPr>
        <w:kinsoku/>
        <w:wordWrap/>
        <w:overflowPunct/>
        <w:topLinePunct w:val="0"/>
        <w:bidi w:val="0"/>
        <w:spacing w:line="360" w:lineRule="auto"/>
        <w:jc w:val="both"/>
        <w:textAlignment w:val="auto"/>
        <w:rPr>
          <w:rFonts w:hint="default" w:ascii="宋体" w:hAnsi="宋体" w:eastAsia="宋体" w:cs="宋体"/>
          <w:b/>
          <w:bCs/>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60" w:name="_Toc10624961"/>
      <w:bookmarkStart w:id="561" w:name="_Toc469384117"/>
      <w:r>
        <w:rPr>
          <w:rFonts w:hint="eastAsia" w:ascii="宋体" w:hAnsi="宋体" w:eastAsia="宋体" w:cs="宋体"/>
          <w:b/>
          <w:bCs/>
          <w:color w:val="auto"/>
          <w:sz w:val="21"/>
          <w:szCs w:val="24"/>
          <w:highlight w:val="none"/>
        </w:rPr>
        <w:t>61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工程量</w:t>
      </w:r>
      <w:bookmarkEnd w:id="560"/>
      <w:bookmarkEnd w:id="561"/>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61.1 清单工程量包括的工作内容</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u w:val="single"/>
        </w:rPr>
        <w:t>按通用条款规定。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61</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 清单的工程量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承包人向工程师提交已完工程量报告的时间</w:t>
      </w:r>
      <w:r>
        <w:rPr>
          <w:rFonts w:hint="eastAsia" w:ascii="宋体" w:hAnsi="宋体" w:eastAsia="宋体" w:cs="宋体"/>
          <w:color w:val="auto"/>
          <w:kern w:val="0"/>
          <w:sz w:val="21"/>
          <w:szCs w:val="24"/>
          <w:highlight w:val="none"/>
          <w:lang w:val="en-US" w:eastAsia="zh-CN"/>
        </w:rPr>
        <w:t>和要求</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u w:val="single"/>
        </w:rPr>
        <w:t>自开工之日起每月报告已完成工程状况，承包人完成工程量必须经发包人书面确认。</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62" w:name="_Toc10624962"/>
      <w:bookmarkStart w:id="563" w:name="_Toc469384118"/>
      <w:r>
        <w:rPr>
          <w:rFonts w:hint="eastAsia" w:ascii="宋体" w:hAnsi="宋体" w:eastAsia="宋体" w:cs="宋体"/>
          <w:b/>
          <w:bCs/>
          <w:color w:val="auto"/>
          <w:sz w:val="21"/>
          <w:szCs w:val="24"/>
          <w:highlight w:val="none"/>
        </w:rPr>
        <w:t>★63</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暂列金额</w:t>
      </w:r>
      <w:bookmarkEnd w:id="562"/>
      <w:bookmarkEnd w:id="56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63.1 合同工程的暂列金额为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64" w:name="_Toc10624964"/>
      <w:bookmarkStart w:id="565" w:name="_Toc469384120"/>
      <w:r>
        <w:rPr>
          <w:rFonts w:hint="eastAsia" w:ascii="宋体" w:hAnsi="宋体" w:eastAsia="宋体" w:cs="宋体"/>
          <w:b/>
          <w:bCs/>
          <w:color w:val="auto"/>
          <w:sz w:val="21"/>
          <w:szCs w:val="24"/>
          <w:highlight w:val="none"/>
        </w:rPr>
        <w:t>★66</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提前竣工奖与误期赔偿费</w:t>
      </w:r>
      <w:bookmarkEnd w:id="564"/>
      <w:bookmarkEnd w:id="56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66.1 提前竣工奖</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u w:val="single"/>
        </w:rPr>
        <w:t>没约定提前竣工奖的，本款不适用。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66.2 误期赔偿费</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按专用条款第</w:t>
      </w:r>
      <w:r>
        <w:rPr>
          <w:rFonts w:hint="eastAsia" w:ascii="宋体" w:hAnsi="宋体" w:eastAsia="宋体" w:cs="宋体"/>
          <w:color w:val="auto"/>
          <w:kern w:val="0"/>
          <w:sz w:val="21"/>
          <w:szCs w:val="24"/>
          <w:highlight w:val="none"/>
          <w:lang w:val="en-US" w:eastAsia="zh-CN"/>
        </w:rPr>
        <w:t>90条执行，</w:t>
      </w:r>
      <w:r>
        <w:rPr>
          <w:rFonts w:hint="eastAsia" w:ascii="宋体" w:hAnsi="宋体" w:eastAsia="宋体" w:cs="宋体"/>
          <w:color w:val="auto"/>
          <w:kern w:val="0"/>
          <w:sz w:val="21"/>
          <w:szCs w:val="24"/>
          <w:highlight w:val="none"/>
        </w:rPr>
        <w:t>误期赔偿费的最高限额为合同价款的</w:t>
      </w:r>
      <w:r>
        <w:rPr>
          <w:rFonts w:hint="eastAsia" w:ascii="宋体" w:hAnsi="宋体" w:eastAsia="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%，即</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66" w:name="_Toc10624965"/>
      <w:bookmarkStart w:id="567" w:name="_Toc469384121"/>
      <w:r>
        <w:rPr>
          <w:rFonts w:hint="eastAsia" w:ascii="宋体" w:hAnsi="宋体" w:eastAsia="宋体" w:cs="宋体"/>
          <w:b/>
          <w:bCs/>
          <w:color w:val="auto"/>
          <w:sz w:val="21"/>
          <w:szCs w:val="24"/>
          <w:highlight w:val="none"/>
        </w:rPr>
        <w:t>★67</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工程优质费、工程建设标准费用</w:t>
      </w:r>
      <w:bookmarkEnd w:id="566"/>
      <w:bookmarkEnd w:id="56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67.1 工程优质费的计算方法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u w:val="single"/>
        </w:rPr>
        <w:t>没约定，本款不适用。</w:t>
      </w:r>
      <w:r>
        <w:rPr>
          <w:rFonts w:hint="eastAsia" w:ascii="宋体" w:hAnsi="宋体" w:eastAsia="宋体" w:cs="宋体"/>
          <w:color w:val="auto"/>
          <w:kern w:val="0"/>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68" w:name="_Toc469384122"/>
      <w:bookmarkStart w:id="569" w:name="_Toc10624966"/>
      <w:r>
        <w:rPr>
          <w:rFonts w:hint="eastAsia" w:ascii="宋体" w:hAnsi="宋体" w:eastAsia="宋体" w:cs="宋体"/>
          <w:b/>
          <w:bCs/>
          <w:color w:val="auto"/>
          <w:sz w:val="21"/>
          <w:szCs w:val="24"/>
          <w:highlight w:val="none"/>
        </w:rPr>
        <w:t>★68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合同价款的约定与调整</w:t>
      </w:r>
      <w:bookmarkEnd w:id="568"/>
      <w:bookmarkEnd w:id="56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68.2</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合同价款的方式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本合同价款按照协议书</w:t>
      </w:r>
      <w:r>
        <w:rPr>
          <w:rFonts w:hint="eastAsia" w:ascii="宋体" w:hAnsi="宋体" w:eastAsia="宋体" w:cs="宋体"/>
          <w:color w:val="auto"/>
          <w:kern w:val="0"/>
          <w:sz w:val="21"/>
          <w:szCs w:val="24"/>
          <w:highlight w:val="none"/>
          <w:lang w:val="en-US" w:eastAsia="zh-CN"/>
        </w:rPr>
        <w:t>和</w:t>
      </w:r>
      <w:r>
        <w:rPr>
          <w:rFonts w:hint="eastAsia" w:ascii="宋体" w:hAnsi="宋体" w:eastAsia="宋体" w:cs="宋体"/>
          <w:color w:val="auto"/>
          <w:kern w:val="0"/>
          <w:sz w:val="21"/>
          <w:szCs w:val="24"/>
          <w:highlight w:val="none"/>
        </w:rPr>
        <w:t>专用条款约定执行，最终按结算终审部门审定价结算。</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本合同价款采用分部分项工程量清单固定综合单价方式确定，具体办法如下：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（1）分部分项工程量清单费：</w:t>
      </w:r>
      <w:r>
        <w:rPr>
          <w:rFonts w:hint="eastAsia" w:ascii="宋体" w:hAnsi="宋体" w:eastAsia="宋体" w:cs="宋体"/>
          <w:color w:val="auto"/>
          <w:kern w:val="0"/>
          <w:sz w:val="21"/>
          <w:szCs w:val="24"/>
          <w:highlight w:val="none"/>
          <w:u w:val="single"/>
        </w:rPr>
        <w:t>除专用条款规定情况外，分部分项工程量清单综合单价固定不变，工程量按实计量。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（2）措施项目费：</w:t>
      </w:r>
      <w:r>
        <w:rPr>
          <w:rFonts w:hint="eastAsia" w:ascii="宋体" w:hAnsi="宋体" w:eastAsia="宋体" w:cs="宋体"/>
          <w:color w:val="auto"/>
          <w:kern w:val="0"/>
          <w:sz w:val="21"/>
          <w:szCs w:val="24"/>
          <w:highlight w:val="none"/>
          <w:u w:val="single"/>
        </w:rPr>
        <w:t>按实计取</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（3）其他项目部分：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招标人部分为暂定价，按实际签订的专业承包合同或预留金使用情况进行调整和结算；</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投标人部分为固定价格，结算时不作调整（若实际没有发生，在结算时扣除未发生项目的费用）。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（4）规费、税金：</w:t>
      </w:r>
      <w:r>
        <w:rPr>
          <w:rFonts w:hint="eastAsia" w:ascii="宋体" w:hAnsi="宋体" w:eastAsia="宋体" w:cs="宋体"/>
          <w:color w:val="auto"/>
          <w:kern w:val="0"/>
          <w:sz w:val="21"/>
          <w:szCs w:val="24"/>
          <w:highlight w:val="none"/>
          <w:u w:val="single"/>
        </w:rPr>
        <w:t>规费及税金按实计取，费率固定不变。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68.3 合同价款的调整事件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双方约定合同价款的调整因素：</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发包人及监理单位共同确认工程量偏差；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发包人及监理单位共同确认工程变更、签证和新增工程；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物价变化；</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rPr>
        <w:t>费用索赔事件或发包人负责的其他情况。</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以上调整事项涉及的价款计价原则按专用条款约定执行。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承包人应在专用条款</w:t>
      </w:r>
      <w:r>
        <w:rPr>
          <w:rFonts w:hint="eastAsia" w:ascii="宋体" w:hAnsi="宋体" w:eastAsia="宋体" w:cs="宋体"/>
          <w:color w:val="auto"/>
          <w:kern w:val="0"/>
          <w:sz w:val="21"/>
          <w:szCs w:val="24"/>
          <w:highlight w:val="none"/>
          <w:lang w:val="en-US" w:eastAsia="zh-CN"/>
        </w:rPr>
        <w:t>68.3</w:t>
      </w:r>
      <w:r>
        <w:rPr>
          <w:rFonts w:hint="eastAsia" w:ascii="宋体" w:hAnsi="宋体" w:eastAsia="宋体" w:cs="宋体"/>
          <w:color w:val="auto"/>
          <w:kern w:val="0"/>
          <w:sz w:val="21"/>
          <w:szCs w:val="24"/>
          <w:highlight w:val="none"/>
        </w:rPr>
        <w:t>款情况发生后3天内，将调整原因、金额以书面形式通知监理单位，必须经监理单位和发包人书面批准后作为调整合同价款的依据。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68.4 调整合同</w:t>
      </w:r>
      <w:r>
        <w:rPr>
          <w:rFonts w:hint="eastAsia" w:ascii="宋体" w:hAnsi="宋体" w:eastAsia="宋体" w:cs="宋体"/>
          <w:color w:val="auto"/>
          <w:kern w:val="0"/>
          <w:sz w:val="21"/>
          <w:szCs w:val="24"/>
          <w:highlight w:val="none"/>
        </w:rPr>
        <w:t>价款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综合价格》（实际施工跨季度的，则按监理单位确认的各季度施工完成的工程量为基础分别进行计算）；《广州地区建设工程常用材料综合价格》没有的材料、设备单价，参考实际施工期《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材料、设备价格，由发包人、监理单位、承包人结合市场价共同协商确定。按上述原则调整后的换算综合单价最终均应执行中标下浮率。</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3）合同工程量清单报价中没有相同或类似适用项目的，按以下原则计价：</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① 由承包人依据变更工程资料，计量原则，按《广东省市政工程综合定额》（201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年）、《广东省建筑与装饰工程综合定额》（201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年）、《广东省安装工程综合定额》（201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年）、《广东省园林绿化工程综合定额》（201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等相关定额标准及工程实施期工程造价管理机构发布的材料设备参考价格编制综合单价并执行中标下浮率。其中材料、设备价格执行工程造价管理机构发布的实际施工季度《广州地区建设工程常用材料综合价格》（实际施工跨季度的，则按监理单位确认的各季度施工完成的工程量为基础分别进行计算）；《广州地区建设工程常用材料综合价格》没有的材料、设备单价，参考实际施工期《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相关价格的，由发包人、监理单位、承包人结合市场价共同协商确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② 合同工程量清单没有相同或相类似且无相关定额的项目，承包人参照《广东省市政工程综合定额》（201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年）、《广东省建筑与装饰工程综合定额》（201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年）、《广东省安装工程综合定额》（201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年）、《广东省园林绿化工程综合定额》（201</w:t>
      </w:r>
      <w:r>
        <w:rPr>
          <w:rFonts w:hint="eastAsia" w:ascii="宋体" w:hAnsi="宋体" w:cs="宋体"/>
          <w:color w:val="auto"/>
          <w:kern w:val="0"/>
          <w:sz w:val="21"/>
          <w:szCs w:val="24"/>
          <w:highlight w:val="none"/>
          <w:lang w:val="en-US" w:eastAsia="zh-CN"/>
        </w:rPr>
        <w:t>8</w:t>
      </w:r>
      <w:r>
        <w:rPr>
          <w:rFonts w:hint="eastAsia" w:ascii="宋体" w:hAnsi="宋体" w:eastAsia="宋体" w:cs="宋体"/>
          <w:color w:val="auto"/>
          <w:kern w:val="0"/>
          <w:sz w:val="21"/>
          <w:szCs w:val="24"/>
          <w:highlight w:val="none"/>
        </w:rPr>
        <w:t>年）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综合价格》（实际施工跨季度的，则按监理单位确认的各季度施工完成的工程量为基础分别进行计算）；《广州地区建设工程常用材料综合价格》没有的材料、设备单价，参考实际施工期《广州地区建设工程材料（设备）厂商价格信息》（实际施工跨季度的，则按监理单位确认的各季度施工完成的工程量为基础分别进行计算）。《广州地区建设工程常用材料综合价格》及《广州地区建设工程材料（设备）厂商价格信息》均没有的相关价格的，由发包人、监理单位、承包人结合市场价共同协商确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）承包人进场施工前，因第三方偷倒等原因导致增加需清运的土方工程量的，该增加部分土方工程量按如下办法确定综合单价：</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新增的土方工程量弃土运距在3公里（含本数）以内的，按上述办法确定的综合单价（含开挖、临时堆放、回填、平整压实及场地清理、弃运等一切费用，下同）低于13.2元/立方米的，按上述办法确定的综合单价执行；按上述办法确定的综合单价高于13.2元/立方米的，按13.2元/立方米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新增的土方工程量弃土运距超过3公里且在15公里（不含本数）以内的，按上述办法确定的综合单价低于【13.2+1.1×（实际运距-3）】元/立方米的，按上述办法确定的综合单价执行；按上述办法确定的综合单价高于【13.2+1.1×（实际运距-3）】元/立方米的，按【13.2+1.1×（实际运距-3）】元/立方米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新增的土方工程量弃土运距在15公里（含本数）以上的，按上述办法确定的综合单价低于26.4元/立方米的，按上述办法确定的综合单价执行；按上述办法确定的综合单价高于26.4元/立方米的，按26.4元/立方米执行。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按上述原则确定价格时，措施项目费用不计取。</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★72  工程变更事件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72.1 工程</w:t>
      </w:r>
      <w:r>
        <w:rPr>
          <w:rFonts w:hint="eastAsia" w:ascii="宋体" w:hAnsi="宋体" w:eastAsia="宋体" w:cs="宋体"/>
          <w:color w:val="auto"/>
          <w:kern w:val="0"/>
          <w:sz w:val="21"/>
          <w:szCs w:val="24"/>
          <w:highlight w:val="none"/>
        </w:rPr>
        <w:t>变更</w:t>
      </w:r>
      <w:r>
        <w:rPr>
          <w:rFonts w:hint="eastAsia" w:ascii="宋体" w:hAnsi="宋体" w:eastAsia="宋体" w:cs="宋体"/>
          <w:color w:val="auto"/>
          <w:kern w:val="0"/>
          <w:sz w:val="21"/>
          <w:szCs w:val="24"/>
          <w:highlight w:val="none"/>
          <w:lang w:val="en-US" w:eastAsia="zh-CN"/>
        </w:rPr>
        <w:t>的</w:t>
      </w:r>
      <w:r>
        <w:rPr>
          <w:rFonts w:hint="eastAsia" w:ascii="宋体" w:hAnsi="宋体" w:eastAsia="宋体" w:cs="宋体"/>
          <w:color w:val="auto"/>
          <w:kern w:val="0"/>
          <w:sz w:val="21"/>
          <w:szCs w:val="24"/>
          <w:highlight w:val="none"/>
        </w:rPr>
        <w:t>价款</w:t>
      </w:r>
      <w:r>
        <w:rPr>
          <w:rFonts w:hint="eastAsia" w:ascii="宋体" w:hAnsi="宋体" w:eastAsia="宋体" w:cs="宋体"/>
          <w:color w:val="auto"/>
          <w:kern w:val="0"/>
          <w:sz w:val="21"/>
          <w:szCs w:val="24"/>
          <w:highlight w:val="none"/>
          <w:lang w:val="en-US" w:eastAsia="zh-CN"/>
        </w:rPr>
        <w:t>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承包人在工程变更确定后14天内，提出变更工程价款的报告，经工程师确认后调整合同价款。变更合同价款确定原则按本合同相关约定执行。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所有变更工程价款的报告必须按规定程序报发包人审核确认。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工程变更价款的支付按本合同相关约定支付。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rPr>
        <w:t>发生上述规定的变更后，承包人在收到发包人变更通知的7天内按合同文件规定的计价方式内容编出变更工程建议送交监理单位。</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5）</w:t>
      </w:r>
      <w:r>
        <w:rPr>
          <w:rFonts w:hint="eastAsia" w:ascii="宋体" w:hAnsi="宋体" w:eastAsia="宋体" w:cs="宋体"/>
          <w:color w:val="auto"/>
          <w:kern w:val="0"/>
          <w:sz w:val="21"/>
          <w:szCs w:val="24"/>
          <w:highlight w:val="none"/>
        </w:rPr>
        <w:t>在工程变更价款计算时，承包人应按招标文件相关规定编制变更工程的预算，提供变更依据及详细的计算资料，报监理单位和发包人批准。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6）</w:t>
      </w:r>
      <w:r>
        <w:rPr>
          <w:rFonts w:hint="eastAsia" w:ascii="宋体" w:hAnsi="宋体" w:eastAsia="宋体" w:cs="宋体"/>
          <w:color w:val="auto"/>
          <w:kern w:val="0"/>
          <w:sz w:val="21"/>
          <w:szCs w:val="24"/>
          <w:highlight w:val="none"/>
        </w:rPr>
        <w:t>工程变更、签证申报程序按广州开发区、黄埔区以及建设业主的有关规定执行。</w:t>
      </w:r>
    </w:p>
    <w:p>
      <w:pPr>
        <w:keepNext w:val="0"/>
        <w:keepLines w:val="0"/>
        <w:pageBreakBefore w:val="0"/>
        <w:widowControl w:val="0"/>
        <w:numPr>
          <w:ilvl w:val="0"/>
          <w:numId w:val="0"/>
        </w:numPr>
        <w:kinsoku/>
        <w:wordWrap/>
        <w:overflowPunct/>
        <w:topLinePunct w:val="0"/>
        <w:bidi w:val="0"/>
        <w:snapToGrid w:val="0"/>
        <w:spacing w:line="360" w:lineRule="auto"/>
        <w:jc w:val="both"/>
        <w:textAlignment w:val="auto"/>
        <w:rPr>
          <w:rFonts w:hint="eastAsia" w:ascii="宋体" w:hAnsi="宋体" w:eastAsia="宋体" w:cs="宋体"/>
          <w:color w:val="auto"/>
          <w:sz w:val="21"/>
          <w:szCs w:val="21"/>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b/>
          <w:bCs/>
          <w:color w:val="auto"/>
          <w:sz w:val="21"/>
          <w:szCs w:val="24"/>
          <w:highlight w:val="none"/>
          <w:lang w:val="en-US" w:eastAsia="zh-CN"/>
        </w:rPr>
        <w:t>★73  工程量偏差事件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textAlignment w:val="auto"/>
        <w:rPr>
          <w:rFonts w:hint="eastAsia" w:ascii="宋体" w:hAnsi="宋体" w:eastAsia="宋体" w:cs="宋体"/>
          <w:b/>
          <w:bCs/>
          <w:color w:val="auto"/>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★7</w:t>
      </w:r>
      <w:r>
        <w:rPr>
          <w:rFonts w:hint="eastAsia" w:hAnsi="宋体" w:eastAsia="宋体" w:cs="宋体"/>
          <w:b/>
          <w:bCs/>
          <w:color w:val="auto"/>
          <w:sz w:val="21"/>
          <w:szCs w:val="24"/>
          <w:highlight w:val="none"/>
          <w:lang w:val="en-US" w:eastAsia="zh-CN"/>
        </w:rPr>
        <w:t>5</w:t>
      </w:r>
      <w:r>
        <w:rPr>
          <w:rFonts w:hint="eastAsia" w:ascii="宋体" w:hAnsi="宋体" w:eastAsia="宋体" w:cs="宋体"/>
          <w:b/>
          <w:bCs/>
          <w:color w:val="auto"/>
          <w:sz w:val="21"/>
          <w:szCs w:val="24"/>
          <w:highlight w:val="none"/>
          <w:lang w:val="en-US" w:eastAsia="zh-CN"/>
        </w:rPr>
        <w:t xml:space="preserve">  现场签证事件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75.1 </w:t>
      </w:r>
      <w:r>
        <w:rPr>
          <w:rFonts w:hint="eastAsia" w:ascii="宋体" w:hAnsi="宋体" w:eastAsia="宋体" w:cs="宋体"/>
          <w:color w:val="auto"/>
          <w:kern w:val="0"/>
          <w:sz w:val="21"/>
          <w:szCs w:val="24"/>
          <w:highlight w:val="none"/>
        </w:rPr>
        <w:t>工程现场签证：工程现场签证是指施工生产活动中用以证实在施工中遇到的某些特殊情况的一种书证明资料，一般指按承发包合同约定，由承发包双方代表就施工过程中涉及合同价款之外的责任事件所作的签认证明。</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75.5 </w:t>
      </w:r>
      <w:r>
        <w:rPr>
          <w:rFonts w:hint="eastAsia" w:ascii="宋体" w:hAnsi="宋体" w:eastAsia="宋体" w:cs="宋体"/>
          <w:color w:val="auto"/>
          <w:kern w:val="0"/>
          <w:sz w:val="21"/>
          <w:szCs w:val="24"/>
          <w:highlight w:val="none"/>
        </w:rPr>
        <w:t>签证实施前所需的施工方案：若签证事件发生时，需使用没有被监理工程师批准过的施工方案，则必须将该施工方案提前报监理工程师和发包人批准，经批准后才能实施，否则发包人将按最经济的施工方案对该签证进行计价。</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75.4 </w:t>
      </w:r>
      <w:r>
        <w:rPr>
          <w:rFonts w:hint="eastAsia" w:ascii="宋体" w:hAnsi="宋体" w:eastAsia="宋体" w:cs="宋体"/>
          <w:color w:val="auto"/>
          <w:kern w:val="0"/>
          <w:sz w:val="21"/>
          <w:szCs w:val="24"/>
          <w:highlight w:val="none"/>
        </w:rPr>
        <w:t>签证的</w:t>
      </w:r>
      <w:r>
        <w:rPr>
          <w:rFonts w:hint="eastAsia" w:ascii="宋体" w:hAnsi="宋体" w:eastAsia="宋体" w:cs="宋体"/>
          <w:color w:val="auto"/>
          <w:kern w:val="0"/>
          <w:sz w:val="21"/>
          <w:szCs w:val="24"/>
          <w:highlight w:val="none"/>
          <w:lang w:val="en-US" w:eastAsia="zh-CN"/>
        </w:rPr>
        <w:t>要求</w:t>
      </w:r>
      <w:r>
        <w:rPr>
          <w:rFonts w:hint="eastAsia" w:ascii="宋体" w:hAnsi="宋体" w:eastAsia="宋体" w:cs="宋体"/>
          <w:color w:val="auto"/>
          <w:kern w:val="0"/>
          <w:sz w:val="21"/>
          <w:szCs w:val="24"/>
          <w:highlight w:val="none"/>
        </w:rPr>
        <w:t>：按招标文件及合同中关于工程变更的计价有关规定执行。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75.7 </w:t>
      </w:r>
      <w:r>
        <w:rPr>
          <w:rFonts w:hint="eastAsia" w:ascii="宋体" w:hAnsi="宋体" w:eastAsia="宋体" w:cs="宋体"/>
          <w:color w:val="auto"/>
          <w:kern w:val="0"/>
          <w:sz w:val="21"/>
          <w:szCs w:val="24"/>
          <w:highlight w:val="none"/>
        </w:rPr>
        <w:t>工程现场签证申报程序按广州开发区、黄埔区以及建设业主的有关规定执行。</w:t>
      </w:r>
    </w:p>
    <w:p>
      <w:pPr>
        <w:keepNext w:val="0"/>
        <w:keepLines w:val="0"/>
        <w:pageBreakBefore w:val="0"/>
        <w:widowControl w:val="0"/>
        <w:kinsoku/>
        <w:wordWrap/>
        <w:overflowPunct/>
        <w:topLinePunct w:val="0"/>
        <w:bidi w:val="0"/>
        <w:snapToGrid w:val="0"/>
        <w:spacing w:line="360" w:lineRule="auto"/>
        <w:ind w:firstLine="296" w:firstLineChars="141"/>
        <w:textAlignment w:val="auto"/>
        <w:rPr>
          <w:rFonts w:hint="eastAsia" w:ascii="宋体" w:hAnsi="宋体" w:eastAsia="宋体" w:cs="宋体"/>
          <w:color w:val="auto"/>
          <w:sz w:val="21"/>
          <w:szCs w:val="21"/>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default"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★76  物价涨落事件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76.1 </w:t>
      </w:r>
      <w:r>
        <w:rPr>
          <w:rFonts w:hint="eastAsia" w:ascii="宋体" w:hAnsi="宋体" w:eastAsia="宋体" w:cs="宋体"/>
          <w:color w:val="auto"/>
          <w:kern w:val="0"/>
          <w:sz w:val="21"/>
          <w:szCs w:val="24"/>
          <w:highlight w:val="none"/>
        </w:rPr>
        <w:t>物价涨跌的价格调整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（1）合同履行期间，出现工程造价管理机构发布的人工、材料、工程设备和施工设备、机械台班单价涨跌超过本工程投标报价期相应单价且符合以下规定的，应调整合同价款。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承包人承担工料机价格涨跌幅度在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76.3 </w:t>
      </w:r>
      <w:r>
        <w:rPr>
          <w:rFonts w:hint="eastAsia" w:ascii="宋体" w:hAnsi="宋体" w:eastAsia="宋体" w:cs="宋体"/>
          <w:color w:val="auto"/>
          <w:kern w:val="0"/>
          <w:sz w:val="21"/>
          <w:szCs w:val="24"/>
          <w:highlight w:val="none"/>
        </w:rPr>
        <w:t>价款调整的方法</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 当人工、钢材、水泥、商品砼、沥青商品砼、电线（铜材价格上涨幅度超过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）价款调整以季度计算，结算时一次性调整。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rPr>
        <w:t>）各调价工料机的信息价格按广州市建设工程造价管理部门发布的当季《广州地区建设工程常用材料综合价格》（以下简称“综合价格”）计取，综合价格中没有的材料、设备单价，参考《广州地区建设工程材料（设备）厂商价格信息》。《广州地区建设工程常用材料综合价格》及《广州地区建设工程材料（设备）厂商价格信息》均没有的相关价格的，由发包人、监理单位、承包人结合市场价共同协商确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5</w:t>
      </w:r>
      <w:r>
        <w:rPr>
          <w:rFonts w:hint="eastAsia" w:ascii="宋体" w:hAnsi="宋体" w:eastAsia="宋体" w:cs="宋体"/>
          <w:color w:val="auto"/>
          <w:kern w:val="0"/>
          <w:sz w:val="21"/>
          <w:szCs w:val="24"/>
          <w:highlight w:val="none"/>
        </w:rPr>
        <w:t>）由于承包人原因导致工期延误的，所延误时段内物价上涨的风险全部由承包人承担，不予调整；如物价下跌，则仍按第（3）款约定计算及扣回相应价款。</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70" w:name="_Toc469384127"/>
      <w:bookmarkStart w:id="571" w:name="_Toc10624971"/>
      <w:r>
        <w:rPr>
          <w:rFonts w:hint="eastAsia" w:ascii="宋体" w:hAnsi="宋体" w:eastAsia="宋体" w:cs="宋体"/>
          <w:b/>
          <w:bCs/>
          <w:color w:val="auto"/>
          <w:sz w:val="21"/>
          <w:szCs w:val="24"/>
          <w:highlight w:val="none"/>
        </w:rPr>
        <w:t>78</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支付事项</w:t>
      </w:r>
      <w:bookmarkEnd w:id="570"/>
      <w:bookmarkEnd w:id="571"/>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78.2 计算利息的利率：</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所有支付均不计利息。</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79.1 预付款的约定及管理</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u w:val="single"/>
        </w:rPr>
        <w:t>预付比例</w:t>
      </w:r>
      <w:r>
        <w:rPr>
          <w:rFonts w:hint="eastAsia" w:ascii="宋体" w:hAnsi="宋体" w:eastAsia="宋体" w:cs="宋体"/>
          <w:color w:val="auto"/>
          <w:kern w:val="0"/>
          <w:sz w:val="21"/>
          <w:szCs w:val="24"/>
          <w:highlight w:val="none"/>
          <w:u w:val="single"/>
          <w:lang w:val="en-US" w:eastAsia="zh-CN"/>
        </w:rPr>
        <w:t>为</w:t>
      </w:r>
      <w:r>
        <w:rPr>
          <w:rFonts w:hint="eastAsia" w:ascii="宋体" w:hAnsi="宋体" w:eastAsia="宋体" w:cs="宋体"/>
          <w:color w:val="auto"/>
          <w:kern w:val="0"/>
          <w:sz w:val="21"/>
          <w:szCs w:val="24"/>
          <w:highlight w:val="none"/>
          <w:u w:val="single"/>
        </w:rPr>
        <w:t>合同价款的30%，但最高不超过3000万元。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本工程</w:t>
      </w:r>
      <w:r>
        <w:rPr>
          <w:rFonts w:hint="eastAsia" w:ascii="宋体" w:hAnsi="宋体" w:eastAsia="宋体" w:cs="宋体"/>
          <w:color w:val="auto"/>
          <w:kern w:val="0"/>
          <w:sz w:val="21"/>
          <w:szCs w:val="24"/>
          <w:highlight w:val="none"/>
        </w:rPr>
        <w:t>预付款的金额为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lang w:val="en-US" w:eastAsia="zh-CN"/>
        </w:rPr>
        <w:t>元</w:t>
      </w:r>
      <w:r>
        <w:rPr>
          <w:rFonts w:hint="eastAsia" w:ascii="宋体" w:hAnsi="宋体" w:eastAsia="宋体" w:cs="宋体"/>
          <w:color w:val="auto"/>
          <w:kern w:val="0"/>
          <w:sz w:val="21"/>
          <w:szCs w:val="24"/>
          <w:highlight w:val="none"/>
        </w:rPr>
        <w:t>，其支付办法和抵扣方式，按本专用条款的约定</w:t>
      </w:r>
      <w:r>
        <w:rPr>
          <w:rFonts w:hint="eastAsia" w:ascii="宋体" w:hAnsi="宋体" w:eastAsia="宋体" w:cs="宋体"/>
          <w:color w:val="auto"/>
          <w:kern w:val="0"/>
          <w:sz w:val="21"/>
          <w:szCs w:val="24"/>
          <w:highlight w:val="none"/>
          <w:lang w:val="en-US" w:eastAsia="zh-CN"/>
        </w:rPr>
        <w:t>执行</w:t>
      </w:r>
      <w:r>
        <w:rPr>
          <w:rFonts w:hint="eastAsia" w:ascii="宋体" w:hAnsi="宋体" w:eastAsia="宋体" w:cs="宋体"/>
          <w:color w:val="auto"/>
          <w:kern w:val="0"/>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rPr>
      </w:pPr>
      <w:r>
        <w:rPr>
          <w:rFonts w:hint="eastAsia" w:ascii="宋体" w:hAnsi="宋体" w:eastAsia="宋体" w:cs="宋体"/>
          <w:color w:val="auto"/>
          <w:kern w:val="0"/>
          <w:sz w:val="21"/>
          <w:szCs w:val="24"/>
          <w:highlight w:val="none"/>
        </w:rPr>
        <w:t>79.2 提交预付款支付申请期限：</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监理下达开工令后</w:t>
      </w:r>
      <w:r>
        <w:rPr>
          <w:rFonts w:hint="eastAsia" w:ascii="宋体" w:hAnsi="宋体" w:eastAsia="宋体" w:cs="宋体"/>
          <w:color w:val="auto"/>
          <w:kern w:val="0"/>
          <w:sz w:val="21"/>
          <w:szCs w:val="24"/>
          <w:highlight w:val="none"/>
          <w:u w:val="single"/>
        </w:rPr>
        <w:t>，承包人相关情况符合要求，且合同生效、财政拨款到位后</w:t>
      </w:r>
      <w:r>
        <w:rPr>
          <w:rFonts w:hint="eastAsia" w:ascii="宋体" w:hAnsi="宋体" w:eastAsia="宋体" w:cs="宋体"/>
          <w:color w:val="auto"/>
          <w:kern w:val="0"/>
          <w:sz w:val="21"/>
          <w:szCs w:val="24"/>
          <w:highlight w:val="none"/>
          <w:u w:val="single"/>
          <w:lang w:eastAsia="zh-CN"/>
        </w:rPr>
        <w:t>。</w:t>
      </w:r>
      <w:r>
        <w:rPr>
          <w:rFonts w:hint="eastAsia" w:ascii="宋体" w:hAnsi="宋体" w:eastAsia="宋体" w:cs="宋体"/>
          <w:color w:val="auto"/>
          <w:kern w:val="0"/>
          <w:sz w:val="21"/>
          <w:szCs w:val="24"/>
          <w:highlight w:val="none"/>
          <w:u w:val="single"/>
        </w:rPr>
        <w:t>承包人已与发包人签订工程施工合同，承包人承诺的项目管理人员、机械设备到位。履约担保</w:t>
      </w:r>
      <w:r>
        <w:rPr>
          <w:rFonts w:hint="eastAsia" w:ascii="宋体" w:hAnsi="宋体" w:eastAsia="宋体" w:cs="宋体"/>
          <w:color w:val="auto"/>
          <w:kern w:val="0"/>
          <w:sz w:val="21"/>
          <w:szCs w:val="24"/>
          <w:highlight w:val="none"/>
          <w:u w:val="single"/>
          <w:lang w:eastAsia="zh-CN"/>
        </w:rPr>
        <w:t>（</w:t>
      </w:r>
      <w:r>
        <w:rPr>
          <w:rFonts w:hint="eastAsia" w:ascii="宋体" w:hAnsi="宋体" w:eastAsia="宋体" w:cs="宋体"/>
          <w:color w:val="auto"/>
          <w:kern w:val="0"/>
          <w:sz w:val="21"/>
          <w:szCs w:val="24"/>
          <w:highlight w:val="none"/>
          <w:u w:val="single"/>
          <w:lang w:val="en-US" w:eastAsia="zh-CN"/>
        </w:rPr>
        <w:t>如有）</w:t>
      </w:r>
      <w:r>
        <w:rPr>
          <w:rFonts w:hint="eastAsia" w:ascii="宋体" w:hAnsi="宋体" w:eastAsia="宋体" w:cs="宋体"/>
          <w:color w:val="auto"/>
          <w:kern w:val="0"/>
          <w:sz w:val="21"/>
          <w:szCs w:val="24"/>
          <w:highlight w:val="none"/>
          <w:u w:val="single"/>
        </w:rPr>
        <w:t>已按发包人要求准时提交发包人，工程已经监理工程师批准正式动工，该工程财政拨款已到位。如工程因用地、拆迁等原因导致不能全面开工，则预付款的支付按可开工部分的工程量占总工程量的比例做相应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79.4 预付款抵扣方式：</w:t>
      </w:r>
      <w:r>
        <w:rPr>
          <w:rFonts w:hint="eastAsia" w:ascii="宋体" w:hAnsi="宋体" w:eastAsia="宋体" w:cs="宋体"/>
          <w:color w:val="auto"/>
          <w:kern w:val="0"/>
          <w:sz w:val="21"/>
          <w:szCs w:val="24"/>
          <w:highlight w:val="none"/>
          <w:lang w:val="en-US" w:eastAsia="zh-CN"/>
        </w:rPr>
        <w:t xml:space="preserve">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72" w:name="_Toc10624973"/>
      <w:bookmarkStart w:id="573" w:name="_Toc469384129"/>
      <w:r>
        <w:rPr>
          <w:rFonts w:hint="eastAsia" w:ascii="宋体" w:hAnsi="宋体" w:eastAsia="宋体" w:cs="宋体"/>
          <w:b/>
          <w:bCs/>
          <w:color w:val="auto"/>
          <w:sz w:val="21"/>
          <w:szCs w:val="24"/>
          <w:highlight w:val="none"/>
        </w:rPr>
        <w:t>★80</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绿色施工安全防护费</w:t>
      </w:r>
      <w:bookmarkEnd w:id="572"/>
      <w:bookmarkEnd w:id="57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★80.1 绿色施工安全防护费的内容、范围和金额</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关于安全生产措施费支付的方式及时间：按照《关于加强安全文明施工管理及措施费支付管理的通知》（穗开建管〔2015〕7号）要求，办理安全文明措施费支付时，需对安全文明施工措施完成情况进行验收，验收通过后</w:t>
      </w:r>
      <w:r>
        <w:rPr>
          <w:rFonts w:hint="eastAsia" w:ascii="宋体" w:hAnsi="宋体" w:eastAsia="宋体" w:cs="宋体"/>
          <w:color w:val="auto"/>
          <w:kern w:val="0"/>
          <w:sz w:val="21"/>
          <w:szCs w:val="24"/>
          <w:highlight w:val="none"/>
          <w:lang w:eastAsia="zh-CN"/>
        </w:rPr>
        <w:t>与进度款一起</w:t>
      </w:r>
      <w:r>
        <w:rPr>
          <w:rFonts w:hint="eastAsia" w:ascii="宋体" w:hAnsi="宋体" w:eastAsia="宋体" w:cs="宋体"/>
          <w:color w:val="auto"/>
          <w:kern w:val="0"/>
          <w:sz w:val="21"/>
          <w:szCs w:val="24"/>
          <w:highlight w:val="none"/>
        </w:rPr>
        <w:t>支付；安全防护、文明施工措施费按穗建筑【2008】967号文规定，在工程投标最高报价中的安全防护、文明施工措施费用计取，专款专用，并从本施工合同价款中提取（安全生产措施费已包含在本工程中标价即施工合同价中），由建设安监机构</w:t>
      </w:r>
      <w:r>
        <w:rPr>
          <w:rFonts w:hint="eastAsia" w:ascii="宋体" w:hAnsi="宋体" w:eastAsia="宋体" w:cs="宋体"/>
          <w:color w:val="auto"/>
          <w:kern w:val="0"/>
          <w:sz w:val="21"/>
          <w:szCs w:val="24"/>
          <w:highlight w:val="none"/>
          <w:lang w:eastAsia="zh-CN"/>
        </w:rPr>
        <w:t>或</w:t>
      </w:r>
      <w:r>
        <w:rPr>
          <w:rFonts w:hint="eastAsia" w:ascii="宋体" w:hAnsi="宋体" w:eastAsia="宋体" w:cs="宋体"/>
          <w:color w:val="auto"/>
          <w:kern w:val="0"/>
          <w:sz w:val="21"/>
          <w:szCs w:val="24"/>
          <w:highlight w:val="none"/>
        </w:rPr>
        <w:t>监理单位分阶段对施工现场进行安全生产检查，达到合格者</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 xml:space="preserve">在财政拨款到位后支付给承包人。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（2）绿色</w:t>
      </w:r>
      <w:r>
        <w:rPr>
          <w:rFonts w:hint="eastAsia" w:ascii="宋体" w:hAnsi="宋体" w:eastAsia="宋体" w:cs="宋体"/>
          <w:color w:val="auto"/>
          <w:sz w:val="21"/>
          <w:szCs w:val="24"/>
          <w:highlight w:val="none"/>
        </w:rPr>
        <w:t>施工安全防护</w:t>
      </w:r>
      <w:r>
        <w:rPr>
          <w:rFonts w:hint="eastAsia" w:ascii="宋体" w:hAnsi="宋体" w:eastAsia="宋体" w:cs="宋体"/>
          <w:color w:val="auto"/>
          <w:kern w:val="0"/>
          <w:sz w:val="21"/>
          <w:szCs w:val="24"/>
          <w:highlight w:val="none"/>
        </w:rPr>
        <w:t>费的总金额为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其中：施工扬尘污染防治措施费为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用工实名管理费为</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危大工程安全防护文明施工措施费</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上述所有款项均在广州</w:t>
      </w:r>
      <w:r>
        <w:rPr>
          <w:rFonts w:hint="eastAsia" w:ascii="宋体" w:hAnsi="宋体" w:eastAsia="宋体" w:cs="宋体"/>
          <w:color w:val="auto"/>
          <w:kern w:val="0"/>
          <w:sz w:val="21"/>
          <w:szCs w:val="24"/>
          <w:highlight w:val="none"/>
          <w:lang w:val="en-US" w:eastAsia="zh-CN"/>
        </w:rPr>
        <w:t>黄埔区</w:t>
      </w:r>
      <w:r>
        <w:rPr>
          <w:rFonts w:hint="eastAsia" w:ascii="宋体" w:hAnsi="宋体" w:eastAsia="宋体" w:cs="宋体"/>
          <w:color w:val="auto"/>
          <w:kern w:val="0"/>
          <w:sz w:val="21"/>
          <w:szCs w:val="24"/>
          <w:highlight w:val="none"/>
        </w:rPr>
        <w:t>开发区财政局</w:t>
      </w:r>
      <w:r>
        <w:rPr>
          <w:rFonts w:hint="eastAsia" w:ascii="宋体" w:hAnsi="宋体" w:eastAsia="宋体" w:cs="宋体"/>
          <w:color w:val="auto"/>
          <w:kern w:val="0"/>
          <w:sz w:val="21"/>
          <w:szCs w:val="24"/>
          <w:highlight w:val="none"/>
          <w:lang w:val="en-US" w:eastAsia="zh-CN"/>
        </w:rPr>
        <w:t>或其授权单位</w:t>
      </w:r>
      <w:r>
        <w:rPr>
          <w:rFonts w:hint="eastAsia" w:ascii="宋体" w:hAnsi="宋体" w:eastAsia="宋体" w:cs="宋体"/>
          <w:color w:val="auto"/>
          <w:kern w:val="0"/>
          <w:sz w:val="21"/>
          <w:szCs w:val="24"/>
          <w:highlight w:val="none"/>
        </w:rPr>
        <w:t>审定该专项资金并拨款到位后支付。办理工程款财政请款手续的时间不计入付款期限。</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74" w:name="_Toc469384130"/>
      <w:bookmarkStart w:id="575" w:name="_Toc10624974"/>
      <w:r>
        <w:rPr>
          <w:rFonts w:hint="eastAsia" w:ascii="宋体" w:hAnsi="宋体" w:eastAsia="宋体" w:cs="宋体"/>
          <w:b/>
          <w:bCs/>
          <w:color w:val="auto"/>
          <w:sz w:val="21"/>
          <w:szCs w:val="24"/>
          <w:highlight w:val="none"/>
        </w:rPr>
        <w:t>★81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进度款</w:t>
      </w:r>
      <w:bookmarkEnd w:id="574"/>
      <w:bookmarkEnd w:id="57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81.1 约定支付期限和提交支付申请</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本合同签订后3个工作日内，支付</w:t>
      </w:r>
      <w:r>
        <w:rPr>
          <w:rFonts w:hint="eastAsia" w:ascii="宋体" w:hAnsi="宋体" w:eastAsia="宋体" w:cs="宋体"/>
          <w:color w:val="auto"/>
          <w:kern w:val="0"/>
          <w:sz w:val="21"/>
          <w:szCs w:val="24"/>
          <w:highlight w:val="none"/>
          <w:lang w:eastAsia="zh-CN"/>
        </w:rPr>
        <w:t>合同价款的</w:t>
      </w:r>
      <w:r>
        <w:rPr>
          <w:rFonts w:hint="eastAsia" w:ascii="宋体" w:hAnsi="宋体" w:eastAsia="宋体" w:cs="宋体"/>
          <w:color w:val="auto"/>
          <w:kern w:val="0"/>
          <w:sz w:val="21"/>
          <w:szCs w:val="24"/>
          <w:highlight w:val="none"/>
          <w:lang w:val="en-US" w:eastAsia="zh-CN"/>
        </w:rPr>
        <w:t>30%</w:t>
      </w:r>
      <w:r>
        <w:rPr>
          <w:rFonts w:hint="eastAsia" w:ascii="宋体" w:hAnsi="宋体" w:eastAsia="宋体" w:cs="宋体"/>
          <w:color w:val="auto"/>
          <w:kern w:val="0"/>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当完成工作量达到80%时，支付</w:t>
      </w:r>
      <w:r>
        <w:rPr>
          <w:rFonts w:hint="eastAsia" w:ascii="宋体" w:hAnsi="宋体" w:eastAsia="宋体" w:cs="宋体"/>
          <w:color w:val="auto"/>
          <w:kern w:val="0"/>
          <w:sz w:val="21"/>
          <w:szCs w:val="24"/>
          <w:highlight w:val="none"/>
          <w:lang w:eastAsia="zh-CN"/>
        </w:rPr>
        <w:t>至合同价款的</w:t>
      </w:r>
      <w:r>
        <w:rPr>
          <w:rFonts w:hint="eastAsia" w:ascii="宋体" w:hAnsi="宋体" w:eastAsia="宋体" w:cs="宋体"/>
          <w:color w:val="auto"/>
          <w:kern w:val="0"/>
          <w:sz w:val="21"/>
          <w:szCs w:val="24"/>
          <w:highlight w:val="none"/>
        </w:rPr>
        <w:t>70%【累计付款至合同价款若有暂定金(含暂列金额和暂估价)扣除未计量部分暂定金(含暂列金额 和暂估价)后的70%】；</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lang w:eastAsia="zh-CN"/>
        </w:rPr>
        <w:t>）工程完工</w:t>
      </w:r>
      <w:r>
        <w:rPr>
          <w:rFonts w:hint="eastAsia" w:ascii="宋体" w:hAnsi="宋体" w:eastAsia="宋体" w:cs="宋体"/>
          <w:color w:val="auto"/>
          <w:kern w:val="0"/>
          <w:sz w:val="21"/>
          <w:szCs w:val="24"/>
          <w:highlight w:val="none"/>
        </w:rPr>
        <w:t>，工程竣工验收合格后，甲方在7个日历日内向乙方支付至合同总价的85% 【累计付款至合同价款若有暂定金(含暂列金额和暂估价)扣除未计量部分暂定金(含暂列金额 和暂估价)后的</w:t>
      </w:r>
      <w:r>
        <w:rPr>
          <w:rFonts w:hint="eastAsia" w:ascii="宋体" w:hAnsi="宋体" w:cs="宋体"/>
          <w:color w:val="auto"/>
          <w:kern w:val="0"/>
          <w:sz w:val="21"/>
          <w:szCs w:val="24"/>
          <w:highlight w:val="none"/>
          <w:lang w:val="en-US" w:eastAsia="zh-CN"/>
        </w:rPr>
        <w:t>85</w:t>
      </w:r>
      <w:r>
        <w:rPr>
          <w:rFonts w:hint="eastAsia" w:ascii="宋体" w:hAnsi="宋体" w:eastAsia="宋体" w:cs="宋体"/>
          <w:color w:val="auto"/>
          <w:kern w:val="0"/>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向</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递交完整的竣工档案及结算申请，并经广州</w:t>
      </w:r>
      <w:r>
        <w:rPr>
          <w:rFonts w:hint="eastAsia" w:ascii="宋体" w:hAnsi="宋体" w:eastAsia="宋体" w:cs="宋体"/>
          <w:color w:val="auto"/>
          <w:kern w:val="0"/>
          <w:sz w:val="21"/>
          <w:szCs w:val="24"/>
          <w:highlight w:val="none"/>
          <w:lang w:val="en-US" w:eastAsia="zh-CN"/>
        </w:rPr>
        <w:t>黄埔区</w:t>
      </w:r>
      <w:r>
        <w:rPr>
          <w:rFonts w:hint="eastAsia" w:ascii="宋体" w:hAnsi="宋体" w:eastAsia="宋体" w:cs="宋体"/>
          <w:color w:val="auto"/>
          <w:kern w:val="0"/>
          <w:sz w:val="21"/>
          <w:szCs w:val="24"/>
          <w:highlight w:val="none"/>
        </w:rPr>
        <w:t>财政局</w:t>
      </w:r>
      <w:r>
        <w:rPr>
          <w:rFonts w:hint="eastAsia" w:ascii="宋体" w:hAnsi="宋体" w:eastAsia="宋体" w:cs="宋体"/>
          <w:color w:val="auto"/>
          <w:kern w:val="0"/>
          <w:sz w:val="21"/>
          <w:szCs w:val="24"/>
          <w:highlight w:val="none"/>
          <w:lang w:val="en-US" w:eastAsia="zh-CN"/>
        </w:rPr>
        <w:t>或其授权单位</w:t>
      </w:r>
      <w:r>
        <w:rPr>
          <w:rFonts w:hint="eastAsia" w:ascii="宋体" w:hAnsi="宋体" w:eastAsia="宋体" w:cs="宋体"/>
          <w:color w:val="auto"/>
          <w:kern w:val="0"/>
          <w:sz w:val="21"/>
          <w:szCs w:val="24"/>
          <w:highlight w:val="none"/>
        </w:rPr>
        <w:t>审定施工结算后支付工程款至结算</w:t>
      </w:r>
      <w:r>
        <w:rPr>
          <w:rFonts w:hint="eastAsia" w:ascii="宋体" w:hAnsi="宋体" w:eastAsia="宋体" w:cs="宋体"/>
          <w:color w:val="auto"/>
          <w:kern w:val="0"/>
          <w:sz w:val="21"/>
          <w:szCs w:val="24"/>
          <w:highlight w:val="none"/>
          <w:lang w:eastAsia="zh-CN"/>
        </w:rPr>
        <w:t>款</w:t>
      </w:r>
      <w:r>
        <w:rPr>
          <w:rFonts w:hint="eastAsia" w:ascii="宋体" w:hAnsi="宋体" w:eastAsia="宋体" w:cs="宋体"/>
          <w:color w:val="auto"/>
          <w:kern w:val="0"/>
          <w:sz w:val="21"/>
          <w:szCs w:val="24"/>
          <w:highlight w:val="none"/>
        </w:rPr>
        <w:t>的9</w:t>
      </w:r>
      <w:r>
        <w:rPr>
          <w:rFonts w:hint="eastAsia" w:ascii="宋体" w:hAnsi="宋体" w:eastAsia="宋体" w:cs="宋体"/>
          <w:color w:val="auto"/>
          <w:kern w:val="0"/>
          <w:sz w:val="21"/>
          <w:szCs w:val="24"/>
          <w:highlight w:val="none"/>
          <w:lang w:val="en-US" w:eastAsia="zh-CN"/>
        </w:rPr>
        <w:t>7</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5</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缺陷责任期</w:t>
      </w:r>
      <w:r>
        <w:rPr>
          <w:rFonts w:hint="eastAsia" w:ascii="宋体" w:hAnsi="宋体" w:eastAsia="宋体" w:cs="宋体"/>
          <w:color w:val="auto"/>
          <w:kern w:val="0"/>
          <w:sz w:val="21"/>
          <w:szCs w:val="24"/>
          <w:highlight w:val="none"/>
          <w:lang w:val="en-US" w:eastAsia="zh-CN"/>
        </w:rPr>
        <w:t>满</w:t>
      </w:r>
      <w:r>
        <w:rPr>
          <w:rFonts w:hint="eastAsia" w:ascii="宋体" w:hAnsi="宋体" w:eastAsia="宋体" w:cs="宋体"/>
          <w:color w:val="auto"/>
          <w:kern w:val="0"/>
          <w:sz w:val="21"/>
          <w:szCs w:val="24"/>
          <w:highlight w:val="none"/>
        </w:rPr>
        <w:t>且完成决算后，</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向</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无息支付剩余款项。</w:t>
      </w:r>
      <w:r>
        <w:rPr>
          <w:rFonts w:hint="eastAsia" w:ascii="宋体" w:hAnsi="宋体" w:eastAsia="宋体" w:cs="宋体"/>
          <w:color w:val="auto"/>
          <w:kern w:val="0"/>
          <w:sz w:val="21"/>
          <w:szCs w:val="24"/>
          <w:highlight w:val="none"/>
          <w:lang w:eastAsia="zh-CN"/>
        </w:rPr>
        <w:t>承包方应无条件配合发包方完成决算工作。</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6）</w:t>
      </w:r>
      <w:r>
        <w:rPr>
          <w:rFonts w:hint="eastAsia" w:ascii="宋体" w:hAnsi="宋体" w:eastAsia="宋体" w:cs="宋体"/>
          <w:color w:val="auto"/>
          <w:kern w:val="0"/>
          <w:sz w:val="21"/>
          <w:szCs w:val="24"/>
          <w:highlight w:val="none"/>
        </w:rPr>
        <w:t>工程价款的支付条件</w:t>
      </w:r>
      <w:r>
        <w:rPr>
          <w:rFonts w:hint="eastAsia" w:ascii="宋体" w:hAnsi="宋体" w:eastAsia="宋体" w:cs="宋体"/>
          <w:color w:val="auto"/>
          <w:kern w:val="0"/>
          <w:sz w:val="21"/>
          <w:szCs w:val="24"/>
          <w:highlight w:val="none"/>
          <w:lang w:val="en-US" w:eastAsia="zh-CN"/>
        </w:rPr>
        <w:t>：</w:t>
      </w:r>
      <w:r>
        <w:rPr>
          <w:rFonts w:hint="eastAsia" w:ascii="宋体" w:hAnsi="宋体" w:eastAsia="宋体" w:cs="宋体"/>
          <w:color w:val="auto"/>
          <w:kern w:val="0"/>
          <w:sz w:val="21"/>
          <w:szCs w:val="24"/>
          <w:highlight w:val="non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7</w:t>
      </w:r>
      <w:r>
        <w:rPr>
          <w:rFonts w:hint="eastAsia" w:ascii="宋体" w:hAnsi="宋体" w:eastAsia="宋体" w:cs="宋体"/>
          <w:color w:val="auto"/>
          <w:kern w:val="0"/>
          <w:sz w:val="21"/>
          <w:szCs w:val="24"/>
          <w:highlight w:val="none"/>
          <w:lang w:eastAsia="zh-CN"/>
        </w:rPr>
        <w:t>）每期付款支付前，承包方应向发包方提供付款申请，待发包方同意后，承包方按每期付款金额提供等额、合法有效的增值税发票。承包方无法在上述付款期限内提供相应的发票的，发包方有权顺延支付款项而不承担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上述所有款项</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含预付款、</w:t>
      </w:r>
      <w:r>
        <w:rPr>
          <w:rFonts w:hint="eastAsia" w:ascii="宋体" w:hAnsi="宋体" w:eastAsia="宋体" w:cs="宋体"/>
          <w:color w:val="auto"/>
          <w:kern w:val="0"/>
          <w:sz w:val="21"/>
          <w:szCs w:val="24"/>
          <w:highlight w:val="none"/>
        </w:rPr>
        <w:t>绿色施工安全防护费</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均在广州</w:t>
      </w:r>
      <w:r>
        <w:rPr>
          <w:rFonts w:hint="eastAsia" w:ascii="宋体" w:hAnsi="宋体" w:eastAsia="宋体" w:cs="宋体"/>
          <w:color w:val="auto"/>
          <w:kern w:val="0"/>
          <w:sz w:val="21"/>
          <w:szCs w:val="24"/>
          <w:highlight w:val="none"/>
          <w:lang w:val="en-US" w:eastAsia="zh-CN"/>
        </w:rPr>
        <w:t>黄埔区</w:t>
      </w:r>
      <w:r>
        <w:rPr>
          <w:rFonts w:hint="eastAsia" w:ascii="宋体" w:hAnsi="宋体" w:eastAsia="宋体" w:cs="宋体"/>
          <w:color w:val="auto"/>
          <w:kern w:val="0"/>
          <w:sz w:val="21"/>
          <w:szCs w:val="24"/>
          <w:highlight w:val="none"/>
        </w:rPr>
        <w:t>开发区财政局审定该专项资金并拨款到位后支付。办理工程款财政请款手续的时间不计入付款期限。承包人应提前向发包人开具等额有效的发票，发包人凭发票办理财政请款手续，因承包人提供发票迟延的，发包人付款时间顺延。</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u w:val="singl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76" w:name="_Toc469384131"/>
      <w:bookmarkStart w:id="577" w:name="_Toc10624975"/>
      <w:r>
        <w:rPr>
          <w:rFonts w:hint="eastAsia" w:ascii="宋体" w:hAnsi="宋体" w:eastAsia="宋体" w:cs="宋体"/>
          <w:b/>
          <w:bCs/>
          <w:color w:val="auto"/>
          <w:sz w:val="21"/>
          <w:szCs w:val="24"/>
          <w:highlight w:val="none"/>
        </w:rPr>
        <w:t>82</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竣工结算</w:t>
      </w:r>
      <w:bookmarkEnd w:id="576"/>
      <w:bookmarkEnd w:id="577"/>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82.1 竣工结算的程序和时限：工程竣工验收后，应于3个月内组织完成工程结算评审。所有因变更、签证及价格调整等原因所调整增加的工程价款均应由承包人按广州黄埔区、开发区及发包人相关规定程序，报监理初审，经发包人审批同意后，按审定金额另行签订补充协议支付或在工程结算</w:t>
      </w:r>
      <w:r>
        <w:rPr>
          <w:rFonts w:hint="eastAsia" w:ascii="宋体" w:hAnsi="宋体" w:eastAsia="宋体" w:cs="宋体"/>
          <w:color w:val="auto"/>
          <w:kern w:val="0"/>
          <w:sz w:val="21"/>
          <w:szCs w:val="24"/>
          <w:highlight w:val="none"/>
          <w:lang w:val="en-US" w:eastAsia="zh-CN"/>
        </w:rPr>
        <w:t>后</w:t>
      </w:r>
      <w:r>
        <w:rPr>
          <w:rFonts w:hint="eastAsia" w:ascii="宋体" w:hAnsi="宋体" w:eastAsia="宋体" w:cs="宋体"/>
          <w:color w:val="auto"/>
          <w:kern w:val="0"/>
          <w:sz w:val="21"/>
          <w:szCs w:val="24"/>
          <w:highlight w:val="none"/>
        </w:rPr>
        <w:t>一并支付</w:t>
      </w:r>
      <w:r>
        <w:rPr>
          <w:rFonts w:hint="eastAsia" w:ascii="宋体" w:hAnsi="宋体" w:eastAsia="宋体" w:cs="宋体"/>
          <w:color w:val="auto"/>
          <w:kern w:val="0"/>
          <w:sz w:val="21"/>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82.2</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竣工结算文件清单：</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（1）工程结算书</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（2）工程量计算书</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（3）钢筋抽料表（如有）</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（4）工程承包合同</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（5）工程竣工图（含电子版和相关部门要求的专用软件版本）</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（6）工程竣工资料（含电子版及相关部门要求的专用软件版本、单位工程开工申请报告、单位工程工程竣工验收报告）</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（7）图纸会审记录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（8）设计变更单</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（9）工程洽商记录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（10）监理工程师通知或发包人施工指令</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（11）会议纪要</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（12）现场签证单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（13）材料设备单价呈批审核单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（14）综合单价呈批审核单</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（15）招标文件、答疑纪要</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（16）投标文件（含经济标软件版）、中标通知书</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（17）发包人供应材料收货验收签收单</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（18）其他结算资料</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（19）工期履行审核表</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（20）移交资料签收表</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（21）其它</w:t>
      </w:r>
      <w:r>
        <w:rPr>
          <w:rFonts w:hint="eastAsia" w:ascii="宋体" w:hAnsi="宋体" w:eastAsia="宋体" w:cs="宋体"/>
          <w:color w:val="auto"/>
          <w:kern w:val="0"/>
          <w:sz w:val="21"/>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82.4 结算文件复核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发包人对送审结算资料的具体要求：承包人须</w:t>
      </w:r>
      <w:r>
        <w:rPr>
          <w:rFonts w:hint="eastAsia" w:ascii="宋体" w:hAnsi="宋体" w:eastAsia="宋体" w:cs="宋体"/>
          <w:color w:val="auto"/>
          <w:kern w:val="0"/>
          <w:sz w:val="21"/>
          <w:szCs w:val="24"/>
          <w:highlight w:val="none"/>
          <w:lang w:val="en-US" w:eastAsia="zh-CN"/>
        </w:rPr>
        <w:t>规定时间内，编制竣工结算清单，</w:t>
      </w:r>
      <w:r>
        <w:rPr>
          <w:rFonts w:hint="eastAsia" w:ascii="宋体" w:hAnsi="宋体" w:eastAsia="宋体" w:cs="宋体"/>
          <w:color w:val="auto"/>
          <w:kern w:val="0"/>
          <w:sz w:val="21"/>
          <w:szCs w:val="24"/>
          <w:highlight w:val="none"/>
        </w:rPr>
        <w:t xml:space="preserve">按广州市黄埔区有关规定编制及办理建设项目工程结算。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bookmarkStart w:id="578" w:name="_Toc10624976"/>
      <w:bookmarkStart w:id="579" w:name="_Toc469384132"/>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r>
        <w:rPr>
          <w:rFonts w:hint="eastAsia" w:ascii="宋体" w:hAnsi="宋体" w:eastAsia="宋体" w:cs="宋体"/>
          <w:b/>
          <w:bCs/>
          <w:color w:val="auto"/>
          <w:sz w:val="21"/>
          <w:szCs w:val="24"/>
          <w:highlight w:val="none"/>
        </w:rPr>
        <w:t>★83</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结算款</w:t>
      </w:r>
      <w:bookmarkEnd w:id="578"/>
      <w:bookmarkEnd w:id="579"/>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rPr>
        <w:t>所有工程量（含暂定工程量的结算）的结算均以广州</w:t>
      </w:r>
      <w:r>
        <w:rPr>
          <w:rFonts w:hint="eastAsia" w:ascii="宋体" w:hAnsi="宋体" w:eastAsia="宋体" w:cs="宋体"/>
          <w:color w:val="auto"/>
          <w:kern w:val="0"/>
          <w:sz w:val="21"/>
          <w:szCs w:val="24"/>
          <w:highlight w:val="none"/>
          <w:lang w:val="en-US" w:eastAsia="zh-CN"/>
        </w:rPr>
        <w:t>黄埔区</w:t>
      </w:r>
      <w:r>
        <w:rPr>
          <w:rFonts w:hint="eastAsia" w:ascii="宋体" w:hAnsi="宋体" w:eastAsia="宋体" w:cs="宋体"/>
          <w:color w:val="auto"/>
          <w:kern w:val="0"/>
          <w:sz w:val="21"/>
          <w:szCs w:val="24"/>
          <w:highlight w:val="none"/>
        </w:rPr>
        <w:t>开发区财政局</w:t>
      </w:r>
      <w:r>
        <w:rPr>
          <w:rFonts w:hint="eastAsia" w:ascii="宋体" w:hAnsi="宋体" w:eastAsia="宋体" w:cs="宋体"/>
          <w:color w:val="auto"/>
          <w:kern w:val="0"/>
          <w:sz w:val="21"/>
          <w:szCs w:val="24"/>
          <w:highlight w:val="none"/>
          <w:lang w:val="en-US" w:eastAsia="zh-CN"/>
        </w:rPr>
        <w:t>或其授权机构</w:t>
      </w:r>
      <w:r>
        <w:rPr>
          <w:rFonts w:hint="eastAsia" w:ascii="宋体" w:hAnsi="宋体" w:eastAsia="宋体" w:cs="宋体"/>
          <w:color w:val="auto"/>
          <w:kern w:val="0"/>
          <w:sz w:val="21"/>
          <w:szCs w:val="24"/>
          <w:highlight w:val="none"/>
        </w:rPr>
        <w:t>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eastAsia="宋体" w:cs="宋体"/>
          <w:color w:val="auto"/>
          <w:kern w:val="0"/>
          <w:sz w:val="21"/>
          <w:szCs w:val="24"/>
          <w:highlight w:val="none"/>
          <w:lang w:val="en-US" w:eastAsia="zh-CN"/>
        </w:rPr>
        <w:t>结算款的支付按本合同专用条款执行。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bookmarkStart w:id="580" w:name="_Toc469384133"/>
      <w:bookmarkStart w:id="581" w:name="_Toc10624977"/>
      <w:r>
        <w:rPr>
          <w:rFonts w:hint="eastAsia" w:ascii="宋体" w:hAnsi="宋体" w:eastAsia="宋体" w:cs="宋体"/>
          <w:b/>
          <w:bCs/>
          <w:color w:val="auto"/>
          <w:sz w:val="21"/>
          <w:szCs w:val="24"/>
          <w:highlight w:val="none"/>
        </w:rPr>
        <w:t>★84</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质量保证金</w:t>
      </w:r>
      <w:bookmarkEnd w:id="580"/>
      <w:bookmarkEnd w:id="581"/>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预留工程结算价的</w:t>
      </w:r>
      <w:r>
        <w:rPr>
          <w:rFonts w:hint="eastAsia" w:ascii="宋体" w:hAnsi="宋体" w:eastAsia="宋体" w:cs="宋体"/>
          <w:color w:val="auto"/>
          <w:kern w:val="0"/>
          <w:sz w:val="21"/>
          <w:szCs w:val="24"/>
          <w:highlight w:val="none"/>
        </w:rPr>
        <w:t>3%作为工程质量保修金，待</w:t>
      </w:r>
      <w:r>
        <w:rPr>
          <w:rFonts w:hint="eastAsia" w:ascii="宋体" w:hAnsi="宋体" w:eastAsia="宋体" w:cs="宋体"/>
          <w:color w:val="auto"/>
          <w:kern w:val="0"/>
          <w:sz w:val="21"/>
          <w:szCs w:val="24"/>
          <w:highlight w:val="none"/>
          <w:lang w:val="en-US" w:eastAsia="zh-CN"/>
        </w:rPr>
        <w:t>缺陷责任期</w:t>
      </w:r>
      <w:r>
        <w:rPr>
          <w:rFonts w:hint="eastAsia" w:ascii="宋体" w:hAnsi="宋体" w:eastAsia="宋体" w:cs="宋体"/>
          <w:color w:val="auto"/>
          <w:kern w:val="0"/>
          <w:sz w:val="21"/>
          <w:szCs w:val="24"/>
          <w:highlight w:val="none"/>
        </w:rPr>
        <w:t>满</w:t>
      </w:r>
      <w:r>
        <w:rPr>
          <w:rFonts w:hint="eastAsia" w:ascii="宋体" w:hAnsi="宋体" w:eastAsia="宋体" w:cs="宋体"/>
          <w:color w:val="auto"/>
          <w:kern w:val="0"/>
          <w:sz w:val="21"/>
          <w:szCs w:val="24"/>
          <w:highlight w:val="none"/>
          <w:lang w:val="en-US" w:eastAsia="zh-CN"/>
        </w:rPr>
        <w:t>经验收无质量问题后按合同约定支付。</w:t>
      </w:r>
      <w:r>
        <w:rPr>
          <w:rFonts w:hint="eastAsia" w:ascii="宋体" w:hAnsi="宋体" w:eastAsia="宋体" w:cs="宋体"/>
          <w:color w:val="auto"/>
          <w:kern w:val="0"/>
          <w:sz w:val="21"/>
          <w:szCs w:val="24"/>
          <w:highlight w:val="none"/>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bookmarkStart w:id="582" w:name="_Toc469384135"/>
      <w:bookmarkStart w:id="583" w:name="_Toc10624979"/>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r>
        <w:rPr>
          <w:rFonts w:hint="eastAsia" w:ascii="宋体" w:hAnsi="宋体" w:eastAsia="宋体" w:cs="宋体"/>
          <w:b/>
          <w:bCs/>
          <w:color w:val="auto"/>
          <w:sz w:val="21"/>
          <w:szCs w:val="24"/>
          <w:highlight w:val="none"/>
        </w:rPr>
        <w:t>86</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 xml:space="preserve"> 合同争议</w:t>
      </w:r>
      <w:bookmarkEnd w:id="582"/>
      <w:bookmarkEnd w:id="583"/>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86.4 调解或认定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u w:val="single"/>
          <w:lang w:val="en-US" w:eastAsia="zh-CN"/>
        </w:rPr>
      </w:pPr>
      <w:r>
        <w:rPr>
          <w:rFonts w:hint="eastAsia" w:ascii="宋体" w:hAnsi="宋体" w:eastAsia="宋体" w:cs="宋体"/>
          <w:color w:val="auto"/>
          <w:kern w:val="0"/>
          <w:sz w:val="21"/>
          <w:szCs w:val="24"/>
          <w:highlight w:val="none"/>
        </w:rPr>
        <w:t>争议调解或认定机构：</w:t>
      </w:r>
      <w:r>
        <w:rPr>
          <w:rFonts w:hint="eastAsia" w:ascii="宋体" w:hAnsi="宋体" w:eastAsia="宋体" w:cs="宋体"/>
          <w:color w:val="auto"/>
          <w:kern w:val="0"/>
          <w:sz w:val="21"/>
          <w:szCs w:val="24"/>
          <w:highlight w:val="none"/>
          <w:u w:val="single"/>
        </w:rPr>
        <w:t>由双方协商解决</w:t>
      </w:r>
      <w:r>
        <w:rPr>
          <w:rFonts w:hint="eastAsia" w:ascii="宋体" w:hAnsi="宋体" w:eastAsia="宋体" w:cs="宋体"/>
          <w:color w:val="auto"/>
          <w:kern w:val="0"/>
          <w:sz w:val="21"/>
          <w:szCs w:val="24"/>
          <w:highlight w:val="none"/>
          <w:u w:val="single"/>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86.6 仲裁或诉讼</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解决争议的最终方式：</w:t>
      </w:r>
      <w:r>
        <w:rPr>
          <w:rFonts w:hint="eastAsia" w:ascii="宋体" w:hAnsi="宋体" w:eastAsia="宋体" w:cs="宋体"/>
          <w:color w:val="auto"/>
          <w:kern w:val="0"/>
          <w:sz w:val="21"/>
          <w:szCs w:val="24"/>
          <w:highlight w:val="none"/>
          <w:u w:val="single"/>
        </w:rPr>
        <w:t>向有管辖权的人民法院提起诉讼。</w:t>
      </w:r>
    </w:p>
    <w:p>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90</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val="en-US" w:eastAsia="zh-CN"/>
        </w:rPr>
        <w:t>承包人的违约责任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工期延误的违约责任：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（1）承包人未按发包人或监理单位开工令要求时间开工的，每迟延开工1天，应向发包人支付违约金5000元；</w:t>
      </w:r>
      <w:r>
        <w:rPr>
          <w:rFonts w:hint="eastAsia" w:ascii="宋体" w:hAnsi="宋体" w:eastAsia="宋体" w:cs="宋体"/>
          <w:color w:val="auto"/>
          <w:kern w:val="0"/>
          <w:sz w:val="21"/>
          <w:szCs w:val="24"/>
          <w:highlight w:val="none"/>
          <w:lang w:eastAsia="zh-CN"/>
        </w:rPr>
        <w:t>承包人未按合同工期完工的，延期超过</w:t>
      </w:r>
      <w:r>
        <w:rPr>
          <w:rFonts w:hint="eastAsia" w:ascii="宋体" w:hAnsi="宋体" w:eastAsia="宋体" w:cs="宋体"/>
          <w:color w:val="auto"/>
          <w:kern w:val="0"/>
          <w:sz w:val="21"/>
          <w:szCs w:val="24"/>
          <w:highlight w:val="none"/>
          <w:lang w:val="en-US" w:eastAsia="zh-CN"/>
        </w:rPr>
        <w:t>20天后，没延迟完工1天，应向发包人支付违约金1000元。</w:t>
      </w:r>
      <w:r>
        <w:rPr>
          <w:rFonts w:hint="eastAsia" w:ascii="宋体" w:hAnsi="宋体" w:eastAsia="宋体" w:cs="宋体"/>
          <w:color w:val="auto"/>
          <w:kern w:val="0"/>
          <w:sz w:val="21"/>
          <w:szCs w:val="24"/>
          <w:highlight w:val="none"/>
          <w:lang w:eastAsia="zh-CN"/>
        </w:rPr>
        <w:t>延迟</w:t>
      </w:r>
      <w:r>
        <w:rPr>
          <w:rFonts w:hint="eastAsia" w:ascii="宋体" w:hAnsi="宋体" w:eastAsia="宋体" w:cs="宋体"/>
          <w:color w:val="auto"/>
          <w:kern w:val="0"/>
          <w:sz w:val="21"/>
          <w:szCs w:val="24"/>
          <w:highlight w:val="none"/>
        </w:rPr>
        <w:t>开工超过20天的</w:t>
      </w:r>
      <w:r>
        <w:rPr>
          <w:rFonts w:hint="eastAsia" w:ascii="宋体" w:hAnsi="宋体" w:eastAsia="宋体" w:cs="宋体"/>
          <w:color w:val="auto"/>
          <w:kern w:val="0"/>
          <w:sz w:val="21"/>
          <w:szCs w:val="24"/>
          <w:highlight w:val="none"/>
          <w:lang w:eastAsia="zh-CN"/>
        </w:rPr>
        <w:t>或延迟完工超过</w:t>
      </w:r>
      <w:r>
        <w:rPr>
          <w:rFonts w:hint="eastAsia" w:ascii="宋体" w:hAnsi="宋体" w:eastAsia="宋体" w:cs="宋体"/>
          <w:color w:val="auto"/>
          <w:kern w:val="0"/>
          <w:sz w:val="21"/>
          <w:szCs w:val="24"/>
          <w:highlight w:val="none"/>
          <w:lang w:val="en-US" w:eastAsia="zh-CN"/>
        </w:rPr>
        <w:t>75天的，</w:t>
      </w:r>
      <w:r>
        <w:rPr>
          <w:rFonts w:hint="eastAsia" w:ascii="宋体" w:hAnsi="宋体" w:eastAsia="宋体" w:cs="宋体"/>
          <w:color w:val="auto"/>
          <w:kern w:val="0"/>
          <w:sz w:val="21"/>
          <w:szCs w:val="24"/>
          <w:highlight w:val="none"/>
        </w:rPr>
        <w:t>发包人有权根据实际情况单方面解除合同。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因承包人的原因造成工期延误，其中属节点工期延误，从延误的第一天起，每天支付违约金5000元，如在下一个节点赶回工期，可免除上述违约金。属总工期延误，从总工期延误的第一天起，每天支付违约金20000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承包人必须按期完成主要工序的施工任务，若属承包人原因逾期达10天未完成主要节点的施工任务时，除按第（1）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承包人承担的进度严重违约责任为：如果承包人出现进度严重违约事件，则须无条件接受发包人终止合同，并在接到终止合同通知书之日起5个日历天内（承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（6）承包人违反合同专用条款的约定和发包人的规定，逾期完成竣工档案的整理、移交、送审备案工作的，每逾期1天，承包人支付违约金5000元。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安全、文明施工要求及违约处理：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10000元人民币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（4）在施工过程中发生安全事故的，除按照</w:t>
      </w:r>
      <w:r>
        <w:rPr>
          <w:rFonts w:hint="eastAsia" w:ascii="宋体" w:hAnsi="宋体" w:eastAsia="宋体" w:cs="宋体"/>
          <w:color w:val="auto"/>
          <w:kern w:val="0"/>
          <w:sz w:val="21"/>
          <w:szCs w:val="24"/>
          <w:highlight w:val="none"/>
          <w:lang w:val="en-US" w:eastAsia="zh-CN"/>
        </w:rPr>
        <w:t>法律的相关规定进行赔偿及</w:t>
      </w:r>
      <w:r>
        <w:rPr>
          <w:rFonts w:hint="eastAsia" w:ascii="宋体" w:hAnsi="宋体" w:eastAsia="宋体" w:cs="宋体"/>
          <w:color w:val="auto"/>
          <w:kern w:val="0"/>
          <w:sz w:val="21"/>
          <w:szCs w:val="24"/>
          <w:highlight w:val="none"/>
        </w:rPr>
        <w:t>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在本工程余泥渣土清运施工和建筑垃圾排放运输时，承包人必须严格执行《广州市余泥渣土管理条例》、《广州市市容环境卫生管理规定》、《广州市建设工程文明施工管理规定》《关于加强施工现场余泥渣土排放管理工作的通知》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（6）经发包人或监理单位抽查发现承包人违反合同专用条款的约定，其技术管理人员或施工作业人员没有佩带平安卡的，承包人按每人次1000元的标准向发包人支付违约金并立即改正。</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3.工程质量方面的违约责任：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关于农民工工资支付的违约责任：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承包人拖欠农民工工资，被农民工投诉属实的，承包人必须在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项目管理机构人员、机械设备、劳动力到位方面的违约责任：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承包人必须保证投标文件中确定的项目负责人及其项目技术负责人、主要施工管理人员能及时地、始终地参与本工程施工管理，在未征得发包人书面同意之前不得更换。如果擅自更换项目负责人或项目技术负责人，承包人每更换一人次，需支付10000元违约金给发包人，如果擅自更换主要施工管理人员，每更换一人次，承包人需支付5000元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（2）如果承包人未按投标文件中的机械设备投入计划投入机械设备，经监理工程师或发包人代表检查发现的，将书面告知限期整改，未在限期内完成整改的，每延期一天，承包人需支付3000元违约金给发包人。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（3）如果承包人未投标文件中的人力投入计划投入人力，经监理工程师和发包人代表检查发现的，每发现一次，承包人支付10000元违约金给发包人。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发包人将发出书面警告，警告发出后15天内，主要工序的工期延误仍然超过10天，发包人将作为不良纪录报区建设行政主管部门备案。对此，承包人不得有异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承包人的项目负责人、技术负责人、安全负责人、质量负责人、防火负责人等必须常驻施工现场，且须无条件参加每周的工地例会以及双方约定的其它重要会议，如有缺席，则每人每缺席一次，承包人需支付2000元人民币违约金。</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6.工程转包违约责任：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合同约定的工程项目承包人不得转包</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未</w:t>
      </w:r>
      <w:r>
        <w:rPr>
          <w:rFonts w:hint="eastAsia" w:ascii="宋体" w:hAnsi="宋体" w:eastAsia="宋体" w:cs="宋体"/>
          <w:color w:val="auto"/>
          <w:kern w:val="0"/>
          <w:sz w:val="21"/>
          <w:szCs w:val="24"/>
          <w:highlight w:val="none"/>
        </w:rPr>
        <w:t>得</w:t>
      </w:r>
      <w:r>
        <w:rPr>
          <w:rFonts w:hint="eastAsia" w:ascii="宋体" w:hAnsi="宋体" w:eastAsia="宋体" w:cs="宋体"/>
          <w:color w:val="auto"/>
          <w:kern w:val="0"/>
          <w:sz w:val="21"/>
          <w:szCs w:val="24"/>
          <w:highlight w:val="none"/>
          <w:lang w:val="en-US" w:eastAsia="zh-CN"/>
        </w:rPr>
        <w:t>到</w:t>
      </w:r>
      <w:r>
        <w:rPr>
          <w:rFonts w:hint="eastAsia" w:ascii="宋体" w:hAnsi="宋体" w:eastAsia="宋体" w:cs="宋体"/>
          <w:color w:val="auto"/>
          <w:kern w:val="0"/>
          <w:sz w:val="21"/>
          <w:szCs w:val="24"/>
          <w:highlight w:val="none"/>
        </w:rPr>
        <w:t>监理人、发包人的审查同意</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承包人擅自对工程项目或子项目工程、专业工程进行分包、转包的，</w:t>
      </w:r>
      <w:r>
        <w:rPr>
          <w:rFonts w:hint="eastAsia" w:ascii="宋体" w:hAnsi="宋体" w:eastAsia="宋体" w:cs="宋体"/>
          <w:color w:val="auto"/>
          <w:kern w:val="0"/>
          <w:sz w:val="21"/>
          <w:szCs w:val="24"/>
          <w:highlight w:val="none"/>
        </w:rPr>
        <w:t>发包人有权单方面终止合同，并令其立即退场，工程项目另行处理，承包人还应按履约担保金额支付违约金，发包人的损失超过履约担保金额的部分，承包人还应承担赔偿责任</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如合同未约定履约担保事项的，承包人应向发包人支付合同价的10%作为违约金</w:t>
      </w:r>
      <w:r>
        <w:rPr>
          <w:rFonts w:hint="eastAsia" w:ascii="宋体" w:hAnsi="宋体" w:eastAsia="宋体" w:cs="宋体"/>
          <w:color w:val="auto"/>
          <w:sz w:val="21"/>
          <w:szCs w:val="24"/>
          <w:highlight w:val="none"/>
        </w:rPr>
        <w:t>。</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7.解除合同的违约责任：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因承包人严重违约，发包人单方面解除合同或承包人违约擅自解除合同的，承包人应向发包人支付本合同价款10%的违约金，因解除合同导致发包人的损失超过违约金的部分，承包人还应承担赔偿责任。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8.办理结算的违约责任：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rPr>
        <w:t>承包人</w:t>
      </w:r>
      <w:r>
        <w:rPr>
          <w:rFonts w:hint="eastAsia" w:ascii="宋体" w:hAnsi="宋体" w:eastAsia="宋体" w:cs="宋体"/>
          <w:color w:val="auto"/>
          <w:kern w:val="0"/>
          <w:sz w:val="21"/>
          <w:szCs w:val="24"/>
          <w:highlight w:val="none"/>
          <w:lang w:val="en-US" w:eastAsia="zh-CN"/>
        </w:rPr>
        <w:t>未在工程竣工验收70天内编制并提交结算资料的，每逾期一天，应向发包人支付违约金500元，支付违约最高限额为合同价款的5%；如果因承包人竣工资料编制不完整（如竣工图不符合现场、清单漏算工程量等）等原因，被黄埔区财政局退审的，应一次性向发包人支付违约金3万元。</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9.除上述违约责任外，因承包人履行本合同不符合约定或相关规定，发包人可根据实际情况，给予承包人通报批评及作不良记录等处罚措施；情节严重的，可报请上级行政主管部门给予相应处罚。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lang w:val="en-US" w:eastAsia="zh-CN"/>
        </w:rPr>
      </w:pPr>
      <w:r>
        <w:rPr>
          <w:rFonts w:hint="eastAsia" w:ascii="宋体" w:hAnsi="宋体" w:eastAsia="宋体" w:cs="宋体"/>
          <w:b/>
          <w:bCs/>
          <w:color w:val="auto"/>
          <w:sz w:val="21"/>
          <w:szCs w:val="24"/>
          <w:highlight w:val="none"/>
          <w:lang w:val="en-US" w:eastAsia="zh-CN"/>
        </w:rPr>
        <w:t>91</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发包人</w:t>
      </w:r>
      <w:r>
        <w:rPr>
          <w:rFonts w:hint="eastAsia" w:ascii="宋体" w:hAnsi="宋体" w:eastAsia="宋体" w:cs="宋体"/>
          <w:b/>
          <w:bCs/>
          <w:color w:val="auto"/>
          <w:sz w:val="21"/>
          <w:szCs w:val="24"/>
          <w:highlight w:val="none"/>
          <w:lang w:val="en-US" w:eastAsia="zh-CN"/>
        </w:rPr>
        <w:t>的</w:t>
      </w:r>
      <w:r>
        <w:rPr>
          <w:rFonts w:hint="eastAsia" w:ascii="宋体" w:hAnsi="宋体" w:eastAsia="宋体" w:cs="宋体"/>
          <w:b/>
          <w:bCs/>
          <w:color w:val="auto"/>
          <w:sz w:val="21"/>
          <w:szCs w:val="24"/>
          <w:highlight w:val="none"/>
        </w:rPr>
        <w:t>违约</w:t>
      </w:r>
      <w:r>
        <w:rPr>
          <w:rFonts w:hint="eastAsia" w:ascii="宋体" w:hAnsi="宋体" w:eastAsia="宋体" w:cs="宋体"/>
          <w:b/>
          <w:bCs/>
          <w:color w:val="auto"/>
          <w:sz w:val="21"/>
          <w:szCs w:val="24"/>
          <w:highlight w:val="none"/>
          <w:lang w:val="en-US" w:eastAsia="zh-CN"/>
        </w:rPr>
        <w:t>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本合同通用条款第35.1条约定发包人违约应承担的责任：</w:t>
      </w:r>
      <w:r>
        <w:rPr>
          <w:rFonts w:hint="eastAsia" w:ascii="宋体" w:hAnsi="宋体" w:eastAsia="宋体" w:cs="宋体"/>
          <w:color w:val="auto"/>
          <w:kern w:val="0"/>
          <w:sz w:val="21"/>
          <w:szCs w:val="24"/>
          <w:highlight w:val="none"/>
          <w:u w:val="single"/>
        </w:rPr>
        <w:t>顺延工期，但不作费用赔偿。</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双方约定的发包人其他违约责任：</w:t>
      </w:r>
      <w:r>
        <w:rPr>
          <w:rFonts w:hint="eastAsia" w:ascii="宋体" w:hAnsi="宋体" w:eastAsia="宋体" w:cs="宋体"/>
          <w:color w:val="auto"/>
          <w:kern w:val="0"/>
          <w:sz w:val="21"/>
          <w:szCs w:val="24"/>
          <w:highlight w:val="none"/>
          <w:u w:val="single"/>
        </w:rPr>
        <w:t xml:space="preserve">   /    。</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leftChars="200"/>
        <w:textAlignment w:val="auto"/>
        <w:rPr>
          <w:rFonts w:hint="eastAsia" w:ascii="宋体" w:hAnsi="宋体" w:eastAsia="宋体" w:cs="宋体"/>
          <w:color w:val="auto"/>
          <w:kern w:val="0"/>
          <w:sz w:val="21"/>
          <w:szCs w:val="24"/>
          <w:highlight w:val="none"/>
        </w:rPr>
      </w:pPr>
      <w:bookmarkStart w:id="584" w:name="_Toc469384136"/>
      <w:bookmarkStart w:id="585" w:name="_Toc10624980"/>
      <w:bookmarkStart w:id="586" w:name="_Toc469384139"/>
      <w:bookmarkStart w:id="587" w:name="_Toc266892923"/>
      <w:bookmarkStart w:id="588" w:name="_Toc10624983"/>
      <w:r>
        <w:rPr>
          <w:rFonts w:hint="eastAsia" w:hAnsi="宋体" w:eastAsia="宋体" w:cs="宋体"/>
          <w:b/>
          <w:bCs/>
          <w:color w:val="auto"/>
          <w:sz w:val="21"/>
          <w:szCs w:val="24"/>
          <w:highlight w:val="none"/>
          <w:lang w:val="en-US" w:eastAsia="zh-CN"/>
        </w:rPr>
        <w:t xml:space="preserve">94  </w:t>
      </w:r>
      <w:r>
        <w:rPr>
          <w:rFonts w:hint="eastAsia" w:ascii="宋体" w:hAnsi="宋体" w:eastAsia="宋体" w:cs="宋体"/>
          <w:b/>
          <w:bCs/>
          <w:color w:val="auto"/>
          <w:sz w:val="21"/>
          <w:szCs w:val="24"/>
          <w:highlight w:val="none"/>
        </w:rPr>
        <w:t>保密要求</w:t>
      </w:r>
      <w:bookmarkEnd w:id="584"/>
      <w:bookmarkEnd w:id="585"/>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rPr>
        <w:t>94.1 提供保密信息的期限：</w:t>
      </w:r>
      <w:r>
        <w:rPr>
          <w:rFonts w:hint="eastAsia" w:ascii="宋体" w:hAnsi="宋体" w:eastAsia="宋体" w:cs="宋体"/>
          <w:color w:val="auto"/>
          <w:kern w:val="0"/>
          <w:sz w:val="21"/>
          <w:szCs w:val="24"/>
          <w:highlight w:val="none"/>
          <w:u w:val="single"/>
          <w:lang w:val="en-US" w:eastAsia="zh-CN"/>
        </w:rPr>
        <w:t>长期。</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bookmarkStart w:id="589" w:name="_Toc469384137"/>
      <w:bookmarkStart w:id="590" w:name="_Toc10624981"/>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color w:val="auto"/>
          <w:kern w:val="0"/>
          <w:sz w:val="21"/>
          <w:szCs w:val="24"/>
          <w:highlight w:val="none"/>
        </w:rPr>
      </w:pPr>
      <w:r>
        <w:rPr>
          <w:rFonts w:hint="eastAsia" w:ascii="宋体" w:hAnsi="宋体" w:eastAsia="宋体" w:cs="宋体"/>
          <w:b/>
          <w:bCs/>
          <w:color w:val="auto"/>
          <w:sz w:val="21"/>
          <w:szCs w:val="24"/>
          <w:highlight w:val="none"/>
        </w:rPr>
        <w:t>97</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合同份数</w:t>
      </w:r>
      <w:bookmarkEnd w:id="589"/>
      <w:bookmarkEnd w:id="590"/>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9</w:t>
      </w:r>
      <w:r>
        <w:rPr>
          <w:rFonts w:hint="eastAsia" w:ascii="宋体" w:hAnsi="宋体" w:eastAsia="宋体" w:cs="宋体"/>
          <w:color w:val="auto"/>
          <w:kern w:val="0"/>
          <w:sz w:val="21"/>
          <w:szCs w:val="24"/>
          <w:highlight w:val="none"/>
          <w:lang w:val="en-US" w:eastAsia="zh-CN"/>
        </w:rPr>
        <w:t>7</w:t>
      </w:r>
      <w:r>
        <w:rPr>
          <w:rFonts w:hint="eastAsia" w:ascii="宋体" w:hAnsi="宋体" w:eastAsia="宋体" w:cs="宋体"/>
          <w:color w:val="auto"/>
          <w:kern w:val="0"/>
          <w:sz w:val="21"/>
          <w:szCs w:val="24"/>
          <w:highlight w:val="none"/>
        </w:rPr>
        <w:t>.2 正副本效力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合同的份数：正本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4</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份，副本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4</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 xml:space="preserve">  </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其中：发包人正本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2</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份，副本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2</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 xml:space="preserve">        </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承包人正本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2</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份，副本</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u w:val="single"/>
          <w:lang w:val="en-US" w:eastAsia="zh-CN"/>
        </w:rPr>
        <w:t>2</w:t>
      </w:r>
      <w:r>
        <w:rPr>
          <w:rFonts w:hint="eastAsia" w:ascii="宋体" w:hAnsi="宋体" w:eastAsia="宋体" w:cs="宋体"/>
          <w:color w:val="auto"/>
          <w:kern w:val="0"/>
          <w:sz w:val="21"/>
          <w:szCs w:val="24"/>
          <w:highlight w:val="none"/>
          <w:u w:val="single"/>
        </w:rPr>
        <w:t xml:space="preserve">      </w:t>
      </w:r>
      <w:r>
        <w:rPr>
          <w:rFonts w:hint="eastAsia" w:ascii="宋体" w:hAnsi="宋体" w:eastAsia="宋体" w:cs="宋体"/>
          <w:color w:val="auto"/>
          <w:kern w:val="0"/>
          <w:sz w:val="21"/>
          <w:szCs w:val="24"/>
          <w:highlight w:val="none"/>
        </w:rPr>
        <w:t>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 xml:space="preserve"> </w:t>
      </w:r>
    </w:p>
    <w:p>
      <w:pPr>
        <w:pStyle w:val="9"/>
        <w:keepNext w:val="0"/>
        <w:keepLines w:val="0"/>
        <w:pageBreakBefore w:val="0"/>
        <w:widowControl w:val="0"/>
        <w:numPr>
          <w:ilvl w:val="0"/>
          <w:numId w:val="0"/>
        </w:numPr>
        <w:tabs>
          <w:tab w:val="left" w:pos="420"/>
          <w:tab w:val="left" w:pos="576"/>
        </w:tabs>
        <w:kinsoku/>
        <w:wordWrap/>
        <w:overflowPunct/>
        <w:topLinePunct w:val="0"/>
        <w:bidi w:val="0"/>
        <w:spacing w:before="0" w:line="360" w:lineRule="auto"/>
        <w:ind w:firstLine="422" w:firstLineChars="200"/>
        <w:textAlignment w:val="auto"/>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lang w:val="en-US" w:eastAsia="zh-CN"/>
        </w:rPr>
        <w:t>99</w:t>
      </w:r>
      <w:r>
        <w:rPr>
          <w:rFonts w:hint="eastAsia" w:hAnsi="宋体" w:eastAsia="宋体" w:cs="宋体"/>
          <w:b/>
          <w:bCs/>
          <w:color w:val="auto"/>
          <w:sz w:val="21"/>
          <w:szCs w:val="24"/>
          <w:highlight w:val="none"/>
          <w:lang w:val="en-US" w:eastAsia="zh-CN"/>
        </w:rPr>
        <w:t xml:space="preserve">  </w:t>
      </w:r>
      <w:r>
        <w:rPr>
          <w:rFonts w:hint="eastAsia" w:ascii="宋体" w:hAnsi="宋体" w:eastAsia="宋体" w:cs="宋体"/>
          <w:b/>
          <w:bCs/>
          <w:color w:val="auto"/>
          <w:sz w:val="21"/>
          <w:szCs w:val="24"/>
          <w:highlight w:val="none"/>
        </w:rPr>
        <w:t>补充条款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（安全、文明、科学、规范的施工要求）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承包人在开工前，必须按照广州市、开发区有关要求办理好相应的施工手续方可开工。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施工范围的具体位置及可交付承包人施工安排的用地范围，由承包人根据现场勘察情况报发包人同意确定，建筑轴线控制基点由承包人联系规划局提供。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.4</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承包人在施工期间要确保工程外场地清洁及道路畅通，如须使用他方道路，则还必须负责养护、保洁责任，否则责任自负。施工和警示标志明显，因施工造成人身损害和财产损失的，由承包人承担责任。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.5</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承包人必须考虑安全、环保等因素在局部施工范围进行围蔽施工，现场围蔽不符合国家有关安全措施及技术要求的，不得开展施工作业，由此造成的工期延长，由承包人自己负责，当作延误工期处理。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.6</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.7</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.8</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若遇阻碍施工需拆迁的旧建（构）筑物、地下孤石等障碍物，由承包人自行解决，所需清障费用经监理、发包人现场签证调整。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.9</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.10</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双方根据国家有关规定，结合具体工程约定质量缺陷责任期如下：</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1、基础设施工程、房屋建筑的地基基础工程和主体结构工程为2年；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2、屋面防水工程为 2 年，室外装饰工程为 2 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3、电力管线、上下水管线安装工程为 2 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4、供热及供冷为2个采暖期及供冷期；</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5、室外的上下水和小区道路等市政公用工程为2 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6、市政道路排水工程为 2 年，市政供水工程为 2 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7、市政供电工程为2 年，市政道路照明工程 2 年，市政交通设施工程为 2 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8、园林建筑工程为1年，喷淋工程为2年，胸径15cm以内（含15cm）的苗木养护期为3个月，胸径15cm以上的苗木养护期为1年。</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9、除上述专业工程外其它工程的质量缺陷责任期按相关规定或经双方另行协商确定。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.11本工程的保修期按本合同《工程质量保修责任书》规定的保修期限实行。在保修期内因施工质量而造成返修，其费用由承包人负责。工程质量按市政工程现行验评标准组织验收认定。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（农民工佣工要求）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.12</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承包人必须按照穗开规『2004』58号文的有关要求及规定优先使用广州开发区的农民工。</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.13</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.14</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必须严格执行广州市黄埔区人民政府办公室《关于贯彻实施国家劳动部、建设部&lt;建设领域农民工工资支付管理暂行办法&gt;的若干意见》（穗萝府办[2005]21号）的有关规定（包括但不限于）：必须向区劳动保障部门申报用工人数、工资支付制度、工程规模等情况；必须定期参加区劳动保障部门在区建设领域建立和推行的劳动管理培训；本工程开工前，按工程总造价的3%（最高金额不超过100万元）向区劳动保障部门缴付农民工工资支付保障金，并在本工程施工合同履行过程中确保此保障金额度符合区劳动保障部门的规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.15</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若承包人在本工程内发生无故拖欠农民工工资现象，将被作不良记录，上报区建设行政主管部门。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（项目管理机构人员、机械设备、劳动力到位方面的要求）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.16</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.17</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.18</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现场施工时，施工员（技术员）不在施工现场不得施工，否则发包人可随时要求停工，工期延误由承包人负责。</w:t>
      </w:r>
      <w:r>
        <w:rPr>
          <w:rFonts w:hint="eastAsia" w:ascii="宋体" w:hAnsi="宋体" w:cs="宋体"/>
          <w:color w:val="auto"/>
          <w:szCs w:val="21"/>
          <w:highlight w:val="none"/>
        </w:rPr>
        <w:t>项目负责人、技术负责人、五大员（施工员、质检员、测量员、安全员、资料员）等投标承诺关键人员必须长驻工地现场。关键人员短期离开工地时应委托其他有资质的人员代行其职，离岗两天以内的，需书面向现场监理请假；离岗两天及以上的，需书面向总监请假，并经发包人书面批准。</w:t>
      </w:r>
      <w:r>
        <w:rPr>
          <w:rFonts w:hint="eastAsia" w:ascii="宋体" w:hAnsi="宋体" w:cs="宋体"/>
          <w:color w:val="auto"/>
          <w:szCs w:val="21"/>
          <w:highlight w:val="none"/>
          <w:lang w:val="en-US" w:eastAsia="zh-CN"/>
        </w:rPr>
        <w:t>否则承包人应按2</w:t>
      </w:r>
      <w:r>
        <w:rPr>
          <w:rFonts w:hint="eastAsia" w:ascii="宋体" w:hAnsi="宋体" w:cs="宋体"/>
          <w:color w:val="auto"/>
          <w:szCs w:val="21"/>
          <w:highlight w:val="none"/>
        </w:rPr>
        <w:t>000元/</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天</w:t>
      </w:r>
      <w:r>
        <w:rPr>
          <w:rFonts w:hint="eastAsia" w:ascii="宋体" w:hAnsi="宋体" w:cs="宋体"/>
          <w:color w:val="auto"/>
          <w:szCs w:val="21"/>
          <w:highlight w:val="none"/>
          <w:lang w:val="en-US" w:eastAsia="zh-CN"/>
        </w:rPr>
        <w:t>向发包人支付违约金</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违约金可</w:t>
      </w:r>
      <w:r>
        <w:rPr>
          <w:rFonts w:hint="eastAsia" w:ascii="宋体" w:hAnsi="宋体" w:cs="宋体"/>
          <w:color w:val="auto"/>
          <w:szCs w:val="21"/>
          <w:highlight w:val="none"/>
        </w:rPr>
        <w:t>在工程结算款中扣除。</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.19</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承包人派往现场的管理人员若因不负责任、或玩忽职守、或严重失职等给发包人造成经济损失，承包人承担相应的经济责任和连带法律责任。</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（投标报价及造价承包和变更结算方式的要求）</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.20</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工程量清单报价中有关问题的说明：</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工程量清单中的标志杆基础中的土方开挖、运输、外运等费用包含在相应项目中，不包含在土石方工程的相关项目中；</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投标时,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rPr>
        <w:t>工程量清单中措施项目清单费计价表中的安全防护，文明施工措施费执行《转发省建设厅关于安全防护、文明施工措施费用计算补充规定的通知》（穗建筑[2008]967号文），安全防护，文明施工措施费按广州开发区财政局审定的本工程最高报价中的安全防护，文明施工措施费计取，作为非竞争费用，在投标报价中单列，不参与投标竞价，该费用从工程施工中标价中提取，专款专用。</w:t>
      </w:r>
    </w:p>
    <w:p>
      <w:pPr>
        <w:pStyle w:val="2"/>
        <w:spacing w:line="360" w:lineRule="auto"/>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99.21 工程内容设备材料等相关问题的说明：</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本项目所承包范围内所需的一切设备材料、成品、未成品等项目材料设备以及完成本项目各项工作所需的设备、器具和其他物品等施工设备，均由负责提供，</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不提供任何材料。项目材料设备的运输、保管、质量等责任均由</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承担。</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采购供应的设备材料，其名称、品种、型号、规格、质量等，均应符合国家、地方及行业有关规范与本项目图纸等技术文件</w:t>
      </w:r>
      <w:r>
        <w:rPr>
          <w:rFonts w:hint="eastAsia" w:ascii="宋体" w:hAnsi="宋体" w:eastAsia="宋体" w:cs="宋体"/>
          <w:color w:val="auto"/>
          <w:kern w:val="0"/>
          <w:sz w:val="21"/>
          <w:szCs w:val="24"/>
          <w:highlight w:val="none"/>
          <w:lang w:eastAsia="zh-CN"/>
        </w:rPr>
        <w:t>、招标文件及</w:t>
      </w:r>
      <w:r>
        <w:rPr>
          <w:rFonts w:hint="eastAsia" w:ascii="宋体" w:hAnsi="宋体" w:eastAsia="宋体" w:cs="宋体"/>
          <w:color w:val="auto"/>
          <w:kern w:val="0"/>
          <w:sz w:val="21"/>
          <w:szCs w:val="24"/>
          <w:highlight w:val="none"/>
        </w:rPr>
        <w:t>合同要求。</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3</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所有材料都必须有材料质检部门出具的合格证明，并保证产品的有效性。</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4</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由于</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不按合同约定、不按图纸施工或提供的伪劣、假冒等所有不符合本合同要求的项目材料而导致的一切损失、事故及后果，均由</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负责并赔偿</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所有损失，并负责免费返修，包括但不限于更换所有已施工的不合格材料、拆除不符合要求的项目并重新施工等。</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5</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若</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使用的标准在技术要求的规定外，</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应明确说明用于替代的标准或使用规范，并提供所使用的标准，该标准必须是国际公认的同等或更高级的标准，如</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所使用的标准低于上述标准，</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将有权不予接受。</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6</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必须根据 报价表上主要材料的明细（包括厂家、规格、品质等级等）提供材料。项目实施时，如发生货不对板，</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有权拒用，造成损失由</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承担，且</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应负责更换成符合要求的材料并承担由此发生的一切费用。</w:t>
      </w:r>
    </w:p>
    <w:p>
      <w:pPr>
        <w:pStyle w:val="2"/>
        <w:spacing w:line="360" w:lineRule="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7</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保留对本项目使用之主要材料品质确认审查的权利及保留另行委托专业队伍对本项目进行独立检测的权利</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如检测为合格的检测费用由</w:t>
      </w:r>
      <w:r>
        <w:rPr>
          <w:rFonts w:hint="eastAsia" w:ascii="宋体" w:hAnsi="宋体" w:eastAsia="宋体" w:cs="宋体"/>
          <w:color w:val="auto"/>
          <w:kern w:val="0"/>
          <w:sz w:val="21"/>
          <w:szCs w:val="24"/>
          <w:highlight w:val="none"/>
          <w:lang w:eastAsia="zh-CN"/>
        </w:rPr>
        <w:t>发包方</w:t>
      </w:r>
      <w:r>
        <w:rPr>
          <w:rFonts w:hint="eastAsia" w:ascii="宋体" w:hAnsi="宋体" w:eastAsia="宋体" w:cs="宋体"/>
          <w:color w:val="auto"/>
          <w:kern w:val="0"/>
          <w:sz w:val="21"/>
          <w:szCs w:val="24"/>
          <w:highlight w:val="none"/>
        </w:rPr>
        <w:t>承担；如检测为不合格的检测费用由</w:t>
      </w:r>
      <w:r>
        <w:rPr>
          <w:rFonts w:hint="eastAsia" w:ascii="宋体" w:hAnsi="宋体" w:eastAsia="宋体" w:cs="宋体"/>
          <w:color w:val="auto"/>
          <w:kern w:val="0"/>
          <w:sz w:val="21"/>
          <w:szCs w:val="24"/>
          <w:highlight w:val="none"/>
          <w:lang w:eastAsia="zh-CN"/>
        </w:rPr>
        <w:t>承包方</w:t>
      </w:r>
      <w:r>
        <w:rPr>
          <w:rFonts w:hint="eastAsia" w:ascii="宋体" w:hAnsi="宋体" w:eastAsia="宋体" w:cs="宋体"/>
          <w:color w:val="auto"/>
          <w:kern w:val="0"/>
          <w:sz w:val="21"/>
          <w:szCs w:val="24"/>
          <w:highlight w:val="none"/>
        </w:rPr>
        <w:t>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99.22 </w:t>
      </w:r>
      <w:r>
        <w:rPr>
          <w:rFonts w:hint="eastAsia" w:ascii="宋体" w:hAnsi="宋体" w:eastAsia="宋体" w:cs="宋体"/>
          <w:color w:val="auto"/>
          <w:kern w:val="0"/>
          <w:sz w:val="21"/>
          <w:szCs w:val="24"/>
          <w:highlight w:val="non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3 </w:t>
      </w:r>
      <w:r>
        <w:rPr>
          <w:rFonts w:hint="eastAsia" w:ascii="宋体" w:hAnsi="宋体" w:eastAsia="宋体" w:cs="宋体"/>
          <w:color w:val="auto"/>
          <w:kern w:val="0"/>
          <w:sz w:val="21"/>
          <w:szCs w:val="24"/>
          <w:highlight w:val="non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4 </w:t>
      </w:r>
      <w:r>
        <w:rPr>
          <w:rFonts w:hint="eastAsia" w:ascii="宋体" w:hAnsi="宋体" w:eastAsia="宋体" w:cs="宋体"/>
          <w:color w:val="auto"/>
          <w:kern w:val="0"/>
          <w:sz w:val="21"/>
          <w:szCs w:val="24"/>
          <w:highlight w:val="none"/>
        </w:rPr>
        <w:t>在整个合同执行期间发包人如发现有不合理投标报价的，发包人有权按有关规定和合同约定进行调整，并将书面通知承包人，并以此作为结算依据。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5 </w:t>
      </w:r>
      <w:r>
        <w:rPr>
          <w:rFonts w:hint="eastAsia" w:ascii="宋体" w:hAnsi="宋体" w:eastAsia="宋体" w:cs="宋体"/>
          <w:color w:val="auto"/>
          <w:kern w:val="0"/>
          <w:sz w:val="21"/>
          <w:szCs w:val="24"/>
          <w:highlight w:val="none"/>
        </w:rPr>
        <w:t>本工程采用的主要材料推荐选用《关于正式印发广州市黄埔区人民政府建设项目相关专业主要材料供应商及品牌库的通知》（穗开建管【2015】1号）中第   档次品牌、厂家或选用相当于该档次和质量（或以上）的产品。所有材料品牌选择均须报发包人、监理工程师确认，且经检验合格后方能使用。</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6 </w:t>
      </w:r>
      <w:r>
        <w:rPr>
          <w:rFonts w:hint="eastAsia" w:ascii="宋体" w:hAnsi="宋体" w:eastAsia="宋体" w:cs="宋体"/>
          <w:color w:val="auto"/>
          <w:kern w:val="0"/>
          <w:sz w:val="21"/>
          <w:szCs w:val="24"/>
          <w:highlight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7 </w:t>
      </w:r>
      <w:r>
        <w:rPr>
          <w:rFonts w:hint="eastAsia" w:ascii="宋体" w:hAnsi="宋体" w:eastAsia="宋体" w:cs="宋体"/>
          <w:color w:val="auto"/>
          <w:kern w:val="0"/>
          <w:sz w:val="21"/>
          <w:szCs w:val="24"/>
          <w:highlight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8 </w:t>
      </w:r>
      <w:r>
        <w:rPr>
          <w:rFonts w:hint="eastAsia" w:ascii="宋体" w:hAnsi="宋体" w:eastAsia="宋体" w:cs="宋体"/>
          <w:color w:val="auto"/>
          <w:kern w:val="0"/>
          <w:sz w:val="21"/>
          <w:szCs w:val="24"/>
          <w:highlight w:val="none"/>
        </w:rPr>
        <w:t>承包人须按照发包人与监理人签订的委托监理合同接受监理人的全过程监理。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.2</w:t>
      </w:r>
      <w:r>
        <w:rPr>
          <w:rFonts w:hint="eastAsia" w:ascii="宋体" w:hAnsi="宋体" w:eastAsia="宋体" w:cs="宋体"/>
          <w:color w:val="auto"/>
          <w:kern w:val="0"/>
          <w:sz w:val="21"/>
          <w:szCs w:val="24"/>
          <w:highlight w:val="none"/>
          <w:lang w:val="en-US" w:eastAsia="zh-CN"/>
        </w:rPr>
        <w:t xml:space="preserve">9 </w:t>
      </w:r>
      <w:r>
        <w:rPr>
          <w:rFonts w:hint="eastAsia" w:ascii="宋体" w:hAnsi="宋体" w:eastAsia="宋体" w:cs="宋体"/>
          <w:color w:val="auto"/>
          <w:kern w:val="0"/>
          <w:sz w:val="21"/>
          <w:szCs w:val="24"/>
          <w:highlight w:val="none"/>
        </w:rPr>
        <w:t>如广州开发区、黄埔区对工程竣工验收及备案有相关规定，则本合同执行该规定。</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 xml:space="preserve">99.30 </w:t>
      </w:r>
      <w:r>
        <w:rPr>
          <w:rFonts w:hint="eastAsia" w:ascii="宋体" w:hAnsi="宋体" w:eastAsia="宋体" w:cs="宋体"/>
          <w:color w:val="auto"/>
          <w:kern w:val="0"/>
          <w:sz w:val="21"/>
          <w:szCs w:val="24"/>
          <w:highlight w:val="none"/>
        </w:rPr>
        <w:t>如果审计机关依法对本工程实施审计，发包人、承包人及监理单位应积极配合，审计机关对本工程结算的认定，具有法定约束力。</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1 </w:t>
      </w:r>
      <w:r>
        <w:rPr>
          <w:rFonts w:hint="eastAsia" w:ascii="宋体" w:hAnsi="宋体" w:eastAsia="宋体" w:cs="宋体"/>
          <w:color w:val="auto"/>
          <w:kern w:val="0"/>
          <w:sz w:val="21"/>
          <w:szCs w:val="24"/>
          <w:highlight w:val="none"/>
        </w:rPr>
        <w:t>本合同在实施过程中所发生的文件来往，双方不得拒绝签收。如果发生类似事件，发文一方可以监理工程师签收为准，视为送达。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2 </w:t>
      </w:r>
      <w:r>
        <w:rPr>
          <w:rFonts w:hint="eastAsia" w:ascii="宋体" w:hAnsi="宋体" w:eastAsia="宋体" w:cs="宋体"/>
          <w:color w:val="auto"/>
          <w:kern w:val="0"/>
          <w:sz w:val="21"/>
          <w:szCs w:val="24"/>
          <w:highlight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3 </w:t>
      </w:r>
      <w:r>
        <w:rPr>
          <w:rFonts w:hint="eastAsia" w:ascii="宋体" w:hAnsi="宋体" w:eastAsia="宋体" w:cs="宋体"/>
          <w:color w:val="auto"/>
          <w:kern w:val="0"/>
          <w:sz w:val="21"/>
          <w:szCs w:val="24"/>
          <w:highlight w:val="none"/>
        </w:rPr>
        <w:t>在本合同实施过程中所发生的违约金、扣款等费用，经监理工程师核实并通知承包人后直接作为财务扣款依据（无需承包人签认或同意），可由发包人在履约担保中主张或在工程款中扣除，承包人对此无异议。</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4 </w:t>
      </w:r>
      <w:r>
        <w:rPr>
          <w:rFonts w:hint="eastAsia" w:ascii="宋体" w:hAnsi="宋体" w:eastAsia="宋体" w:cs="宋体"/>
          <w:color w:val="auto"/>
          <w:kern w:val="0"/>
          <w:sz w:val="21"/>
          <w:szCs w:val="24"/>
          <w:highlight w:val="none"/>
        </w:rPr>
        <w:t>承包人施工过程中不得侵犯他人的专利权或者其他合法权益，否则由承包人承担相关责任，并保证不因该侵权行为影响工程建设。</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5 </w:t>
      </w:r>
      <w:r>
        <w:rPr>
          <w:rFonts w:hint="eastAsia" w:ascii="宋体" w:hAnsi="宋体" w:eastAsia="宋体" w:cs="宋体"/>
          <w:color w:val="auto"/>
          <w:kern w:val="0"/>
          <w:sz w:val="21"/>
          <w:szCs w:val="24"/>
          <w:highlight w:val="none"/>
        </w:rPr>
        <w:t>承包人与发包人签订合同时所提供的开户银行名称及帐号不得擅自变更，如需变更必须征得发包人的书面同意，否则发包人有权停止工程款的拨付，所造成的一切后果由承包人承担。</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6 </w:t>
      </w:r>
      <w:r>
        <w:rPr>
          <w:rFonts w:hint="eastAsia" w:ascii="宋体" w:hAnsi="宋体" w:eastAsia="宋体" w:cs="宋体"/>
          <w:color w:val="auto"/>
          <w:kern w:val="0"/>
          <w:sz w:val="21"/>
          <w:szCs w:val="24"/>
          <w:highlight w:val="none"/>
        </w:rPr>
        <w:t>如发包人为本工程的代建单位，则本工程建设业主同时享有本合同项下属发包人的权利，并且合同中约定需发包人审批的事项，必须经建设业主审批同意后方可实施。</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7 </w:t>
      </w:r>
      <w:r>
        <w:rPr>
          <w:rFonts w:hint="eastAsia" w:ascii="宋体" w:hAnsi="宋体" w:eastAsia="宋体" w:cs="宋体"/>
          <w:color w:val="auto"/>
          <w:kern w:val="0"/>
          <w:sz w:val="21"/>
          <w:szCs w:val="24"/>
          <w:highlight w:val="none"/>
        </w:rPr>
        <w:t>本合同工程的劳保基金按广州市建委有关规定由发包人预缴，由发包人在支付承包人工程预付款时予以扣回。</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w:t>
      </w:r>
      <w:r>
        <w:rPr>
          <w:rFonts w:hint="eastAsia" w:ascii="宋体" w:hAnsi="宋体" w:eastAsia="宋体" w:cs="宋体"/>
          <w:color w:val="auto"/>
          <w:kern w:val="0"/>
          <w:sz w:val="21"/>
          <w:szCs w:val="24"/>
          <w:highlight w:val="none"/>
          <w:lang w:val="en-US" w:eastAsia="zh-CN"/>
        </w:rPr>
        <w:t xml:space="preserve">8 </w:t>
      </w:r>
      <w:r>
        <w:rPr>
          <w:rFonts w:hint="eastAsia" w:ascii="宋体" w:hAnsi="宋体" w:eastAsia="宋体" w:cs="宋体"/>
          <w:color w:val="auto"/>
          <w:kern w:val="0"/>
          <w:sz w:val="21"/>
          <w:szCs w:val="24"/>
          <w:highlight w:val="none"/>
        </w:rPr>
        <w:t>工程获得国家、省级、市级所发奖项的，可给予通报表彰，但不给予任何物质奖励。</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.39</w:t>
      </w:r>
      <w:r>
        <w:rPr>
          <w:rFonts w:hint="eastAsia" w:ascii="宋体" w:hAnsi="宋体" w:eastAsia="宋体" w:cs="宋体"/>
          <w:color w:val="auto"/>
          <w:kern w:val="0"/>
          <w:sz w:val="21"/>
          <w:szCs w:val="24"/>
          <w:highlight w:val="none"/>
          <w:lang w:val="en-US" w:eastAsia="zh-CN"/>
        </w:rPr>
        <w:t xml:space="preserve"> </w:t>
      </w:r>
      <w:r>
        <w:rPr>
          <w:rFonts w:hint="eastAsia" w:ascii="宋体" w:hAnsi="宋体" w:eastAsia="宋体" w:cs="宋体"/>
          <w:color w:val="auto"/>
          <w:kern w:val="0"/>
          <w:sz w:val="21"/>
          <w:szCs w:val="24"/>
          <w:highlight w:val="none"/>
        </w:rPr>
        <w:t>如发生安全事故，除按法定程序办理有关事宜外，还必须按以下程序进行处理：</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 xml:space="preserve">40 </w:t>
      </w:r>
      <w:r>
        <w:rPr>
          <w:rFonts w:hint="eastAsia" w:ascii="宋体" w:hAnsi="宋体" w:eastAsia="宋体" w:cs="宋体"/>
          <w:color w:val="auto"/>
          <w:kern w:val="0"/>
          <w:sz w:val="21"/>
          <w:szCs w:val="24"/>
          <w:highlight w:val="none"/>
        </w:rPr>
        <w:t>报告安全事故：安全事故发生后，承包人应在1小时内用最快的信息传递手段，将发生事故的时间、地点、伤亡人数、事故原因等情况，报工程师和发包人。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 xml:space="preserve">41 </w:t>
      </w:r>
      <w:r>
        <w:rPr>
          <w:rFonts w:hint="eastAsia" w:ascii="宋体" w:hAnsi="宋体" w:eastAsia="宋体" w:cs="宋体"/>
          <w:color w:val="auto"/>
          <w:kern w:val="0"/>
          <w:sz w:val="21"/>
          <w:szCs w:val="24"/>
          <w:highlight w:val="none"/>
        </w:rPr>
        <w:t>事故处理：承包人负责抢救伤员、排除险情，防止事故扩大蔓延，保护好现场，并做好标志，启动保险理赔程序。</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 xml:space="preserve">42 </w:t>
      </w:r>
      <w:r>
        <w:rPr>
          <w:rFonts w:hint="eastAsia" w:ascii="宋体" w:hAnsi="宋体" w:eastAsia="宋体" w:cs="宋体"/>
          <w:color w:val="auto"/>
          <w:kern w:val="0"/>
          <w:sz w:val="21"/>
          <w:szCs w:val="24"/>
          <w:highlight w:val="none"/>
        </w:rPr>
        <w:t>事故调查：承包人应组织内部技术安全、质量部门的人员组成调查组，开展调查，并配合做好发包人或政府有关部门组织的调查工作。</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99</w:t>
      </w:r>
      <w:r>
        <w:rPr>
          <w:rFonts w:hint="eastAsia" w:ascii="宋体" w:hAnsi="宋体" w:eastAsia="宋体" w:cs="宋体"/>
          <w:color w:val="auto"/>
          <w:kern w:val="0"/>
          <w:sz w:val="21"/>
          <w:szCs w:val="24"/>
          <w:highlight w:val="none"/>
        </w:rPr>
        <w:t>.</w:t>
      </w:r>
      <w:r>
        <w:rPr>
          <w:rFonts w:hint="eastAsia" w:ascii="宋体" w:hAnsi="宋体" w:eastAsia="宋体" w:cs="宋体"/>
          <w:color w:val="auto"/>
          <w:kern w:val="0"/>
          <w:sz w:val="21"/>
          <w:szCs w:val="24"/>
          <w:highlight w:val="none"/>
          <w:lang w:val="en-US" w:eastAsia="zh-CN"/>
        </w:rPr>
        <w:t xml:space="preserve">43 </w:t>
      </w:r>
      <w:r>
        <w:rPr>
          <w:rFonts w:hint="eastAsia" w:ascii="宋体" w:hAnsi="宋体" w:eastAsia="宋体" w:cs="宋体"/>
          <w:color w:val="auto"/>
          <w:kern w:val="0"/>
          <w:sz w:val="21"/>
          <w:szCs w:val="24"/>
          <w:highlight w:val="none"/>
        </w:rPr>
        <w:t>调查报告：承包人应把事故发生经过、原因、性质、损失、责任、处理意见、纠正和预防措施撰写成调查报告，送工程师会审后报发包人。</w:t>
      </w:r>
    </w:p>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rPr>
        <w:t>未尽事宜，经双方友好协商解决。</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4"/>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bidi w:val="0"/>
        <w:spacing w:line="360" w:lineRule="auto"/>
        <w:rPr>
          <w:rFonts w:hint="eastAsia"/>
          <w:color w:val="auto"/>
          <w:highlight w:val="none"/>
        </w:rPr>
      </w:pP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附件一</w:t>
      </w:r>
      <w:bookmarkEnd w:id="586"/>
      <w:bookmarkEnd w:id="587"/>
      <w:bookmarkEnd w:id="588"/>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pacing w:val="32"/>
          <w:sz w:val="24"/>
          <w:szCs w:val="24"/>
          <w:highlight w:val="none"/>
        </w:rPr>
      </w:pPr>
      <w:r>
        <w:rPr>
          <w:rFonts w:hint="eastAsia" w:ascii="宋体" w:hAnsi="宋体" w:eastAsia="宋体" w:cs="宋体"/>
          <w:b/>
          <w:bCs/>
          <w:color w:val="auto"/>
          <w:spacing w:val="32"/>
          <w:sz w:val="24"/>
          <w:szCs w:val="24"/>
          <w:highlight w:val="none"/>
        </w:rPr>
        <w:t>工程质量保修书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为保证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（工程名称）在合理使用期限内正常使用，合同双方当事人根据《中华人民共和国建筑法》、《建设工程质量管理条例》和《房屋建筑工程质量保修办法》等规定，经协商一致，订立本质量保修书。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842" w:leftChars="200" w:hanging="422" w:hanging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质量保修范围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w:t>
      </w:r>
      <w:r>
        <w:rPr>
          <w:rFonts w:hint="eastAsia" w:ascii="宋体" w:hAnsi="宋体" w:eastAsia="宋体" w:cs="宋体"/>
          <w:color w:val="auto"/>
          <w:sz w:val="21"/>
          <w:szCs w:val="21"/>
          <w:highlight w:val="none"/>
          <w:u w:val="single"/>
          <w:lang w:val="en-US" w:eastAsia="zh-CN"/>
        </w:rPr>
        <w:t>按施工合同约定的承包范围内的全部工程内容。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842" w:leftChars="200" w:hanging="422" w:hanging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质量保修期从工程实际竣工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之日算起。单项竣工验收的工程，按单项工程分别计算质量保修期。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kern w:val="0"/>
          <w:sz w:val="21"/>
          <w:szCs w:val="21"/>
          <w:highlight w:val="none"/>
          <w:lang w:val="zh-CN"/>
        </w:rPr>
        <w:t>合同工程质量保修期，合同双方当事人约定如下</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1．地基基础工程、主体结构工程为设计文件规定的合理使用年限；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2．屋面防水工程、有防水要求的卫生间、房间和外墙面的防渗漏工程为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3．电气管线工程、给排水管道工程、设备安装工程为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4．供热、供冷系统工程为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5．装饰装修工程为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
          <w:bCs/>
          <w:color w:val="auto"/>
          <w:sz w:val="21"/>
          <w:szCs w:val="21"/>
          <w:highlight w:val="none"/>
        </w:rPr>
        <w:t>质量保修责任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ascii="宋体" w:hAnsi="宋体" w:eastAsia="宋体" w:cs="宋体"/>
          <w:color w:val="auto"/>
          <w:kern w:val="0"/>
          <w:sz w:val="21"/>
          <w:szCs w:val="21"/>
          <w:highlight w:val="none"/>
          <w:lang w:val="zh-CN"/>
        </w:rPr>
        <w:t>属于保修范围的项目，承包人应在接到发包人通知后的</w:t>
      </w:r>
      <w:r>
        <w:rPr>
          <w:rFonts w:hint="eastAsia" w:ascii="宋体" w:hAnsi="宋体" w:eastAsia="宋体" w:cs="宋体"/>
          <w:color w:val="auto"/>
          <w:kern w:val="0"/>
          <w:sz w:val="21"/>
          <w:szCs w:val="21"/>
          <w:highlight w:val="none"/>
        </w:rPr>
        <w:t xml:space="preserve"> 7 </w:t>
      </w:r>
      <w:r>
        <w:rPr>
          <w:rFonts w:hint="eastAsia" w:ascii="宋体" w:hAnsi="宋体" w:eastAsia="宋体" w:cs="宋体"/>
          <w:color w:val="auto"/>
          <w:kern w:val="0"/>
          <w:sz w:val="21"/>
          <w:szCs w:val="21"/>
          <w:highlight w:val="none"/>
          <w:lang w:val="zh-CN"/>
        </w:rPr>
        <w:t>天内派人保修。承包人未能</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在规定时间内派人保修的，发包人可自行或委托第三方保修</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发生紧急抢修事故的，承包人在接到通知后，应立即到达事故现场抢修。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质量保修完成后，由发包人组织验收。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质量保修费用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质量保修等费用，由责任方承担</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bCs/>
          <w:color w:val="auto"/>
          <w:sz w:val="21"/>
          <w:szCs w:val="21"/>
          <w:highlight w:val="none"/>
        </w:rPr>
        <w:t>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质量保证金的约定、支付和使用与本合同第二部分《通用条款》第</w:t>
      </w:r>
      <w:r>
        <w:rPr>
          <w:rFonts w:hint="eastAsia" w:ascii="宋体" w:hAnsi="宋体" w:eastAsia="宋体" w:cs="宋体"/>
          <w:color w:val="auto"/>
          <w:kern w:val="0"/>
          <w:sz w:val="21"/>
          <w:szCs w:val="21"/>
          <w:highlight w:val="none"/>
        </w:rPr>
        <w:t xml:space="preserve"> 84 </w:t>
      </w:r>
      <w:r>
        <w:rPr>
          <w:rFonts w:hint="eastAsia" w:ascii="宋体" w:hAnsi="宋体" w:eastAsia="宋体" w:cs="宋体"/>
          <w:color w:val="auto"/>
          <w:kern w:val="0"/>
          <w:sz w:val="21"/>
          <w:szCs w:val="21"/>
          <w:highlight w:val="none"/>
          <w:lang w:val="zh-CN"/>
        </w:rPr>
        <w:t>条赋予的规</w:t>
      </w:r>
      <w:r>
        <w:rPr>
          <w:rFonts w:hint="eastAsia" w:ascii="宋体" w:hAnsi="宋体" w:eastAsia="宋体" w:cs="宋体"/>
          <w:color w:val="auto"/>
          <w:sz w:val="21"/>
          <w:szCs w:val="21"/>
          <w:highlight w:val="none"/>
        </w:rPr>
        <w:t>定一致。</w:t>
      </w:r>
    </w:p>
    <w:p>
      <w:pPr>
        <w:keepNext w:val="0"/>
        <w:keepLines w:val="0"/>
        <w:pageBreakBefore w:val="0"/>
        <w:widowControl w:val="0"/>
        <w:kinsoku/>
        <w:wordWrap/>
        <w:overflowPunct/>
        <w:topLinePunct w:val="0"/>
        <w:autoSpaceDE/>
        <w:autoSpaceDN/>
        <w:bidi w:val="0"/>
        <w:adjustRightInd w:val="0"/>
        <w:snapToGrid w:val="0"/>
        <w:spacing w:line="360" w:lineRule="auto"/>
        <w:ind w:left="48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6.1  </w:t>
      </w:r>
      <w:r>
        <w:rPr>
          <w:rFonts w:hint="eastAsia" w:ascii="宋体" w:hAnsi="宋体" w:eastAsia="宋体" w:cs="宋体"/>
          <w:color w:val="auto"/>
          <w:kern w:val="0"/>
          <w:sz w:val="21"/>
          <w:szCs w:val="21"/>
          <w:highlight w:val="none"/>
          <w:lang w:val="zh-CN"/>
        </w:rPr>
        <w:t>合同双方当事人约定的其他质量保修事</w:t>
      </w:r>
      <w:r>
        <w:rPr>
          <w:rFonts w:hint="eastAsia" w:ascii="宋体" w:hAnsi="宋体" w:eastAsia="宋体" w:cs="宋体"/>
          <w:color w:val="auto"/>
          <w:sz w:val="21"/>
          <w:szCs w:val="21"/>
          <w:highlight w:val="none"/>
        </w:rPr>
        <w:t>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  </w:t>
      </w:r>
      <w:r>
        <w:rPr>
          <w:rFonts w:hint="eastAsia" w:ascii="宋体" w:hAnsi="宋体" w:eastAsia="宋体" w:cs="宋体"/>
          <w:color w:val="auto"/>
          <w:kern w:val="0"/>
          <w:sz w:val="21"/>
          <w:szCs w:val="21"/>
          <w:highlight w:val="none"/>
          <w:lang w:val="zh-CN"/>
        </w:rPr>
        <w:t>本质量保修书，由合同双方当事人在承包人向发包人提交竣工验收申请报告时签署，作为本合同的附件</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6.3  </w:t>
      </w:r>
      <w:r>
        <w:rPr>
          <w:rFonts w:hint="eastAsia" w:ascii="宋体" w:hAnsi="宋体" w:eastAsia="宋体" w:cs="宋体"/>
          <w:color w:val="auto"/>
          <w:kern w:val="0"/>
          <w:sz w:val="21"/>
          <w:szCs w:val="21"/>
          <w:highlight w:val="none"/>
          <w:lang w:val="zh-CN"/>
        </w:rPr>
        <w:t>本质量保修书，自合同双方当事人签署之日起生效，至质量保修期满后失效。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人：（盖章）                       承 包 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                     法定代表人：（签字）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1"/>
          <w:szCs w:val="21"/>
          <w:highlight w:val="none"/>
          <w:lang w:val="en-US" w:eastAsia="zh-CN"/>
        </w:rPr>
      </w:pPr>
      <w:bookmarkStart w:id="591" w:name="_Toc469384142"/>
      <w:bookmarkStart w:id="592" w:name="_Toc266892926"/>
      <w:bookmarkStart w:id="593" w:name="_Toc10624986"/>
      <w:r>
        <w:rPr>
          <w:rFonts w:hint="eastAsia" w:ascii="宋体" w:hAnsi="宋体" w:eastAsia="宋体" w:cs="宋体"/>
          <w:b/>
          <w:bCs/>
          <w:color w:val="auto"/>
          <w:sz w:val="21"/>
          <w:szCs w:val="21"/>
          <w:highlight w:val="none"/>
        </w:rPr>
        <w:t>附件</w:t>
      </w:r>
      <w:bookmarkEnd w:id="591"/>
      <w:bookmarkEnd w:id="592"/>
      <w:bookmarkEnd w:id="593"/>
      <w:r>
        <w:rPr>
          <w:rFonts w:hint="eastAsia" w:ascii="宋体" w:hAnsi="宋体" w:eastAsia="宋体" w:cs="宋体"/>
          <w:b/>
          <w:bCs/>
          <w:color w:val="auto"/>
          <w:sz w:val="21"/>
          <w:szCs w:val="21"/>
          <w:highlight w:val="none"/>
          <w:lang w:val="en-US" w:eastAsia="zh-CN"/>
        </w:rPr>
        <w:t>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廉 政 合 同</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根据国家、省有关廉政建设的规定，为做好合同工程的廉政建设，保证工程质量与施工安</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全，提高建设资金的有效使用和投资效益，合同双方当事人就加强合同工程的廉政建设，订立</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本合同</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双方权利和义务</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严格遵守国家、省有关法律法规的规定。</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严格执行合同工程一切合同文件，自觉按合同办事。</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  </w:t>
      </w:r>
      <w:r>
        <w:rPr>
          <w:rFonts w:hint="eastAsia" w:ascii="宋体" w:hAnsi="宋体" w:eastAsia="宋体" w:cs="宋体"/>
          <w:color w:val="auto"/>
          <w:kern w:val="0"/>
          <w:sz w:val="21"/>
          <w:szCs w:val="21"/>
          <w:highlight w:val="none"/>
          <w:lang w:val="zh-CN"/>
        </w:rPr>
        <w:t>合同双方当事人的业务活动应坚持公平、公开、公正和诚信的原则（法律认定的商业</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秘密和合同文件另有规定除外），不得损害国家和集体利益，不得违反工程建设管理规章制度</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发现对方在业务活动中有违反廉政建设规定的行为，应及时给予提醒和纠正。</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发现对方严重违反合同的行为，有向其上级部门举报、建议给予处理并要求告知处理结果的权利。没有上级部门的，</w:t>
      </w:r>
      <w:r>
        <w:rPr>
          <w:rFonts w:hint="eastAsia" w:ascii="宋体" w:hAnsi="宋体" w:eastAsia="宋体" w:cs="宋体"/>
          <w:color w:val="auto"/>
          <w:kern w:val="0"/>
          <w:sz w:val="21"/>
          <w:szCs w:val="21"/>
          <w:highlight w:val="none"/>
          <w:lang w:val="zh-CN"/>
        </w:rPr>
        <w:t>可按本合同第二部分《通用条款》第</w:t>
      </w:r>
      <w:r>
        <w:rPr>
          <w:rFonts w:hint="eastAsia" w:ascii="宋体" w:hAnsi="宋体" w:eastAsia="宋体" w:cs="宋体"/>
          <w:color w:val="auto"/>
          <w:kern w:val="0"/>
          <w:sz w:val="21"/>
          <w:szCs w:val="21"/>
          <w:highlight w:val="none"/>
        </w:rPr>
        <w:t xml:space="preserve"> 87 </w:t>
      </w:r>
      <w:r>
        <w:rPr>
          <w:rFonts w:hint="eastAsia" w:ascii="宋体" w:hAnsi="宋体" w:eastAsia="宋体" w:cs="宋体"/>
          <w:color w:val="auto"/>
          <w:kern w:val="0"/>
          <w:sz w:val="21"/>
          <w:szCs w:val="21"/>
          <w:highlight w:val="none"/>
          <w:lang w:val="zh-CN"/>
        </w:rPr>
        <w:t>条规定处</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发包人义务</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发包人及其工作人员不得索要或接受承包人的礼金、有价证券和贵重物品，不得在承包人报销任何应由发包人或工作人员个人支付的费用等。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发包人及其工作人员不得参加承包人安排的宴请（工作餐除外）和娱乐活动；不得接受承包人提供的通讯工具、交通工具和高档办公用品等。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发包人及其工作人员不得要求或者接受承包人为其住房装修、婚丧嫁娶活动、配偶子女的工作安排以及出国出境、旅游等提供方便等。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  </w:t>
      </w:r>
      <w:r>
        <w:rPr>
          <w:rFonts w:hint="eastAsia" w:ascii="宋体" w:hAnsi="宋体" w:eastAsia="宋体" w:cs="宋体"/>
          <w:color w:val="auto"/>
          <w:kern w:val="0"/>
          <w:sz w:val="21"/>
          <w:szCs w:val="21"/>
          <w:highlight w:val="none"/>
          <w:lang w:val="zh-CN"/>
        </w:rPr>
        <w:t>发包人及其工作人员不得以任何理由向承包人推荐分包人、推销材料和工程设备，不得要求承包人购买合同以外的材料和工程设备</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2.5  </w:t>
      </w:r>
      <w:r>
        <w:rPr>
          <w:rFonts w:hint="eastAsia" w:ascii="宋体" w:hAnsi="宋体" w:eastAsia="宋体" w:cs="宋体"/>
          <w:color w:val="auto"/>
          <w:kern w:val="0"/>
          <w:sz w:val="21"/>
          <w:szCs w:val="21"/>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2.6  </w:t>
      </w:r>
      <w:r>
        <w:rPr>
          <w:rFonts w:hint="eastAsia" w:ascii="宋体" w:hAnsi="宋体" w:eastAsia="宋体" w:cs="宋体"/>
          <w:color w:val="auto"/>
          <w:kern w:val="0"/>
          <w:sz w:val="21"/>
          <w:szCs w:val="21"/>
          <w:highlight w:val="none"/>
          <w:lang w:val="zh-CN"/>
        </w:rPr>
        <w:t>发包人及其工作人员（含其配偶、子女）不得从事与合同工程有关的材料和工程设备供应、工程分包、劳务等经济活动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承包人义务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承包人不得以任何理由向发包人及其工作人员行贿或馈赠礼金、有价证券、贵重礼品。</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承包人不得以任何名义为发包人及其工作人员报销应由发包人或工作人员个人支付的任何费用。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承包人不得以任何理由安排发包人及其工作人员参加宴请（工作餐除外）及娱乐活动。</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承包人不得为发包人和个人购置或提供通讯工具、交通工具和高档办公用品等。</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3.5  </w:t>
      </w:r>
      <w:r>
        <w:rPr>
          <w:rFonts w:hint="eastAsia" w:ascii="宋体" w:hAnsi="宋体" w:eastAsia="宋体" w:cs="宋体"/>
          <w:color w:val="auto"/>
          <w:kern w:val="0"/>
          <w:sz w:val="21"/>
          <w:szCs w:val="21"/>
          <w:highlight w:val="none"/>
          <w:lang w:val="zh-CN"/>
        </w:rPr>
        <w:t>承包人不得为发包人及其工作人员的住房装修、婚丧嫁娶活动、配偶子女工作安排以及出国出境、旅游等提供方便。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发包人及其工作人员违反本合同第1条和第2条规定，应依据有关规定给予廉政建设规定的处分；涉嫌犯罪的，移交司法机关追究刑事责任；给承包人造成经济损失的，应予赔偿。</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  </w:t>
      </w:r>
      <w:r>
        <w:rPr>
          <w:rFonts w:hint="eastAsia" w:ascii="宋体" w:hAnsi="宋体" w:eastAsia="宋体" w:cs="宋体"/>
          <w:color w:val="auto"/>
          <w:kern w:val="0"/>
          <w:sz w:val="21"/>
          <w:szCs w:val="21"/>
          <w:highlight w:val="none"/>
          <w:lang w:val="zh-CN"/>
        </w:rPr>
        <w:t>承包人及其工作人员违反本合同第</w:t>
      </w:r>
      <w:r>
        <w:rPr>
          <w:rFonts w:hint="eastAsia" w:ascii="宋体" w:hAnsi="宋体" w:eastAsia="宋体" w:cs="宋体"/>
          <w:color w:val="auto"/>
          <w:kern w:val="0"/>
          <w:sz w:val="21"/>
          <w:szCs w:val="21"/>
          <w:highlight w:val="none"/>
        </w:rPr>
        <w:t xml:space="preserve"> 1 </w:t>
      </w:r>
      <w:r>
        <w:rPr>
          <w:rFonts w:hint="eastAsia" w:ascii="宋体" w:hAnsi="宋体" w:eastAsia="宋体" w:cs="宋体"/>
          <w:color w:val="auto"/>
          <w:kern w:val="0"/>
          <w:sz w:val="21"/>
          <w:szCs w:val="21"/>
          <w:highlight w:val="none"/>
          <w:lang w:val="zh-CN"/>
        </w:rPr>
        <w:t>条和第</w:t>
      </w:r>
      <w:r>
        <w:rPr>
          <w:rFonts w:hint="eastAsia" w:ascii="宋体" w:hAnsi="宋体" w:eastAsia="宋体" w:cs="宋体"/>
          <w:color w:val="auto"/>
          <w:kern w:val="0"/>
          <w:sz w:val="21"/>
          <w:szCs w:val="21"/>
          <w:highlight w:val="none"/>
        </w:rPr>
        <w:t xml:space="preserve"> 3 </w:t>
      </w:r>
      <w:r>
        <w:rPr>
          <w:rFonts w:hint="eastAsia" w:ascii="宋体" w:hAnsi="宋体" w:eastAsia="宋体" w:cs="宋体"/>
          <w:color w:val="auto"/>
          <w:kern w:val="0"/>
          <w:sz w:val="21"/>
          <w:szCs w:val="21"/>
          <w:highlight w:val="none"/>
          <w:lang w:val="zh-CN"/>
        </w:rPr>
        <w:t>条规定，应按照廉政建设的有关规定给</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予处分；情节严重的，给予承包人</w:t>
      </w:r>
      <w:r>
        <w:rPr>
          <w:rFonts w:hint="eastAsia" w:ascii="宋体" w:hAnsi="宋体" w:eastAsia="宋体" w:cs="宋体"/>
          <w:color w:val="auto"/>
          <w:kern w:val="0"/>
          <w:sz w:val="21"/>
          <w:szCs w:val="21"/>
          <w:highlight w:val="none"/>
        </w:rPr>
        <w:t xml:space="preserve"> 1</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 xml:space="preserve">3 </w:t>
      </w:r>
      <w:r>
        <w:rPr>
          <w:rFonts w:hint="eastAsia" w:ascii="宋体" w:hAnsi="宋体" w:eastAsia="宋体" w:cs="宋体"/>
          <w:color w:val="auto"/>
          <w:kern w:val="0"/>
          <w:sz w:val="21"/>
          <w:szCs w:val="21"/>
          <w:highlight w:val="none"/>
          <w:lang w:val="zh-CN"/>
        </w:rPr>
        <w:t>年内不得进入工程建设市场的处罚；涉嫌犯罪的，移交</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司法机关追究刑事责任；给发包人造成损失的，应予赔偿；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5  </w:t>
      </w:r>
      <w:r>
        <w:rPr>
          <w:rFonts w:hint="eastAsia" w:ascii="宋体" w:hAnsi="宋体" w:eastAsia="宋体" w:cs="宋体"/>
          <w:b/>
          <w:bCs/>
          <w:color w:val="auto"/>
          <w:sz w:val="21"/>
          <w:szCs w:val="21"/>
          <w:highlight w:val="none"/>
        </w:rPr>
        <w:t>双方约定</w:t>
      </w:r>
    </w:p>
    <w:p>
      <w:pPr>
        <w:pStyle w:val="3"/>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本合同由合同双方当事人或其上级部门负责监督执行，并由合同双方当事人或其上级部门</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相互约请对本合同执行情况进行检查</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合同法律效力</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本合同作为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 工程施工合同的附件，与施工合同具有同等的法律效力。</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合同份数</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份，合同双方当事人各执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份。有上级部门的，合同双方当事人应送交其上级部门各一份。</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人：（盖章）                       承 包 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 w:val="21"/>
          <w:highlight w:val="none"/>
        </w:rPr>
      </w:pPr>
    </w:p>
    <w:p>
      <w:pPr>
        <w:pStyle w:val="2"/>
        <w:spacing w:line="360" w:lineRule="auto"/>
        <w:rPr>
          <w:rFonts w:hint="eastAsia" w:ascii="宋体" w:hAnsi="宋体" w:eastAsia="宋体" w:cs="宋体"/>
          <w:color w:val="auto"/>
          <w:sz w:val="21"/>
          <w:highlight w:val="none"/>
        </w:rPr>
      </w:pPr>
    </w:p>
    <w:p>
      <w:pPr>
        <w:pStyle w:val="5"/>
        <w:spacing w:line="360" w:lineRule="auto"/>
        <w:rPr>
          <w:rFonts w:hint="eastAsia" w:ascii="宋体" w:hAnsi="宋体" w:eastAsia="宋体" w:cs="宋体"/>
          <w:color w:val="auto"/>
          <w:sz w:val="21"/>
          <w:highlight w:val="none"/>
        </w:rPr>
      </w:pPr>
    </w:p>
    <w:p>
      <w:pPr>
        <w:pStyle w:val="6"/>
        <w:spacing w:line="360" w:lineRule="auto"/>
        <w:rPr>
          <w:rFonts w:hint="eastAsia" w:ascii="宋体" w:hAnsi="宋体" w:eastAsia="宋体" w:cs="宋体"/>
          <w:color w:val="auto"/>
          <w:sz w:val="21"/>
          <w:highlight w:val="none"/>
        </w:rPr>
      </w:pPr>
    </w:p>
    <w:p>
      <w:pPr>
        <w:pStyle w:val="7"/>
        <w:spacing w:line="360" w:lineRule="auto"/>
        <w:rPr>
          <w:rFonts w:hint="eastAsia" w:ascii="宋体" w:hAnsi="宋体" w:eastAsia="宋体" w:cs="宋体"/>
          <w:color w:val="auto"/>
          <w:sz w:val="21"/>
          <w:highlight w:val="none"/>
        </w:rPr>
      </w:pPr>
    </w:p>
    <w:p>
      <w:pPr>
        <w:spacing w:line="360" w:lineRule="auto"/>
        <w:rPr>
          <w:rFonts w:hint="eastAsia" w:ascii="宋体" w:hAnsi="宋体" w:eastAsia="宋体" w:cs="宋体"/>
          <w:color w:val="auto"/>
          <w:sz w:val="21"/>
          <w:highlight w:val="none"/>
        </w:rPr>
      </w:pPr>
    </w:p>
    <w:p>
      <w:pPr>
        <w:pStyle w:val="2"/>
        <w:spacing w:line="360" w:lineRule="auto"/>
        <w:rPr>
          <w:rFonts w:hint="eastAsia" w:ascii="宋体" w:hAnsi="宋体" w:eastAsia="宋体" w:cs="宋体"/>
          <w:color w:val="auto"/>
          <w:sz w:val="21"/>
          <w:highlight w:val="none"/>
        </w:rPr>
      </w:pPr>
    </w:p>
    <w:p>
      <w:pPr>
        <w:pStyle w:val="5"/>
        <w:spacing w:line="360" w:lineRule="auto"/>
        <w:rPr>
          <w:rFonts w:hint="eastAsia" w:ascii="宋体" w:hAnsi="宋体" w:eastAsia="宋体" w:cs="宋体"/>
          <w:color w:val="auto"/>
          <w:sz w:val="21"/>
          <w:highlight w:val="none"/>
        </w:rPr>
      </w:pPr>
    </w:p>
    <w:p>
      <w:pPr>
        <w:pStyle w:val="6"/>
        <w:spacing w:line="360" w:lineRule="auto"/>
        <w:rPr>
          <w:rFonts w:hint="eastAsia" w:ascii="宋体" w:hAnsi="宋体" w:eastAsia="宋体" w:cs="宋体"/>
          <w:color w:val="auto"/>
          <w:sz w:val="21"/>
          <w:highlight w:val="none"/>
        </w:rPr>
      </w:pPr>
    </w:p>
    <w:p>
      <w:pPr>
        <w:pStyle w:val="7"/>
        <w:spacing w:line="360" w:lineRule="auto"/>
        <w:rPr>
          <w:rFonts w:hint="eastAsia" w:ascii="宋体" w:hAnsi="宋体" w:eastAsia="宋体" w:cs="宋体"/>
          <w:color w:val="auto"/>
          <w:sz w:val="21"/>
          <w:highlight w:val="none"/>
        </w:rPr>
      </w:pPr>
    </w:p>
    <w:p>
      <w:pPr>
        <w:spacing w:line="360" w:lineRule="auto"/>
        <w:rPr>
          <w:rFonts w:hint="eastAsia" w:ascii="宋体" w:hAnsi="宋体" w:eastAsia="宋体" w:cs="宋体"/>
          <w:color w:val="auto"/>
          <w:sz w:val="21"/>
          <w:highlight w:val="none"/>
        </w:rPr>
      </w:pPr>
    </w:p>
    <w:p>
      <w:pPr>
        <w:pStyle w:val="2"/>
        <w:spacing w:line="360" w:lineRule="auto"/>
        <w:rPr>
          <w:rFonts w:hint="eastAsia" w:ascii="宋体" w:hAnsi="宋体" w:eastAsia="宋体" w:cs="宋体"/>
          <w:color w:val="auto"/>
          <w:sz w:val="21"/>
          <w:highlight w:val="none"/>
        </w:rPr>
      </w:pPr>
    </w:p>
    <w:p>
      <w:pPr>
        <w:keepNext w:val="0"/>
        <w:keepLines w:val="0"/>
        <w:pageBreakBefore w:val="0"/>
        <w:widowControl/>
        <w:kinsoku/>
        <w:wordWrap/>
        <w:overflowPunct/>
        <w:topLinePunct w:val="0"/>
        <w:autoSpaceDE/>
        <w:bidi w:val="0"/>
        <w:snapToGrid/>
        <w:spacing w:line="360" w:lineRule="auto"/>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pPr>
        <w:keepNext w:val="0"/>
        <w:keepLines w:val="0"/>
        <w:pageBreakBefore w:val="0"/>
        <w:widowControl w:val="0"/>
        <w:kinsoku/>
        <w:wordWrap/>
        <w:overflowPunct/>
        <w:topLinePunct w:val="0"/>
        <w:autoSpaceDE/>
        <w:bidi w:val="0"/>
        <w:snapToGrid w:val="0"/>
        <w:spacing w:line="360" w:lineRule="auto"/>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附件3</w:t>
      </w:r>
    </w:p>
    <w:p>
      <w:pPr>
        <w:pStyle w:val="2"/>
        <w:spacing w:line="360" w:lineRule="auto"/>
        <w:rPr>
          <w:rFonts w:hint="eastAsia"/>
          <w:color w:val="auto"/>
          <w:highlight w:val="none"/>
          <w:lang w:val="en-US" w:eastAsia="zh-CN"/>
        </w:rPr>
      </w:pPr>
    </w:p>
    <w:p>
      <w:pPr>
        <w:keepNext w:val="0"/>
        <w:keepLines w:val="0"/>
        <w:pageBreakBefore w:val="0"/>
        <w:widowControl w:val="0"/>
        <w:kinsoku/>
        <w:wordWrap/>
        <w:overflowPunct/>
        <w:topLinePunct w:val="0"/>
        <w:autoSpaceDE/>
        <w:bidi w:val="0"/>
        <w:snapToGrid w:val="0"/>
        <w:spacing w:line="360" w:lineRule="auto"/>
        <w:jc w:val="center"/>
        <w:textAlignment w:val="auto"/>
        <w:rPr>
          <w:rFonts w:hint="eastAsia" w:ascii="宋体"/>
          <w:b/>
          <w:bCs/>
          <w:color w:val="auto"/>
          <w:sz w:val="28"/>
          <w:szCs w:val="28"/>
          <w:highlight w:val="none"/>
        </w:rPr>
      </w:pPr>
      <w:r>
        <w:rPr>
          <w:rFonts w:hint="eastAsia" w:ascii="宋体" w:hAnsi="宋体" w:eastAsia="宋体" w:cs="宋体"/>
          <w:b/>
          <w:bCs/>
          <w:color w:val="auto"/>
          <w:sz w:val="28"/>
          <w:szCs w:val="28"/>
          <w:highlight w:val="none"/>
        </w:rPr>
        <w:t>安全生产和文明施工管理协</w:t>
      </w:r>
      <w:r>
        <w:rPr>
          <w:rFonts w:hint="eastAsia" w:ascii="宋体"/>
          <w:b/>
          <w:bCs/>
          <w:color w:val="auto"/>
          <w:sz w:val="28"/>
          <w:szCs w:val="28"/>
          <w:highlight w:val="none"/>
        </w:rPr>
        <w:t>议书</w:t>
      </w:r>
    </w:p>
    <w:p>
      <w:pPr>
        <w:pStyle w:val="2"/>
        <w:spacing w:line="360" w:lineRule="auto"/>
        <w:rPr>
          <w:rFonts w:hint="eastAsia"/>
          <w:color w:val="auto"/>
          <w:highlight w:val="none"/>
          <w:lang w:val="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p>
    <w:p>
      <w:pPr>
        <w:pStyle w:val="2"/>
        <w:spacing w:line="360" w:lineRule="auto"/>
        <w:rPr>
          <w:rFonts w:hint="eastAsia"/>
          <w:color w:val="auto"/>
          <w:highlight w:val="none"/>
        </w:rPr>
      </w:pPr>
    </w:p>
    <w:p>
      <w:pPr>
        <w:keepNext w:val="0"/>
        <w:keepLines w:val="0"/>
        <w:pageBreakBefore w:val="0"/>
        <w:widowControl w:val="0"/>
        <w:kinsoku/>
        <w:wordWrap/>
        <w:overflowPunct/>
        <w:topLinePunct w:val="0"/>
        <w:autoSpaceDE/>
        <w:bidi w:val="0"/>
        <w:snapToGrid w:val="0"/>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第一条</w:t>
      </w:r>
      <w:r>
        <w:rPr>
          <w:rFonts w:hint="eastAsia" w:ascii="宋体" w:hAnsi="宋体" w:cs="宋体"/>
          <w:color w:val="auto"/>
          <w:szCs w:val="21"/>
          <w:highlight w:val="none"/>
        </w:rPr>
        <w:t xml:space="preserve">  为确保</w:t>
      </w:r>
      <w:r>
        <w:rPr>
          <w:rFonts w:hint="eastAsia" w:ascii="宋体" w:hAnsi="宋体" w:eastAsia="宋体" w:cs="宋体"/>
          <w:color w:val="auto"/>
          <w:kern w:val="0"/>
          <w:sz w:val="21"/>
          <w:szCs w:val="21"/>
          <w:highlight w:val="none"/>
          <w:u w:val="single"/>
          <w:shd w:val="clear" w:color="auto" w:fill="FFFFFF"/>
          <w:lang w:val="en-US" w:eastAsia="zh-CN" w:bidi="ar"/>
        </w:rPr>
        <w:t xml:space="preserve">                           工程</w:t>
      </w:r>
      <w:r>
        <w:rPr>
          <w:rFonts w:hint="eastAsia" w:ascii="宋体" w:hAnsi="宋体" w:cs="宋体"/>
          <w:color w:val="auto"/>
          <w:szCs w:val="21"/>
          <w:highlight w:val="none"/>
        </w:rPr>
        <w:t>安全文明施工，保证工程顺利进行, 根据《中华人民共和国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》、《广东省建设厅建筑工程安全防护、文明施工措施费用管理办法》、《广州市建设工程文明施工管理规定》等规定，经甲乙双方协商，签订本协议书。</w:t>
      </w:r>
    </w:p>
    <w:p>
      <w:pPr>
        <w:keepNext w:val="0"/>
        <w:keepLines w:val="0"/>
        <w:pageBreakBefore w:val="0"/>
        <w:widowControl w:val="0"/>
        <w:kinsoku/>
        <w:wordWrap/>
        <w:overflowPunct/>
        <w:topLinePunct w:val="0"/>
        <w:autoSpaceDE/>
        <w:bidi w:val="0"/>
        <w:snapToGrid w:val="0"/>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第二条 </w:t>
      </w:r>
      <w:r>
        <w:rPr>
          <w:rFonts w:hint="eastAsia" w:ascii="宋体" w:hAnsi="宋体" w:cs="宋体"/>
          <w:color w:val="auto"/>
          <w:szCs w:val="21"/>
          <w:highlight w:val="none"/>
        </w:rPr>
        <w:t xml:space="preserve"> 甲乙双方均应当遵守《建筑施工安全检查标准》(JGJ59-2011)和广东省、广州市政府及其部门制定的有关建筑工程安全生产、文明施工管理办法和规定。</w:t>
      </w:r>
    </w:p>
    <w:p>
      <w:pPr>
        <w:keepNext w:val="0"/>
        <w:keepLines w:val="0"/>
        <w:pageBreakBefore w:val="0"/>
        <w:widowControl w:val="0"/>
        <w:kinsoku/>
        <w:wordWrap/>
        <w:overflowPunct/>
        <w:topLinePunct w:val="0"/>
        <w:autoSpaceDE/>
        <w:bidi w:val="0"/>
        <w:snapToGrid w:val="0"/>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第三条 </w:t>
      </w:r>
      <w:r>
        <w:rPr>
          <w:rFonts w:hint="eastAsia" w:ascii="宋体" w:hAnsi="宋体" w:cs="宋体"/>
          <w:color w:val="auto"/>
          <w:szCs w:val="21"/>
          <w:highlight w:val="none"/>
        </w:rPr>
        <w:t>甲方权利和义务</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1、对乙方安全文明施工进行指导、监督，督促施工单位依法履行安全文明施工管理职责，并作好现场记录。</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2、督促乙方对生产中存在的安全隐患和违反文明施工规定的行为进行整改，及时协调解决各工地之间、工地与周边群众之间的矛盾。</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3、负责组织建设、监理、施工三方责任主体每月末按标准对乙方进行考核。</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4、每星期召开一次有乙方项目负责人、安全专职人员参加的安全文明施工会议，通报情况，交流经验，及时纠正施工中存在的安全隐患问题。</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5、甲方发现安全隐患或违反文明施工规定的行为，有权责令乙方停工整改，直至排除安全隐患。</w:t>
      </w:r>
    </w:p>
    <w:p>
      <w:pPr>
        <w:keepNext w:val="0"/>
        <w:keepLines w:val="0"/>
        <w:pageBreakBefore w:val="0"/>
        <w:widowControl w:val="0"/>
        <w:kinsoku/>
        <w:wordWrap/>
        <w:overflowPunct/>
        <w:topLinePunct w:val="0"/>
        <w:autoSpaceDE/>
        <w:bidi w:val="0"/>
        <w:snapToGrid w:val="0"/>
        <w:spacing w:line="360" w:lineRule="auto"/>
        <w:ind w:firstLine="413" w:firstLineChars="196"/>
        <w:textAlignment w:val="auto"/>
        <w:rPr>
          <w:rFonts w:hint="eastAsia" w:ascii="宋体" w:hAnsi="宋体" w:cs="宋体"/>
          <w:color w:val="auto"/>
          <w:szCs w:val="21"/>
          <w:highlight w:val="none"/>
        </w:rPr>
      </w:pPr>
      <w:r>
        <w:rPr>
          <w:rFonts w:hint="eastAsia" w:ascii="宋体" w:hAnsi="宋体" w:cs="宋体"/>
          <w:b/>
          <w:color w:val="auto"/>
          <w:szCs w:val="21"/>
          <w:highlight w:val="none"/>
        </w:rPr>
        <w:t>第四条</w:t>
      </w:r>
      <w:r>
        <w:rPr>
          <w:rFonts w:hint="eastAsia" w:ascii="宋体" w:hAnsi="宋体" w:cs="宋体"/>
          <w:color w:val="auto"/>
          <w:szCs w:val="21"/>
          <w:highlight w:val="none"/>
        </w:rPr>
        <w:t xml:space="preserve">  乙方权利和义务</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1、严格执行国家和省市规定的安全生产和文明施工的相关规定。</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2、建立、健全安全文明施工责任制，健全组织机构，制定安全文明施工规章制度和操作规程，落实安全文明施工专职人员。</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3、制定安全事故应急救援预案，若遇险情，及时启动。</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4、保证对具备安全文明施工条件所必需资金的投入，并对因资金投入不足导致的后果承担责任。</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snapToGrid w:val="0"/>
          <w:color w:val="auto"/>
          <w:kern w:val="0"/>
          <w:szCs w:val="21"/>
          <w:highlight w:val="none"/>
          <w:lang w:val="zh-CN"/>
        </w:rPr>
        <w:t>6、建立</w:t>
      </w:r>
      <w:r>
        <w:rPr>
          <w:rFonts w:hint="eastAsia" w:ascii="宋体" w:hAnsi="宋体" w:cs="宋体"/>
          <w:snapToGrid w:val="0"/>
          <w:color w:val="auto"/>
          <w:kern w:val="0"/>
          <w:szCs w:val="21"/>
          <w:highlight w:val="none"/>
        </w:rPr>
        <w:t>安全生产</w:t>
      </w:r>
      <w:r>
        <w:rPr>
          <w:rFonts w:hint="eastAsia" w:ascii="宋体" w:hAnsi="宋体" w:cs="宋体"/>
          <w:snapToGrid w:val="0"/>
          <w:color w:val="auto"/>
          <w:kern w:val="0"/>
          <w:szCs w:val="21"/>
          <w:highlight w:val="none"/>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7、文明施工现场管理应当做到“六个100%”，即：施工现场100%围蔽，工地砂土100%覆盖，工地路面100%硬化，拆除工程100%洒水压尘，出工地车辆100%冲净车轮车身，暂不开发的场地100%绿化。</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8、施工现场应当按照下列要求设置相关设施：</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(1)在醒目位置设置施工铭牌，并张贴有关许可证件。施工铭牌应当明确项目名称，建设、施工、监理单位及项目负责人姓名，监督机构名称，开工、计划竣工日期和监督投诉电话等。</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(2)施工作业区与办公、生活区应当分开设置，具有足够的安全距离，采取相应的隔离措施；占用、挖掘城市道路施工的，不得设置办公场地、宿舍等非必要区域和设施。</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(3)施工现场四周应当设置连续、封闭的围档。管线工程、非全封闭的城市道路等工程应当使用路拦式围档。</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(5)工地外立面脚手架使用钢管搭设，禁止使用竹子搭设或者钢竹混搭，脚手架杆件应当涂装规定颜色的警示漆，不应有明显锈迹，立面统一采用绿色密目式安全网围蔽。</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(6)施工现场的建筑材料和设备设施，应当按照施工总平面图划定的区域存放整齐，并设置标签，不得堆放在现场围蔽以外。</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(7)施工现场道路应当畅通，并设置通畅的排水设施和应急设施。</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9、对有较大危险因素的作业场所和有关设施、设备要设置明显的安全警示标志。</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snapToGrid w:val="0"/>
          <w:color w:val="auto"/>
          <w:kern w:val="0"/>
          <w:szCs w:val="21"/>
          <w:highlight w:val="none"/>
          <w:lang w:val="zh-CN"/>
        </w:rPr>
        <w:t>10、对于</w:t>
      </w:r>
      <w:r>
        <w:rPr>
          <w:rFonts w:hint="eastAsia" w:ascii="宋体" w:hAnsi="宋体" w:cs="宋体"/>
          <w:snapToGrid w:val="0"/>
          <w:color w:val="auto"/>
          <w:kern w:val="0"/>
          <w:szCs w:val="21"/>
          <w:highlight w:val="none"/>
        </w:rPr>
        <w:t>易燃易爆</w:t>
      </w:r>
      <w:r>
        <w:rPr>
          <w:rFonts w:hint="eastAsia" w:ascii="宋体" w:hAnsi="宋体" w:cs="宋体"/>
          <w:snapToGrid w:val="0"/>
          <w:color w:val="auto"/>
          <w:kern w:val="0"/>
          <w:szCs w:val="21"/>
          <w:highlight w:val="none"/>
          <w:lang w:val="zh-CN"/>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11、安全文明施工监督检查人员进行监督检查时，乙方要主动接受检查，并积极配合，不得拒绝，阻挠和拖延，并在检查记录上签字。</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12、每周至少召开一次安全文明施工会议，自查自纠安全隐患及违反文明施工管理规定因素，保证工程顺利进行。</w:t>
      </w:r>
    </w:p>
    <w:p>
      <w:pPr>
        <w:keepNext w:val="0"/>
        <w:keepLines w:val="0"/>
        <w:pageBreakBefore w:val="0"/>
        <w:widowControl w:val="0"/>
        <w:kinsoku/>
        <w:wordWrap/>
        <w:overflowPunct/>
        <w:topLinePunct w:val="0"/>
        <w:autoSpaceDE/>
        <w:bidi w:val="0"/>
        <w:snapToGrid w:val="0"/>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第五条 </w:t>
      </w:r>
      <w:r>
        <w:rPr>
          <w:rFonts w:hint="eastAsia" w:ascii="宋体" w:hAnsi="宋体" w:cs="宋体"/>
          <w:color w:val="auto"/>
          <w:szCs w:val="21"/>
          <w:highlight w:val="none"/>
        </w:rPr>
        <w:t xml:space="preserve"> 安全文明施工措施费的计取和管理</w:t>
      </w:r>
    </w:p>
    <w:p>
      <w:pPr>
        <w:keepNext w:val="0"/>
        <w:keepLines w:val="0"/>
        <w:pageBreakBefore w:val="0"/>
        <w:widowControl w:val="0"/>
        <w:kinsoku/>
        <w:wordWrap/>
        <w:overflowPunct/>
        <w:topLinePunct w:val="0"/>
        <w:autoSpaceDE/>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本工程合同中标价</w:t>
      </w:r>
      <w:r>
        <w:rPr>
          <w:rFonts w:hint="eastAsia" w:ascii="宋体" w:hAnsi="宋体" w:cs="宋体"/>
          <w:color w:val="auto"/>
          <w:kern w:val="0"/>
          <w:szCs w:val="21"/>
          <w:highlight w:val="none"/>
          <w:u w:val="single"/>
          <w:lang w:val="en-US" w:eastAsia="zh-CN"/>
        </w:rPr>
        <w:t xml:space="preserve"> 1249811.80   </w:t>
      </w:r>
      <w:r>
        <w:rPr>
          <w:rFonts w:hint="eastAsia" w:ascii="宋体" w:hAnsi="宋体" w:cs="宋体"/>
          <w:color w:val="auto"/>
          <w:kern w:val="0"/>
          <w:szCs w:val="21"/>
          <w:highlight w:val="none"/>
        </w:rPr>
        <w:t>元</w:t>
      </w:r>
      <w:r>
        <w:rPr>
          <w:rFonts w:hint="eastAsia" w:ascii="宋体" w:hAnsi="宋体" w:cs="宋体"/>
          <w:color w:val="auto"/>
          <w:szCs w:val="21"/>
          <w:highlight w:val="none"/>
        </w:rPr>
        <w:t>（大写：</w:t>
      </w:r>
      <w:r>
        <w:rPr>
          <w:rFonts w:hint="eastAsia" w:ascii="宋体" w:hAnsi="宋体" w:cs="宋体"/>
          <w:color w:val="auto"/>
          <w:kern w:val="0"/>
          <w:szCs w:val="21"/>
          <w:highlight w:val="none"/>
          <w:u w:val="single"/>
          <w:lang w:val="en-US" w:eastAsia="zh-CN"/>
        </w:rPr>
        <w:t xml:space="preserve"> 壹佰贰拾肆万玖仟捌佰壹拾壹元捌角整   </w:t>
      </w:r>
      <w:r>
        <w:rPr>
          <w:rFonts w:hint="eastAsia" w:ascii="宋体" w:hAnsi="宋体" w:cs="宋体"/>
          <w:color w:val="auto"/>
          <w:szCs w:val="21"/>
          <w:highlight w:val="none"/>
        </w:rPr>
        <w:t>），其中应计取安全文明施工措施费用为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21858.39 </w:t>
      </w:r>
      <w:r>
        <w:rPr>
          <w:rFonts w:hint="eastAsia" w:ascii="宋体" w:hAnsi="宋体" w:cs="宋体"/>
          <w:color w:val="auto"/>
          <w:szCs w:val="21"/>
          <w:highlight w:val="none"/>
        </w:rPr>
        <w:t>元，该费用为专项费用，全部投入到施工工程的安全文明施工管理，按计量支付，总额控制，超过部分不另外支付。同时，在财务管理中应以工程项目为单位，单独列出安全防护、文明施工措施费收入和支出清单备查。</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5" w:firstLineChars="192"/>
        <w:textAlignment w:val="auto"/>
        <w:rPr>
          <w:rFonts w:hint="eastAsia" w:ascii="宋体" w:hAnsi="宋体" w:cs="宋体"/>
          <w:color w:val="auto"/>
          <w:szCs w:val="21"/>
          <w:highlight w:val="none"/>
        </w:rPr>
      </w:pPr>
      <w:r>
        <w:rPr>
          <w:rFonts w:hint="eastAsia" w:ascii="宋体" w:hAnsi="宋体" w:cs="宋体"/>
          <w:b/>
          <w:color w:val="auto"/>
          <w:szCs w:val="21"/>
          <w:highlight w:val="none"/>
        </w:rPr>
        <w:t>第六条</w:t>
      </w:r>
      <w:r>
        <w:rPr>
          <w:rFonts w:hint="eastAsia" w:ascii="宋体" w:hAnsi="宋体" w:cs="宋体"/>
          <w:color w:val="auto"/>
          <w:szCs w:val="21"/>
          <w:highlight w:val="none"/>
        </w:rPr>
        <w:t xml:space="preserve"> 工程安全文明施工管理制度</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1、甲方不定时组织人员按照《建筑安全施工检查标准JGJ59-2011）》和《广州市建设工程文明施工管理规定》对乙方落实安全生产和文明施工措施进行检查评分，评分等级为不合格（综合分数低于60分）的</w:t>
      </w:r>
      <w:r>
        <w:rPr>
          <w:rFonts w:hint="eastAsia" w:ascii="宋体" w:hAnsi="宋体" w:cs="宋体"/>
          <w:color w:val="auto"/>
          <w:szCs w:val="21"/>
          <w:highlight w:val="none"/>
          <w:lang w:val="en-US" w:eastAsia="zh-CN"/>
        </w:rPr>
        <w:t>应付按照</w:t>
      </w:r>
      <w:r>
        <w:rPr>
          <w:rFonts w:hint="eastAsia" w:ascii="宋体" w:hAnsi="宋体" w:cs="宋体"/>
          <w:color w:val="auto"/>
          <w:szCs w:val="21"/>
          <w:highlight w:val="none"/>
        </w:rPr>
        <w:t>5万/次</w:t>
      </w:r>
      <w:r>
        <w:rPr>
          <w:rFonts w:hint="eastAsia" w:ascii="宋体" w:hAnsi="宋体" w:cs="宋体"/>
          <w:color w:val="auto"/>
          <w:szCs w:val="21"/>
          <w:highlight w:val="none"/>
          <w:lang w:val="en-US" w:eastAsia="zh-CN"/>
        </w:rPr>
        <w:t>向甲方支付违约金</w:t>
      </w:r>
      <w:r>
        <w:rPr>
          <w:rFonts w:hint="eastAsia" w:ascii="宋体" w:hAnsi="宋体" w:cs="宋体"/>
          <w:color w:val="auto"/>
          <w:szCs w:val="21"/>
          <w:highlight w:val="none"/>
        </w:rPr>
        <w:t>；乙方隐瞒安全风险的，按评定不合格处理。</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履行承包合同期间，发生一起一般生产安全事故的，扣罚施工承包人10万元人民币；一个自然年度（1月1日至12月31日，下同）内发生两起及以上一般生产安全事故的，从第二起事故起，每起扣罚施工承包人20万元；发生较大及以上生产安全事故的，每起扣罚施工承包人50万元。</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3、甲方每季度对施工承包人安全文明施工情况进行评价，</w:t>
      </w:r>
      <w:r>
        <w:rPr>
          <w:rFonts w:hint="eastAsia" w:ascii="宋体" w:hAnsi="宋体" w:cs="宋体"/>
          <w:color w:val="auto"/>
          <w:szCs w:val="21"/>
          <w:highlight w:val="none"/>
          <w:lang w:val="en-US" w:eastAsia="zh-CN"/>
        </w:rPr>
        <w:t>有权利</w:t>
      </w:r>
      <w:r>
        <w:rPr>
          <w:rFonts w:hint="eastAsia" w:ascii="宋体" w:hAnsi="宋体" w:cs="宋体"/>
          <w:color w:val="auto"/>
          <w:szCs w:val="21"/>
          <w:highlight w:val="none"/>
        </w:rPr>
        <w:t>将评价结果</w:t>
      </w:r>
      <w:r>
        <w:rPr>
          <w:rFonts w:hint="eastAsia" w:ascii="宋体" w:hAnsi="宋体" w:cs="宋体"/>
          <w:color w:val="auto"/>
          <w:szCs w:val="21"/>
          <w:highlight w:val="none"/>
          <w:lang w:val="en-US" w:eastAsia="zh-CN"/>
        </w:rPr>
        <w:t>上报区建设部门。</w:t>
      </w:r>
    </w:p>
    <w:p>
      <w:pPr>
        <w:keepNext w:val="0"/>
        <w:keepLines w:val="0"/>
        <w:pageBreakBefore w:val="0"/>
        <w:widowControl w:val="0"/>
        <w:kinsoku/>
        <w:wordWrap/>
        <w:overflowPunct/>
        <w:topLinePunct w:val="0"/>
        <w:autoSpaceDE/>
        <w:autoSpaceDN w:val="0"/>
        <w:bidi w:val="0"/>
        <w:adjustRightInd w:val="0"/>
        <w:snapToGrid w:val="0"/>
        <w:spacing w:line="360" w:lineRule="auto"/>
        <w:ind w:firstLine="413" w:firstLineChars="196"/>
        <w:textAlignment w:val="auto"/>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第七条</w:t>
      </w:r>
      <w:r>
        <w:rPr>
          <w:rFonts w:hint="eastAsia" w:ascii="宋体" w:hAnsi="宋体" w:cs="宋体"/>
          <w:color w:val="auto"/>
          <w:szCs w:val="21"/>
          <w:highlight w:val="none"/>
        </w:rPr>
        <w:t xml:space="preserve">  发生一般(或以上)安全生产责任事故的，对本工程施工承包人纳入广州市</w:t>
      </w:r>
      <w:r>
        <w:rPr>
          <w:rFonts w:hint="eastAsia" w:ascii="宋体" w:hAnsi="宋体" w:cs="宋体"/>
          <w:color w:val="auto"/>
          <w:szCs w:val="21"/>
          <w:highlight w:val="none"/>
          <w:lang w:val="en-US" w:eastAsia="zh-CN"/>
        </w:rPr>
        <w:t>建设</w:t>
      </w:r>
      <w:r>
        <w:rPr>
          <w:rFonts w:hint="eastAsia" w:ascii="宋体" w:hAnsi="宋体" w:cs="宋体"/>
          <w:color w:val="auto"/>
          <w:szCs w:val="21"/>
          <w:highlight w:val="none"/>
        </w:rPr>
        <w:t>工程不诚信行为记录，记录有效期2年（不诚信行为记录自安监部门等相关单位的书面调查报告或行政处罚决定书发布的时间之日开始计算）</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5" w:firstLineChars="192"/>
        <w:textAlignment w:val="auto"/>
        <w:rPr>
          <w:rFonts w:hint="eastAsia" w:ascii="宋体" w:hAnsi="宋体" w:cs="宋体"/>
          <w:color w:val="auto"/>
          <w:szCs w:val="21"/>
          <w:highlight w:val="none"/>
        </w:rPr>
      </w:pPr>
      <w:r>
        <w:rPr>
          <w:rFonts w:hint="eastAsia" w:ascii="宋体" w:hAnsi="宋体" w:cs="宋体"/>
          <w:b/>
          <w:color w:val="auto"/>
          <w:szCs w:val="21"/>
          <w:highlight w:val="none"/>
        </w:rPr>
        <w:t>第八条</w:t>
      </w:r>
      <w:r>
        <w:rPr>
          <w:rFonts w:hint="eastAsia" w:ascii="宋体" w:hAnsi="宋体" w:cs="宋体"/>
          <w:color w:val="auto"/>
          <w:szCs w:val="21"/>
          <w:highlight w:val="none"/>
        </w:rPr>
        <w:t xml:space="preserve">  安全风险因素辨识和评估及安全交底</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2、乙方应该在项目安全风险因素辨识和评估报告的基础上，编制项目安全文明费的投入计划；</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5" w:firstLineChars="192"/>
        <w:textAlignment w:val="auto"/>
        <w:rPr>
          <w:rFonts w:hint="eastAsia" w:ascii="宋体" w:hAnsi="宋体" w:cs="宋体"/>
          <w:color w:val="auto"/>
          <w:szCs w:val="21"/>
          <w:highlight w:val="none"/>
        </w:rPr>
      </w:pPr>
      <w:r>
        <w:rPr>
          <w:rFonts w:hint="eastAsia" w:ascii="宋体" w:hAnsi="宋体" w:cs="宋体"/>
          <w:b/>
          <w:color w:val="auto"/>
          <w:szCs w:val="21"/>
          <w:highlight w:val="none"/>
        </w:rPr>
        <w:t>第九条</w:t>
      </w:r>
      <w:r>
        <w:rPr>
          <w:rFonts w:hint="eastAsia" w:ascii="宋体" w:hAnsi="宋体" w:cs="宋体"/>
          <w:color w:val="auto"/>
          <w:szCs w:val="21"/>
          <w:highlight w:val="none"/>
        </w:rPr>
        <w:t xml:space="preserve">  安全预报和安全约谈</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5" w:firstLineChars="192"/>
        <w:textAlignment w:val="auto"/>
        <w:rPr>
          <w:rFonts w:hint="eastAsia" w:ascii="宋体" w:hAnsi="宋体" w:cs="宋体"/>
          <w:color w:val="auto"/>
          <w:szCs w:val="21"/>
          <w:highlight w:val="none"/>
        </w:rPr>
      </w:pPr>
      <w:r>
        <w:rPr>
          <w:rFonts w:hint="eastAsia" w:ascii="宋体" w:hAnsi="宋体" w:cs="宋体"/>
          <w:b/>
          <w:color w:val="auto"/>
          <w:szCs w:val="21"/>
          <w:highlight w:val="none"/>
        </w:rPr>
        <w:t xml:space="preserve">第十条 </w:t>
      </w:r>
      <w:r>
        <w:rPr>
          <w:rFonts w:hint="eastAsia" w:ascii="宋体" w:hAnsi="宋体" w:cs="宋体"/>
          <w:color w:val="auto"/>
          <w:szCs w:val="21"/>
          <w:highlight w:val="none"/>
        </w:rPr>
        <w:t xml:space="preserve"> 事故处理</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1、发生重伤或死亡或直接经济损失100万元以上的安全生产事故，乙方施工项目部负责人应立即按规定向事故所在地安监部门、行业主管部门和广州市规定的相关政府部门报告，并同时统计上报甲方代表。</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2、发生生产安全事故的，事故发生单位负责人接到事故报告后，应当立即启动事故相应应急预案，或者采取有效措施，组织抢救，防止事故扩大，减少人员伤亡和财产损失。</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3、乙方由于没有尽到自身安全责任，被认定为安全生产责任事故的，应承担违约责任。</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4、对违章作业、冒险进入施工禁区及损坏安全防护设施、不按规定进行安全技术交底及组织施工造成伤亡事故的，应由乙方和事故责任者自己承担罚款及一切经济损失和刑事责任。</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5、由于乙方原因发生安全生产事故，主管部门对甲方进行经济处罚的，乙方应承担甲方全部经济损失。</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5" w:firstLineChars="192"/>
        <w:textAlignment w:val="auto"/>
        <w:rPr>
          <w:rFonts w:hint="eastAsia" w:ascii="宋体" w:hAnsi="宋体" w:cs="宋体"/>
          <w:color w:val="auto"/>
          <w:szCs w:val="21"/>
          <w:highlight w:val="none"/>
        </w:rPr>
      </w:pPr>
      <w:r>
        <w:rPr>
          <w:rFonts w:hint="eastAsia" w:ascii="宋体" w:hAnsi="宋体" w:cs="宋体"/>
          <w:b/>
          <w:color w:val="auto"/>
          <w:szCs w:val="21"/>
          <w:highlight w:val="none"/>
        </w:rPr>
        <w:t>第十一条</w:t>
      </w:r>
      <w:r>
        <w:rPr>
          <w:rFonts w:hint="eastAsia" w:ascii="宋体" w:hAnsi="宋体" w:cs="宋体"/>
          <w:color w:val="auto"/>
          <w:szCs w:val="21"/>
          <w:highlight w:val="none"/>
        </w:rPr>
        <w:t xml:space="preserve">  开工前，乙方应向甲方提供的安全管理网络体系资料包括但不限于：</w:t>
      </w:r>
    </w:p>
    <w:p>
      <w:pPr>
        <w:keepNext w:val="0"/>
        <w:keepLines w:val="0"/>
        <w:pageBreakBefore w:val="0"/>
        <w:widowControl w:val="0"/>
        <w:kinsoku/>
        <w:wordWrap/>
        <w:overflowPunct/>
        <w:topLinePunct w:val="0"/>
        <w:autoSpaceDE/>
        <w:autoSpaceDN w:val="0"/>
        <w:bidi w:val="0"/>
        <w:adjustRightInd w:val="0"/>
        <w:snapToGrid w:val="0"/>
        <w:spacing w:line="360" w:lineRule="auto"/>
        <w:ind w:firstLine="403" w:firstLineChars="19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1、安全管理网络图;2、人员配备情况;3、安全员名单;4、安全管理制度</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5、项目安全风险因素列表</w:t>
      </w:r>
      <w:r>
        <w:rPr>
          <w:rFonts w:hint="eastAsia" w:ascii="宋体" w:hAnsi="宋体" w:cs="宋体"/>
          <w:color w:val="auto"/>
          <w:szCs w:val="21"/>
          <w:highlight w:val="none"/>
          <w:lang w:eastAsia="zh-CN"/>
        </w:rPr>
        <w:t>；</w:t>
      </w:r>
      <w:r>
        <w:rPr>
          <w:rFonts w:hint="eastAsia" w:ascii="宋体" w:hAnsi="宋体" w:cs="宋体"/>
          <w:color w:val="auto"/>
          <w:szCs w:val="21"/>
          <w:highlight w:val="none"/>
        </w:rPr>
        <w:t>6、甲方要求的其他资料。</w:t>
      </w:r>
    </w:p>
    <w:p>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cs="宋体"/>
          <w:color w:val="auto"/>
          <w:szCs w:val="21"/>
          <w:highlight w:val="none"/>
        </w:rPr>
      </w:pPr>
      <w:r>
        <w:rPr>
          <w:rFonts w:hint="eastAsia" w:ascii="宋体" w:hAnsi="宋体" w:cs="宋体"/>
          <w:b/>
          <w:color w:val="auto"/>
          <w:szCs w:val="21"/>
          <w:highlight w:val="none"/>
        </w:rPr>
        <w:t>第十二条</w:t>
      </w:r>
      <w:r>
        <w:rPr>
          <w:rFonts w:hint="eastAsia" w:ascii="宋体" w:hAnsi="宋体" w:cs="宋体"/>
          <w:color w:val="auto"/>
          <w:szCs w:val="21"/>
          <w:highlight w:val="none"/>
        </w:rPr>
        <w:t xml:space="preserve"> 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本协议为主合同附件，与主合同具同等效力，违反本协议的，按违反主合同的约定执行。</w:t>
      </w:r>
    </w:p>
    <w:p>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cs="宋体"/>
          <w:color w:val="auto"/>
          <w:szCs w:val="21"/>
          <w:highlight w:val="none"/>
        </w:rPr>
      </w:pPr>
      <w:r>
        <w:rPr>
          <w:rFonts w:hint="eastAsia" w:ascii="宋体" w:hAnsi="宋体" w:cs="宋体"/>
          <w:b/>
          <w:color w:val="auto"/>
          <w:szCs w:val="21"/>
          <w:highlight w:val="none"/>
        </w:rPr>
        <w:t>第十三条</w:t>
      </w:r>
      <w:r>
        <w:rPr>
          <w:rFonts w:hint="eastAsia" w:ascii="宋体" w:hAnsi="宋体" w:cs="宋体"/>
          <w:color w:val="auto"/>
          <w:szCs w:val="21"/>
          <w:highlight w:val="none"/>
        </w:rPr>
        <w:t xml:space="preserve"> 争议的解决</w:t>
      </w:r>
    </w:p>
    <w:p>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cs="宋体"/>
          <w:color w:val="auto"/>
          <w:szCs w:val="21"/>
          <w:highlight w:val="none"/>
        </w:rPr>
      </w:pPr>
      <w:r>
        <w:rPr>
          <w:rFonts w:hint="eastAsia" w:ascii="宋体" w:hAnsi="宋体" w:cs="宋体"/>
          <w:color w:val="auto"/>
          <w:szCs w:val="21"/>
          <w:highlight w:val="none"/>
        </w:rPr>
        <w:t>因违反或终止合同而引起的争议，甲方与乙方之间应当通过协商进行解决，若协商不成引起诉讼的，任何一方应当向广州市</w:t>
      </w:r>
      <w:r>
        <w:rPr>
          <w:rFonts w:hint="eastAsia" w:ascii="宋体" w:hAnsi="宋体" w:cs="宋体"/>
          <w:color w:val="auto"/>
          <w:szCs w:val="21"/>
          <w:highlight w:val="none"/>
          <w:lang w:val="en-US" w:eastAsia="zh-CN"/>
        </w:rPr>
        <w:t>黄埔区</w:t>
      </w:r>
      <w:r>
        <w:rPr>
          <w:rFonts w:hint="eastAsia" w:ascii="宋体" w:hAnsi="宋体" w:cs="宋体"/>
          <w:color w:val="auto"/>
          <w:szCs w:val="21"/>
          <w:highlight w:val="none"/>
        </w:rPr>
        <w:t>区人民法院提起。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eastAsia="zh-CN"/>
        </w:rPr>
        <w:t>第十四条</w:t>
      </w:r>
      <w:r>
        <w:rPr>
          <w:rFonts w:hint="eastAsia" w:ascii="宋体" w:hAnsi="宋体" w:cs="宋体"/>
          <w:b/>
          <w:color w:val="auto"/>
          <w:szCs w:val="21"/>
          <w:highlight w:val="none"/>
          <w:lang w:val="en-US" w:eastAsia="zh-CN"/>
        </w:rPr>
        <w:t xml:space="preserve"> </w:t>
      </w: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陆 </w:t>
      </w:r>
      <w:r>
        <w:rPr>
          <w:rFonts w:hint="eastAsia" w:ascii="宋体" w:hAnsi="宋体" w:cs="宋体"/>
          <w:color w:val="auto"/>
          <w:szCs w:val="21"/>
          <w:highlight w:val="none"/>
        </w:rPr>
        <w:t>份，</w:t>
      </w:r>
      <w:r>
        <w:rPr>
          <w:rFonts w:hint="eastAsia" w:ascii="宋体" w:hAnsi="宋体" w:cs="宋体"/>
          <w:color w:val="auto"/>
          <w:szCs w:val="21"/>
          <w:highlight w:val="none"/>
          <w:lang w:val="en-US" w:eastAsia="zh-CN"/>
        </w:rPr>
        <w:t>双方各</w:t>
      </w:r>
      <w:r>
        <w:rPr>
          <w:rFonts w:hint="eastAsia" w:ascii="宋体" w:hAnsi="宋体" w:cs="宋体"/>
          <w:color w:val="auto"/>
          <w:szCs w:val="21"/>
          <w:highlight w:val="none"/>
        </w:rPr>
        <w:t>执</w:t>
      </w:r>
      <w:r>
        <w:rPr>
          <w:rFonts w:hint="eastAsia" w:ascii="宋体" w:hAnsi="宋体" w:cs="宋体"/>
          <w:color w:val="auto"/>
          <w:szCs w:val="21"/>
          <w:highlight w:val="none"/>
          <w:u w:val="single"/>
        </w:rPr>
        <w:t xml:space="preserve"> 贰 </w:t>
      </w:r>
      <w:r>
        <w:rPr>
          <w:rFonts w:hint="eastAsia" w:ascii="宋体" w:hAnsi="宋体" w:cs="宋体"/>
          <w:color w:val="auto"/>
          <w:szCs w:val="21"/>
          <w:highlight w:val="none"/>
        </w:rPr>
        <w:t>份，本合同自双方法定代表人或其授权代表人签字并加盖公章之日起生效</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具有同等法律效力，工程竣工验收后自动失效。未尽事宜，双方协商解决。</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人：（盖章）                       承 包 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                     法定代表人：（签字）</w:t>
      </w:r>
    </w:p>
    <w:p>
      <w:pPr>
        <w:spacing w:line="360" w:lineRule="auto"/>
        <w:rPr>
          <w:color w:val="auto"/>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color w:val="auto"/>
          <w:highlight w:val="none"/>
        </w:rPr>
      </w:pPr>
    </w:p>
    <w:p>
      <w:pPr>
        <w:spacing w:line="360" w:lineRule="auto"/>
        <w:rPr>
          <w:rFonts w:ascii="宋体"/>
          <w:color w:val="auto"/>
          <w:highlight w:val="none"/>
        </w:rPr>
      </w:pPr>
      <w:r>
        <w:rPr>
          <w:color w:val="auto"/>
          <w:highlight w:val="none"/>
        </w:rPr>
        <w:br w:type="page"/>
      </w:r>
    </w:p>
    <w:p>
      <w:pPr>
        <w:pStyle w:val="8"/>
        <w:spacing w:line="240" w:lineRule="auto"/>
        <w:jc w:val="center"/>
        <w:rPr>
          <w:rFonts w:ascii="宋体"/>
          <w:b w:val="0"/>
          <w:bCs w:val="0"/>
          <w:color w:val="auto"/>
          <w:kern w:val="2"/>
          <w:sz w:val="32"/>
          <w:szCs w:val="27"/>
          <w:highlight w:val="none"/>
        </w:rPr>
      </w:pPr>
      <w:bookmarkStart w:id="594" w:name="_Toc1451"/>
      <w:bookmarkStart w:id="595" w:name="_Toc11373"/>
      <w:bookmarkStart w:id="596" w:name="_Toc259524404"/>
      <w:bookmarkStart w:id="597" w:name="_Toc229305436"/>
      <w:bookmarkStart w:id="598" w:name="_Toc221948392"/>
      <w:bookmarkStart w:id="599" w:name="_Toc222032745"/>
      <w:bookmarkStart w:id="600" w:name="_Toc222031078"/>
      <w:bookmarkStart w:id="601" w:name="_Toc222029576"/>
      <w:bookmarkStart w:id="602" w:name="_Toc221952224"/>
      <w:bookmarkStart w:id="603" w:name="_Toc222033927"/>
      <w:r>
        <w:rPr>
          <w:rFonts w:hint="eastAsia" w:ascii="宋体"/>
          <w:b w:val="0"/>
          <w:bCs w:val="0"/>
          <w:color w:val="auto"/>
          <w:kern w:val="2"/>
          <w:sz w:val="32"/>
          <w:szCs w:val="27"/>
          <w:highlight w:val="none"/>
        </w:rPr>
        <w:t>第五章 工程量清单（综合单价承包）</w:t>
      </w:r>
      <w:bookmarkEnd w:id="594"/>
      <w:bookmarkEnd w:id="595"/>
    </w:p>
    <w:p>
      <w:pPr>
        <w:pStyle w:val="8"/>
        <w:spacing w:line="240" w:lineRule="auto"/>
        <w:jc w:val="center"/>
        <w:rPr>
          <w:rFonts w:ascii="宋体"/>
          <w:b w:val="0"/>
          <w:bCs w:val="0"/>
          <w:color w:val="auto"/>
          <w:kern w:val="2"/>
          <w:sz w:val="32"/>
          <w:szCs w:val="27"/>
          <w:highlight w:val="none"/>
        </w:rPr>
      </w:pPr>
      <w:bookmarkStart w:id="604" w:name="_Toc12188"/>
      <w:bookmarkStart w:id="605" w:name="_Toc24359"/>
      <w:bookmarkStart w:id="606" w:name="_Toc296602590"/>
      <w:r>
        <w:rPr>
          <w:rFonts w:hint="eastAsia" w:ascii="宋体"/>
          <w:b w:val="0"/>
          <w:bCs w:val="0"/>
          <w:color w:val="auto"/>
          <w:kern w:val="2"/>
          <w:sz w:val="32"/>
          <w:szCs w:val="27"/>
          <w:highlight w:val="none"/>
        </w:rPr>
        <w:t>工程量清单总说明</w:t>
      </w:r>
      <w:bookmarkEnd w:id="604"/>
      <w:bookmarkEnd w:id="605"/>
    </w:p>
    <w:p>
      <w:pPr>
        <w:spacing w:line="440" w:lineRule="exact"/>
        <w:ind w:firstLine="480" w:firstLineChars="200"/>
        <w:rPr>
          <w:rStyle w:val="59"/>
          <w:rFonts w:ascii="宋体"/>
          <w:color w:val="auto"/>
          <w:sz w:val="24"/>
          <w:highlight w:val="none"/>
        </w:rPr>
      </w:pPr>
      <w:r>
        <w:rPr>
          <w:rStyle w:val="59"/>
          <w:rFonts w:ascii="宋体"/>
          <w:color w:val="auto"/>
          <w:sz w:val="24"/>
          <w:highlight w:val="none"/>
        </w:rPr>
        <w:t>一、工程概况</w:t>
      </w:r>
    </w:p>
    <w:p>
      <w:p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1. 建设规模：</w:t>
      </w:r>
      <w:r>
        <w:rPr>
          <w:rStyle w:val="59"/>
          <w:rFonts w:hint="eastAsia" w:ascii="宋体"/>
          <w:color w:val="auto"/>
          <w:sz w:val="24"/>
          <w:highlight w:val="none"/>
        </w:rPr>
        <w:t>详见招标公告。</w:t>
      </w:r>
    </w:p>
    <w:p>
      <w:p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2. 计划工期：按招标文件前附表。</w:t>
      </w:r>
    </w:p>
    <w:p>
      <w:p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二、工程招标范围：本标段范围内的</w:t>
      </w:r>
      <w:r>
        <w:rPr>
          <w:rStyle w:val="59"/>
          <w:rFonts w:ascii="宋体"/>
          <w:color w:val="auto"/>
          <w:szCs w:val="21"/>
          <w:highlight w:val="none"/>
        </w:rPr>
        <w:t>工程</w:t>
      </w:r>
      <w:r>
        <w:rPr>
          <w:rStyle w:val="59"/>
          <w:rFonts w:ascii="宋体"/>
          <w:color w:val="auto"/>
          <w:sz w:val="24"/>
          <w:highlight w:val="none"/>
        </w:rPr>
        <w:t>，见设计图纸。</w:t>
      </w:r>
    </w:p>
    <w:p>
      <w:p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三、工程量清单编制依据：</w:t>
      </w:r>
    </w:p>
    <w:p>
      <w:pPr>
        <w:pStyle w:val="107"/>
        <w:spacing w:before="0" w:beforeAutospacing="0" w:after="0" w:afterAutospacing="0" w:line="440" w:lineRule="exact"/>
        <w:ind w:firstLine="480" w:firstLineChars="200"/>
        <w:rPr>
          <w:rStyle w:val="59"/>
          <w:rFonts w:ascii="宋体"/>
          <w:color w:val="auto"/>
          <w:kern w:val="2"/>
          <w:szCs w:val="22"/>
          <w:highlight w:val="none"/>
        </w:rPr>
      </w:pPr>
      <w:r>
        <w:rPr>
          <w:rStyle w:val="59"/>
          <w:rFonts w:ascii="宋体"/>
          <w:color w:val="auto"/>
          <w:highlight w:val="none"/>
        </w:rPr>
        <w:t>1.施工</w:t>
      </w:r>
      <w:r>
        <w:rPr>
          <w:rStyle w:val="59"/>
          <w:rFonts w:ascii="宋体"/>
          <w:color w:val="auto"/>
          <w:kern w:val="2"/>
          <w:szCs w:val="22"/>
          <w:highlight w:val="none"/>
        </w:rPr>
        <w:t>图；</w:t>
      </w:r>
    </w:p>
    <w:p>
      <w:pPr>
        <w:snapToGrid w:val="0"/>
        <w:spacing w:line="440" w:lineRule="exact"/>
        <w:ind w:firstLine="480" w:firstLineChars="200"/>
        <w:rPr>
          <w:rStyle w:val="59"/>
          <w:rFonts w:ascii="宋体"/>
          <w:color w:val="auto"/>
          <w:sz w:val="24"/>
          <w:highlight w:val="none"/>
        </w:rPr>
      </w:pPr>
      <w:r>
        <w:rPr>
          <w:rStyle w:val="59"/>
          <w:rFonts w:hint="eastAsia" w:ascii="宋体"/>
          <w:color w:val="auto"/>
          <w:sz w:val="24"/>
          <w:highlight w:val="none"/>
        </w:rPr>
        <w:t>2.</w:t>
      </w:r>
      <w:r>
        <w:rPr>
          <w:rStyle w:val="59"/>
          <w:rFonts w:ascii="宋体"/>
          <w:color w:val="auto"/>
          <w:sz w:val="24"/>
          <w:highlight w:val="none"/>
        </w:rPr>
        <w:t>中华人民共和国国家标准《建设工程工程量清单计价规范》（GB50500-2013）、《广东省房屋建筑与装饰工程综合定额（2018）》、《广东省市政工程综合定额（2018）》、《广东省通用安装工程综合定额（2018）》、《广东省园林绿化工程综合定额（2018）》、《广东省建设工程施工机具台班费用编制规则（2018）》；</w:t>
      </w:r>
    </w:p>
    <w:p>
      <w:pPr>
        <w:snapToGrid w:val="0"/>
        <w:spacing w:line="440" w:lineRule="exact"/>
        <w:ind w:firstLine="480" w:firstLineChars="200"/>
        <w:rPr>
          <w:rStyle w:val="59"/>
          <w:rFonts w:ascii="宋体"/>
          <w:color w:val="auto"/>
          <w:sz w:val="24"/>
          <w:highlight w:val="none"/>
        </w:rPr>
      </w:pPr>
      <w:r>
        <w:rPr>
          <w:rStyle w:val="59"/>
          <w:rFonts w:hint="eastAsia" w:ascii="宋体"/>
          <w:color w:val="auto"/>
          <w:sz w:val="24"/>
          <w:highlight w:val="none"/>
        </w:rPr>
        <w:t>3.《关于营业税改征增值税后调整广东省建设工程计价依据的通知》粤建市函[2016]1113号，按增值税方法计算税金。</w:t>
      </w:r>
    </w:p>
    <w:p>
      <w:pPr>
        <w:snapToGrid w:val="0"/>
        <w:spacing w:line="440" w:lineRule="exact"/>
        <w:ind w:firstLine="480" w:firstLineChars="200"/>
        <w:rPr>
          <w:rStyle w:val="59"/>
          <w:rFonts w:ascii="宋体"/>
          <w:color w:val="auto"/>
          <w:sz w:val="24"/>
          <w:highlight w:val="none"/>
        </w:rPr>
      </w:pPr>
      <w:r>
        <w:rPr>
          <w:rStyle w:val="59"/>
          <w:rFonts w:hint="eastAsia" w:ascii="宋体"/>
          <w:color w:val="auto"/>
          <w:sz w:val="24"/>
          <w:highlight w:val="none"/>
        </w:rPr>
        <w:t>4</w:t>
      </w:r>
      <w:r>
        <w:rPr>
          <w:rStyle w:val="59"/>
          <w:rFonts w:ascii="宋体"/>
          <w:color w:val="auto"/>
          <w:sz w:val="24"/>
          <w:highlight w:val="none"/>
        </w:rPr>
        <w:t>. 参照广州市建委有关文件。</w:t>
      </w:r>
    </w:p>
    <w:p>
      <w:p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四、工程质量、材料、施工等的特殊要求：严格按施工图设计要求施工。</w:t>
      </w:r>
    </w:p>
    <w:p>
      <w:pPr>
        <w:pStyle w:val="106"/>
        <w:spacing w:line="440" w:lineRule="exact"/>
        <w:ind w:left="0" w:firstLine="424" w:firstLineChars="177"/>
        <w:rPr>
          <w:rStyle w:val="59"/>
          <w:rFonts w:ascii="宋体"/>
          <w:color w:val="auto"/>
          <w:highlight w:val="none"/>
        </w:rPr>
      </w:pPr>
      <w:r>
        <w:rPr>
          <w:rStyle w:val="59"/>
          <w:rFonts w:ascii="宋体"/>
          <w:color w:val="auto"/>
          <w:szCs w:val="22"/>
          <w:highlight w:val="none"/>
        </w:rPr>
        <w:t>五、招</w:t>
      </w:r>
      <w:r>
        <w:rPr>
          <w:rStyle w:val="59"/>
          <w:rFonts w:ascii="宋体"/>
          <w:color w:val="auto"/>
          <w:highlight w:val="none"/>
        </w:rPr>
        <w:t>标人自行采购材料的名称、规格型号、数量等：本工程所使用的材料，全部由投标人根据工程要求自行采购。</w:t>
      </w:r>
    </w:p>
    <w:p>
      <w:pPr>
        <w:spacing w:line="440" w:lineRule="exact"/>
        <w:ind w:firstLine="480" w:firstLineChars="200"/>
        <w:rPr>
          <w:rStyle w:val="59"/>
          <w:rFonts w:ascii="宋体"/>
          <w:color w:val="auto"/>
          <w:sz w:val="24"/>
          <w:highlight w:val="none"/>
        </w:rPr>
      </w:pPr>
      <w:r>
        <w:rPr>
          <w:rStyle w:val="59"/>
          <w:rFonts w:ascii="宋体"/>
          <w:color w:val="auto"/>
          <w:sz w:val="24"/>
          <w:highlight w:val="none"/>
        </w:rPr>
        <w:t>六、其他有关说明：</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本次投标报价工程量清单按照《建设工程工程量清单计价规范》（GB50500-2013）、中华人民共和国国家标准《市政工程工程量计价规范》（GB50857-2013）、《园林绿化工程工程量计算规范》（GB50858-2013）、《通用安装工程工程量计算规范》（GB-50856-2013）设置，投标文件需根据上述规范、办法要求填写，并提供措施项目费用分析表。</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分部分项工程项目的材料消耗量应满足实体用量。2018年广东省市政/建筑/装饰装修/安装定额缺项的参考其它相应定额作分析。单价分析子项出现缺项或不清晰的，视该子项费用已包含在其他项目中，结算时不予调整。所提供的措施费用分析表中管理费或利润超过有关定额文件、规范规定的，则投标人在签订合同前，必须按招标人的要求，在中标价不变的前提下，按有关定额文件，规范的规定进行调整。</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投标报价应以清单工程量为准（项目、顺序、格式、计量单位、数量）。工程量清单计价格式中列明的所有需要填报的单价和合价，投标人均应填报；未填报单价和合价的，或出现漏项的视为该费用已包含在工程量清单的其他单价和合价中。增项的项目无效，该项目单价不作为结算依据。</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工程量清单应连同图纸、合同条款、技术规范及质量验收规范、本总说明的所有条款、答疑纪要、问题澄清、中华人民共和国国家标准《市政工程工程量计价规范》（GB50857-2013）、《园林绿化工程工程量计算规范》（GB50858-2013）、《通用安装工程工程量计算规范》（GB-50856）、201</w:t>
      </w:r>
      <w:r>
        <w:rPr>
          <w:rStyle w:val="59"/>
          <w:rFonts w:hint="eastAsia" w:ascii="宋体"/>
          <w:color w:val="auto"/>
          <w:sz w:val="24"/>
          <w:highlight w:val="none"/>
          <w:lang w:val="en-US" w:eastAsia="zh-CN"/>
        </w:rPr>
        <w:t>8</w:t>
      </w:r>
      <w:r>
        <w:rPr>
          <w:rStyle w:val="59"/>
          <w:rFonts w:ascii="宋体"/>
          <w:color w:val="auto"/>
          <w:sz w:val="24"/>
          <w:highlight w:val="none"/>
        </w:rPr>
        <w:t>年《广东省建设工程计价通则》及2018年《广东省市政/建筑与装饰/安装工程/园林绿化综合定额》等有关规范、规定同时阅读、理解或解释。工程量清单中的工程细目应与相应技术规范条款及本编制说明有关条款结合理解。</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投标人应对施工现场进行充分考察后，按照招标文件的有关规定，依据招标人提供的工程量清单，施工设计图纸，施工现场实际情况，施工方案，企业定额及市场价格或参照2018年《广东省市政/建筑与装饰/安装工程/园林绿化综合定额》，建设行政主管部门和工程造价主管机构的有关规定及发布的人工、材料、机械参考价，并自行考虑风险综合报价。投标报价不能低于企业的成本价和高于招标人编制的投标限价，也不能脱离施工方案、指导价、市场价进行不合理的报价。</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其他措施项目费可按招标人提供的指引项目报价，也可在指引项目的基础上结合施工方案增加项目报价，如：大型机械设备进出场及安拆、建(构)筑物保护费、排水措施费等。措施项目清单中以‘宗’或‘项’为单位的项目，除招标文件约定可调整范围外，作为该项目包干价，投标人没有计算或少计的措施项目费用，视为该费用已包含在其它费用内，工程结算时不予调整。措施项目清单中不以‘宗’或‘项’为单位的项目，结算时按实际确认的数量，根据投标单价计算。</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工程量清单列明的数量是根据设计图纸及《市政工程工程量计价规范》（GB50857-2013）、《园林绿化工程工程量计算规范》（GB50858-2013）、《通用安装工程工程量计算规范》（GB-50856）中工程量计算规则、广东省建设厅2018年《广东省市政/建筑与装饰/安装工程/园林绿化综合定额法》等有关规定进行计算的，它是招标文件的组成部分，只是为投标提供的一个共同基础，不能完全作为最后对承包人进行支付的依据。支付应以施工图纸和监理工程师及发包人（或项目管理公司）认可的、并按技术规范要求完成的实际工程数量为依据。完成的实际工程数量应由承包人按工程师认可的尺寸或断面进行计算，经工程师确认，最终按照《市政工程工程量计价规范》（GB50857-2013）、《园林绿化工程工程量计算规范》（GB50858-2013）、《通用安装工程工程量计算规范》（GB-50856）中工程量计算规则、广东省建设厅2018年《广东省市政/建筑与装饰/安装工程/园林绿化综合定额》等有关规定、工程量清单的单价和费用或合同条款有关规定对单价和费用进行调整后给予计量支付。</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中标的投标报价结算的调整方法按照合同文件专用条款的相关规定执行。</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中标的投标报价除发包人同意的设计变更和招标文件、招标答疑会议纪要中允许的调整范围外，其余不因市场价格变化、人员工资福利调整而调整（建设行政主管部门文件下达可调整的除外）。</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图纸中所列的工程数量汇总表仅为提供资料，不应视为工程量清单的扩大或延伸。清单所列工程量在工程实施过程中发生的变动，丝毫不会使合同条款无效或降低，也不免除承包人按要求的标准进行施工或缺陷修复的责任。</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除非合同另有规定，工程量清单中有标价的单价与合价应包含但不限于中华人民共和国国家标准《市政工程工程量计价规范》（GB50857-2013）、《园林绿化工程工程量计算规范》（GB50858-2013）、《通用安装工程工程量计算规范》（GB-50856）中项目编码所对应的工程内容以及分部分项工程量清单中备注所包含的内容，同时包括了所有施工设备费、设施费、劳务费、材料费、检验试验费、安装费、管理费、利润以及合同明示暗示的所有一般风险、责任和业务等一切费用。</w:t>
      </w:r>
    </w:p>
    <w:p>
      <w:pPr>
        <w:numPr>
          <w:ilvl w:val="0"/>
          <w:numId w:val="12"/>
        </w:numPr>
        <w:snapToGrid w:val="0"/>
        <w:spacing w:line="440" w:lineRule="exact"/>
        <w:ind w:firstLine="480" w:firstLineChars="200"/>
        <w:rPr>
          <w:rStyle w:val="59"/>
          <w:rFonts w:ascii="宋体"/>
          <w:color w:val="auto"/>
          <w:sz w:val="24"/>
          <w:highlight w:val="none"/>
        </w:rPr>
      </w:pPr>
      <w:r>
        <w:rPr>
          <w:rStyle w:val="59"/>
          <w:rFonts w:ascii="宋体"/>
          <w:color w:val="auto"/>
          <w:sz w:val="24"/>
          <w:highlight w:val="none"/>
        </w:rPr>
        <w:t>用于本工程的承包人各种装备的提供、运输及拆卸费用的支付，应包括在工程量清单的单价与价格中。除非另有说明，本工程所使用的主材、其他材料、半成品、成品等由承包人自行采购，并在综合单价中考虑制作安装、场内外搅拌及运输、弃物的场内外运输及建筑垃圾处理费、装卸、采保及临时场地征用、平整、地模捣制等费用。本工程清单中所需配套使用的小五金及其他辅材等已考虑在综合单价中，不再另行计费。</w:t>
      </w:r>
      <w:r>
        <w:rPr>
          <w:rStyle w:val="59"/>
          <w:rFonts w:ascii="宋体"/>
          <w:color w:val="auto"/>
          <w:sz w:val="24"/>
          <w:highlight w:val="none"/>
        </w:rPr>
        <w:br w:type="textWrapping"/>
      </w:r>
      <w:r>
        <w:rPr>
          <w:rStyle w:val="59"/>
          <w:rFonts w:ascii="宋体"/>
          <w:color w:val="auto"/>
          <w:sz w:val="24"/>
          <w:highlight w:val="none"/>
        </w:rPr>
        <w:t xml:space="preserve">    1</w:t>
      </w:r>
      <w:r>
        <w:rPr>
          <w:rStyle w:val="59"/>
          <w:rFonts w:hint="eastAsia" w:ascii="宋体"/>
          <w:color w:val="auto"/>
          <w:sz w:val="24"/>
          <w:highlight w:val="none"/>
        </w:rPr>
        <w:t>5</w:t>
      </w:r>
      <w:r>
        <w:rPr>
          <w:rStyle w:val="59"/>
          <w:rFonts w:ascii="宋体"/>
          <w:color w:val="auto"/>
          <w:sz w:val="24"/>
          <w:highlight w:val="none"/>
        </w:rPr>
        <w:t>.投标报价必须与施工方案相结合，不应脱离施工方案造成不合理报价。</w:t>
      </w:r>
      <w:r>
        <w:rPr>
          <w:rStyle w:val="59"/>
          <w:rFonts w:ascii="宋体"/>
          <w:color w:val="auto"/>
          <w:sz w:val="24"/>
          <w:highlight w:val="none"/>
        </w:rPr>
        <w:br w:type="textWrapping"/>
      </w:r>
      <w:r>
        <w:rPr>
          <w:rStyle w:val="59"/>
          <w:rFonts w:ascii="宋体"/>
          <w:color w:val="auto"/>
          <w:sz w:val="24"/>
          <w:highlight w:val="none"/>
        </w:rPr>
        <w:t xml:space="preserve">    1</w:t>
      </w:r>
      <w:r>
        <w:rPr>
          <w:rStyle w:val="59"/>
          <w:rFonts w:hint="eastAsia" w:ascii="宋体"/>
          <w:color w:val="auto"/>
          <w:sz w:val="24"/>
          <w:highlight w:val="none"/>
        </w:rPr>
        <w:t>6</w:t>
      </w:r>
      <w:r>
        <w:rPr>
          <w:rStyle w:val="59"/>
          <w:rFonts w:ascii="宋体"/>
          <w:color w:val="auto"/>
          <w:sz w:val="24"/>
          <w:highlight w:val="none"/>
        </w:rPr>
        <w:t xml:space="preserve">.施工期间，对施工范围及附近的民居、厂房等建构筑物应采取措施进行保护、修复；应保证施工现场及周边居民生活、工厂生产作业等出入交通不受影响。发生的费用在相应的措施项目报价中考虑。 </w:t>
      </w:r>
      <w:r>
        <w:rPr>
          <w:rStyle w:val="59"/>
          <w:rFonts w:ascii="宋体"/>
          <w:color w:val="auto"/>
          <w:sz w:val="24"/>
          <w:highlight w:val="none"/>
        </w:rPr>
        <w:br w:type="textWrapping"/>
      </w:r>
      <w:r>
        <w:rPr>
          <w:rStyle w:val="59"/>
          <w:rFonts w:ascii="宋体"/>
          <w:color w:val="auto"/>
          <w:sz w:val="24"/>
          <w:highlight w:val="none"/>
        </w:rPr>
        <w:t>1</w:t>
      </w:r>
      <w:r>
        <w:rPr>
          <w:rStyle w:val="59"/>
          <w:rFonts w:hint="eastAsia" w:ascii="宋体"/>
          <w:color w:val="auto"/>
          <w:sz w:val="24"/>
          <w:highlight w:val="none"/>
        </w:rPr>
        <w:t>7</w:t>
      </w:r>
      <w:r>
        <w:rPr>
          <w:rStyle w:val="59"/>
          <w:rFonts w:ascii="宋体"/>
          <w:color w:val="auto"/>
          <w:sz w:val="24"/>
          <w:highlight w:val="none"/>
        </w:rPr>
        <w:t xml:space="preserve">.投标人应充分考虑在措施费中施工排水、降水费用，二次运输费用应充分考虑当地状况而影响材料、机械进场不能一次到位而产生的费用。  </w:t>
      </w:r>
      <w:r>
        <w:rPr>
          <w:rStyle w:val="59"/>
          <w:rFonts w:ascii="宋体"/>
          <w:color w:val="auto"/>
          <w:sz w:val="24"/>
          <w:highlight w:val="none"/>
        </w:rPr>
        <w:br w:type="textWrapping"/>
      </w:r>
      <w:r>
        <w:rPr>
          <w:rStyle w:val="59"/>
          <w:rFonts w:hint="eastAsia" w:ascii="宋体"/>
          <w:color w:val="auto"/>
          <w:sz w:val="24"/>
          <w:highlight w:val="none"/>
          <w:lang w:val="en-US" w:eastAsia="zh-CN"/>
        </w:rPr>
        <w:t xml:space="preserve">    </w:t>
      </w:r>
      <w:r>
        <w:rPr>
          <w:rStyle w:val="59"/>
          <w:rFonts w:hint="eastAsia" w:ascii="宋体"/>
          <w:color w:val="auto"/>
          <w:sz w:val="24"/>
          <w:highlight w:val="none"/>
        </w:rPr>
        <w:t>18</w:t>
      </w:r>
      <w:r>
        <w:rPr>
          <w:rStyle w:val="59"/>
          <w:rFonts w:ascii="宋体"/>
          <w:color w:val="auto"/>
          <w:sz w:val="24"/>
          <w:highlight w:val="none"/>
        </w:rPr>
        <w:t>.业主不提供临时设施及预制场的场地，报价需考虑相应的设施、场地费用。</w:t>
      </w:r>
      <w:r>
        <w:rPr>
          <w:rStyle w:val="59"/>
          <w:rFonts w:ascii="宋体"/>
          <w:color w:val="auto"/>
          <w:sz w:val="24"/>
          <w:highlight w:val="none"/>
        </w:rPr>
        <w:br w:type="textWrapping"/>
      </w:r>
      <w:r>
        <w:rPr>
          <w:rStyle w:val="59"/>
          <w:rFonts w:hint="eastAsia" w:ascii="宋体"/>
          <w:color w:val="auto"/>
          <w:sz w:val="24"/>
          <w:highlight w:val="none"/>
          <w:lang w:val="en-US" w:eastAsia="zh-CN"/>
        </w:rPr>
        <w:t xml:space="preserve">    </w:t>
      </w:r>
      <w:r>
        <w:rPr>
          <w:rStyle w:val="59"/>
          <w:rFonts w:hint="eastAsia" w:ascii="宋体"/>
          <w:color w:val="auto"/>
          <w:sz w:val="24"/>
          <w:highlight w:val="none"/>
        </w:rPr>
        <w:t>19</w:t>
      </w:r>
      <w:r>
        <w:rPr>
          <w:rStyle w:val="59"/>
          <w:rFonts w:ascii="宋体"/>
          <w:color w:val="auto"/>
          <w:sz w:val="24"/>
          <w:highlight w:val="none"/>
        </w:rPr>
        <w:t>.投标人必须充分考虑施工现场与居民及周边单位的协调，在报价时，应包含所有可能发生的费用以及施工措施不当引起的损失，建设单位在实施过程中不另外计量支付。</w:t>
      </w:r>
    </w:p>
    <w:p>
      <w:pPr>
        <w:numPr>
          <w:ilvl w:val="-1"/>
          <w:numId w:val="0"/>
        </w:numPr>
        <w:tabs>
          <w:tab w:val="left" w:pos="0"/>
        </w:tabs>
        <w:snapToGrid w:val="0"/>
        <w:spacing w:line="440" w:lineRule="exact"/>
        <w:ind w:leftChars="200" w:firstLine="0" w:firstLineChars="0"/>
        <w:rPr>
          <w:rStyle w:val="59"/>
          <w:rFonts w:ascii="宋体"/>
          <w:color w:val="auto"/>
          <w:sz w:val="24"/>
          <w:highlight w:val="none"/>
        </w:rPr>
      </w:pPr>
      <w:r>
        <w:rPr>
          <w:rStyle w:val="59"/>
          <w:rFonts w:ascii="宋体"/>
          <w:color w:val="auto"/>
          <w:sz w:val="24"/>
          <w:highlight w:val="none"/>
        </w:rPr>
        <w:t>2</w:t>
      </w:r>
      <w:r>
        <w:rPr>
          <w:rStyle w:val="59"/>
          <w:rFonts w:hint="eastAsia" w:ascii="宋体"/>
          <w:color w:val="auto"/>
          <w:sz w:val="24"/>
          <w:highlight w:val="none"/>
        </w:rPr>
        <w:t>0</w:t>
      </w:r>
      <w:r>
        <w:rPr>
          <w:rStyle w:val="59"/>
          <w:rFonts w:ascii="宋体"/>
          <w:color w:val="auto"/>
          <w:sz w:val="24"/>
          <w:highlight w:val="none"/>
        </w:rPr>
        <w:t>.除了清单中已开项的预埋件外，其他预埋件已包含在对应项目的清单单价中，不再另外计列。</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1</w:t>
      </w:r>
      <w:r>
        <w:rPr>
          <w:rStyle w:val="59"/>
          <w:rFonts w:ascii="宋体"/>
          <w:color w:val="auto"/>
          <w:sz w:val="24"/>
          <w:highlight w:val="none"/>
        </w:rPr>
        <w:t>.本工程使用商品砼、砂浆按规定采用。</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2</w:t>
      </w:r>
      <w:r>
        <w:rPr>
          <w:rStyle w:val="59"/>
          <w:rFonts w:ascii="宋体"/>
          <w:color w:val="auto"/>
          <w:sz w:val="24"/>
          <w:highlight w:val="none"/>
        </w:rPr>
        <w:t>.招标文件的单价和合价均用人民币表示。</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3</w:t>
      </w:r>
      <w:r>
        <w:rPr>
          <w:rStyle w:val="59"/>
          <w:rFonts w:ascii="宋体"/>
          <w:color w:val="auto"/>
          <w:sz w:val="24"/>
          <w:highlight w:val="none"/>
        </w:rPr>
        <w:t>.工程量清单措施项目及其他项目中明细，投标人充分结合现场情况、满足施工要求及风险等，综合考虑进行报价，并不得作为工程变更增加费用理由。</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4</w:t>
      </w:r>
      <w:r>
        <w:rPr>
          <w:rStyle w:val="59"/>
          <w:rFonts w:ascii="宋体"/>
          <w:color w:val="auto"/>
          <w:sz w:val="24"/>
          <w:highlight w:val="none"/>
        </w:rPr>
        <w:t>.自行考虑场内运输、土方平衡；</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5</w:t>
      </w:r>
      <w:r>
        <w:rPr>
          <w:rStyle w:val="59"/>
          <w:rFonts w:ascii="宋体"/>
          <w:color w:val="auto"/>
          <w:sz w:val="24"/>
          <w:highlight w:val="none"/>
        </w:rPr>
        <w:t>.支架的地基处理必须达到承载力要求，费用已包含在相关综合单价中。</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6</w:t>
      </w:r>
      <w:r>
        <w:rPr>
          <w:rStyle w:val="59"/>
          <w:rFonts w:ascii="宋体"/>
          <w:color w:val="auto"/>
          <w:sz w:val="24"/>
          <w:highlight w:val="none"/>
        </w:rPr>
        <w:t>.投标人应按本工程量清单报价，未单独开项的子目视为包含在所列项目中，不再另行计费。</w:t>
      </w:r>
      <w:r>
        <w:rPr>
          <w:rStyle w:val="59"/>
          <w:rFonts w:ascii="宋体"/>
          <w:color w:val="auto"/>
          <w:sz w:val="24"/>
          <w:highlight w:val="none"/>
        </w:rPr>
        <w:br w:type="textWrapping"/>
      </w:r>
      <w:r>
        <w:rPr>
          <w:rStyle w:val="59"/>
          <w:rFonts w:ascii="宋体"/>
          <w:color w:val="auto"/>
          <w:sz w:val="24"/>
          <w:highlight w:val="none"/>
        </w:rPr>
        <w:t>2</w:t>
      </w:r>
      <w:r>
        <w:rPr>
          <w:rStyle w:val="59"/>
          <w:rFonts w:hint="eastAsia" w:ascii="宋体"/>
          <w:color w:val="auto"/>
          <w:sz w:val="24"/>
          <w:highlight w:val="none"/>
        </w:rPr>
        <w:t>7</w:t>
      </w:r>
      <w:r>
        <w:rPr>
          <w:rStyle w:val="59"/>
          <w:rFonts w:ascii="宋体"/>
          <w:color w:val="auto"/>
          <w:sz w:val="24"/>
          <w:highlight w:val="none"/>
        </w:rPr>
        <w:t>.请投标方注意投标单价的合理性，项目名称及项目特征均一致的项目报价应统一，否则该项目发生变更时，如价格调减时按最高报价进行调整，如价格调增时按最低报价进行调整。</w:t>
      </w:r>
      <w:r>
        <w:rPr>
          <w:rStyle w:val="59"/>
          <w:rFonts w:ascii="宋体"/>
          <w:color w:val="auto"/>
          <w:sz w:val="24"/>
          <w:highlight w:val="none"/>
        </w:rPr>
        <w:br w:type="textWrapping"/>
      </w:r>
      <w:r>
        <w:rPr>
          <w:rStyle w:val="59"/>
          <w:rFonts w:hint="eastAsia" w:ascii="宋体"/>
          <w:color w:val="auto"/>
          <w:sz w:val="24"/>
          <w:highlight w:val="none"/>
        </w:rPr>
        <w:t>28</w:t>
      </w:r>
      <w:r>
        <w:rPr>
          <w:rStyle w:val="59"/>
          <w:rFonts w:ascii="宋体"/>
          <w:color w:val="auto"/>
          <w:sz w:val="24"/>
          <w:highlight w:val="none"/>
        </w:rPr>
        <w:t>.中标单位在签订合同时需提供与中标价对应一致的造价软件电子版文件，优先推荐广联达、殷雷、易达造价软件。</w:t>
      </w:r>
      <w:r>
        <w:rPr>
          <w:rStyle w:val="59"/>
          <w:rFonts w:ascii="宋体"/>
          <w:color w:val="auto"/>
          <w:sz w:val="24"/>
          <w:highlight w:val="none"/>
        </w:rPr>
        <w:br w:type="textWrapping"/>
      </w:r>
      <w:r>
        <w:rPr>
          <w:rStyle w:val="59"/>
          <w:rFonts w:hint="eastAsia" w:ascii="宋体"/>
          <w:color w:val="auto"/>
          <w:sz w:val="24"/>
          <w:highlight w:val="none"/>
        </w:rPr>
        <w:t>29</w:t>
      </w:r>
      <w:r>
        <w:rPr>
          <w:rStyle w:val="59"/>
          <w:rFonts w:ascii="宋体"/>
          <w:color w:val="auto"/>
          <w:sz w:val="24"/>
          <w:highlight w:val="none"/>
        </w:rPr>
        <w:t>.本项目在施工过程中不能影响污水处理设备的正常运作，因此工程量清单单价必须充分考虑由此导致的人工降效费用和导致增加措施费用。</w:t>
      </w:r>
    </w:p>
    <w:p>
      <w:pPr>
        <w:spacing w:line="440" w:lineRule="exact"/>
        <w:rPr>
          <w:rFonts w:ascii="宋体"/>
          <w:color w:val="auto"/>
          <w:sz w:val="24"/>
          <w:highlight w:val="none"/>
        </w:rPr>
      </w:pPr>
    </w:p>
    <w:p>
      <w:pPr>
        <w:snapToGrid w:val="0"/>
        <w:spacing w:line="440" w:lineRule="exact"/>
        <w:ind w:firstLine="480" w:firstLineChars="200"/>
        <w:rPr>
          <w:rStyle w:val="59"/>
          <w:rFonts w:ascii="宋体"/>
          <w:color w:val="auto"/>
          <w:sz w:val="24"/>
          <w:highlight w:val="none"/>
        </w:rPr>
      </w:pPr>
      <w:bookmarkStart w:id="607" w:name="_Toc17556954"/>
      <w:bookmarkStart w:id="608" w:name="_Toc29478"/>
      <w:bookmarkStart w:id="609" w:name="_Toc6640"/>
      <w:bookmarkStart w:id="610" w:name="_Toc75788611"/>
      <w:bookmarkStart w:id="611" w:name="_Toc17305"/>
      <w:r>
        <w:rPr>
          <w:rStyle w:val="59"/>
          <w:rFonts w:hint="eastAsia" w:ascii="宋体"/>
          <w:color w:val="auto"/>
          <w:sz w:val="24"/>
          <w:highlight w:val="none"/>
        </w:rPr>
        <w:t>四、工程量清单</w:t>
      </w:r>
      <w:bookmarkEnd w:id="607"/>
      <w:bookmarkEnd w:id="608"/>
      <w:bookmarkEnd w:id="609"/>
      <w:r>
        <w:rPr>
          <w:rStyle w:val="59"/>
          <w:rFonts w:hint="eastAsia" w:ascii="宋体"/>
          <w:color w:val="auto"/>
          <w:sz w:val="24"/>
          <w:highlight w:val="none"/>
        </w:rPr>
        <w:t>（另册）</w:t>
      </w:r>
      <w:bookmarkEnd w:id="610"/>
      <w:bookmarkEnd w:id="611"/>
    </w:p>
    <w:p>
      <w:pPr>
        <w:spacing w:line="440" w:lineRule="exact"/>
        <w:rPr>
          <w:rFonts w:hint="eastAsia" w:ascii="宋体" w:eastAsia="宋体"/>
          <w:color w:val="auto"/>
          <w:sz w:val="24"/>
          <w:highlight w:val="none"/>
          <w:lang w:val="en-US" w:eastAsia="zh-CN"/>
        </w:rPr>
      </w:pPr>
      <w:bookmarkStart w:id="612" w:name="_Toc20690"/>
      <w:r>
        <w:rPr>
          <w:rFonts w:hint="eastAsia" w:ascii="宋体"/>
          <w:b/>
          <w:color w:val="auto"/>
          <w:sz w:val="24"/>
          <w:highlight w:val="none"/>
        </w:rPr>
        <w:t>注：本工程量清单即施工招标控制价，格式按广州市造价站的规定执行，其中暂列金、</w:t>
      </w:r>
      <w:r>
        <w:rPr>
          <w:rFonts w:hint="eastAsia" w:ascii="宋体" w:cs="宋体"/>
          <w:b/>
          <w:color w:val="auto"/>
          <w:sz w:val="24"/>
          <w:szCs w:val="24"/>
          <w:highlight w:val="none"/>
        </w:rPr>
        <w:t>绿色施工安全防护措施费</w:t>
      </w:r>
      <w:r>
        <w:rPr>
          <w:rFonts w:hint="eastAsia" w:ascii="宋体"/>
          <w:b/>
          <w:color w:val="auto"/>
          <w:sz w:val="24"/>
          <w:highlight w:val="none"/>
        </w:rPr>
        <w:t>等投标人不可竞争的固定报价另外单列</w:t>
      </w:r>
      <w:r>
        <w:rPr>
          <w:rFonts w:hint="eastAsia" w:ascii="宋体"/>
          <w:color w:val="auto"/>
          <w:sz w:val="24"/>
          <w:highlight w:val="none"/>
        </w:rPr>
        <w:t>。</w:t>
      </w:r>
      <w:bookmarkEnd w:id="612"/>
      <w:bookmarkStart w:id="613" w:name="_Toc296602591"/>
      <w:r>
        <w:rPr>
          <w:rFonts w:hint="eastAsia" w:ascii="宋体"/>
          <w:b/>
          <w:bCs/>
          <w:color w:val="auto"/>
          <w:sz w:val="24"/>
          <w:highlight w:val="none"/>
        </w:rPr>
        <w:t>本项目暂估价（幸福湾区域移树工程）不列入本次施工招标控制价中，若发生幸福湾区域移树工程，则在实际施工中另行计取，最终按实际发生的量按实结算。</w:t>
      </w:r>
    </w:p>
    <w:bookmarkEnd w:id="606"/>
    <w:bookmarkEnd w:id="613"/>
    <w:p>
      <w:pPr>
        <w:spacing w:line="360" w:lineRule="auto"/>
        <w:jc w:val="center"/>
        <w:outlineLvl w:val="1"/>
        <w:rPr>
          <w:rFonts w:ascii="宋体"/>
          <w:color w:val="auto"/>
          <w:sz w:val="20"/>
          <w:szCs w:val="20"/>
          <w:highlight w:val="none"/>
        </w:rPr>
      </w:pPr>
      <w:r>
        <w:rPr>
          <w:rFonts w:ascii="宋体"/>
          <w:i/>
          <w:color w:val="auto"/>
          <w:sz w:val="24"/>
          <w:highlight w:val="none"/>
        </w:rPr>
        <w:br w:type="page"/>
      </w:r>
      <w:bookmarkStart w:id="614" w:name="_Toc75788612"/>
      <w:bookmarkStart w:id="615" w:name="_Toc17454895"/>
      <w:bookmarkStart w:id="616" w:name="_Toc17452688"/>
      <w:bookmarkStart w:id="617" w:name="_Toc18626"/>
      <w:bookmarkStart w:id="618" w:name="_Toc17451647"/>
      <w:bookmarkStart w:id="619" w:name="_Toc17451125"/>
      <w:bookmarkStart w:id="620" w:name="_Toc17454946"/>
      <w:bookmarkStart w:id="621" w:name="_Toc17451602"/>
      <w:bookmarkStart w:id="622" w:name="_Toc17556900"/>
      <w:bookmarkStart w:id="623" w:name="_Toc27692"/>
      <w:r>
        <w:rPr>
          <w:rFonts w:hint="eastAsia" w:ascii="宋体"/>
          <w:color w:val="auto"/>
          <w:sz w:val="32"/>
          <w:szCs w:val="27"/>
          <w:highlight w:val="none"/>
        </w:rPr>
        <w:t>第六章 图纸</w:t>
      </w:r>
      <w:bookmarkEnd w:id="596"/>
      <w:r>
        <w:rPr>
          <w:rFonts w:hint="eastAsia" w:ascii="宋体"/>
          <w:color w:val="auto"/>
          <w:sz w:val="32"/>
          <w:szCs w:val="27"/>
          <w:highlight w:val="none"/>
        </w:rPr>
        <w:t>（招标图纸</w:t>
      </w:r>
      <w:bookmarkEnd w:id="597"/>
      <w:bookmarkEnd w:id="598"/>
      <w:bookmarkEnd w:id="599"/>
      <w:bookmarkEnd w:id="600"/>
      <w:bookmarkEnd w:id="601"/>
      <w:bookmarkEnd w:id="602"/>
      <w:bookmarkEnd w:id="603"/>
      <w:r>
        <w:rPr>
          <w:rFonts w:hint="eastAsia" w:ascii="宋体"/>
          <w:color w:val="auto"/>
          <w:sz w:val="32"/>
          <w:szCs w:val="27"/>
          <w:highlight w:val="none"/>
        </w:rPr>
        <w:t>）</w:t>
      </w:r>
      <w:bookmarkEnd w:id="614"/>
      <w:bookmarkEnd w:id="615"/>
      <w:bookmarkEnd w:id="616"/>
      <w:bookmarkEnd w:id="617"/>
      <w:bookmarkEnd w:id="618"/>
      <w:bookmarkEnd w:id="619"/>
      <w:bookmarkEnd w:id="620"/>
      <w:bookmarkEnd w:id="621"/>
      <w:bookmarkEnd w:id="622"/>
      <w:bookmarkEnd w:id="623"/>
    </w:p>
    <w:p>
      <w:pPr>
        <w:spacing w:line="400" w:lineRule="exact"/>
        <w:jc w:val="center"/>
        <w:rPr>
          <w:rFonts w:ascii="宋体"/>
          <w:b/>
          <w:color w:val="auto"/>
          <w:sz w:val="27"/>
          <w:szCs w:val="27"/>
          <w:highlight w:val="none"/>
        </w:rPr>
      </w:pPr>
      <w:r>
        <w:rPr>
          <w:rFonts w:hint="eastAsia" w:ascii="宋体" w:cs="宋体"/>
          <w:color w:val="auto"/>
          <w:sz w:val="32"/>
          <w:szCs w:val="27"/>
          <w:highlight w:val="none"/>
        </w:rPr>
        <w:t>（另册）</w:t>
      </w:r>
    </w:p>
    <w:p>
      <w:pPr>
        <w:spacing w:line="360" w:lineRule="auto"/>
        <w:rPr>
          <w:rFonts w:ascii="宋体"/>
          <w:color w:val="auto"/>
          <w:szCs w:val="21"/>
          <w:highlight w:val="none"/>
        </w:rPr>
      </w:pPr>
    </w:p>
    <w:p>
      <w:pPr>
        <w:widowControl/>
        <w:jc w:val="left"/>
        <w:rPr>
          <w:rFonts w:ascii="宋体"/>
          <w:color w:val="auto"/>
          <w:szCs w:val="21"/>
          <w:highlight w:val="none"/>
        </w:rPr>
      </w:pPr>
      <w:r>
        <w:rPr>
          <w:rFonts w:ascii="宋体"/>
          <w:color w:val="auto"/>
          <w:szCs w:val="21"/>
          <w:highlight w:val="none"/>
        </w:rPr>
        <w:br w:type="page"/>
      </w:r>
    </w:p>
    <w:p>
      <w:pPr>
        <w:spacing w:line="360" w:lineRule="auto"/>
        <w:jc w:val="center"/>
        <w:outlineLvl w:val="1"/>
        <w:rPr>
          <w:rFonts w:ascii="宋体"/>
          <w:color w:val="auto"/>
          <w:sz w:val="32"/>
          <w:szCs w:val="27"/>
          <w:highlight w:val="none"/>
        </w:rPr>
      </w:pPr>
      <w:bookmarkStart w:id="624" w:name="_Toc259524409"/>
      <w:bookmarkStart w:id="625" w:name="_Toc75788613"/>
      <w:bookmarkStart w:id="626" w:name="_Toc17451604"/>
      <w:bookmarkStart w:id="627" w:name="_Toc13683"/>
      <w:bookmarkStart w:id="628" w:name="_Toc17454897"/>
      <w:bookmarkStart w:id="629" w:name="_Toc17452690"/>
      <w:bookmarkStart w:id="630" w:name="_Toc17556902"/>
      <w:bookmarkStart w:id="631" w:name="_Toc25559"/>
      <w:bookmarkStart w:id="632" w:name="_Toc17454948"/>
      <w:bookmarkStart w:id="633" w:name="_Toc17451649"/>
      <w:bookmarkStart w:id="634" w:name="_Toc17451127"/>
      <w:r>
        <w:rPr>
          <w:rFonts w:hint="eastAsia" w:ascii="宋体"/>
          <w:color w:val="auto"/>
          <w:sz w:val="32"/>
          <w:szCs w:val="27"/>
          <w:highlight w:val="none"/>
        </w:rPr>
        <w:t>第七章 技术标准和要求</w:t>
      </w:r>
      <w:bookmarkEnd w:id="624"/>
      <w:r>
        <w:rPr>
          <w:rFonts w:hint="eastAsia" w:ascii="宋体"/>
          <w:color w:val="auto"/>
          <w:sz w:val="32"/>
          <w:szCs w:val="27"/>
          <w:highlight w:val="none"/>
        </w:rPr>
        <w:t>（合同技术条款）</w:t>
      </w:r>
      <w:bookmarkEnd w:id="625"/>
      <w:bookmarkEnd w:id="626"/>
      <w:bookmarkEnd w:id="627"/>
      <w:bookmarkEnd w:id="628"/>
      <w:bookmarkEnd w:id="629"/>
      <w:bookmarkEnd w:id="630"/>
      <w:bookmarkEnd w:id="631"/>
      <w:bookmarkEnd w:id="632"/>
      <w:bookmarkEnd w:id="633"/>
      <w:bookmarkEnd w:id="634"/>
    </w:p>
    <w:p>
      <w:pPr>
        <w:rPr>
          <w:rFonts w:ascii="宋体" w:cs="宋体"/>
          <w:color w:val="auto"/>
          <w:sz w:val="24"/>
          <w:szCs w:val="24"/>
          <w:highlight w:val="none"/>
        </w:rPr>
      </w:pPr>
      <w:r>
        <w:rPr>
          <w:rFonts w:hint="eastAsia" w:ascii="宋体" w:cs="宋体"/>
          <w:color w:val="auto"/>
          <w:sz w:val="24"/>
          <w:szCs w:val="24"/>
          <w:highlight w:val="none"/>
        </w:rPr>
        <w:t>1、具体按施工图纸。</w:t>
      </w:r>
    </w:p>
    <w:p>
      <w:pPr>
        <w:widowControl/>
        <w:jc w:val="left"/>
        <w:rPr>
          <w:rFonts w:ascii="宋体" w:cs="宋体"/>
          <w:color w:val="auto"/>
          <w:sz w:val="24"/>
          <w:szCs w:val="24"/>
          <w:highlight w:val="none"/>
        </w:rPr>
      </w:pPr>
      <w:r>
        <w:rPr>
          <w:rFonts w:hint="eastAsia" w:ascii="宋体" w:cs="宋体"/>
          <w:color w:val="auto"/>
          <w:sz w:val="24"/>
          <w:szCs w:val="24"/>
          <w:highlight w:val="none"/>
        </w:rPr>
        <w:t>2、依据设计文件的要求，本招标工程项目的材料、设备、施工须达到中华人民共和国以及省、市或行业的工程建设标准、规范的要求。</w:t>
      </w:r>
    </w:p>
    <w:p>
      <w:pPr>
        <w:widowControl/>
        <w:jc w:val="left"/>
        <w:rPr>
          <w:rFonts w:ascii="宋体"/>
          <w:color w:val="auto"/>
          <w:sz w:val="24"/>
          <w:highlight w:val="none"/>
        </w:rPr>
      </w:pPr>
      <w:r>
        <w:rPr>
          <w:rFonts w:ascii="宋体"/>
          <w:color w:val="auto"/>
          <w:sz w:val="24"/>
          <w:highlight w:val="none"/>
        </w:rPr>
        <w:br w:type="page"/>
      </w:r>
    </w:p>
    <w:p>
      <w:pPr>
        <w:spacing w:line="360" w:lineRule="auto"/>
        <w:jc w:val="center"/>
        <w:outlineLvl w:val="1"/>
        <w:rPr>
          <w:rFonts w:ascii="宋体"/>
          <w:color w:val="auto"/>
          <w:sz w:val="32"/>
          <w:szCs w:val="27"/>
          <w:highlight w:val="none"/>
        </w:rPr>
      </w:pPr>
      <w:bookmarkStart w:id="635" w:name="_Toc17451605"/>
      <w:bookmarkStart w:id="636" w:name="_Toc17556903"/>
      <w:bookmarkStart w:id="637" w:name="_Toc17451128"/>
      <w:bookmarkStart w:id="638" w:name="_Toc17454898"/>
      <w:bookmarkStart w:id="639" w:name="_Toc75788614"/>
      <w:bookmarkStart w:id="640" w:name="_Toc4040"/>
      <w:bookmarkStart w:id="641" w:name="_Toc17454949"/>
      <w:bookmarkStart w:id="642" w:name="_Toc17451650"/>
      <w:bookmarkStart w:id="643" w:name="_Toc17452691"/>
      <w:bookmarkStart w:id="644" w:name="_Toc13748"/>
      <w:bookmarkStart w:id="645" w:name="_Toc259524411"/>
      <w:r>
        <w:rPr>
          <w:rFonts w:hint="eastAsia" w:ascii="宋体"/>
          <w:color w:val="auto"/>
          <w:sz w:val="32"/>
          <w:szCs w:val="27"/>
          <w:highlight w:val="none"/>
        </w:rPr>
        <w:t>第八章 投标文件格式</w:t>
      </w:r>
      <w:bookmarkEnd w:id="635"/>
      <w:bookmarkEnd w:id="636"/>
      <w:bookmarkEnd w:id="637"/>
      <w:bookmarkEnd w:id="638"/>
      <w:bookmarkEnd w:id="639"/>
      <w:bookmarkEnd w:id="640"/>
      <w:bookmarkEnd w:id="641"/>
      <w:bookmarkEnd w:id="642"/>
      <w:bookmarkEnd w:id="643"/>
      <w:bookmarkEnd w:id="644"/>
      <w:bookmarkEnd w:id="645"/>
    </w:p>
    <w:p>
      <w:pPr>
        <w:spacing w:line="360" w:lineRule="auto"/>
        <w:ind w:firstLine="480" w:firstLineChars="200"/>
        <w:rPr>
          <w:rFonts w:ascii="宋体"/>
          <w:color w:val="auto"/>
          <w:sz w:val="24"/>
          <w:highlight w:val="none"/>
        </w:rPr>
      </w:pPr>
      <w:r>
        <w:rPr>
          <w:rFonts w:hint="eastAsia" w:ascii="宋体"/>
          <w:color w:val="auto"/>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color w:val="auto"/>
          <w:sz w:val="24"/>
          <w:highlight w:val="none"/>
        </w:rPr>
      </w:pPr>
      <w:r>
        <w:rPr>
          <w:rFonts w:hint="eastAsia" w:ascii="宋体"/>
          <w:color w:val="auto"/>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ascii="宋体"/>
          <w:color w:val="auto"/>
          <w:sz w:val="24"/>
          <w:highlight w:val="none"/>
        </w:rPr>
      </w:pPr>
      <w:r>
        <w:rPr>
          <w:rFonts w:hint="eastAsia" w:ascii="宋体"/>
          <w:color w:val="auto"/>
          <w:sz w:val="24"/>
          <w:highlight w:val="none"/>
        </w:rPr>
        <w:t>1.2  《投标函附录》内容按以下表述填写。</w:t>
      </w:r>
    </w:p>
    <w:p>
      <w:pPr>
        <w:spacing w:line="360" w:lineRule="auto"/>
        <w:ind w:firstLine="480" w:firstLineChars="200"/>
        <w:rPr>
          <w:rFonts w:ascii="宋体"/>
          <w:color w:val="auto"/>
          <w:sz w:val="24"/>
          <w:highlight w:val="none"/>
        </w:rPr>
      </w:pPr>
      <w:r>
        <w:rPr>
          <w:rFonts w:hint="eastAsia" w:ascii="宋体"/>
          <w:color w:val="auto"/>
          <w:sz w:val="24"/>
          <w:highlight w:val="none"/>
        </w:rPr>
        <w:t>投标总工期：“＿日历天”或“按招标文件的要求”；</w:t>
      </w:r>
    </w:p>
    <w:p>
      <w:pPr>
        <w:spacing w:line="360" w:lineRule="auto"/>
        <w:ind w:firstLine="480" w:firstLineChars="200"/>
        <w:rPr>
          <w:rFonts w:ascii="宋体"/>
          <w:color w:val="auto"/>
          <w:sz w:val="24"/>
          <w:highlight w:val="none"/>
        </w:rPr>
      </w:pPr>
      <w:r>
        <w:rPr>
          <w:rFonts w:hint="eastAsia" w:ascii="宋体"/>
          <w:color w:val="auto"/>
          <w:sz w:val="24"/>
          <w:highlight w:val="none"/>
        </w:rPr>
        <w:t>工程质量标准：“按招标文件的要求”；</w:t>
      </w:r>
    </w:p>
    <w:p>
      <w:pPr>
        <w:spacing w:line="360" w:lineRule="auto"/>
        <w:ind w:firstLine="480" w:firstLineChars="200"/>
        <w:rPr>
          <w:rFonts w:ascii="宋体"/>
          <w:color w:val="auto"/>
          <w:sz w:val="24"/>
          <w:highlight w:val="none"/>
        </w:rPr>
      </w:pPr>
      <w:r>
        <w:rPr>
          <w:rFonts w:hint="eastAsia" w:ascii="宋体"/>
          <w:color w:val="auto"/>
          <w:sz w:val="24"/>
          <w:highlight w:val="none"/>
        </w:rPr>
        <w:t>保修期限： “按《建设工程质量管理条例》规定”。</w:t>
      </w:r>
    </w:p>
    <w:p>
      <w:pPr>
        <w:spacing w:line="360" w:lineRule="auto"/>
        <w:ind w:firstLine="480" w:firstLineChars="200"/>
        <w:rPr>
          <w:rFonts w:ascii="宋体"/>
          <w:color w:val="auto"/>
          <w:sz w:val="24"/>
          <w:highlight w:val="none"/>
        </w:rPr>
      </w:pPr>
      <w:r>
        <w:rPr>
          <w:rFonts w:hint="eastAsia" w:ascii="宋体"/>
          <w:color w:val="auto"/>
          <w:sz w:val="24"/>
          <w:highlight w:val="none"/>
        </w:rPr>
        <w:t>1.3工程量清单报价表</w:t>
      </w:r>
      <w:r>
        <w:rPr>
          <w:rFonts w:ascii="宋体"/>
          <w:color w:val="auto"/>
          <w:sz w:val="24"/>
          <w:szCs w:val="24"/>
          <w:highlight w:val="none"/>
        </w:rPr>
        <w:t>工程量清单报价表应使用符合广东省标准《建设工程政府投资项目造价数据标准（DBJ/T15-145-2018）》及后续版本的有关规定</w:t>
      </w:r>
      <w:r>
        <w:rPr>
          <w:rFonts w:hint="eastAsia" w:ascii="宋体"/>
          <w:color w:val="auto"/>
          <w:sz w:val="24"/>
          <w:szCs w:val="24"/>
          <w:highlight w:val="none"/>
        </w:rPr>
        <w:t>的</w:t>
      </w:r>
      <w:r>
        <w:rPr>
          <w:rFonts w:ascii="宋体"/>
          <w:color w:val="auto"/>
          <w:sz w:val="24"/>
          <w:szCs w:val="24"/>
          <w:highlight w:val="none"/>
        </w:rPr>
        <w:t>cos</w:t>
      </w:r>
      <w:r>
        <w:rPr>
          <w:rFonts w:hint="eastAsia" w:ascii="宋体"/>
          <w:color w:val="auto"/>
          <w:sz w:val="24"/>
          <w:szCs w:val="24"/>
          <w:highlight w:val="none"/>
        </w:rPr>
        <w:t>文件或者投标文件编制工具要求的文件格式，</w:t>
      </w:r>
      <w:r>
        <w:rPr>
          <w:rFonts w:hint="eastAsia" w:ascii="宋体"/>
          <w:color w:val="auto"/>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color w:val="auto"/>
          <w:sz w:val="24"/>
          <w:highlight w:val="none"/>
        </w:rPr>
      </w:pPr>
      <w:r>
        <w:rPr>
          <w:rFonts w:hint="eastAsia" w:ascii="宋体"/>
          <w:color w:val="auto"/>
          <w:sz w:val="24"/>
          <w:highlight w:val="none"/>
        </w:rPr>
        <w:t>1.4 投标人为联合体投标时，应按以下规定填写。</w:t>
      </w:r>
    </w:p>
    <w:p>
      <w:pPr>
        <w:spacing w:line="360" w:lineRule="auto"/>
        <w:ind w:firstLine="480" w:firstLineChars="200"/>
        <w:rPr>
          <w:rFonts w:ascii="宋体"/>
          <w:color w:val="auto"/>
          <w:sz w:val="24"/>
          <w:highlight w:val="none"/>
        </w:rPr>
      </w:pPr>
      <w:r>
        <w:rPr>
          <w:rFonts w:hint="eastAsia" w:ascii="宋体"/>
          <w:color w:val="auto"/>
          <w:sz w:val="24"/>
          <w:highlight w:val="none"/>
        </w:rPr>
        <w:t>1.4.1投标人在广州公共资源交易中心信息登记时，必须将联合体的所有成员单位的全称填写完整。</w:t>
      </w:r>
    </w:p>
    <w:p>
      <w:pPr>
        <w:spacing w:line="360" w:lineRule="auto"/>
        <w:ind w:firstLine="480" w:firstLineChars="200"/>
        <w:rPr>
          <w:rFonts w:ascii="宋体"/>
          <w:color w:val="auto"/>
          <w:sz w:val="24"/>
          <w:highlight w:val="none"/>
        </w:rPr>
      </w:pPr>
      <w:r>
        <w:rPr>
          <w:rFonts w:hint="eastAsia" w:ascii="宋体"/>
          <w:color w:val="auto"/>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ascii="宋体"/>
          <w:color w:val="auto"/>
          <w:sz w:val="28"/>
          <w:szCs w:val="28"/>
          <w:highlight w:val="none"/>
        </w:rPr>
      </w:pPr>
      <w:r>
        <w:rPr>
          <w:rFonts w:hint="eastAsia" w:ascii="宋体"/>
          <w:color w:val="auto"/>
          <w:sz w:val="24"/>
          <w:highlight w:val="none"/>
        </w:rPr>
        <w:t>1.5投标文件中要求盖单位章的，均以盖电子签章为准。要求</w:t>
      </w:r>
      <w:r>
        <w:rPr>
          <w:rFonts w:hint="eastAsia" w:ascii="宋体"/>
          <w:color w:val="auto"/>
          <w:sz w:val="24"/>
          <w:szCs w:val="24"/>
          <w:highlight w:val="none"/>
        </w:rPr>
        <w:t>规定法定代表人或授权委托人人、项目负责人和技术负责人签字的页面必须签字。签字必须由本人在规定页面</w:t>
      </w:r>
      <w:r>
        <w:rPr>
          <w:rFonts w:hint="eastAsia"/>
          <w:color w:val="auto"/>
          <w:sz w:val="24"/>
          <w:szCs w:val="24"/>
          <w:highlight w:val="none"/>
          <w:u w:val="single"/>
        </w:rPr>
        <w:t>加盖个人电子印章或在线下</w:t>
      </w:r>
      <w:r>
        <w:rPr>
          <w:rFonts w:hint="eastAsia" w:ascii="宋体"/>
          <w:color w:val="auto"/>
          <w:sz w:val="24"/>
          <w:szCs w:val="24"/>
          <w:highlight w:val="none"/>
        </w:rPr>
        <w:t>手写签名或签章后扫描上传。</w:t>
      </w:r>
    </w:p>
    <w:p>
      <w:pPr>
        <w:spacing w:line="360" w:lineRule="auto"/>
        <w:ind w:firstLine="480" w:firstLineChars="200"/>
        <w:rPr>
          <w:rFonts w:ascii="宋体"/>
          <w:color w:val="auto"/>
          <w:sz w:val="24"/>
          <w:highlight w:val="none"/>
        </w:rPr>
      </w:pPr>
    </w:p>
    <w:p>
      <w:pPr>
        <w:widowControl/>
        <w:jc w:val="left"/>
        <w:rPr>
          <w:rFonts w:ascii="宋体"/>
          <w:color w:val="auto"/>
          <w:sz w:val="24"/>
          <w:highlight w:val="none"/>
        </w:rPr>
      </w:pPr>
      <w:r>
        <w:rPr>
          <w:rFonts w:ascii="宋体"/>
          <w:color w:val="auto"/>
          <w:sz w:val="24"/>
          <w:highlight w:val="none"/>
        </w:rPr>
        <w:br w:type="page"/>
      </w:r>
    </w:p>
    <w:p>
      <w:pPr>
        <w:spacing w:line="400" w:lineRule="exact"/>
        <w:rPr>
          <w:rFonts w:ascii="宋体"/>
          <w:color w:val="auto"/>
          <w:sz w:val="35"/>
          <w:szCs w:val="35"/>
          <w:highlight w:val="none"/>
        </w:rPr>
      </w:pPr>
    </w:p>
    <w:p>
      <w:pPr>
        <w:spacing w:line="400" w:lineRule="exact"/>
        <w:rPr>
          <w:rFonts w:ascii="宋体"/>
          <w:color w:val="auto"/>
          <w:sz w:val="19"/>
          <w:szCs w:val="19"/>
          <w:highlight w:val="none"/>
        </w:rPr>
      </w:pPr>
    </w:p>
    <w:p>
      <w:pPr>
        <w:spacing w:line="400" w:lineRule="exact"/>
        <w:rPr>
          <w:rFonts w:ascii="宋体"/>
          <w:color w:val="auto"/>
          <w:sz w:val="19"/>
          <w:szCs w:val="19"/>
          <w:highlight w:val="none"/>
        </w:rPr>
      </w:pPr>
    </w:p>
    <w:p>
      <w:pPr>
        <w:spacing w:line="400" w:lineRule="exact"/>
        <w:jc w:val="center"/>
        <w:rPr>
          <w:rFonts w:ascii="宋体"/>
          <w:color w:val="auto"/>
          <w:sz w:val="27"/>
          <w:szCs w:val="27"/>
          <w:highlight w:val="none"/>
        </w:rPr>
      </w:pPr>
      <w:bookmarkStart w:id="646" w:name="_Toc221951910"/>
      <w:r>
        <w:rPr>
          <w:rFonts w:ascii="宋体"/>
          <w:color w:val="auto"/>
          <w:sz w:val="27"/>
          <w:szCs w:val="27"/>
          <w:highlight w:val="none"/>
        </w:rPr>
        <w:t>（</w:t>
      </w:r>
      <w:r>
        <w:rPr>
          <w:rFonts w:hint="eastAsia" w:ascii="宋体"/>
          <w:color w:val="auto"/>
          <w:sz w:val="27"/>
          <w:szCs w:val="27"/>
          <w:highlight w:val="none"/>
        </w:rPr>
        <w:t>项目名称）</w:t>
      </w:r>
      <w:r>
        <w:rPr>
          <w:rFonts w:hint="eastAsia" w:ascii="宋体"/>
          <w:color w:val="auto"/>
          <w:sz w:val="27"/>
          <w:szCs w:val="27"/>
          <w:highlight w:val="none"/>
          <w:u w:val="single"/>
        </w:rPr>
        <w:t xml:space="preserve">            （</w:t>
      </w:r>
      <w:r>
        <w:rPr>
          <w:rFonts w:hint="eastAsia" w:ascii="宋体"/>
          <w:color w:val="auto"/>
          <w:sz w:val="27"/>
          <w:szCs w:val="27"/>
          <w:highlight w:val="none"/>
        </w:rPr>
        <w:t>标段名称）</w:t>
      </w:r>
      <w:bookmarkEnd w:id="646"/>
    </w:p>
    <w:p>
      <w:pPr>
        <w:spacing w:line="400" w:lineRule="exact"/>
        <w:rPr>
          <w:rFonts w:ascii="宋体"/>
          <w:color w:val="auto"/>
          <w:sz w:val="19"/>
          <w:szCs w:val="19"/>
          <w:highlight w:val="none"/>
        </w:rPr>
      </w:pPr>
    </w:p>
    <w:p>
      <w:pPr>
        <w:spacing w:line="400" w:lineRule="exact"/>
        <w:rPr>
          <w:rFonts w:ascii="宋体"/>
          <w:color w:val="auto"/>
          <w:sz w:val="19"/>
          <w:szCs w:val="19"/>
          <w:highlight w:val="none"/>
        </w:rPr>
      </w:pPr>
    </w:p>
    <w:p>
      <w:pPr>
        <w:spacing w:line="400" w:lineRule="exact"/>
        <w:jc w:val="center"/>
        <w:rPr>
          <w:rFonts w:ascii="宋体"/>
          <w:color w:val="auto"/>
          <w:sz w:val="42"/>
          <w:szCs w:val="42"/>
          <w:highlight w:val="none"/>
        </w:rPr>
      </w:pPr>
      <w:bookmarkStart w:id="647" w:name="_Toc221951911"/>
      <w:r>
        <w:rPr>
          <w:rFonts w:ascii="宋体"/>
          <w:color w:val="auto"/>
          <w:sz w:val="42"/>
          <w:szCs w:val="42"/>
          <w:highlight w:val="none"/>
        </w:rPr>
        <w:t>投  标  文  件</w:t>
      </w:r>
      <w:bookmarkEnd w:id="647"/>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rPr>
          <w:rFonts w:ascii="宋体"/>
          <w:color w:val="auto"/>
          <w:sz w:val="27"/>
          <w:szCs w:val="27"/>
          <w:highlight w:val="none"/>
        </w:rPr>
      </w:pPr>
    </w:p>
    <w:p>
      <w:pPr>
        <w:spacing w:line="400" w:lineRule="exact"/>
        <w:jc w:val="center"/>
        <w:rPr>
          <w:rFonts w:ascii="宋体"/>
          <w:color w:val="auto"/>
          <w:sz w:val="27"/>
          <w:szCs w:val="27"/>
          <w:highlight w:val="none"/>
        </w:rPr>
      </w:pPr>
      <w:bookmarkStart w:id="648" w:name="_Toc221951912"/>
      <w:r>
        <w:rPr>
          <w:rFonts w:ascii="宋体"/>
          <w:color w:val="auto"/>
          <w:sz w:val="27"/>
          <w:szCs w:val="27"/>
          <w:highlight w:val="none"/>
        </w:rPr>
        <w:t>投标人：（盖单位章）</w:t>
      </w:r>
      <w:bookmarkEnd w:id="648"/>
    </w:p>
    <w:p>
      <w:pPr>
        <w:spacing w:line="400" w:lineRule="exact"/>
        <w:jc w:val="center"/>
        <w:rPr>
          <w:rFonts w:ascii="宋体"/>
          <w:color w:val="auto"/>
          <w:sz w:val="27"/>
          <w:szCs w:val="27"/>
          <w:highlight w:val="none"/>
          <w:u w:val="single"/>
        </w:rPr>
      </w:pPr>
    </w:p>
    <w:p>
      <w:pPr>
        <w:spacing w:line="400" w:lineRule="exact"/>
        <w:jc w:val="center"/>
        <w:rPr>
          <w:rFonts w:ascii="宋体"/>
          <w:color w:val="auto"/>
          <w:sz w:val="27"/>
          <w:szCs w:val="27"/>
          <w:highlight w:val="none"/>
        </w:rPr>
      </w:pPr>
      <w:bookmarkStart w:id="649" w:name="_Toc221951914"/>
      <w:r>
        <w:rPr>
          <w:rFonts w:ascii="宋体"/>
          <w:color w:val="auto"/>
          <w:sz w:val="27"/>
          <w:szCs w:val="27"/>
          <w:highlight w:val="none"/>
        </w:rPr>
        <w:t>年月日</w:t>
      </w:r>
      <w:bookmarkEnd w:id="649"/>
    </w:p>
    <w:p>
      <w:pPr>
        <w:spacing w:line="400" w:lineRule="exact"/>
        <w:rPr>
          <w:rFonts w:ascii="宋体"/>
          <w:color w:val="auto"/>
          <w:sz w:val="20"/>
          <w:szCs w:val="20"/>
          <w:highlight w:val="none"/>
        </w:rPr>
      </w:pPr>
      <w:r>
        <w:rPr>
          <w:rFonts w:ascii="宋体"/>
          <w:color w:val="auto"/>
          <w:sz w:val="20"/>
          <w:szCs w:val="20"/>
          <w:highlight w:val="none"/>
        </w:rPr>
        <w:br w:type="page"/>
      </w:r>
    </w:p>
    <w:p>
      <w:pPr>
        <w:spacing w:line="360" w:lineRule="auto"/>
        <w:jc w:val="center"/>
        <w:outlineLvl w:val="2"/>
        <w:rPr>
          <w:rFonts w:ascii="宋体"/>
          <w:color w:val="auto"/>
          <w:sz w:val="28"/>
          <w:szCs w:val="27"/>
          <w:highlight w:val="none"/>
        </w:rPr>
      </w:pPr>
      <w:bookmarkStart w:id="650" w:name="_Toc229305419"/>
      <w:bookmarkStart w:id="651" w:name="_Toc259524413"/>
      <w:bookmarkStart w:id="652" w:name="_Toc2238"/>
      <w:bookmarkStart w:id="653" w:name="_Toc17454899"/>
      <w:bookmarkStart w:id="654" w:name="_Toc17451606"/>
      <w:bookmarkStart w:id="655" w:name="_Toc75788615"/>
      <w:bookmarkStart w:id="656" w:name="_Toc17452692"/>
      <w:bookmarkStart w:id="657" w:name="_Toc17556904"/>
      <w:bookmarkStart w:id="658" w:name="_Toc17454950"/>
      <w:bookmarkStart w:id="659" w:name="_Toc17451129"/>
      <w:bookmarkStart w:id="660" w:name="_Toc17451651"/>
      <w:bookmarkStart w:id="661" w:name="_Toc4787"/>
      <w:r>
        <w:rPr>
          <w:rFonts w:hint="eastAsia" w:ascii="宋体"/>
          <w:color w:val="auto"/>
          <w:sz w:val="28"/>
          <w:szCs w:val="27"/>
          <w:highlight w:val="none"/>
        </w:rPr>
        <w:t>目    录</w:t>
      </w:r>
      <w:bookmarkEnd w:id="650"/>
      <w:bookmarkEnd w:id="651"/>
      <w:r>
        <w:rPr>
          <w:rFonts w:hint="eastAsia" w:ascii="宋体"/>
          <w:color w:val="auto"/>
          <w:szCs w:val="21"/>
          <w:highlight w:val="none"/>
        </w:rPr>
        <w:t>（可加上二级目录）</w:t>
      </w:r>
      <w:bookmarkEnd w:id="652"/>
      <w:bookmarkEnd w:id="653"/>
      <w:bookmarkEnd w:id="654"/>
      <w:bookmarkEnd w:id="655"/>
      <w:bookmarkEnd w:id="656"/>
      <w:bookmarkEnd w:id="657"/>
      <w:bookmarkEnd w:id="658"/>
      <w:bookmarkEnd w:id="659"/>
      <w:bookmarkEnd w:id="660"/>
      <w:bookmarkEnd w:id="661"/>
    </w:p>
    <w:p>
      <w:pPr>
        <w:spacing w:line="400" w:lineRule="exact"/>
        <w:rPr>
          <w:rFonts w:ascii="宋体"/>
          <w:color w:val="auto"/>
          <w:sz w:val="20"/>
          <w:szCs w:val="20"/>
          <w:highlight w:val="none"/>
        </w:rPr>
      </w:pPr>
    </w:p>
    <w:p>
      <w:pPr>
        <w:spacing w:line="276" w:lineRule="auto"/>
        <w:rPr>
          <w:rFonts w:ascii="宋体"/>
          <w:color w:val="auto"/>
          <w:sz w:val="27"/>
          <w:szCs w:val="27"/>
          <w:highlight w:val="none"/>
        </w:rPr>
      </w:pPr>
      <w:bookmarkStart w:id="662" w:name="_Toc221951916"/>
      <w:r>
        <w:rPr>
          <w:rFonts w:hint="eastAsia" w:ascii="宋体"/>
          <w:color w:val="auto"/>
          <w:sz w:val="27"/>
          <w:szCs w:val="27"/>
          <w:highlight w:val="none"/>
        </w:rPr>
        <w:t>一、投标函及投标函附录</w:t>
      </w:r>
      <w:bookmarkEnd w:id="662"/>
    </w:p>
    <w:p>
      <w:pPr>
        <w:spacing w:line="276" w:lineRule="auto"/>
        <w:rPr>
          <w:rFonts w:ascii="宋体"/>
          <w:color w:val="auto"/>
          <w:sz w:val="27"/>
          <w:szCs w:val="27"/>
          <w:highlight w:val="none"/>
        </w:rPr>
      </w:pPr>
      <w:bookmarkStart w:id="663" w:name="_Toc221951917"/>
      <w:r>
        <w:rPr>
          <w:rFonts w:hint="eastAsia" w:ascii="宋体"/>
          <w:color w:val="auto"/>
          <w:sz w:val="27"/>
          <w:szCs w:val="27"/>
          <w:highlight w:val="none"/>
        </w:rPr>
        <w:t>二、法定代表人身份证明</w:t>
      </w:r>
    </w:p>
    <w:p>
      <w:pPr>
        <w:spacing w:line="276" w:lineRule="auto"/>
        <w:rPr>
          <w:rFonts w:ascii="宋体"/>
          <w:color w:val="auto"/>
          <w:sz w:val="27"/>
          <w:szCs w:val="27"/>
          <w:highlight w:val="none"/>
        </w:rPr>
      </w:pPr>
      <w:r>
        <w:rPr>
          <w:rFonts w:hint="eastAsia" w:ascii="宋体"/>
          <w:color w:val="auto"/>
          <w:sz w:val="27"/>
          <w:szCs w:val="27"/>
          <w:highlight w:val="none"/>
        </w:rPr>
        <w:t>三、授权委托书</w:t>
      </w:r>
      <w:bookmarkEnd w:id="663"/>
    </w:p>
    <w:p>
      <w:pPr>
        <w:spacing w:line="276" w:lineRule="auto"/>
        <w:rPr>
          <w:rFonts w:ascii="宋体"/>
          <w:color w:val="auto"/>
          <w:sz w:val="27"/>
          <w:szCs w:val="27"/>
          <w:highlight w:val="none"/>
        </w:rPr>
      </w:pPr>
      <w:bookmarkStart w:id="664" w:name="_Toc221951918"/>
      <w:r>
        <w:rPr>
          <w:rFonts w:hint="eastAsia" w:ascii="宋体"/>
          <w:color w:val="auto"/>
          <w:sz w:val="27"/>
          <w:szCs w:val="27"/>
          <w:highlight w:val="none"/>
        </w:rPr>
        <w:t>四、联合体协议书（若有）</w:t>
      </w:r>
      <w:bookmarkEnd w:id="664"/>
    </w:p>
    <w:p>
      <w:pPr>
        <w:spacing w:line="276" w:lineRule="auto"/>
        <w:rPr>
          <w:rFonts w:ascii="宋体"/>
          <w:color w:val="auto"/>
          <w:sz w:val="27"/>
          <w:szCs w:val="27"/>
          <w:highlight w:val="none"/>
        </w:rPr>
      </w:pPr>
      <w:bookmarkStart w:id="665" w:name="_Toc221951919"/>
      <w:r>
        <w:rPr>
          <w:rFonts w:hint="eastAsia" w:ascii="宋体"/>
          <w:color w:val="auto"/>
          <w:sz w:val="27"/>
          <w:szCs w:val="27"/>
          <w:highlight w:val="none"/>
        </w:rPr>
        <w:t>五、投标保证金</w:t>
      </w:r>
      <w:bookmarkEnd w:id="665"/>
    </w:p>
    <w:p>
      <w:pPr>
        <w:spacing w:line="276" w:lineRule="auto"/>
        <w:rPr>
          <w:rFonts w:ascii="宋体"/>
          <w:color w:val="auto"/>
          <w:sz w:val="27"/>
          <w:szCs w:val="27"/>
          <w:highlight w:val="none"/>
        </w:rPr>
      </w:pPr>
      <w:bookmarkStart w:id="666" w:name="_Toc221951920"/>
      <w:r>
        <w:rPr>
          <w:rFonts w:hint="eastAsia" w:ascii="宋体"/>
          <w:color w:val="auto"/>
          <w:sz w:val="27"/>
          <w:szCs w:val="27"/>
          <w:highlight w:val="none"/>
        </w:rPr>
        <w:t>六、已标价工程量清单</w:t>
      </w:r>
      <w:bookmarkEnd w:id="666"/>
    </w:p>
    <w:p>
      <w:pPr>
        <w:spacing w:line="276" w:lineRule="auto"/>
        <w:rPr>
          <w:rFonts w:ascii="宋体"/>
          <w:color w:val="auto"/>
          <w:sz w:val="27"/>
          <w:szCs w:val="27"/>
          <w:highlight w:val="none"/>
        </w:rPr>
      </w:pPr>
      <w:bookmarkStart w:id="667" w:name="_Toc221951921"/>
      <w:r>
        <w:rPr>
          <w:rFonts w:hint="eastAsia" w:ascii="宋体"/>
          <w:color w:val="auto"/>
          <w:sz w:val="27"/>
          <w:szCs w:val="27"/>
          <w:highlight w:val="none"/>
        </w:rPr>
        <w:t>七、施工组织设计</w:t>
      </w:r>
      <w:bookmarkEnd w:id="667"/>
      <w:r>
        <w:rPr>
          <w:rFonts w:hint="eastAsia" w:ascii="宋体"/>
          <w:color w:val="auto"/>
          <w:sz w:val="27"/>
          <w:szCs w:val="27"/>
          <w:highlight w:val="none"/>
        </w:rPr>
        <w:t>（或施工组织设计要点）</w:t>
      </w:r>
    </w:p>
    <w:p>
      <w:pPr>
        <w:spacing w:line="276" w:lineRule="auto"/>
        <w:rPr>
          <w:rFonts w:ascii="宋体"/>
          <w:color w:val="auto"/>
          <w:sz w:val="27"/>
          <w:szCs w:val="27"/>
          <w:highlight w:val="none"/>
        </w:rPr>
      </w:pPr>
      <w:bookmarkStart w:id="668" w:name="_Toc221951922"/>
      <w:r>
        <w:rPr>
          <w:rFonts w:hint="eastAsia" w:ascii="宋体"/>
          <w:color w:val="auto"/>
          <w:sz w:val="27"/>
          <w:szCs w:val="27"/>
          <w:highlight w:val="none"/>
        </w:rPr>
        <w:t>八、项目管理机构</w:t>
      </w:r>
      <w:bookmarkEnd w:id="668"/>
    </w:p>
    <w:p>
      <w:pPr>
        <w:spacing w:line="276" w:lineRule="auto"/>
        <w:rPr>
          <w:rFonts w:ascii="宋体"/>
          <w:color w:val="auto"/>
          <w:sz w:val="27"/>
          <w:szCs w:val="27"/>
          <w:highlight w:val="none"/>
        </w:rPr>
      </w:pPr>
      <w:bookmarkStart w:id="669" w:name="_Toc221951924"/>
      <w:r>
        <w:rPr>
          <w:rFonts w:hint="eastAsia" w:ascii="宋体"/>
          <w:color w:val="auto"/>
          <w:sz w:val="27"/>
          <w:szCs w:val="27"/>
          <w:highlight w:val="none"/>
        </w:rPr>
        <w:t>九、资格审查资料</w:t>
      </w:r>
      <w:bookmarkEnd w:id="669"/>
    </w:p>
    <w:p>
      <w:pPr>
        <w:spacing w:line="276" w:lineRule="auto"/>
        <w:rPr>
          <w:rFonts w:ascii="宋体"/>
          <w:color w:val="auto"/>
          <w:sz w:val="27"/>
          <w:szCs w:val="27"/>
          <w:highlight w:val="none"/>
        </w:rPr>
      </w:pPr>
      <w:bookmarkStart w:id="670" w:name="_Toc221951925"/>
      <w:r>
        <w:rPr>
          <w:rFonts w:hint="eastAsia" w:ascii="宋体"/>
          <w:color w:val="auto"/>
          <w:sz w:val="27"/>
          <w:szCs w:val="27"/>
          <w:highlight w:val="none"/>
        </w:rPr>
        <w:t>十、</w:t>
      </w:r>
      <w:bookmarkEnd w:id="670"/>
      <w:r>
        <w:rPr>
          <w:rFonts w:hint="eastAsia" w:ascii="宋体"/>
          <w:color w:val="auto"/>
          <w:sz w:val="27"/>
          <w:szCs w:val="27"/>
          <w:highlight w:val="none"/>
        </w:rPr>
        <w:t>投标人须知前附表规定的其他材料</w:t>
      </w:r>
    </w:p>
    <w:p>
      <w:pPr>
        <w:spacing w:line="276" w:lineRule="auto"/>
        <w:rPr>
          <w:rFonts w:ascii="宋体"/>
          <w:color w:val="auto"/>
          <w:sz w:val="19"/>
          <w:szCs w:val="19"/>
          <w:highlight w:val="none"/>
        </w:rPr>
      </w:pPr>
      <w:r>
        <w:rPr>
          <w:rFonts w:ascii="宋体"/>
          <w:color w:val="auto"/>
          <w:sz w:val="20"/>
          <w:szCs w:val="20"/>
          <w:highlight w:val="none"/>
        </w:rPr>
        <w:br w:type="page"/>
      </w:r>
    </w:p>
    <w:p>
      <w:pPr>
        <w:spacing w:line="360" w:lineRule="auto"/>
        <w:jc w:val="center"/>
        <w:outlineLvl w:val="2"/>
        <w:rPr>
          <w:rFonts w:ascii="宋体"/>
          <w:color w:val="auto"/>
          <w:sz w:val="28"/>
          <w:szCs w:val="27"/>
          <w:highlight w:val="none"/>
        </w:rPr>
      </w:pPr>
      <w:bookmarkStart w:id="671" w:name="_Toc144974857"/>
      <w:bookmarkStart w:id="672" w:name="_Toc221951926"/>
      <w:bookmarkStart w:id="673" w:name="_Toc17451607"/>
      <w:bookmarkStart w:id="674" w:name="_Toc17454900"/>
      <w:bookmarkStart w:id="675" w:name="_Toc168476318"/>
      <w:bookmarkStart w:id="676" w:name="_Toc259524414"/>
      <w:bookmarkStart w:id="677" w:name="_Toc222029560"/>
      <w:bookmarkStart w:id="678" w:name="_Toc17454951"/>
      <w:bookmarkStart w:id="679" w:name="_Toc229305420"/>
      <w:bookmarkStart w:id="680" w:name="_Toc222031062"/>
      <w:bookmarkStart w:id="681" w:name="_Toc17452693"/>
      <w:bookmarkStart w:id="682" w:name="_Toc17451130"/>
      <w:bookmarkStart w:id="683" w:name="_Toc168475915"/>
      <w:bookmarkStart w:id="684" w:name="_Toc2665"/>
      <w:bookmarkStart w:id="685" w:name="_Toc17451652"/>
      <w:bookmarkStart w:id="686" w:name="_Toc222032729"/>
      <w:bookmarkStart w:id="687" w:name="_Toc75788616"/>
      <w:bookmarkStart w:id="688" w:name="_Toc17556905"/>
      <w:bookmarkStart w:id="689" w:name="_Toc222033911"/>
      <w:bookmarkStart w:id="690" w:name="_Toc19553"/>
      <w:r>
        <w:rPr>
          <w:rFonts w:ascii="宋体"/>
          <w:color w:val="auto"/>
          <w:sz w:val="28"/>
          <w:szCs w:val="27"/>
          <w:highlight w:val="none"/>
        </w:rPr>
        <w:t>一、投标函及投标函附录</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400" w:lineRule="exact"/>
        <w:outlineLvl w:val="3"/>
        <w:rPr>
          <w:rFonts w:ascii="宋体"/>
          <w:b/>
          <w:color w:val="auto"/>
          <w:sz w:val="24"/>
          <w:szCs w:val="31"/>
          <w:highlight w:val="none"/>
        </w:rPr>
      </w:pPr>
      <w:bookmarkStart w:id="691" w:name="_Toc221951927"/>
      <w:bookmarkStart w:id="692" w:name="_Toc168475916"/>
      <w:bookmarkStart w:id="693" w:name="_Toc144974858"/>
      <w:bookmarkStart w:id="694" w:name="_Toc168476319"/>
      <w:r>
        <w:rPr>
          <w:rFonts w:ascii="宋体"/>
          <w:b/>
          <w:color w:val="auto"/>
          <w:sz w:val="24"/>
          <w:szCs w:val="31"/>
          <w:highlight w:val="none"/>
        </w:rPr>
        <w:t>（一）投标函</w:t>
      </w:r>
      <w:bookmarkEnd w:id="691"/>
      <w:bookmarkEnd w:id="692"/>
      <w:bookmarkEnd w:id="693"/>
      <w:bookmarkEnd w:id="694"/>
    </w:p>
    <w:p>
      <w:pPr>
        <w:spacing w:line="400" w:lineRule="exact"/>
        <w:rPr>
          <w:rFonts w:ascii="宋体"/>
          <w:color w:val="auto"/>
          <w:sz w:val="19"/>
          <w:szCs w:val="19"/>
          <w:highlight w:val="none"/>
        </w:rPr>
      </w:pPr>
    </w:p>
    <w:p>
      <w:pPr>
        <w:spacing w:line="400" w:lineRule="exact"/>
        <w:rPr>
          <w:rFonts w:ascii="宋体"/>
          <w:color w:val="auto"/>
          <w:szCs w:val="21"/>
          <w:highlight w:val="none"/>
        </w:rPr>
      </w:pPr>
      <w:bookmarkStart w:id="695" w:name="_Toc221951928"/>
      <w:r>
        <w:rPr>
          <w:rFonts w:ascii="宋体"/>
          <w:color w:val="auto"/>
          <w:szCs w:val="21"/>
          <w:highlight w:val="none"/>
        </w:rPr>
        <w:t>（</w:t>
      </w:r>
      <w:r>
        <w:rPr>
          <w:rFonts w:hint="eastAsia" w:ascii="宋体"/>
          <w:color w:val="auto"/>
          <w:szCs w:val="21"/>
          <w:highlight w:val="none"/>
        </w:rPr>
        <w:t>招标人名称</w:t>
      </w:r>
      <w:r>
        <w:rPr>
          <w:rFonts w:ascii="宋体"/>
          <w:color w:val="auto"/>
          <w:szCs w:val="21"/>
          <w:highlight w:val="none"/>
        </w:rPr>
        <w:t>）：</w:t>
      </w:r>
      <w:bookmarkEnd w:id="695"/>
    </w:p>
    <w:p>
      <w:pPr>
        <w:spacing w:line="400" w:lineRule="exact"/>
        <w:rPr>
          <w:rFonts w:ascii="宋体"/>
          <w:color w:val="auto"/>
          <w:szCs w:val="21"/>
          <w:highlight w:val="none"/>
        </w:rPr>
      </w:pPr>
    </w:p>
    <w:p>
      <w:pPr>
        <w:spacing w:line="400" w:lineRule="exact"/>
        <w:ind w:firstLine="420" w:firstLineChars="200"/>
        <w:rPr>
          <w:rFonts w:ascii="宋体"/>
          <w:color w:val="auto"/>
          <w:szCs w:val="21"/>
          <w:highlight w:val="none"/>
        </w:rPr>
      </w:pPr>
      <w:bookmarkStart w:id="696" w:name="_Toc221951929"/>
      <w:r>
        <w:rPr>
          <w:rFonts w:ascii="宋体"/>
          <w:color w:val="auto"/>
          <w:szCs w:val="21"/>
          <w:highlight w:val="none"/>
        </w:rPr>
        <w:t>1．我方已仔细研究了（</w:t>
      </w:r>
      <w:r>
        <w:rPr>
          <w:rFonts w:hint="eastAsia" w:ascii="宋体"/>
          <w:color w:val="auto"/>
          <w:szCs w:val="21"/>
          <w:highlight w:val="none"/>
        </w:rPr>
        <w:t>项目名称）（标段名称）</w:t>
      </w:r>
      <w:r>
        <w:rPr>
          <w:rFonts w:ascii="宋体"/>
          <w:color w:val="auto"/>
          <w:szCs w:val="21"/>
          <w:highlight w:val="none"/>
        </w:rPr>
        <w:t>招标文件的全部内容，愿意以人民币（大写）元（¥）的投标总报价，</w:t>
      </w:r>
      <w:r>
        <w:rPr>
          <w:rFonts w:hint="eastAsia" w:ascii="宋体"/>
          <w:color w:val="auto"/>
          <w:szCs w:val="21"/>
          <w:highlight w:val="none"/>
        </w:rPr>
        <w:t>工期 日历天，</w:t>
      </w:r>
      <w:r>
        <w:rPr>
          <w:rFonts w:ascii="宋体"/>
          <w:color w:val="auto"/>
          <w:szCs w:val="21"/>
          <w:highlight w:val="none"/>
        </w:rPr>
        <w:t>按合同约定实施和完成承包工程，修补工程中的任何缺陷，工程质量达到 。</w:t>
      </w:r>
      <w:bookmarkEnd w:id="696"/>
    </w:p>
    <w:p>
      <w:pPr>
        <w:spacing w:line="400" w:lineRule="exact"/>
        <w:ind w:firstLine="420" w:firstLineChars="200"/>
        <w:jc w:val="left"/>
        <w:rPr>
          <w:rFonts w:ascii="宋体"/>
          <w:color w:val="auto"/>
          <w:szCs w:val="21"/>
          <w:highlight w:val="none"/>
        </w:rPr>
      </w:pPr>
      <w:bookmarkStart w:id="697" w:name="_Toc221951930"/>
      <w:r>
        <w:rPr>
          <w:rFonts w:ascii="宋体"/>
          <w:color w:val="auto"/>
          <w:szCs w:val="21"/>
          <w:highlight w:val="none"/>
        </w:rPr>
        <w:t>2．我方承诺在投标有效期内不</w:t>
      </w:r>
      <w:r>
        <w:rPr>
          <w:rFonts w:hint="eastAsia" w:ascii="宋体"/>
          <w:color w:val="auto"/>
          <w:szCs w:val="21"/>
          <w:highlight w:val="none"/>
        </w:rPr>
        <w:t>补充、</w:t>
      </w:r>
      <w:r>
        <w:rPr>
          <w:rFonts w:ascii="宋体"/>
          <w:color w:val="auto"/>
          <w:szCs w:val="21"/>
          <w:highlight w:val="none"/>
        </w:rPr>
        <w:t>修改、</w:t>
      </w:r>
      <w:r>
        <w:rPr>
          <w:rFonts w:hint="eastAsia" w:ascii="宋体"/>
          <w:color w:val="auto"/>
          <w:szCs w:val="21"/>
          <w:highlight w:val="none"/>
        </w:rPr>
        <w:t>替代或</w:t>
      </w:r>
      <w:r>
        <w:rPr>
          <w:rFonts w:ascii="宋体"/>
          <w:color w:val="auto"/>
          <w:szCs w:val="21"/>
          <w:highlight w:val="none"/>
        </w:rPr>
        <w:t>撤</w:t>
      </w:r>
      <w:r>
        <w:rPr>
          <w:rFonts w:hint="eastAsia" w:ascii="宋体"/>
          <w:color w:val="auto"/>
          <w:szCs w:val="21"/>
          <w:highlight w:val="none"/>
        </w:rPr>
        <w:t>回本</w:t>
      </w:r>
      <w:r>
        <w:rPr>
          <w:rFonts w:ascii="宋体"/>
          <w:color w:val="auto"/>
          <w:szCs w:val="21"/>
          <w:highlight w:val="none"/>
        </w:rPr>
        <w:t>投标文件。</w:t>
      </w:r>
      <w:bookmarkEnd w:id="697"/>
    </w:p>
    <w:p>
      <w:pPr>
        <w:spacing w:line="400" w:lineRule="exact"/>
        <w:ind w:firstLine="420" w:firstLineChars="200"/>
        <w:rPr>
          <w:rFonts w:ascii="宋体"/>
          <w:color w:val="auto"/>
          <w:szCs w:val="21"/>
          <w:highlight w:val="none"/>
        </w:rPr>
      </w:pPr>
      <w:bookmarkStart w:id="698" w:name="_Toc221951931"/>
      <w:r>
        <w:rPr>
          <w:rFonts w:ascii="宋体"/>
          <w:color w:val="auto"/>
          <w:szCs w:val="21"/>
          <w:highlight w:val="none"/>
        </w:rPr>
        <w:t>3．随同本投标函提交投标保证金一份，金额为人民币（大写）元（¥</w:t>
      </w:r>
      <w:r>
        <w:rPr>
          <w:rFonts w:hint="eastAsia" w:ascii="宋体"/>
          <w:color w:val="auto"/>
          <w:szCs w:val="21"/>
          <w:highlight w:val="none"/>
        </w:rPr>
        <w:t>元</w:t>
      </w:r>
      <w:r>
        <w:rPr>
          <w:rFonts w:ascii="宋体"/>
          <w:color w:val="auto"/>
          <w:szCs w:val="21"/>
          <w:highlight w:val="none"/>
        </w:rPr>
        <w:t xml:space="preserve"> ）。</w:t>
      </w:r>
      <w:bookmarkEnd w:id="698"/>
    </w:p>
    <w:p>
      <w:pPr>
        <w:spacing w:line="400" w:lineRule="exact"/>
        <w:ind w:firstLine="420" w:firstLineChars="200"/>
        <w:rPr>
          <w:rFonts w:ascii="宋体"/>
          <w:color w:val="auto"/>
          <w:szCs w:val="21"/>
          <w:highlight w:val="none"/>
        </w:rPr>
      </w:pPr>
      <w:bookmarkStart w:id="699" w:name="_Toc221951932"/>
      <w:r>
        <w:rPr>
          <w:rFonts w:ascii="宋体"/>
          <w:color w:val="auto"/>
          <w:szCs w:val="21"/>
          <w:highlight w:val="none"/>
        </w:rPr>
        <w:t>4．如我方中标：</w:t>
      </w:r>
      <w:bookmarkEnd w:id="699"/>
    </w:p>
    <w:p>
      <w:pPr>
        <w:spacing w:line="400" w:lineRule="exact"/>
        <w:ind w:firstLine="718" w:firstLineChars="342"/>
        <w:rPr>
          <w:rFonts w:ascii="宋体"/>
          <w:color w:val="auto"/>
          <w:szCs w:val="21"/>
          <w:highlight w:val="none"/>
        </w:rPr>
      </w:pPr>
      <w:bookmarkStart w:id="700" w:name="_Toc221951933"/>
      <w:r>
        <w:rPr>
          <w:rFonts w:ascii="宋体"/>
          <w:color w:val="auto"/>
          <w:szCs w:val="21"/>
          <w:highlight w:val="none"/>
        </w:rPr>
        <w:t>（1）我方承诺在收到中标通知书后，在中标通知书规定的期限内与你方签订合同。</w:t>
      </w:r>
      <w:bookmarkEnd w:id="700"/>
    </w:p>
    <w:p>
      <w:pPr>
        <w:spacing w:line="400" w:lineRule="exact"/>
        <w:ind w:firstLine="718" w:firstLineChars="342"/>
        <w:rPr>
          <w:rFonts w:ascii="宋体"/>
          <w:color w:val="auto"/>
          <w:szCs w:val="21"/>
          <w:highlight w:val="none"/>
        </w:rPr>
      </w:pPr>
      <w:bookmarkStart w:id="701" w:name="_Toc221951934"/>
      <w:r>
        <w:rPr>
          <w:rFonts w:ascii="宋体"/>
          <w:color w:val="auto"/>
          <w:szCs w:val="21"/>
          <w:highlight w:val="none"/>
        </w:rPr>
        <w:t>（2）随同本投标函递交的投标函附录属于合同文件的组成部分。</w:t>
      </w:r>
      <w:bookmarkEnd w:id="701"/>
    </w:p>
    <w:p>
      <w:pPr>
        <w:spacing w:line="400" w:lineRule="exact"/>
        <w:ind w:firstLine="718" w:firstLineChars="342"/>
        <w:rPr>
          <w:rFonts w:ascii="宋体"/>
          <w:color w:val="auto"/>
          <w:szCs w:val="21"/>
          <w:highlight w:val="none"/>
        </w:rPr>
      </w:pPr>
      <w:bookmarkStart w:id="702" w:name="_Toc221951935"/>
      <w:r>
        <w:rPr>
          <w:rFonts w:ascii="宋体"/>
          <w:color w:val="auto"/>
          <w:szCs w:val="21"/>
          <w:highlight w:val="none"/>
        </w:rPr>
        <w:t>（3）我方承诺按照招标文件规定向你方递交履约担保。</w:t>
      </w:r>
      <w:bookmarkEnd w:id="702"/>
    </w:p>
    <w:p>
      <w:pPr>
        <w:spacing w:line="400" w:lineRule="exact"/>
        <w:ind w:firstLine="718" w:firstLineChars="342"/>
        <w:rPr>
          <w:rFonts w:ascii="宋体"/>
          <w:color w:val="auto"/>
          <w:szCs w:val="21"/>
          <w:highlight w:val="none"/>
        </w:rPr>
      </w:pPr>
      <w:bookmarkStart w:id="703" w:name="_Toc221951936"/>
      <w:r>
        <w:rPr>
          <w:rFonts w:ascii="宋体"/>
          <w:color w:val="auto"/>
          <w:szCs w:val="21"/>
          <w:highlight w:val="none"/>
        </w:rPr>
        <w:t>（4）我方承诺在合同约定的期限内完成并移交全部合同工程。</w:t>
      </w:r>
      <w:bookmarkEnd w:id="703"/>
    </w:p>
    <w:p>
      <w:pPr>
        <w:spacing w:line="400" w:lineRule="exact"/>
        <w:ind w:firstLine="420" w:firstLineChars="200"/>
        <w:rPr>
          <w:rFonts w:ascii="宋体"/>
          <w:color w:val="auto"/>
          <w:szCs w:val="21"/>
          <w:highlight w:val="none"/>
        </w:rPr>
      </w:pPr>
      <w:bookmarkStart w:id="704" w:name="_Toc221951937"/>
      <w:r>
        <w:rPr>
          <w:rFonts w:hint="eastAsia" w:ascii="宋体"/>
          <w:color w:val="auto"/>
          <w:szCs w:val="21"/>
          <w:highlight w:val="none"/>
        </w:rPr>
        <w:t>5．我方在此声明，所递交的投标文件及有关资料内容完整、真实和准确，且不存在第二章“投标人须知”第1.4.2和第1.4.3项规定的任何一种情形。</w:t>
      </w:r>
      <w:bookmarkEnd w:id="704"/>
    </w:p>
    <w:p>
      <w:pPr>
        <w:spacing w:line="400" w:lineRule="exact"/>
        <w:ind w:firstLine="420" w:firstLineChars="200"/>
        <w:rPr>
          <w:rFonts w:ascii="宋体"/>
          <w:color w:val="auto"/>
          <w:szCs w:val="21"/>
          <w:highlight w:val="none"/>
        </w:rPr>
      </w:pPr>
      <w:bookmarkStart w:id="705" w:name="_Toc221951938"/>
      <w:r>
        <w:rPr>
          <w:rFonts w:hint="eastAsia" w:ascii="宋体"/>
          <w:color w:val="auto"/>
          <w:szCs w:val="21"/>
          <w:highlight w:val="none"/>
        </w:rPr>
        <w:t>6</w:t>
      </w:r>
      <w:r>
        <w:rPr>
          <w:rFonts w:ascii="宋体"/>
          <w:color w:val="auto"/>
          <w:szCs w:val="21"/>
          <w:highlight w:val="none"/>
        </w:rPr>
        <w:t>．（</w:t>
      </w:r>
      <w:r>
        <w:rPr>
          <w:rFonts w:hint="eastAsia" w:ascii="宋体"/>
          <w:color w:val="auto"/>
          <w:szCs w:val="21"/>
          <w:highlight w:val="none"/>
        </w:rPr>
        <w:t>其他</w:t>
      </w:r>
      <w:r>
        <w:rPr>
          <w:rFonts w:ascii="宋体"/>
          <w:color w:val="auto"/>
          <w:szCs w:val="21"/>
          <w:highlight w:val="none"/>
        </w:rPr>
        <w:t>补充说明）。</w:t>
      </w:r>
      <w:bookmarkEnd w:id="705"/>
    </w:p>
    <w:p>
      <w:pPr>
        <w:spacing w:line="400" w:lineRule="exact"/>
        <w:rPr>
          <w:rFonts w:ascii="宋体"/>
          <w:color w:val="auto"/>
          <w:szCs w:val="21"/>
          <w:highlight w:val="none"/>
        </w:rPr>
      </w:pPr>
    </w:p>
    <w:p>
      <w:pPr>
        <w:spacing w:line="400" w:lineRule="exact"/>
        <w:ind w:firstLine="3675" w:firstLineChars="1750"/>
        <w:rPr>
          <w:rFonts w:ascii="宋体"/>
          <w:color w:val="auto"/>
          <w:szCs w:val="21"/>
          <w:highlight w:val="none"/>
        </w:rPr>
      </w:pPr>
      <w:bookmarkStart w:id="706" w:name="_Toc221951939"/>
      <w:r>
        <w:rPr>
          <w:rFonts w:ascii="宋体"/>
          <w:color w:val="auto"/>
          <w:szCs w:val="21"/>
          <w:highlight w:val="none"/>
        </w:rPr>
        <w:t>投 标 人：（盖单位章）</w:t>
      </w:r>
      <w:bookmarkEnd w:id="706"/>
    </w:p>
    <w:p>
      <w:pPr>
        <w:spacing w:line="400" w:lineRule="exact"/>
        <w:ind w:firstLine="3675" w:firstLineChars="1750"/>
        <w:rPr>
          <w:rFonts w:ascii="宋体"/>
          <w:color w:val="auto"/>
          <w:szCs w:val="21"/>
          <w:highlight w:val="none"/>
        </w:rPr>
      </w:pPr>
      <w:bookmarkStart w:id="707" w:name="_Toc221951941"/>
      <w:r>
        <w:rPr>
          <w:rFonts w:ascii="宋体"/>
          <w:color w:val="auto"/>
          <w:szCs w:val="21"/>
          <w:highlight w:val="none"/>
        </w:rPr>
        <w:t>地址：</w:t>
      </w:r>
      <w:bookmarkEnd w:id="707"/>
    </w:p>
    <w:p>
      <w:pPr>
        <w:spacing w:line="400" w:lineRule="exact"/>
        <w:ind w:firstLine="3675" w:firstLineChars="1750"/>
        <w:rPr>
          <w:rFonts w:ascii="宋体"/>
          <w:color w:val="auto"/>
          <w:szCs w:val="21"/>
          <w:highlight w:val="none"/>
        </w:rPr>
      </w:pPr>
      <w:bookmarkStart w:id="708" w:name="_Toc221951942"/>
      <w:r>
        <w:rPr>
          <w:rFonts w:ascii="宋体"/>
          <w:color w:val="auto"/>
          <w:szCs w:val="21"/>
          <w:highlight w:val="none"/>
        </w:rPr>
        <w:t>网址：</w:t>
      </w:r>
      <w:bookmarkEnd w:id="708"/>
    </w:p>
    <w:p>
      <w:pPr>
        <w:spacing w:line="400" w:lineRule="exact"/>
        <w:ind w:firstLine="3675" w:firstLineChars="1750"/>
        <w:rPr>
          <w:rFonts w:ascii="宋体"/>
          <w:color w:val="auto"/>
          <w:szCs w:val="21"/>
          <w:highlight w:val="none"/>
        </w:rPr>
      </w:pPr>
      <w:bookmarkStart w:id="709" w:name="_Toc221951943"/>
      <w:r>
        <w:rPr>
          <w:rFonts w:ascii="宋体"/>
          <w:color w:val="auto"/>
          <w:szCs w:val="21"/>
          <w:highlight w:val="none"/>
        </w:rPr>
        <w:t>电话：</w:t>
      </w:r>
      <w:bookmarkEnd w:id="709"/>
    </w:p>
    <w:p>
      <w:pPr>
        <w:spacing w:line="400" w:lineRule="exact"/>
        <w:ind w:firstLine="3675" w:firstLineChars="1750"/>
        <w:rPr>
          <w:rFonts w:ascii="宋体"/>
          <w:color w:val="auto"/>
          <w:szCs w:val="21"/>
          <w:highlight w:val="none"/>
        </w:rPr>
      </w:pPr>
      <w:bookmarkStart w:id="710" w:name="_Toc221951944"/>
      <w:r>
        <w:rPr>
          <w:rFonts w:ascii="宋体"/>
          <w:color w:val="auto"/>
          <w:szCs w:val="21"/>
          <w:highlight w:val="none"/>
        </w:rPr>
        <w:t>传真：</w:t>
      </w:r>
      <w:bookmarkEnd w:id="710"/>
    </w:p>
    <w:p>
      <w:pPr>
        <w:spacing w:line="400" w:lineRule="exact"/>
        <w:ind w:firstLine="3675" w:firstLineChars="1750"/>
        <w:rPr>
          <w:rFonts w:ascii="宋体"/>
          <w:color w:val="auto"/>
          <w:szCs w:val="21"/>
          <w:highlight w:val="none"/>
        </w:rPr>
      </w:pPr>
      <w:bookmarkStart w:id="711" w:name="_Toc221951945"/>
      <w:r>
        <w:rPr>
          <w:rFonts w:ascii="宋体"/>
          <w:color w:val="auto"/>
          <w:szCs w:val="21"/>
          <w:highlight w:val="none"/>
        </w:rPr>
        <w:t>邮政编码：</w:t>
      </w:r>
      <w:bookmarkEnd w:id="711"/>
    </w:p>
    <w:p>
      <w:pPr>
        <w:spacing w:line="400" w:lineRule="exact"/>
        <w:ind w:firstLine="3675" w:firstLineChars="1750"/>
        <w:rPr>
          <w:rFonts w:ascii="宋体"/>
          <w:color w:val="auto"/>
          <w:szCs w:val="21"/>
          <w:highlight w:val="none"/>
        </w:rPr>
      </w:pPr>
    </w:p>
    <w:p>
      <w:pPr>
        <w:spacing w:line="400" w:lineRule="exact"/>
        <w:ind w:firstLine="4725" w:firstLineChars="2250"/>
        <w:jc w:val="right"/>
        <w:rPr>
          <w:rFonts w:ascii="宋体"/>
          <w:color w:val="auto"/>
          <w:szCs w:val="21"/>
          <w:highlight w:val="none"/>
        </w:rPr>
      </w:pPr>
      <w:bookmarkStart w:id="712" w:name="_Toc221951946"/>
      <w:r>
        <w:rPr>
          <w:rFonts w:ascii="宋体"/>
          <w:color w:val="auto"/>
          <w:szCs w:val="21"/>
          <w:highlight w:val="none"/>
          <w:u w:val="single"/>
        </w:rPr>
        <w:t>_____</w:t>
      </w:r>
      <w:r>
        <w:rPr>
          <w:rFonts w:ascii="宋体"/>
          <w:color w:val="auto"/>
          <w:szCs w:val="21"/>
          <w:highlight w:val="none"/>
        </w:rPr>
        <w:t>年</w:t>
      </w:r>
      <w:r>
        <w:rPr>
          <w:rFonts w:ascii="宋体"/>
          <w:color w:val="auto"/>
          <w:szCs w:val="21"/>
          <w:highlight w:val="none"/>
          <w:u w:val="single"/>
        </w:rPr>
        <w:t>____</w:t>
      </w:r>
      <w:r>
        <w:rPr>
          <w:rFonts w:ascii="宋体"/>
          <w:color w:val="auto"/>
          <w:szCs w:val="21"/>
          <w:highlight w:val="none"/>
        </w:rPr>
        <w:t>月__</w:t>
      </w:r>
      <w:r>
        <w:rPr>
          <w:rFonts w:ascii="宋体"/>
          <w:color w:val="auto"/>
          <w:szCs w:val="21"/>
          <w:highlight w:val="none"/>
          <w:u w:val="single"/>
        </w:rPr>
        <w:t>__</w:t>
      </w:r>
      <w:r>
        <w:rPr>
          <w:rFonts w:ascii="宋体"/>
          <w:color w:val="auto"/>
          <w:szCs w:val="21"/>
          <w:highlight w:val="none"/>
        </w:rPr>
        <w:t>日</w:t>
      </w:r>
      <w:bookmarkEnd w:id="712"/>
    </w:p>
    <w:p>
      <w:pPr>
        <w:spacing w:line="400" w:lineRule="exact"/>
        <w:rPr>
          <w:rFonts w:ascii="宋体"/>
          <w:color w:val="auto"/>
          <w:sz w:val="20"/>
          <w:szCs w:val="20"/>
          <w:highlight w:val="none"/>
        </w:rPr>
      </w:pPr>
    </w:p>
    <w:p>
      <w:pPr>
        <w:spacing w:line="400" w:lineRule="exact"/>
        <w:rPr>
          <w:rFonts w:ascii="宋体" w:cs="宋体"/>
          <w:b/>
          <w:bCs/>
          <w:color w:val="auto"/>
          <w:sz w:val="36"/>
          <w:szCs w:val="36"/>
          <w:highlight w:val="none"/>
          <w:lang w:val="zh-CN"/>
        </w:rPr>
      </w:pPr>
      <w:r>
        <w:rPr>
          <w:rFonts w:ascii="宋体"/>
          <w:color w:val="auto"/>
          <w:sz w:val="19"/>
          <w:szCs w:val="19"/>
          <w:highlight w:val="none"/>
        </w:rPr>
        <w:br w:type="page"/>
      </w:r>
      <w:bookmarkStart w:id="713" w:name="_Toc221951947"/>
      <w:bookmarkStart w:id="714" w:name="_Toc168476320"/>
      <w:bookmarkStart w:id="715" w:name="_Toc168475917"/>
      <w:bookmarkStart w:id="716" w:name="_Toc144974859"/>
      <w:r>
        <w:rPr>
          <w:rFonts w:ascii="宋体"/>
          <w:b/>
          <w:color w:val="auto"/>
          <w:sz w:val="24"/>
          <w:szCs w:val="31"/>
          <w:highlight w:val="none"/>
        </w:rPr>
        <w:t>（二）</w:t>
      </w:r>
      <w:r>
        <w:rPr>
          <w:rFonts w:ascii="宋体"/>
          <w:color w:val="auto"/>
          <w:sz w:val="28"/>
          <w:szCs w:val="27"/>
          <w:highlight w:val="none"/>
        </w:rPr>
        <w:t>投标函附录</w:t>
      </w:r>
      <w:r>
        <w:rPr>
          <w:rFonts w:hint="eastAsia" w:ascii="宋体"/>
          <w:color w:val="auto"/>
          <w:szCs w:val="21"/>
          <w:highlight w:val="none"/>
        </w:rPr>
        <w:t>（适用于不采用综合评估法三的情形）</w:t>
      </w:r>
    </w:p>
    <w:tbl>
      <w:tblPr>
        <w:tblStyle w:val="4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998"/>
        <w:gridCol w:w="3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4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Cs/>
                <w:color w:val="auto"/>
                <w:sz w:val="24"/>
                <w:szCs w:val="24"/>
                <w:highlight w:val="none"/>
                <w:lang w:val="zh-CN"/>
              </w:rPr>
            </w:pPr>
            <w:r>
              <w:rPr>
                <w:rFonts w:hint="eastAsia" w:ascii="宋体" w:cs="宋体"/>
                <w:color w:val="auto"/>
                <w:sz w:val="24"/>
                <w:szCs w:val="24"/>
                <w:highlight w:val="none"/>
                <w:lang w:val="zh-CN"/>
              </w:rPr>
              <w:t>工 程 名 称</w:t>
            </w:r>
          </w:p>
        </w:tc>
        <w:tc>
          <w:tcPr>
            <w:tcW w:w="576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7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Cs/>
                <w:color w:val="auto"/>
                <w:sz w:val="24"/>
                <w:szCs w:val="24"/>
                <w:highlight w:val="none"/>
                <w:lang w:val="zh-CN"/>
              </w:rPr>
            </w:pPr>
            <w:r>
              <w:rPr>
                <w:rFonts w:hint="eastAsia" w:ascii="宋体" w:cs="宋体"/>
                <w:color w:val="auto"/>
                <w:sz w:val="24"/>
                <w:szCs w:val="24"/>
                <w:highlight w:val="none"/>
                <w:lang w:val="zh-CN"/>
              </w:rPr>
              <w:t>投标总报价（元）</w:t>
            </w: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47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7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Cs/>
                <w:color w:val="auto"/>
                <w:sz w:val="24"/>
                <w:szCs w:val="24"/>
                <w:highlight w:val="none"/>
                <w:lang w:val="zh-CN"/>
              </w:rPr>
            </w:pPr>
            <w:r>
              <w:rPr>
                <w:rFonts w:hint="eastAsia" w:ascii="宋体" w:cs="宋体"/>
                <w:color w:val="auto"/>
                <w:sz w:val="24"/>
                <w:szCs w:val="24"/>
                <w:highlight w:val="none"/>
                <w:lang w:val="zh-CN"/>
              </w:rPr>
              <w:t>其中：</w:t>
            </w:r>
            <w:r>
              <w:rPr>
                <w:rFonts w:hint="eastAsia" w:ascii="宋体" w:cs="宋体"/>
                <w:bCs/>
                <w:color w:val="auto"/>
                <w:sz w:val="24"/>
                <w:szCs w:val="24"/>
                <w:highlight w:val="none"/>
                <w:lang w:val="zh-CN"/>
              </w:rPr>
              <w:t>人工费</w:t>
            </w:r>
            <w:r>
              <w:rPr>
                <w:rFonts w:hint="eastAsia" w:ascii="宋体" w:cs="宋体"/>
                <w:color w:val="auto"/>
                <w:sz w:val="24"/>
                <w:szCs w:val="24"/>
                <w:highlight w:val="none"/>
                <w:lang w:val="zh-CN"/>
              </w:rPr>
              <w:t>（元）</w:t>
            </w: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7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77" w:type="dxa"/>
            <w:vMerge w:val="restart"/>
            <w:tcBorders>
              <w:top w:val="single" w:color="auto" w:sz="4" w:space="0"/>
              <w:left w:val="single" w:color="auto" w:sz="4" w:space="0"/>
              <w:right w:val="single" w:color="auto" w:sz="4" w:space="0"/>
            </w:tcBorders>
            <w:vAlign w:val="center"/>
          </w:tcPr>
          <w:p>
            <w:pPr>
              <w:widowControl/>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其中：</w:t>
            </w:r>
            <w:r>
              <w:rPr>
                <w:rFonts w:hint="eastAsia" w:ascii="宋体"/>
                <w:color w:val="auto"/>
                <w:sz w:val="24"/>
                <w:szCs w:val="24"/>
                <w:highlight w:val="none"/>
              </w:rPr>
              <w:t>绿色施工安全防护措施费</w:t>
            </w:r>
            <w:r>
              <w:rPr>
                <w:rFonts w:hint="eastAsia" w:ascii="宋体" w:cs="宋体"/>
                <w:bCs/>
                <w:color w:val="auto"/>
                <w:sz w:val="24"/>
                <w:szCs w:val="24"/>
                <w:highlight w:val="none"/>
                <w:lang w:val="zh-CN"/>
              </w:rPr>
              <w:t>（元）</w:t>
            </w: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477" w:type="dxa"/>
            <w:vMerge w:val="continue"/>
            <w:tcBorders>
              <w:left w:val="single" w:color="auto" w:sz="4" w:space="0"/>
              <w:bottom w:val="single" w:color="auto" w:sz="4" w:space="0"/>
              <w:right w:val="single" w:color="auto" w:sz="4" w:space="0"/>
            </w:tcBorders>
            <w:vAlign w:val="center"/>
          </w:tcPr>
          <w:p>
            <w:pPr>
              <w:rPr>
                <w:color w:val="auto"/>
                <w:highlight w:val="none"/>
              </w:rPr>
            </w:pP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7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57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77"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4"/>
                <w:szCs w:val="24"/>
                <w:highlight w:val="none"/>
                <w:lang w:val="zh-CN"/>
              </w:rPr>
            </w:pPr>
            <w:r>
              <w:rPr>
                <w:rFonts w:hint="eastAsia" w:ascii="宋体" w:cs="宋体"/>
                <w:color w:val="auto"/>
                <w:sz w:val="24"/>
                <w:szCs w:val="24"/>
                <w:highlight w:val="none"/>
                <w:lang w:val="zh-CN"/>
              </w:rPr>
              <w:t>投 标 总工 期</w:t>
            </w:r>
          </w:p>
        </w:tc>
        <w:tc>
          <w:tcPr>
            <w:tcW w:w="576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477"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s="宋体"/>
                <w:color w:val="auto"/>
                <w:sz w:val="24"/>
                <w:szCs w:val="24"/>
                <w:highlight w:val="none"/>
                <w:lang w:val="zh-CN"/>
              </w:rPr>
              <w:t>工程质量标准</w:t>
            </w:r>
          </w:p>
        </w:tc>
        <w:tc>
          <w:tcPr>
            <w:tcW w:w="576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4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0" w:firstLineChars="196"/>
              <w:rPr>
                <w:rFonts w:ascii="宋体" w:cs="宋体"/>
                <w:bCs/>
                <w:color w:val="auto"/>
                <w:sz w:val="24"/>
                <w:szCs w:val="24"/>
                <w:highlight w:val="none"/>
                <w:lang w:val="zh-CN"/>
              </w:rPr>
            </w:pPr>
            <w:r>
              <w:rPr>
                <w:rFonts w:hint="eastAsia" w:ascii="宋体" w:cs="宋体"/>
                <w:color w:val="auto"/>
                <w:sz w:val="24"/>
                <w:szCs w:val="24"/>
                <w:highlight w:val="none"/>
                <w:lang w:val="zh-CN"/>
              </w:rPr>
              <w:t>保 修 期 限</w:t>
            </w:r>
          </w:p>
        </w:tc>
        <w:tc>
          <w:tcPr>
            <w:tcW w:w="576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47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Cs/>
                <w:color w:val="auto"/>
                <w:sz w:val="24"/>
                <w:szCs w:val="24"/>
                <w:highlight w:val="none"/>
                <w:lang w:val="zh-CN"/>
              </w:rPr>
            </w:pPr>
            <w:r>
              <w:rPr>
                <w:rFonts w:hint="eastAsia" w:ascii="宋体" w:cs="宋体"/>
                <w:color w:val="auto"/>
                <w:sz w:val="24"/>
                <w:szCs w:val="24"/>
                <w:highlight w:val="none"/>
                <w:lang w:val="zh-CN"/>
              </w:rPr>
              <w:t>委派的项目负责人</w:t>
            </w:r>
          </w:p>
        </w:tc>
        <w:tc>
          <w:tcPr>
            <w:tcW w:w="199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4"/>
                <w:szCs w:val="24"/>
                <w:highlight w:val="none"/>
              </w:rPr>
            </w:pPr>
            <w:r>
              <w:rPr>
                <w:rFonts w:hint="eastAsia" w:ascii="宋体"/>
                <w:color w:val="auto"/>
                <w:sz w:val="24"/>
                <w:szCs w:val="24"/>
                <w:highlight w:val="none"/>
              </w:rPr>
              <w:t>姓    名</w:t>
            </w:r>
          </w:p>
        </w:tc>
        <w:tc>
          <w:tcPr>
            <w:tcW w:w="376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47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w:t>
            </w:r>
          </w:p>
          <w:p>
            <w:pPr>
              <w:jc w:val="center"/>
              <w:rPr>
                <w:rFonts w:ascii="宋体"/>
                <w:color w:val="auto"/>
                <w:sz w:val="24"/>
                <w:szCs w:val="24"/>
                <w:highlight w:val="none"/>
              </w:rPr>
            </w:pPr>
            <w:r>
              <w:rPr>
                <w:rFonts w:hint="eastAsia" w:ascii="宋体" w:hAnsi="宋体"/>
                <w:color w:val="auto"/>
                <w:sz w:val="24"/>
                <w:szCs w:val="24"/>
                <w:highlight w:val="none"/>
              </w:rPr>
              <w:t>编号</w:t>
            </w:r>
          </w:p>
        </w:tc>
        <w:tc>
          <w:tcPr>
            <w:tcW w:w="376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47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35" w:firstLineChars="98"/>
              <w:rPr>
                <w:rFonts w:ascii="宋体" w:cs="宋体"/>
                <w:bCs/>
                <w:color w:val="auto"/>
                <w:sz w:val="24"/>
                <w:szCs w:val="24"/>
                <w:highlight w:val="none"/>
                <w:lang w:val="zh-CN"/>
              </w:rPr>
            </w:pPr>
            <w:r>
              <w:rPr>
                <w:rFonts w:hint="eastAsia" w:ascii="宋体" w:cs="宋体"/>
                <w:bCs/>
                <w:color w:val="auto"/>
                <w:sz w:val="24"/>
                <w:szCs w:val="24"/>
                <w:highlight w:val="none"/>
                <w:lang w:val="zh-CN"/>
              </w:rPr>
              <w:t>委派的安全员</w:t>
            </w:r>
          </w:p>
        </w:tc>
        <w:tc>
          <w:tcPr>
            <w:tcW w:w="1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cs="宋体"/>
                <w:bCs/>
                <w:color w:val="auto"/>
                <w:sz w:val="24"/>
                <w:szCs w:val="24"/>
                <w:highlight w:val="none"/>
                <w:lang w:val="zh-CN"/>
              </w:rPr>
            </w:pPr>
            <w:r>
              <w:rPr>
                <w:rFonts w:hint="eastAsia" w:ascii="宋体" w:cs="宋体"/>
                <w:bCs/>
                <w:color w:val="auto"/>
                <w:sz w:val="24"/>
                <w:szCs w:val="24"/>
                <w:highlight w:val="none"/>
                <w:lang w:val="zh-CN"/>
              </w:rPr>
              <w:t>姓   名</w:t>
            </w:r>
          </w:p>
        </w:tc>
        <w:tc>
          <w:tcPr>
            <w:tcW w:w="376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47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安全生产考核</w:t>
            </w:r>
          </w:p>
          <w:p>
            <w:pPr>
              <w:autoSpaceDE w:val="0"/>
              <w:autoSpaceDN w:val="0"/>
              <w:adjustRightInd w:val="0"/>
              <w:jc w:val="center"/>
              <w:rPr>
                <w:rFonts w:ascii="宋体" w:cs="宋体"/>
                <w:bCs/>
                <w:color w:val="auto"/>
                <w:sz w:val="24"/>
                <w:szCs w:val="24"/>
                <w:highlight w:val="none"/>
                <w:lang w:val="zh-CN"/>
              </w:rPr>
            </w:pPr>
            <w:r>
              <w:rPr>
                <w:rFonts w:hint="eastAsia" w:ascii="宋体" w:hAnsi="宋体"/>
                <w:color w:val="auto"/>
                <w:sz w:val="24"/>
                <w:szCs w:val="24"/>
                <w:highlight w:val="none"/>
              </w:rPr>
              <w:t>合格证（C类）或建筑施工企业专职安全生产管理人员安全生产考核合格证书（C3）编号</w:t>
            </w:r>
          </w:p>
        </w:tc>
        <w:tc>
          <w:tcPr>
            <w:tcW w:w="376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autoSpaceDE w:val="0"/>
        <w:autoSpaceDN w:val="0"/>
        <w:adjustRightInd w:val="0"/>
        <w:jc w:val="center"/>
        <w:rPr>
          <w:rFonts w:ascii="宋体"/>
          <w:bCs/>
          <w:color w:val="auto"/>
          <w:sz w:val="52"/>
          <w:szCs w:val="52"/>
          <w:highlight w:val="none"/>
        </w:rPr>
      </w:pPr>
      <w:r>
        <w:rPr>
          <w:rFonts w:hint="eastAsia" w:ascii="宋体" w:cs="宋体"/>
          <w:color w:val="auto"/>
          <w:sz w:val="24"/>
          <w:szCs w:val="24"/>
          <w:highlight w:val="none"/>
          <w:lang w:val="zh-CN"/>
        </w:rPr>
        <w:t>投标日期：   年  月  日</w:t>
      </w:r>
    </w:p>
    <w:p>
      <w:pPr>
        <w:autoSpaceDE w:val="0"/>
        <w:autoSpaceDN w:val="0"/>
        <w:adjustRightInd w:val="0"/>
        <w:rPr>
          <w:rFonts w:ascii="宋体" w:cs="宋体"/>
          <w:color w:val="auto"/>
          <w:szCs w:val="21"/>
          <w:highlight w:val="none"/>
          <w:lang w:val="zh-CN"/>
        </w:rPr>
      </w:pPr>
    </w:p>
    <w:p>
      <w:pPr>
        <w:autoSpaceDE w:val="0"/>
        <w:autoSpaceDN w:val="0"/>
        <w:adjustRightInd w:val="0"/>
        <w:rPr>
          <w:rFonts w:ascii="宋体" w:cs="宋体"/>
          <w:color w:val="auto"/>
          <w:sz w:val="24"/>
          <w:szCs w:val="24"/>
          <w:highlight w:val="none"/>
          <w:lang w:val="zh-CN"/>
        </w:rPr>
      </w:pPr>
      <w:r>
        <w:rPr>
          <w:rFonts w:hint="eastAsia" w:ascii="宋体" w:cs="宋体"/>
          <w:color w:val="auto"/>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ascii="宋体"/>
          <w:color w:val="auto"/>
          <w:szCs w:val="21"/>
          <w:highlight w:val="none"/>
        </w:rPr>
      </w:pPr>
      <w:r>
        <w:rPr>
          <w:rFonts w:hint="eastAsia" w:ascii="宋体" w:cs="宋体"/>
          <w:color w:val="auto"/>
          <w:szCs w:val="21"/>
          <w:highlight w:val="none"/>
          <w:lang w:val="zh-CN"/>
        </w:rPr>
        <w:t>3.本投标函附录由投标文件管理软件生成，投标人可直接在上面填写相关内容。</w:t>
      </w:r>
      <w:bookmarkEnd w:id="713"/>
      <w:bookmarkEnd w:id="714"/>
      <w:bookmarkEnd w:id="715"/>
      <w:bookmarkEnd w:id="716"/>
    </w:p>
    <w:p>
      <w:pPr>
        <w:pageBreakBefore/>
        <w:spacing w:line="360" w:lineRule="auto"/>
        <w:jc w:val="center"/>
        <w:outlineLvl w:val="2"/>
        <w:rPr>
          <w:rFonts w:ascii="宋体"/>
          <w:color w:val="auto"/>
          <w:sz w:val="28"/>
          <w:szCs w:val="27"/>
          <w:highlight w:val="none"/>
        </w:rPr>
      </w:pPr>
      <w:bookmarkStart w:id="717" w:name="_Toc222033912"/>
      <w:bookmarkStart w:id="718" w:name="_Toc17452694"/>
      <w:bookmarkStart w:id="719" w:name="_Toc144974860"/>
      <w:bookmarkStart w:id="720" w:name="_Toc75788617"/>
      <w:bookmarkStart w:id="721" w:name="_Toc229305421"/>
      <w:bookmarkStart w:id="722" w:name="_Toc221952013"/>
      <w:bookmarkStart w:id="723" w:name="_Toc168475918"/>
      <w:bookmarkStart w:id="724" w:name="_Toc17454901"/>
      <w:bookmarkStart w:id="725" w:name="_Toc17451653"/>
      <w:bookmarkStart w:id="726" w:name="_Toc17451131"/>
      <w:bookmarkStart w:id="727" w:name="_Toc168476321"/>
      <w:bookmarkStart w:id="728" w:name="_Toc222032730"/>
      <w:bookmarkStart w:id="729" w:name="_Toc259524415"/>
      <w:bookmarkStart w:id="730" w:name="_Toc222029561"/>
      <w:bookmarkStart w:id="731" w:name="_Toc222031063"/>
      <w:bookmarkStart w:id="732" w:name="_Toc17451608"/>
      <w:bookmarkStart w:id="733" w:name="_Toc29298"/>
      <w:bookmarkStart w:id="734" w:name="_Toc17454952"/>
      <w:bookmarkStart w:id="735" w:name="_Toc5128"/>
      <w:bookmarkStart w:id="736" w:name="_Toc17556906"/>
      <w:r>
        <w:rPr>
          <w:rFonts w:ascii="宋体"/>
          <w:color w:val="auto"/>
          <w:sz w:val="28"/>
          <w:szCs w:val="27"/>
          <w:highlight w:val="none"/>
        </w:rPr>
        <w:t>二、法定代表人身份证明</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spacing w:line="400" w:lineRule="exact"/>
        <w:rPr>
          <w:rFonts w:ascii="宋体"/>
          <w:color w:val="auto"/>
          <w:sz w:val="19"/>
          <w:szCs w:val="19"/>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bookmarkStart w:id="737" w:name="_Toc221952014"/>
      <w:r>
        <w:rPr>
          <w:rFonts w:ascii="宋体"/>
          <w:color w:val="auto"/>
          <w:szCs w:val="21"/>
          <w:highlight w:val="none"/>
        </w:rPr>
        <w:t>投标人名称：</w:t>
      </w:r>
      <w:bookmarkEnd w:id="737"/>
    </w:p>
    <w:p>
      <w:pPr>
        <w:spacing w:line="400" w:lineRule="exact"/>
        <w:rPr>
          <w:rFonts w:ascii="宋体"/>
          <w:color w:val="auto"/>
          <w:szCs w:val="21"/>
          <w:highlight w:val="none"/>
        </w:rPr>
      </w:pPr>
      <w:bookmarkStart w:id="738" w:name="_Toc221952015"/>
      <w:r>
        <w:rPr>
          <w:rFonts w:ascii="宋体"/>
          <w:color w:val="auto"/>
          <w:szCs w:val="21"/>
          <w:highlight w:val="none"/>
        </w:rPr>
        <w:t>单位性质：</w:t>
      </w:r>
      <w:bookmarkEnd w:id="738"/>
    </w:p>
    <w:p>
      <w:pPr>
        <w:spacing w:line="400" w:lineRule="exact"/>
        <w:rPr>
          <w:rFonts w:ascii="宋体"/>
          <w:color w:val="auto"/>
          <w:szCs w:val="21"/>
          <w:highlight w:val="none"/>
        </w:rPr>
      </w:pPr>
      <w:bookmarkStart w:id="739" w:name="_Toc221952016"/>
      <w:r>
        <w:rPr>
          <w:rFonts w:ascii="宋体"/>
          <w:color w:val="auto"/>
          <w:szCs w:val="21"/>
          <w:highlight w:val="none"/>
        </w:rPr>
        <w:t>地址：</w:t>
      </w:r>
      <w:bookmarkEnd w:id="739"/>
    </w:p>
    <w:p>
      <w:pPr>
        <w:spacing w:line="400" w:lineRule="exact"/>
        <w:rPr>
          <w:rFonts w:ascii="宋体"/>
          <w:color w:val="auto"/>
          <w:szCs w:val="21"/>
          <w:highlight w:val="none"/>
        </w:rPr>
      </w:pPr>
      <w:bookmarkStart w:id="740" w:name="_Toc221952017"/>
      <w:r>
        <w:rPr>
          <w:rFonts w:ascii="宋体"/>
          <w:color w:val="auto"/>
          <w:szCs w:val="21"/>
          <w:highlight w:val="none"/>
        </w:rPr>
        <w:t>成立时间： 年 月 日</w:t>
      </w:r>
      <w:bookmarkEnd w:id="740"/>
    </w:p>
    <w:p>
      <w:pPr>
        <w:spacing w:line="400" w:lineRule="exact"/>
        <w:rPr>
          <w:rFonts w:ascii="宋体"/>
          <w:color w:val="auto"/>
          <w:szCs w:val="21"/>
          <w:highlight w:val="none"/>
        </w:rPr>
      </w:pPr>
      <w:bookmarkStart w:id="741" w:name="_Toc221952018"/>
      <w:r>
        <w:rPr>
          <w:rFonts w:ascii="宋体"/>
          <w:color w:val="auto"/>
          <w:szCs w:val="21"/>
          <w:highlight w:val="none"/>
        </w:rPr>
        <w:t>经营期限：</w:t>
      </w:r>
      <w:bookmarkEnd w:id="741"/>
    </w:p>
    <w:p>
      <w:pPr>
        <w:spacing w:line="400" w:lineRule="exact"/>
        <w:rPr>
          <w:rFonts w:ascii="宋体"/>
          <w:color w:val="auto"/>
          <w:szCs w:val="21"/>
          <w:highlight w:val="none"/>
        </w:rPr>
      </w:pPr>
      <w:bookmarkStart w:id="742" w:name="_Toc221952019"/>
      <w:r>
        <w:rPr>
          <w:rFonts w:ascii="宋体"/>
          <w:color w:val="auto"/>
          <w:szCs w:val="21"/>
          <w:highlight w:val="none"/>
        </w:rPr>
        <w:t>姓名： 性别： 年龄：</w:t>
      </w:r>
      <w:r>
        <w:rPr>
          <w:rFonts w:hint="eastAsia" w:ascii="宋体"/>
          <w:color w:val="auto"/>
          <w:szCs w:val="21"/>
          <w:highlight w:val="none"/>
        </w:rPr>
        <w:t>身份证号码：</w:t>
      </w:r>
      <w:r>
        <w:rPr>
          <w:rFonts w:ascii="宋体"/>
          <w:color w:val="auto"/>
          <w:szCs w:val="21"/>
          <w:highlight w:val="none"/>
        </w:rPr>
        <w:t>职务：</w:t>
      </w:r>
      <w:bookmarkEnd w:id="742"/>
      <w:bookmarkStart w:id="743" w:name="_Toc221952020"/>
      <w:r>
        <w:rPr>
          <w:rFonts w:ascii="宋体"/>
          <w:color w:val="auto"/>
          <w:szCs w:val="21"/>
          <w:highlight w:val="none"/>
        </w:rPr>
        <w:t>系 (投标人名称)的法定代表人。</w:t>
      </w:r>
      <w:bookmarkEnd w:id="743"/>
    </w:p>
    <w:p>
      <w:pPr>
        <w:spacing w:line="400" w:lineRule="exact"/>
        <w:ind w:firstLine="420" w:firstLineChars="200"/>
        <w:rPr>
          <w:rFonts w:ascii="宋体"/>
          <w:color w:val="auto"/>
          <w:szCs w:val="21"/>
          <w:highlight w:val="none"/>
        </w:rPr>
      </w:pPr>
      <w:bookmarkStart w:id="744" w:name="_Toc221952021"/>
      <w:r>
        <w:rPr>
          <w:rFonts w:ascii="宋体"/>
          <w:color w:val="auto"/>
          <w:szCs w:val="21"/>
          <w:highlight w:val="none"/>
        </w:rPr>
        <w:t>特此证明。</w:t>
      </w:r>
      <w:bookmarkEnd w:id="744"/>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jc w:val="right"/>
        <w:rPr>
          <w:rFonts w:ascii="宋体"/>
          <w:color w:val="auto"/>
          <w:szCs w:val="21"/>
          <w:highlight w:val="none"/>
        </w:rPr>
      </w:pPr>
      <w:bookmarkStart w:id="745" w:name="_Toc221952022"/>
      <w:r>
        <w:rPr>
          <w:rFonts w:ascii="宋体"/>
          <w:color w:val="auto"/>
          <w:szCs w:val="21"/>
          <w:highlight w:val="none"/>
        </w:rPr>
        <w:t>投标人：（盖单位章）</w:t>
      </w:r>
      <w:bookmarkEnd w:id="745"/>
    </w:p>
    <w:p>
      <w:pPr>
        <w:spacing w:line="400" w:lineRule="exact"/>
        <w:jc w:val="right"/>
        <w:rPr>
          <w:rFonts w:ascii="宋体"/>
          <w:color w:val="auto"/>
          <w:szCs w:val="21"/>
          <w:highlight w:val="none"/>
        </w:rPr>
      </w:pPr>
    </w:p>
    <w:p>
      <w:pPr>
        <w:spacing w:line="400" w:lineRule="exact"/>
        <w:jc w:val="right"/>
        <w:rPr>
          <w:rFonts w:ascii="宋体"/>
          <w:color w:val="auto"/>
          <w:szCs w:val="21"/>
          <w:highlight w:val="none"/>
        </w:rPr>
      </w:pPr>
      <w:bookmarkStart w:id="746" w:name="_Toc221952023"/>
      <w:r>
        <w:rPr>
          <w:rFonts w:ascii="宋体"/>
          <w:color w:val="auto"/>
          <w:szCs w:val="21"/>
          <w:highlight w:val="none"/>
        </w:rPr>
        <w:t>年月 日</w:t>
      </w:r>
      <w:bookmarkEnd w:id="746"/>
    </w:p>
    <w:p>
      <w:pPr>
        <w:pStyle w:val="2"/>
        <w:ind w:left="0" w:leftChars="0"/>
        <w:rPr>
          <w:color w:val="auto"/>
          <w:highlight w:val="none"/>
        </w:rPr>
      </w:pPr>
      <w:r>
        <w:rPr>
          <w:rFonts w:hint="eastAsia" w:ascii="宋体" w:hAnsi="宋体" w:eastAsia="宋体" w:cs="宋体"/>
          <w:color w:val="auto"/>
          <w:sz w:val="21"/>
          <w:szCs w:val="21"/>
          <w:highlight w:val="none"/>
        </w:rPr>
        <w:t>注：联合体投标时，</w:t>
      </w:r>
      <w:r>
        <w:rPr>
          <w:rFonts w:hint="eastAsia" w:ascii="宋体" w:hAnsi="宋体" w:eastAsia="宋体" w:cs="宋体"/>
          <w:color w:val="auto"/>
          <w:sz w:val="21"/>
          <w:szCs w:val="21"/>
          <w:highlight w:val="none"/>
          <w:u w:val="single"/>
        </w:rPr>
        <w:t>可由联合体牵头人出具，可只填写联合体牵头人名称及盖章即可。</w:t>
      </w:r>
    </w:p>
    <w:p>
      <w:pPr>
        <w:spacing w:line="400" w:lineRule="exact"/>
        <w:jc w:val="center"/>
        <w:rPr>
          <w:rFonts w:ascii="宋体"/>
          <w:color w:val="auto"/>
          <w:sz w:val="19"/>
          <w:szCs w:val="19"/>
          <w:highlight w:val="none"/>
        </w:rPr>
      </w:pPr>
      <w:r>
        <w:rPr>
          <w:rFonts w:ascii="宋体"/>
          <w:color w:val="auto"/>
          <w:szCs w:val="21"/>
          <w:highlight w:val="none"/>
        </w:rPr>
        <w:br w:type="page"/>
      </w:r>
    </w:p>
    <w:p>
      <w:pPr>
        <w:spacing w:line="360" w:lineRule="auto"/>
        <w:jc w:val="center"/>
        <w:outlineLvl w:val="2"/>
        <w:rPr>
          <w:rFonts w:ascii="宋体"/>
          <w:color w:val="auto"/>
          <w:sz w:val="28"/>
          <w:szCs w:val="27"/>
          <w:highlight w:val="none"/>
        </w:rPr>
      </w:pPr>
      <w:bookmarkStart w:id="747" w:name="_Toc17556907"/>
      <w:bookmarkStart w:id="748" w:name="_Toc17451132"/>
      <w:bookmarkStart w:id="749" w:name="_Toc17451654"/>
      <w:bookmarkStart w:id="750" w:name="_Toc17451609"/>
      <w:bookmarkStart w:id="751" w:name="_Toc75788618"/>
      <w:bookmarkStart w:id="752" w:name="_Toc229305422"/>
      <w:bookmarkStart w:id="753" w:name="_Toc17452695"/>
      <w:bookmarkStart w:id="754" w:name="_Toc222031064"/>
      <w:bookmarkStart w:id="755" w:name="_Toc17454953"/>
      <w:bookmarkStart w:id="756" w:name="_Toc259524416"/>
      <w:bookmarkStart w:id="757" w:name="_Toc144974861"/>
      <w:bookmarkStart w:id="758" w:name="_Toc168475919"/>
      <w:bookmarkStart w:id="759" w:name="_Toc222032731"/>
      <w:bookmarkStart w:id="760" w:name="_Toc17454902"/>
      <w:bookmarkStart w:id="761" w:name="_Toc27374"/>
      <w:bookmarkStart w:id="762" w:name="_Toc222029562"/>
      <w:bookmarkStart w:id="763" w:name="_Toc221952024"/>
      <w:bookmarkStart w:id="764" w:name="_Toc6956"/>
      <w:bookmarkStart w:id="765" w:name="_Toc222033913"/>
      <w:bookmarkStart w:id="766" w:name="_Toc168476322"/>
      <w:r>
        <w:rPr>
          <w:rFonts w:hint="eastAsia" w:ascii="宋体"/>
          <w:color w:val="auto"/>
          <w:sz w:val="28"/>
          <w:szCs w:val="27"/>
          <w:highlight w:val="none"/>
        </w:rPr>
        <w:t>三</w:t>
      </w:r>
      <w:r>
        <w:rPr>
          <w:rFonts w:ascii="宋体"/>
          <w:color w:val="auto"/>
          <w:sz w:val="28"/>
          <w:szCs w:val="27"/>
          <w:highlight w:val="none"/>
        </w:rPr>
        <w:t>、授权委托书</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spacing w:line="400" w:lineRule="exact"/>
        <w:rPr>
          <w:rFonts w:ascii="宋体"/>
          <w:color w:val="auto"/>
          <w:sz w:val="20"/>
          <w:szCs w:val="20"/>
          <w:highlight w:val="none"/>
        </w:rPr>
      </w:pPr>
    </w:p>
    <w:p>
      <w:pPr>
        <w:topLinePunct/>
        <w:spacing w:line="400" w:lineRule="exact"/>
        <w:ind w:firstLine="420" w:firstLineChars="200"/>
        <w:rPr>
          <w:rFonts w:ascii="宋体"/>
          <w:color w:val="auto"/>
          <w:szCs w:val="21"/>
          <w:highlight w:val="none"/>
        </w:rPr>
      </w:pPr>
      <w:bookmarkStart w:id="767" w:name="_Toc221952025"/>
      <w:r>
        <w:rPr>
          <w:rFonts w:ascii="宋体"/>
          <w:color w:val="auto"/>
          <w:szCs w:val="21"/>
          <w:highlight w:val="none"/>
        </w:rPr>
        <w:t>本人（姓名）系（投标人名称）的法定代表人，现委托（姓名）为我方代理人。代理人根据授权，以我方名义签署、澄清、</w:t>
      </w:r>
      <w:r>
        <w:rPr>
          <w:rFonts w:hint="eastAsia" w:ascii="宋体"/>
          <w:color w:val="auto"/>
          <w:szCs w:val="21"/>
          <w:highlight w:val="none"/>
        </w:rPr>
        <w:t>说明、补正、</w:t>
      </w:r>
      <w:r>
        <w:rPr>
          <w:rFonts w:ascii="宋体"/>
          <w:color w:val="auto"/>
          <w:szCs w:val="21"/>
          <w:highlight w:val="none"/>
        </w:rPr>
        <w:t>递交、撤回、修改（项目名称）</w:t>
      </w:r>
      <w:r>
        <w:rPr>
          <w:rFonts w:hint="eastAsia" w:ascii="宋体"/>
          <w:color w:val="auto"/>
          <w:szCs w:val="21"/>
          <w:highlight w:val="none"/>
        </w:rPr>
        <w:t>（标段名称）</w:t>
      </w:r>
      <w:r>
        <w:rPr>
          <w:rFonts w:ascii="宋体"/>
          <w:color w:val="auto"/>
          <w:szCs w:val="21"/>
          <w:highlight w:val="none"/>
        </w:rPr>
        <w:t>投标文件、签订合同和处理有关事宜，其法律后果由我方承担。</w:t>
      </w:r>
      <w:bookmarkEnd w:id="767"/>
    </w:p>
    <w:p>
      <w:pPr>
        <w:spacing w:line="400" w:lineRule="exact"/>
        <w:rPr>
          <w:rFonts w:ascii="宋体"/>
          <w:color w:val="auto"/>
          <w:szCs w:val="21"/>
          <w:highlight w:val="none"/>
        </w:rPr>
      </w:pPr>
      <w:bookmarkStart w:id="768" w:name="_Toc221952026"/>
      <w:r>
        <w:rPr>
          <w:rFonts w:ascii="宋体"/>
          <w:color w:val="auto"/>
          <w:szCs w:val="21"/>
          <w:highlight w:val="none"/>
        </w:rPr>
        <w:t>委托期限：</w:t>
      </w:r>
      <w:r>
        <w:rPr>
          <w:rFonts w:hint="eastAsia" w:ascii="宋体"/>
          <w:color w:val="auto"/>
          <w:szCs w:val="21"/>
          <w:highlight w:val="none"/>
        </w:rPr>
        <w:t>。</w:t>
      </w:r>
      <w:bookmarkEnd w:id="768"/>
    </w:p>
    <w:p>
      <w:pPr>
        <w:spacing w:line="400" w:lineRule="exact"/>
        <w:ind w:firstLine="420" w:firstLineChars="200"/>
        <w:rPr>
          <w:rFonts w:ascii="宋体"/>
          <w:color w:val="auto"/>
          <w:szCs w:val="21"/>
          <w:highlight w:val="none"/>
        </w:rPr>
      </w:pPr>
      <w:r>
        <w:rPr>
          <w:rFonts w:hint="eastAsia" w:ascii="宋体"/>
          <w:color w:val="auto"/>
          <w:szCs w:val="21"/>
          <w:highlight w:val="none"/>
        </w:rPr>
        <w:t>代理人无转委托权。代理人为投标人正式职工（提供最近1个月（2</w:t>
      </w:r>
      <w:r>
        <w:rPr>
          <w:rFonts w:ascii="宋体"/>
          <w:color w:val="auto"/>
          <w:szCs w:val="21"/>
          <w:highlight w:val="none"/>
        </w:rPr>
        <w:t>023年</w:t>
      </w:r>
      <w:r>
        <w:rPr>
          <w:rFonts w:hint="eastAsia" w:ascii="宋体"/>
          <w:color w:val="auto"/>
          <w:szCs w:val="21"/>
          <w:highlight w:val="none"/>
        </w:rPr>
        <w:t>6月或2023年7月）的社保证明）</w:t>
      </w:r>
    </w:p>
    <w:p>
      <w:pPr>
        <w:spacing w:line="400" w:lineRule="exact"/>
        <w:ind w:firstLine="420" w:firstLineChars="200"/>
        <w:rPr>
          <w:rFonts w:ascii="宋体"/>
          <w:color w:val="auto"/>
          <w:szCs w:val="21"/>
          <w:highlight w:val="none"/>
        </w:rPr>
      </w:pPr>
      <w:r>
        <w:rPr>
          <w:rFonts w:hint="eastAsia" w:ascii="宋体"/>
          <w:color w:val="auto"/>
          <w:szCs w:val="21"/>
          <w:highlight w:val="none"/>
        </w:rPr>
        <w:t>附：法定代表人身份证明和社保证明</w:t>
      </w:r>
    </w:p>
    <w:p>
      <w:pPr>
        <w:spacing w:line="400" w:lineRule="exact"/>
        <w:rPr>
          <w:rFonts w:ascii="宋体"/>
          <w:color w:val="auto"/>
          <w:szCs w:val="21"/>
          <w:highlight w:val="none"/>
        </w:rPr>
      </w:pPr>
    </w:p>
    <w:p>
      <w:pPr>
        <w:spacing w:line="400" w:lineRule="exact"/>
        <w:rPr>
          <w:rFonts w:ascii="宋体"/>
          <w:color w:val="auto"/>
          <w:szCs w:val="21"/>
          <w:highlight w:val="none"/>
        </w:rPr>
      </w:pPr>
    </w:p>
    <w:p>
      <w:pPr>
        <w:spacing w:line="400" w:lineRule="exact"/>
        <w:jc w:val="right"/>
        <w:rPr>
          <w:rFonts w:ascii="宋体"/>
          <w:color w:val="auto"/>
          <w:szCs w:val="21"/>
          <w:highlight w:val="none"/>
        </w:rPr>
      </w:pPr>
      <w:bookmarkStart w:id="769" w:name="_Toc221952029"/>
      <w:r>
        <w:rPr>
          <w:rFonts w:ascii="宋体"/>
          <w:color w:val="auto"/>
          <w:szCs w:val="21"/>
          <w:highlight w:val="none"/>
        </w:rPr>
        <w:t>投标人：（盖单位章）</w:t>
      </w:r>
      <w:bookmarkEnd w:id="769"/>
    </w:p>
    <w:p>
      <w:pPr>
        <w:spacing w:line="400" w:lineRule="exact"/>
        <w:jc w:val="right"/>
        <w:rPr>
          <w:rFonts w:ascii="宋体"/>
          <w:color w:val="auto"/>
          <w:szCs w:val="21"/>
          <w:highlight w:val="none"/>
        </w:rPr>
      </w:pPr>
    </w:p>
    <w:p>
      <w:pPr>
        <w:wordWrap w:val="0"/>
        <w:spacing w:line="400" w:lineRule="exact"/>
        <w:jc w:val="right"/>
        <w:rPr>
          <w:rFonts w:ascii="宋体"/>
          <w:color w:val="auto"/>
          <w:szCs w:val="21"/>
          <w:highlight w:val="none"/>
        </w:rPr>
      </w:pPr>
      <w:bookmarkStart w:id="770" w:name="_Toc221952030"/>
      <w:r>
        <w:rPr>
          <w:rFonts w:ascii="宋体"/>
          <w:color w:val="auto"/>
          <w:szCs w:val="21"/>
          <w:highlight w:val="none"/>
        </w:rPr>
        <w:t>法定代表人：（</w:t>
      </w:r>
      <w:r>
        <w:rPr>
          <w:rFonts w:hint="eastAsia" w:ascii="宋体"/>
          <w:color w:val="auto"/>
          <w:szCs w:val="21"/>
          <w:highlight w:val="none"/>
        </w:rPr>
        <w:t>签</w:t>
      </w:r>
      <w:r>
        <w:rPr>
          <w:rFonts w:ascii="宋体"/>
          <w:color w:val="auto"/>
          <w:szCs w:val="21"/>
          <w:highlight w:val="none"/>
        </w:rPr>
        <w:t>字）</w:t>
      </w:r>
      <w:bookmarkEnd w:id="770"/>
    </w:p>
    <w:p>
      <w:pPr>
        <w:spacing w:line="400" w:lineRule="exact"/>
        <w:jc w:val="right"/>
        <w:rPr>
          <w:rFonts w:ascii="宋体"/>
          <w:color w:val="auto"/>
          <w:szCs w:val="21"/>
          <w:highlight w:val="none"/>
        </w:rPr>
      </w:pPr>
    </w:p>
    <w:p>
      <w:pPr>
        <w:spacing w:line="400" w:lineRule="exact"/>
        <w:ind w:right="420" w:firstLine="2940" w:firstLineChars="1400"/>
        <w:rPr>
          <w:rFonts w:ascii="宋体"/>
          <w:color w:val="auto"/>
          <w:szCs w:val="21"/>
          <w:highlight w:val="none"/>
        </w:rPr>
      </w:pPr>
      <w:bookmarkStart w:id="771" w:name="_Toc221952031"/>
      <w:r>
        <w:rPr>
          <w:rFonts w:ascii="宋体"/>
          <w:color w:val="auto"/>
          <w:szCs w:val="21"/>
          <w:highlight w:val="none"/>
        </w:rPr>
        <w:t>身份证号码：</w:t>
      </w:r>
      <w:bookmarkEnd w:id="771"/>
    </w:p>
    <w:p>
      <w:pPr>
        <w:spacing w:line="400" w:lineRule="exact"/>
        <w:jc w:val="right"/>
        <w:rPr>
          <w:rFonts w:ascii="宋体"/>
          <w:color w:val="auto"/>
          <w:szCs w:val="21"/>
          <w:highlight w:val="none"/>
        </w:rPr>
      </w:pPr>
    </w:p>
    <w:p>
      <w:pPr>
        <w:wordWrap w:val="0"/>
        <w:spacing w:line="400" w:lineRule="exact"/>
        <w:jc w:val="right"/>
        <w:rPr>
          <w:rFonts w:ascii="宋体"/>
          <w:color w:val="auto"/>
          <w:szCs w:val="21"/>
          <w:highlight w:val="none"/>
        </w:rPr>
      </w:pPr>
      <w:bookmarkStart w:id="772" w:name="_Toc221952032"/>
      <w:r>
        <w:rPr>
          <w:rFonts w:hint="eastAsia" w:ascii="宋体"/>
          <w:color w:val="auto"/>
          <w:szCs w:val="21"/>
          <w:highlight w:val="none"/>
        </w:rPr>
        <w:t>委托</w:t>
      </w:r>
      <w:r>
        <w:rPr>
          <w:rFonts w:ascii="宋体"/>
          <w:color w:val="auto"/>
          <w:szCs w:val="21"/>
          <w:highlight w:val="none"/>
        </w:rPr>
        <w:t>代理人：</w:t>
      </w:r>
      <w:r>
        <w:rPr>
          <w:rFonts w:hint="eastAsia" w:ascii="宋体"/>
          <w:color w:val="auto"/>
          <w:szCs w:val="21"/>
          <w:highlight w:val="none"/>
          <w:u w:val="single"/>
        </w:rPr>
        <w:t>（</w:t>
      </w:r>
      <w:r>
        <w:rPr>
          <w:rFonts w:hint="eastAsia" w:ascii="宋体"/>
          <w:color w:val="auto"/>
          <w:szCs w:val="21"/>
          <w:highlight w:val="none"/>
        </w:rPr>
        <w:t>签字</w:t>
      </w:r>
      <w:r>
        <w:rPr>
          <w:rFonts w:ascii="宋体"/>
          <w:color w:val="auto"/>
          <w:szCs w:val="21"/>
          <w:highlight w:val="none"/>
        </w:rPr>
        <w:t>）</w:t>
      </w:r>
      <w:bookmarkEnd w:id="772"/>
    </w:p>
    <w:p>
      <w:pPr>
        <w:wordWrap w:val="0"/>
        <w:spacing w:line="400" w:lineRule="exact"/>
        <w:jc w:val="right"/>
        <w:rPr>
          <w:rFonts w:ascii="宋体"/>
          <w:color w:val="auto"/>
          <w:szCs w:val="21"/>
          <w:highlight w:val="none"/>
        </w:rPr>
      </w:pPr>
    </w:p>
    <w:p>
      <w:pPr>
        <w:spacing w:line="400" w:lineRule="exact"/>
        <w:ind w:right="420" w:firstLine="2940" w:firstLineChars="1400"/>
        <w:rPr>
          <w:rFonts w:ascii="宋体"/>
          <w:color w:val="auto"/>
          <w:szCs w:val="21"/>
          <w:highlight w:val="none"/>
        </w:rPr>
      </w:pPr>
      <w:bookmarkStart w:id="773" w:name="_Toc221952033"/>
      <w:r>
        <w:rPr>
          <w:rFonts w:ascii="宋体"/>
          <w:color w:val="auto"/>
          <w:szCs w:val="21"/>
          <w:highlight w:val="none"/>
        </w:rPr>
        <w:t>身份证号码：</w:t>
      </w:r>
      <w:bookmarkEnd w:id="773"/>
    </w:p>
    <w:p>
      <w:pPr>
        <w:spacing w:line="400" w:lineRule="exact"/>
        <w:jc w:val="right"/>
        <w:rPr>
          <w:rFonts w:ascii="宋体"/>
          <w:color w:val="auto"/>
          <w:szCs w:val="21"/>
          <w:highlight w:val="none"/>
        </w:rPr>
      </w:pPr>
    </w:p>
    <w:p>
      <w:pPr>
        <w:spacing w:line="400" w:lineRule="exact"/>
        <w:ind w:firstLine="1575" w:firstLineChars="750"/>
        <w:jc w:val="right"/>
        <w:rPr>
          <w:rFonts w:ascii="宋体"/>
          <w:color w:val="auto"/>
          <w:szCs w:val="21"/>
          <w:highlight w:val="none"/>
        </w:rPr>
      </w:pPr>
      <w:bookmarkStart w:id="774" w:name="_Toc221952034"/>
      <w:r>
        <w:rPr>
          <w:rFonts w:ascii="宋体"/>
          <w:color w:val="auto"/>
          <w:szCs w:val="21"/>
          <w:highlight w:val="none"/>
        </w:rPr>
        <w:t>年 月日</w:t>
      </w:r>
      <w:bookmarkEnd w:id="774"/>
    </w:p>
    <w:p>
      <w:pPr>
        <w:spacing w:line="400" w:lineRule="exact"/>
        <w:rPr>
          <w:rFonts w:ascii="宋体"/>
          <w:color w:val="auto"/>
          <w:sz w:val="19"/>
          <w:szCs w:val="19"/>
          <w:highlight w:val="none"/>
        </w:rPr>
      </w:pPr>
      <w:r>
        <w:rPr>
          <w:rFonts w:hint="eastAsia" w:ascii="宋体" w:hAnsi="宋体" w:cs="宋体"/>
          <w:color w:val="auto"/>
          <w:highlight w:val="none"/>
        </w:rPr>
        <w:t>注：联合体投标时，</w:t>
      </w:r>
      <w:r>
        <w:rPr>
          <w:rFonts w:hint="eastAsia"/>
          <w:color w:val="auto"/>
          <w:szCs w:val="21"/>
          <w:highlight w:val="none"/>
          <w:u w:val="single"/>
        </w:rPr>
        <w:t>可由联合体牵头人出具，可只填写联合体牵头人名称及盖章即可。</w:t>
      </w:r>
    </w:p>
    <w:p>
      <w:pPr>
        <w:spacing w:line="400" w:lineRule="exact"/>
        <w:jc w:val="left"/>
        <w:rPr>
          <w:rFonts w:ascii="宋体"/>
          <w:color w:val="auto"/>
          <w:sz w:val="20"/>
          <w:szCs w:val="20"/>
          <w:highlight w:val="none"/>
        </w:rPr>
      </w:pPr>
      <w:r>
        <w:rPr>
          <w:rFonts w:ascii="宋体"/>
          <w:color w:val="auto"/>
          <w:sz w:val="20"/>
          <w:szCs w:val="20"/>
          <w:highlight w:val="none"/>
        </w:rPr>
        <w:br w:type="page"/>
      </w:r>
    </w:p>
    <w:p>
      <w:pPr>
        <w:spacing w:line="360" w:lineRule="auto"/>
        <w:jc w:val="center"/>
        <w:outlineLvl w:val="2"/>
        <w:rPr>
          <w:rFonts w:ascii="黑体" w:hAnsi="黑体" w:eastAsia="黑体"/>
          <w:color w:val="auto"/>
          <w:sz w:val="28"/>
          <w:szCs w:val="27"/>
          <w:highlight w:val="none"/>
        </w:rPr>
      </w:pPr>
      <w:bookmarkStart w:id="775" w:name="_Toc144974862"/>
      <w:bookmarkStart w:id="776" w:name="_Toc17454954"/>
      <w:bookmarkStart w:id="777" w:name="_Toc17556908"/>
      <w:bookmarkStart w:id="778" w:name="_Toc221952035"/>
      <w:bookmarkStart w:id="779" w:name="_Toc17454903"/>
      <w:bookmarkStart w:id="780" w:name="_Toc69821866"/>
      <w:bookmarkStart w:id="781" w:name="_Toc17451655"/>
      <w:bookmarkStart w:id="782" w:name="_Toc17452696"/>
      <w:bookmarkStart w:id="783" w:name="_Toc222033914"/>
      <w:bookmarkStart w:id="784" w:name="_Toc229305423"/>
      <w:bookmarkStart w:id="785" w:name="_Toc222032732"/>
      <w:bookmarkStart w:id="786" w:name="_Toc17451133"/>
      <w:bookmarkStart w:id="787" w:name="_Toc168476323"/>
      <w:bookmarkStart w:id="788" w:name="_Toc17451610"/>
      <w:bookmarkStart w:id="789" w:name="_Toc222031065"/>
      <w:bookmarkStart w:id="790" w:name="_Toc259524417"/>
      <w:bookmarkStart w:id="791" w:name="_Toc222029563"/>
      <w:bookmarkStart w:id="792" w:name="_Toc168475920"/>
      <w:bookmarkStart w:id="793" w:name="_Toc17454904"/>
      <w:bookmarkStart w:id="794" w:name="_Toc259524418"/>
      <w:bookmarkStart w:id="795" w:name="_Toc17454955"/>
      <w:bookmarkStart w:id="796" w:name="_Toc18096"/>
      <w:bookmarkStart w:id="797" w:name="_Toc30942"/>
      <w:bookmarkStart w:id="798" w:name="_Toc229305424"/>
      <w:bookmarkStart w:id="799" w:name="_Toc222032733"/>
      <w:bookmarkStart w:id="800" w:name="_Toc17556909"/>
      <w:bookmarkStart w:id="801" w:name="_Toc222033915"/>
      <w:bookmarkStart w:id="802" w:name="_Toc75788619"/>
      <w:bookmarkStart w:id="803" w:name="_Toc168475921"/>
      <w:bookmarkStart w:id="804" w:name="_Toc168476324"/>
      <w:bookmarkStart w:id="805" w:name="_Toc222029564"/>
      <w:bookmarkStart w:id="806" w:name="_Toc17451134"/>
      <w:bookmarkStart w:id="807" w:name="_Toc17452697"/>
      <w:bookmarkStart w:id="808" w:name="_Toc222031066"/>
      <w:bookmarkStart w:id="809" w:name="_Toc221952052"/>
      <w:bookmarkStart w:id="810" w:name="_Toc17451611"/>
      <w:bookmarkStart w:id="811" w:name="_Toc17451656"/>
      <w:r>
        <w:rPr>
          <w:rFonts w:hint="eastAsia" w:ascii="黑体" w:hAnsi="黑体" w:eastAsia="黑体"/>
          <w:color w:val="auto"/>
          <w:sz w:val="28"/>
          <w:szCs w:val="27"/>
          <w:highlight w:val="none"/>
        </w:rPr>
        <w:t>四</w:t>
      </w:r>
      <w:r>
        <w:rPr>
          <w:rFonts w:ascii="黑体" w:hAnsi="黑体" w:eastAsia="黑体"/>
          <w:color w:val="auto"/>
          <w:sz w:val="28"/>
          <w:szCs w:val="27"/>
          <w:highlight w:val="none"/>
        </w:rPr>
        <w:t>、</w:t>
      </w:r>
      <w:bookmarkEnd w:id="775"/>
      <w:r>
        <w:rPr>
          <w:rFonts w:hint="eastAsia" w:ascii="黑体" w:hAnsi="黑体" w:eastAsia="黑体"/>
          <w:color w:val="auto"/>
          <w:sz w:val="28"/>
          <w:szCs w:val="27"/>
          <w:highlight w:val="none"/>
        </w:rPr>
        <w:t>联合体协议书</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spacing w:line="276" w:lineRule="auto"/>
        <w:jc w:val="left"/>
        <w:rPr>
          <w:rFonts w:ascii="宋体" w:hAnsi="宋体"/>
          <w:color w:val="auto"/>
          <w:szCs w:val="21"/>
          <w:highlight w:val="none"/>
        </w:rPr>
      </w:pPr>
    </w:p>
    <w:p>
      <w:pPr>
        <w:spacing w:line="276" w:lineRule="auto"/>
        <w:ind w:firstLine="420" w:firstLineChars="200"/>
        <w:jc w:val="lef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u w:val="single"/>
        </w:rPr>
        <w:tab/>
      </w:r>
      <w:bookmarkStart w:id="812" w:name="_Toc221952036"/>
      <w:r>
        <w:rPr>
          <w:rFonts w:ascii="宋体" w:hAnsi="宋体"/>
          <w:color w:val="auto"/>
          <w:szCs w:val="21"/>
          <w:highlight w:val="none"/>
        </w:rPr>
        <w:t>（</w:t>
      </w:r>
      <w:r>
        <w:rPr>
          <w:rFonts w:hint="eastAsia" w:ascii="宋体" w:hAnsi="宋体"/>
          <w:color w:val="auto"/>
          <w:szCs w:val="21"/>
          <w:highlight w:val="none"/>
        </w:rPr>
        <w:t>所有成员单位名称</w:t>
      </w:r>
      <w:r>
        <w:rPr>
          <w:rFonts w:ascii="宋体" w:hAnsi="宋体"/>
          <w:color w:val="auto"/>
          <w:szCs w:val="21"/>
          <w:highlight w:val="none"/>
        </w:rPr>
        <w:t>）</w:t>
      </w:r>
      <w:r>
        <w:rPr>
          <w:rFonts w:hint="eastAsia" w:ascii="宋体" w:hAnsi="宋体"/>
          <w:color w:val="auto"/>
          <w:szCs w:val="21"/>
          <w:highlight w:val="none"/>
        </w:rPr>
        <w:t>自愿组成</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联合体名称</w:t>
      </w:r>
      <w:r>
        <w:rPr>
          <w:rFonts w:ascii="宋体" w:hAnsi="宋体"/>
          <w:color w:val="auto"/>
          <w:szCs w:val="21"/>
          <w:highlight w:val="none"/>
        </w:rPr>
        <w:t>）</w:t>
      </w:r>
      <w:r>
        <w:rPr>
          <w:rFonts w:hint="eastAsia" w:ascii="宋体" w:hAnsi="宋体"/>
          <w:color w:val="auto"/>
          <w:szCs w:val="21"/>
          <w:highlight w:val="none"/>
        </w:rPr>
        <w:t>，共同参加</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项目名称）投标。现就联合体投标事宜订立如下协议。</w:t>
      </w:r>
      <w:bookmarkEnd w:id="812"/>
    </w:p>
    <w:p>
      <w:pPr>
        <w:spacing w:line="276" w:lineRule="auto"/>
        <w:jc w:val="left"/>
        <w:rPr>
          <w:rFonts w:ascii="宋体" w:hAnsi="宋体"/>
          <w:color w:val="auto"/>
          <w:szCs w:val="21"/>
          <w:highlight w:val="none"/>
        </w:rPr>
      </w:pPr>
      <w:r>
        <w:rPr>
          <w:rFonts w:hint="eastAsia" w:ascii="宋体" w:hAnsi="宋体"/>
          <w:color w:val="auto"/>
          <w:szCs w:val="21"/>
          <w:highlight w:val="none"/>
        </w:rPr>
        <w:t xml:space="preserve">    </w:t>
      </w:r>
      <w:bookmarkStart w:id="813" w:name="_Toc221952037"/>
      <w:r>
        <w:rPr>
          <w:rFonts w:hint="eastAsia" w:ascii="宋体" w:hAnsi="宋体"/>
          <w:color w:val="auto"/>
          <w:szCs w:val="21"/>
          <w:highlight w:val="none"/>
        </w:rPr>
        <w:t>1.</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某成员单位名称</w:t>
      </w:r>
      <w:r>
        <w:rPr>
          <w:rFonts w:ascii="宋体" w:hAnsi="宋体"/>
          <w:color w:val="auto"/>
          <w:szCs w:val="21"/>
          <w:highlight w:val="none"/>
        </w:rPr>
        <w:t>）</w:t>
      </w:r>
      <w:r>
        <w:rPr>
          <w:rFonts w:hint="eastAsia" w:ascii="宋体" w:hAnsi="宋体"/>
          <w:color w:val="auto"/>
          <w:szCs w:val="21"/>
          <w:highlight w:val="none"/>
        </w:rPr>
        <w:t>为</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rPr>
        <w:t>（</w:t>
      </w:r>
      <w:r>
        <w:rPr>
          <w:rFonts w:hint="eastAsia" w:ascii="宋体" w:hAnsi="宋体"/>
          <w:color w:val="auto"/>
          <w:szCs w:val="21"/>
          <w:highlight w:val="none"/>
        </w:rPr>
        <w:t>联合体名称</w:t>
      </w:r>
      <w:r>
        <w:rPr>
          <w:rFonts w:ascii="宋体" w:hAnsi="宋体"/>
          <w:color w:val="auto"/>
          <w:szCs w:val="21"/>
          <w:highlight w:val="none"/>
        </w:rPr>
        <w:t>）</w:t>
      </w:r>
      <w:r>
        <w:rPr>
          <w:rFonts w:hint="eastAsia" w:ascii="宋体" w:hAnsi="宋体"/>
          <w:color w:val="auto"/>
          <w:szCs w:val="21"/>
          <w:highlight w:val="none"/>
        </w:rPr>
        <w:t>牵头人。</w:t>
      </w:r>
      <w:bookmarkEnd w:id="813"/>
    </w:p>
    <w:p>
      <w:pPr>
        <w:spacing w:line="276" w:lineRule="auto"/>
        <w:ind w:firstLine="420" w:firstLineChars="200"/>
        <w:jc w:val="left"/>
        <w:rPr>
          <w:rFonts w:ascii="宋体" w:hAnsi="宋体"/>
          <w:color w:val="auto"/>
          <w:szCs w:val="21"/>
          <w:highlight w:val="none"/>
        </w:rPr>
      </w:pPr>
      <w:bookmarkStart w:id="814" w:name="_Toc221952038"/>
      <w:r>
        <w:rPr>
          <w:rFonts w:hint="eastAsia" w:ascii="宋体" w:hAnsi="宋体"/>
          <w:color w:val="auto"/>
          <w:szCs w:val="21"/>
          <w:highlight w:val="none"/>
        </w:rPr>
        <w:t>2.联合体牵头人合法代表联合体各成员负责本招标项目投标文件编制和合同谈判活动，</w:t>
      </w:r>
      <w:r>
        <w:rPr>
          <w:rFonts w:ascii="宋体" w:hAnsi="宋体"/>
          <w:color w:val="auto"/>
          <w:szCs w:val="21"/>
          <w:highlight w:val="none"/>
        </w:rPr>
        <w:t xml:space="preserve"> </w:t>
      </w:r>
      <w:r>
        <w:rPr>
          <w:rFonts w:hint="eastAsia" w:ascii="宋体" w:hAnsi="宋体"/>
          <w:color w:val="auto"/>
          <w:szCs w:val="21"/>
          <w:highlight w:val="none"/>
        </w:rPr>
        <w:t>并代表联合体提交和接受相关的资料。信息及指示，并处理与之有关的一切事务，负责合同实施阶段的主办、组织和协调工作。</w:t>
      </w:r>
      <w:bookmarkEnd w:id="814"/>
    </w:p>
    <w:p>
      <w:pPr>
        <w:spacing w:line="276" w:lineRule="auto"/>
        <w:ind w:firstLine="420" w:firstLineChars="200"/>
        <w:jc w:val="left"/>
        <w:rPr>
          <w:rFonts w:ascii="宋体" w:hAnsi="宋体"/>
          <w:color w:val="auto"/>
          <w:szCs w:val="21"/>
          <w:highlight w:val="none"/>
        </w:rPr>
      </w:pPr>
      <w:bookmarkStart w:id="815" w:name="_Toc221952039"/>
      <w:r>
        <w:rPr>
          <w:rFonts w:hint="eastAsia" w:ascii="宋体" w:hAnsi="宋体"/>
          <w:color w:val="auto"/>
          <w:szCs w:val="21"/>
          <w:highlight w:val="none"/>
        </w:rPr>
        <w:t>3.联合体将严格按照招标文件的各项要求，递交投标文件，履行合同，并对外承担连带责任。</w:t>
      </w:r>
      <w:bookmarkEnd w:id="815"/>
    </w:p>
    <w:p>
      <w:pPr>
        <w:spacing w:line="276" w:lineRule="auto"/>
        <w:ind w:firstLine="420" w:firstLineChars="200"/>
        <w:jc w:val="left"/>
        <w:rPr>
          <w:rFonts w:ascii="宋体" w:hAnsi="宋体"/>
          <w:color w:val="auto"/>
          <w:szCs w:val="21"/>
          <w:highlight w:val="none"/>
        </w:rPr>
      </w:pPr>
      <w:bookmarkStart w:id="816" w:name="_Toc221952040"/>
      <w:r>
        <w:rPr>
          <w:rFonts w:hint="eastAsia" w:ascii="宋体" w:hAnsi="宋体"/>
          <w:color w:val="auto"/>
          <w:szCs w:val="21"/>
          <w:highlight w:val="none"/>
        </w:rPr>
        <w:t>4.联合体各成员单位内部的职责分工如下：</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w:t>
      </w:r>
      <w:bookmarkEnd w:id="816"/>
    </w:p>
    <w:p>
      <w:pPr>
        <w:spacing w:line="276" w:lineRule="auto"/>
        <w:ind w:firstLine="420" w:firstLineChars="200"/>
        <w:jc w:val="left"/>
        <w:rPr>
          <w:rFonts w:ascii="宋体" w:hAnsi="宋体"/>
          <w:color w:val="auto"/>
          <w:szCs w:val="21"/>
          <w:highlight w:val="none"/>
        </w:rPr>
      </w:pPr>
      <w:bookmarkStart w:id="817" w:name="_Toc221952041"/>
      <w:r>
        <w:rPr>
          <w:rFonts w:hint="eastAsia" w:ascii="宋体" w:hAnsi="宋体"/>
          <w:color w:val="auto"/>
          <w:szCs w:val="21"/>
          <w:highlight w:val="none"/>
        </w:rPr>
        <w:t>5.本协议书自签署之日起生效，合同履行完毕后自动失效。</w:t>
      </w:r>
      <w:bookmarkEnd w:id="817"/>
    </w:p>
    <w:p>
      <w:pPr>
        <w:spacing w:line="276" w:lineRule="auto"/>
        <w:ind w:firstLine="420" w:firstLineChars="200"/>
        <w:jc w:val="left"/>
        <w:rPr>
          <w:rFonts w:ascii="宋体" w:hAnsi="宋体"/>
          <w:color w:val="auto"/>
          <w:szCs w:val="21"/>
          <w:highlight w:val="none"/>
        </w:rPr>
      </w:pPr>
      <w:bookmarkStart w:id="818" w:name="_Toc221952042"/>
      <w:r>
        <w:rPr>
          <w:rFonts w:hint="eastAsia" w:ascii="宋体" w:hAnsi="宋体"/>
          <w:color w:val="auto"/>
          <w:szCs w:val="21"/>
          <w:highlight w:val="none"/>
        </w:rPr>
        <w:t>6</w:t>
      </w:r>
      <w:bookmarkEnd w:id="818"/>
      <w:r>
        <w:rPr>
          <w:rFonts w:hint="eastAsia" w:ascii="宋体" w:hAnsi="宋体"/>
          <w:color w:val="auto"/>
          <w:szCs w:val="21"/>
          <w:highlight w:val="none"/>
        </w:rPr>
        <w:t>.本协议书一式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pPr>
        <w:spacing w:line="400" w:lineRule="exact"/>
        <w:jc w:val="left"/>
        <w:rPr>
          <w:rFonts w:ascii="宋体" w:hAnsi="宋体"/>
          <w:color w:val="auto"/>
          <w:szCs w:val="21"/>
          <w:highlight w:val="none"/>
        </w:rPr>
      </w:pPr>
      <w:bookmarkStart w:id="819" w:name="_Toc221952044"/>
    </w:p>
    <w:p>
      <w:pPr>
        <w:spacing w:line="400" w:lineRule="exact"/>
        <w:jc w:val="left"/>
        <w:rPr>
          <w:rFonts w:ascii="宋体" w:hAnsi="宋体"/>
          <w:color w:val="auto"/>
          <w:szCs w:val="21"/>
          <w:highlight w:val="none"/>
        </w:rPr>
      </w:pPr>
    </w:p>
    <w:p>
      <w:pPr>
        <w:spacing w:line="400" w:lineRule="exact"/>
        <w:jc w:val="right"/>
        <w:rPr>
          <w:rFonts w:ascii="宋体" w:hAnsi="宋体"/>
          <w:color w:val="auto"/>
          <w:szCs w:val="21"/>
          <w:highlight w:val="none"/>
        </w:rPr>
      </w:pPr>
      <w:r>
        <w:rPr>
          <w:rFonts w:hint="eastAsia" w:ascii="宋体" w:hAnsi="宋体"/>
          <w:color w:val="auto"/>
          <w:szCs w:val="21"/>
          <w:highlight w:val="none"/>
        </w:rPr>
        <w:t xml:space="preserve"> 联合体牵头人名称：</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（盖单位章）</w:t>
      </w:r>
      <w:bookmarkEnd w:id="819"/>
    </w:p>
    <w:p>
      <w:pPr>
        <w:wordWrap w:val="0"/>
        <w:spacing w:line="400" w:lineRule="exact"/>
        <w:jc w:val="right"/>
        <w:rPr>
          <w:rFonts w:ascii="宋体" w:hAnsi="宋体"/>
          <w:color w:val="auto"/>
          <w:szCs w:val="21"/>
          <w:highlight w:val="none"/>
        </w:rPr>
      </w:pPr>
      <w:bookmarkStart w:id="820" w:name="_Toc221952045"/>
      <w:r>
        <w:rPr>
          <w:rFonts w:hint="eastAsia" w:ascii="宋体" w:hAnsi="宋体"/>
          <w:color w:val="auto"/>
          <w:szCs w:val="21"/>
          <w:highlight w:val="none"/>
        </w:rPr>
        <w:t>法定代表人或其委托代理人：</w:t>
      </w:r>
      <w:r>
        <w:rPr>
          <w:rFonts w:ascii="宋体" w:hAnsi="宋体"/>
          <w:color w:val="auto"/>
          <w:szCs w:val="21"/>
          <w:highlight w:val="none"/>
          <w:u w:val="single"/>
        </w:rPr>
        <w:tab/>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color w:val="auto"/>
          <w:szCs w:val="21"/>
          <w:highlight w:val="none"/>
        </w:rPr>
        <w:t>（</w:t>
      </w:r>
      <w:r>
        <w:rPr>
          <w:rFonts w:hint="eastAsia"/>
          <w:color w:val="auto"/>
          <w:szCs w:val="21"/>
          <w:highlight w:val="none"/>
        </w:rPr>
        <w:t>签字或盖章</w:t>
      </w:r>
      <w:r>
        <w:rPr>
          <w:color w:val="auto"/>
          <w:szCs w:val="21"/>
          <w:highlight w:val="none"/>
        </w:rPr>
        <w:t>）</w:t>
      </w:r>
      <w:bookmarkEnd w:id="820"/>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bookmarkStart w:id="821" w:name="_Toc221952046"/>
      <w:r>
        <w:rPr>
          <w:rFonts w:hint="eastAsia" w:hAnsi="宋体"/>
          <w:color w:val="auto"/>
          <w:highlight w:val="none"/>
        </w:rPr>
        <w:t xml:space="preserve"> 联合体成员名称</w:t>
      </w:r>
      <w:r>
        <w:rPr>
          <w:rFonts w:hint="eastAsia" w:ascii="宋体" w:hAnsi="宋体"/>
          <w:color w:val="auto"/>
          <w:szCs w:val="21"/>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hint="eastAsia" w:ascii="宋体" w:hAnsi="宋体"/>
          <w:color w:val="auto"/>
          <w:szCs w:val="21"/>
          <w:highlight w:val="none"/>
        </w:rPr>
        <w:t>（盖单位章）</w:t>
      </w:r>
      <w:bookmarkEnd w:id="821"/>
    </w:p>
    <w:p>
      <w:pPr>
        <w:spacing w:line="400" w:lineRule="exact"/>
        <w:jc w:val="right"/>
        <w:rPr>
          <w:rFonts w:ascii="宋体" w:hAnsi="宋体"/>
          <w:color w:val="auto"/>
          <w:szCs w:val="21"/>
          <w:highlight w:val="none"/>
        </w:rPr>
      </w:pPr>
      <w:bookmarkStart w:id="822" w:name="_Toc221952047"/>
      <w:r>
        <w:rPr>
          <w:rFonts w:hint="eastAsia" w:ascii="宋体" w:hAnsi="宋体"/>
          <w:color w:val="auto"/>
          <w:szCs w:val="21"/>
          <w:highlight w:val="none"/>
        </w:rPr>
        <w:t>法定代表人或其委托代理人：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color w:val="auto"/>
          <w:szCs w:val="21"/>
          <w:highlight w:val="none"/>
        </w:rPr>
        <w:t>（</w:t>
      </w:r>
      <w:r>
        <w:rPr>
          <w:rFonts w:hint="eastAsia"/>
          <w:color w:val="auto"/>
          <w:szCs w:val="21"/>
          <w:highlight w:val="none"/>
        </w:rPr>
        <w:t>签字或盖章</w:t>
      </w:r>
      <w:r>
        <w:rPr>
          <w:color w:val="auto"/>
          <w:szCs w:val="21"/>
          <w:highlight w:val="none"/>
        </w:rPr>
        <w:t>）</w:t>
      </w:r>
      <w:bookmarkEnd w:id="822"/>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p>
    <w:p>
      <w:pPr>
        <w:ind w:firstLine="5880" w:firstLineChars="2800"/>
        <w:rPr>
          <w:rFonts w:ascii="宋体"/>
          <w:color w:val="auto"/>
          <w:sz w:val="28"/>
          <w:szCs w:val="27"/>
          <w:highlight w:val="none"/>
        </w:rPr>
      </w:pPr>
      <w:r>
        <w:rPr>
          <w:rFonts w:hint="eastAsia" w:ascii="宋体" w:hAnsi="宋体"/>
          <w:color w:val="auto"/>
          <w:szCs w:val="21"/>
          <w:highlight w:val="none"/>
          <w:u w:val="single"/>
        </w:rPr>
        <w:t xml:space="preserve">         </w:t>
      </w:r>
      <w:bookmarkStart w:id="823" w:name="_Toc221952051"/>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823"/>
    </w:p>
    <w:p>
      <w:pPr>
        <w:rPr>
          <w:rFonts w:ascii="宋体"/>
          <w:color w:val="auto"/>
          <w:sz w:val="28"/>
          <w:szCs w:val="27"/>
          <w:highlight w:val="none"/>
        </w:rPr>
      </w:pPr>
    </w:p>
    <w:p>
      <w:pPr>
        <w:rPr>
          <w:rFonts w:ascii="宋体"/>
          <w:color w:val="auto"/>
          <w:sz w:val="28"/>
          <w:szCs w:val="27"/>
          <w:highlight w:val="none"/>
        </w:rPr>
      </w:pPr>
      <w:r>
        <w:rPr>
          <w:rFonts w:hint="eastAsia" w:ascii="宋体"/>
          <w:color w:val="auto"/>
          <w:sz w:val="28"/>
          <w:szCs w:val="27"/>
          <w:highlight w:val="none"/>
        </w:rPr>
        <w:br w:type="page"/>
      </w:r>
    </w:p>
    <w:p>
      <w:pPr>
        <w:spacing w:line="360" w:lineRule="auto"/>
        <w:jc w:val="center"/>
        <w:outlineLvl w:val="2"/>
        <w:rPr>
          <w:rFonts w:ascii="宋体"/>
          <w:color w:val="auto"/>
          <w:sz w:val="28"/>
          <w:szCs w:val="27"/>
          <w:highlight w:val="none"/>
        </w:rPr>
      </w:pPr>
      <w:r>
        <w:rPr>
          <w:rFonts w:hint="eastAsia" w:ascii="宋体"/>
          <w:color w:val="auto"/>
          <w:sz w:val="28"/>
          <w:szCs w:val="27"/>
          <w:highlight w:val="none"/>
        </w:rPr>
        <w:t>五</w:t>
      </w:r>
      <w:r>
        <w:rPr>
          <w:rFonts w:ascii="宋体"/>
          <w:color w:val="auto"/>
          <w:sz w:val="28"/>
          <w:szCs w:val="27"/>
          <w:highlight w:val="none"/>
        </w:rPr>
        <w:t>、投标保证金</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spacing w:line="400" w:lineRule="exact"/>
        <w:jc w:val="left"/>
        <w:rPr>
          <w:rFonts w:ascii="宋体"/>
          <w:color w:val="auto"/>
          <w:szCs w:val="21"/>
          <w:highlight w:val="none"/>
          <w:u w:val="single"/>
        </w:rPr>
      </w:pPr>
    </w:p>
    <w:p>
      <w:pPr>
        <w:spacing w:line="400" w:lineRule="exact"/>
        <w:jc w:val="left"/>
        <w:rPr>
          <w:rFonts w:ascii="宋体"/>
          <w:color w:val="auto"/>
          <w:szCs w:val="21"/>
          <w:highlight w:val="none"/>
        </w:rPr>
      </w:pPr>
      <w:r>
        <w:rPr>
          <w:rFonts w:ascii="宋体"/>
          <w:color w:val="auto"/>
          <w:szCs w:val="21"/>
          <w:highlight w:val="none"/>
          <w:u w:val="single"/>
        </w:rPr>
        <w:tab/>
      </w:r>
      <w:r>
        <w:rPr>
          <w:rFonts w:ascii="宋体"/>
          <w:color w:val="auto"/>
          <w:szCs w:val="21"/>
          <w:highlight w:val="none"/>
          <w:u w:val="single"/>
        </w:rPr>
        <w:tab/>
      </w:r>
      <w:bookmarkStart w:id="824" w:name="_Toc221952054"/>
      <w:r>
        <w:rPr>
          <w:rFonts w:ascii="宋体"/>
          <w:color w:val="auto"/>
          <w:szCs w:val="21"/>
          <w:highlight w:val="none"/>
        </w:rPr>
        <w:t>（</w:t>
      </w:r>
      <w:r>
        <w:rPr>
          <w:rFonts w:hint="eastAsia" w:ascii="宋体"/>
          <w:color w:val="auto"/>
          <w:szCs w:val="21"/>
          <w:highlight w:val="none"/>
        </w:rPr>
        <w:t>招标人名称</w:t>
      </w:r>
      <w:r>
        <w:rPr>
          <w:rFonts w:ascii="宋体"/>
          <w:color w:val="auto"/>
          <w:szCs w:val="21"/>
          <w:highlight w:val="none"/>
        </w:rPr>
        <w:t>）：</w:t>
      </w:r>
      <w:bookmarkEnd w:id="824"/>
    </w:p>
    <w:p>
      <w:pPr>
        <w:spacing w:line="400" w:lineRule="exact"/>
        <w:jc w:val="left"/>
        <w:rPr>
          <w:rFonts w:ascii="宋体"/>
          <w:color w:val="auto"/>
          <w:szCs w:val="21"/>
          <w:highlight w:val="none"/>
        </w:rPr>
      </w:pP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鉴于</w:t>
      </w:r>
      <w:r>
        <w:rPr>
          <w:rFonts w:hint="eastAsia" w:ascii="宋体"/>
          <w:color w:val="auto"/>
          <w:szCs w:val="21"/>
          <w:highlight w:val="none"/>
          <w:u w:val="single"/>
        </w:rPr>
        <w:t xml:space="preserve">       （投标人名称）</w:t>
      </w:r>
      <w:r>
        <w:rPr>
          <w:rFonts w:hint="eastAsia" w:ascii="宋体"/>
          <w:color w:val="auto"/>
          <w:szCs w:val="21"/>
          <w:highlight w:val="none"/>
        </w:rPr>
        <w:t>（以下称“投标人”）于年月日参加</w:t>
      </w:r>
      <w:r>
        <w:rPr>
          <w:rFonts w:hint="eastAsia" w:ascii="宋体"/>
          <w:color w:val="auto"/>
          <w:szCs w:val="21"/>
          <w:highlight w:val="none"/>
          <w:u w:val="single"/>
        </w:rPr>
        <w:t xml:space="preserve">         （项目名称）</w:t>
      </w:r>
      <w:r>
        <w:rPr>
          <w:rFonts w:hint="eastAsia" w:ascii="宋体"/>
          <w:color w:val="auto"/>
          <w:szCs w:val="21"/>
          <w:highlight w:val="none"/>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p>
    <w:p>
      <w:pPr>
        <w:spacing w:line="400" w:lineRule="exact"/>
        <w:ind w:firstLine="420" w:firstLineChars="200"/>
        <w:jc w:val="left"/>
        <w:rPr>
          <w:rFonts w:ascii="宋体"/>
          <w:color w:val="auto"/>
          <w:szCs w:val="21"/>
          <w:highlight w:val="none"/>
        </w:rPr>
      </w:pPr>
      <w:bookmarkStart w:id="825" w:name="_Toc221952056"/>
      <w:r>
        <w:rPr>
          <w:rFonts w:ascii="宋体"/>
          <w:color w:val="auto"/>
          <w:szCs w:val="21"/>
          <w:highlight w:val="none"/>
        </w:rPr>
        <w:t>本</w:t>
      </w:r>
      <w:r>
        <w:rPr>
          <w:rFonts w:hint="eastAsia" w:ascii="宋体"/>
          <w:color w:val="auto"/>
          <w:szCs w:val="21"/>
          <w:highlight w:val="none"/>
        </w:rPr>
        <w:t>担保</w:t>
      </w:r>
      <w:r>
        <w:rPr>
          <w:rFonts w:ascii="宋体"/>
          <w:color w:val="auto"/>
          <w:szCs w:val="21"/>
          <w:highlight w:val="none"/>
        </w:rPr>
        <w:t>在投标有效期内保持有效。要求</w:t>
      </w:r>
      <w:r>
        <w:rPr>
          <w:rFonts w:hint="eastAsia" w:ascii="宋体"/>
          <w:color w:val="auto"/>
          <w:szCs w:val="21"/>
          <w:highlight w:val="none"/>
        </w:rPr>
        <w:t>我方</w:t>
      </w:r>
      <w:r>
        <w:rPr>
          <w:rFonts w:ascii="宋体"/>
          <w:color w:val="auto"/>
          <w:szCs w:val="21"/>
          <w:highlight w:val="none"/>
        </w:rPr>
        <w:t>承担保证责任的</w:t>
      </w:r>
      <w:r>
        <w:rPr>
          <w:rFonts w:hint="eastAsia" w:ascii="宋体"/>
          <w:color w:val="auto"/>
          <w:szCs w:val="21"/>
          <w:highlight w:val="none"/>
        </w:rPr>
        <w:t>书面</w:t>
      </w:r>
      <w:r>
        <w:rPr>
          <w:rFonts w:ascii="宋体"/>
          <w:color w:val="auto"/>
          <w:szCs w:val="21"/>
          <w:highlight w:val="none"/>
        </w:rPr>
        <w:t>通知应在投标有效期内送达</w:t>
      </w:r>
      <w:r>
        <w:rPr>
          <w:rFonts w:hint="eastAsia" w:ascii="宋体"/>
          <w:color w:val="auto"/>
          <w:szCs w:val="21"/>
          <w:highlight w:val="none"/>
        </w:rPr>
        <w:t>我方</w:t>
      </w:r>
      <w:r>
        <w:rPr>
          <w:rFonts w:ascii="宋体"/>
          <w:color w:val="auto"/>
          <w:szCs w:val="21"/>
          <w:highlight w:val="none"/>
        </w:rPr>
        <w:t>。</w:t>
      </w:r>
      <w:bookmarkEnd w:id="825"/>
    </w:p>
    <w:p>
      <w:pPr>
        <w:spacing w:line="400" w:lineRule="exact"/>
        <w:jc w:val="left"/>
        <w:rPr>
          <w:rFonts w:ascii="宋体"/>
          <w:color w:val="auto"/>
          <w:szCs w:val="21"/>
          <w:highlight w:val="none"/>
        </w:rPr>
      </w:pPr>
    </w:p>
    <w:p>
      <w:pPr>
        <w:spacing w:line="400" w:lineRule="exact"/>
        <w:jc w:val="left"/>
        <w:rPr>
          <w:rFonts w:ascii="宋体"/>
          <w:color w:val="auto"/>
          <w:szCs w:val="21"/>
          <w:highlight w:val="none"/>
        </w:rPr>
      </w:pPr>
    </w:p>
    <w:p>
      <w:pPr>
        <w:spacing w:line="400" w:lineRule="exact"/>
        <w:jc w:val="left"/>
        <w:rPr>
          <w:rFonts w:ascii="宋体"/>
          <w:color w:val="auto"/>
          <w:szCs w:val="21"/>
          <w:highlight w:val="none"/>
        </w:rPr>
      </w:pPr>
    </w:p>
    <w:p>
      <w:pPr>
        <w:spacing w:line="400" w:lineRule="exact"/>
        <w:jc w:val="left"/>
        <w:rPr>
          <w:rFonts w:ascii="宋体"/>
          <w:color w:val="auto"/>
          <w:szCs w:val="21"/>
          <w:highlight w:val="none"/>
        </w:rPr>
      </w:pPr>
    </w:p>
    <w:p>
      <w:pPr>
        <w:spacing w:line="400" w:lineRule="exact"/>
        <w:ind w:firstLine="2158" w:firstLineChars="1028"/>
        <w:jc w:val="left"/>
        <w:rPr>
          <w:rFonts w:ascii="宋体"/>
          <w:color w:val="auto"/>
          <w:szCs w:val="21"/>
          <w:highlight w:val="none"/>
        </w:rPr>
      </w:pPr>
      <w:bookmarkStart w:id="826" w:name="_Toc221952057"/>
      <w:r>
        <w:rPr>
          <w:rFonts w:hint="eastAsia" w:ascii="宋体"/>
          <w:color w:val="auto"/>
          <w:szCs w:val="21"/>
          <w:highlight w:val="none"/>
        </w:rPr>
        <w:t>担保人</w:t>
      </w:r>
      <w:r>
        <w:rPr>
          <w:rFonts w:ascii="宋体"/>
          <w:color w:val="auto"/>
          <w:szCs w:val="21"/>
          <w:highlight w:val="none"/>
        </w:rPr>
        <w:t>：（盖单位章）</w:t>
      </w:r>
      <w:bookmarkEnd w:id="826"/>
    </w:p>
    <w:p>
      <w:pPr>
        <w:spacing w:line="400" w:lineRule="exact"/>
        <w:ind w:firstLine="2158" w:firstLineChars="1028"/>
        <w:jc w:val="left"/>
        <w:rPr>
          <w:rFonts w:ascii="宋体"/>
          <w:color w:val="auto"/>
          <w:szCs w:val="21"/>
          <w:highlight w:val="none"/>
        </w:rPr>
      </w:pPr>
      <w:bookmarkStart w:id="827" w:name="_Toc221952058"/>
      <w:r>
        <w:rPr>
          <w:rFonts w:ascii="宋体"/>
          <w:color w:val="auto"/>
          <w:szCs w:val="21"/>
          <w:highlight w:val="none"/>
        </w:rPr>
        <w:t>法定代表人或</w:t>
      </w:r>
      <w:r>
        <w:rPr>
          <w:rFonts w:hint="eastAsia" w:ascii="宋体"/>
          <w:color w:val="auto"/>
          <w:szCs w:val="21"/>
          <w:highlight w:val="none"/>
        </w:rPr>
        <w:t>其委托代理</w:t>
      </w:r>
      <w:r>
        <w:rPr>
          <w:rFonts w:ascii="宋体"/>
          <w:color w:val="auto"/>
          <w:szCs w:val="21"/>
          <w:highlight w:val="none"/>
        </w:rPr>
        <w:t>人：（</w:t>
      </w:r>
      <w:r>
        <w:rPr>
          <w:rFonts w:hint="eastAsia" w:ascii="宋体"/>
          <w:color w:val="auto"/>
          <w:szCs w:val="21"/>
          <w:highlight w:val="none"/>
        </w:rPr>
        <w:t>签字</w:t>
      </w:r>
      <w:r>
        <w:rPr>
          <w:rFonts w:ascii="宋体"/>
          <w:color w:val="auto"/>
          <w:szCs w:val="21"/>
          <w:highlight w:val="none"/>
        </w:rPr>
        <w:t>）</w:t>
      </w:r>
      <w:bookmarkEnd w:id="827"/>
    </w:p>
    <w:p>
      <w:pPr>
        <w:spacing w:line="400" w:lineRule="exact"/>
        <w:ind w:firstLine="2158" w:firstLineChars="1028"/>
        <w:jc w:val="left"/>
        <w:rPr>
          <w:rFonts w:ascii="宋体"/>
          <w:color w:val="auto"/>
          <w:szCs w:val="21"/>
          <w:highlight w:val="none"/>
        </w:rPr>
      </w:pPr>
      <w:bookmarkStart w:id="828" w:name="_Toc221952059"/>
      <w:r>
        <w:rPr>
          <w:rFonts w:ascii="宋体"/>
          <w:color w:val="auto"/>
          <w:szCs w:val="21"/>
          <w:highlight w:val="none"/>
        </w:rPr>
        <w:t>地    址：</w:t>
      </w:r>
      <w:bookmarkEnd w:id="828"/>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p>
    <w:p>
      <w:pPr>
        <w:spacing w:line="400" w:lineRule="exact"/>
        <w:ind w:firstLine="2158" w:firstLineChars="1028"/>
        <w:jc w:val="left"/>
        <w:rPr>
          <w:rFonts w:ascii="宋体"/>
          <w:color w:val="auto"/>
          <w:szCs w:val="21"/>
          <w:highlight w:val="none"/>
          <w:u w:val="single"/>
        </w:rPr>
      </w:pPr>
      <w:bookmarkStart w:id="829" w:name="_Toc221952060"/>
      <w:r>
        <w:rPr>
          <w:rFonts w:ascii="宋体"/>
          <w:color w:val="auto"/>
          <w:szCs w:val="21"/>
          <w:highlight w:val="none"/>
        </w:rPr>
        <w:t>邮政编码：</w:t>
      </w:r>
      <w:bookmarkEnd w:id="829"/>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r>
        <w:rPr>
          <w:rFonts w:ascii="宋体"/>
          <w:color w:val="auto"/>
          <w:szCs w:val="21"/>
          <w:highlight w:val="none"/>
          <w:u w:val="single"/>
        </w:rPr>
        <w:tab/>
      </w:r>
    </w:p>
    <w:p>
      <w:pPr>
        <w:spacing w:line="400" w:lineRule="exact"/>
        <w:ind w:firstLine="2158" w:firstLineChars="1028"/>
        <w:jc w:val="left"/>
        <w:rPr>
          <w:rFonts w:ascii="宋体"/>
          <w:color w:val="auto"/>
          <w:szCs w:val="21"/>
          <w:highlight w:val="none"/>
        </w:rPr>
      </w:pPr>
      <w:bookmarkStart w:id="830" w:name="_Toc221952061"/>
      <w:r>
        <w:rPr>
          <w:rFonts w:ascii="宋体"/>
          <w:color w:val="auto"/>
          <w:szCs w:val="21"/>
          <w:highlight w:val="none"/>
        </w:rPr>
        <w:t>电    话：</w:t>
      </w:r>
      <w:bookmarkEnd w:id="830"/>
    </w:p>
    <w:p>
      <w:pPr>
        <w:spacing w:line="400" w:lineRule="exact"/>
        <w:ind w:firstLine="3313" w:firstLineChars="1578"/>
        <w:jc w:val="center"/>
        <w:rPr>
          <w:rFonts w:ascii="宋体"/>
          <w:color w:val="auto"/>
          <w:szCs w:val="21"/>
          <w:highlight w:val="none"/>
        </w:rPr>
      </w:pPr>
      <w:bookmarkStart w:id="831" w:name="_Toc221952062"/>
      <w:r>
        <w:rPr>
          <w:rFonts w:hint="eastAsia" w:ascii="宋体"/>
          <w:color w:val="auto"/>
          <w:szCs w:val="21"/>
          <w:highlight w:val="none"/>
        </w:rPr>
        <w:t>______</w:t>
      </w:r>
      <w:r>
        <w:rPr>
          <w:rFonts w:ascii="宋体"/>
          <w:color w:val="auto"/>
          <w:szCs w:val="21"/>
          <w:highlight w:val="none"/>
        </w:rPr>
        <w:t>年月日</w:t>
      </w:r>
      <w:bookmarkEnd w:id="831"/>
    </w:p>
    <w:p>
      <w:pPr>
        <w:spacing w:line="400" w:lineRule="exact"/>
        <w:jc w:val="left"/>
        <w:rPr>
          <w:rFonts w:ascii="宋体"/>
          <w:color w:val="auto"/>
          <w:szCs w:val="21"/>
          <w:highlight w:val="none"/>
        </w:rPr>
      </w:pPr>
    </w:p>
    <w:p>
      <w:pPr>
        <w:spacing w:line="400" w:lineRule="exact"/>
        <w:jc w:val="left"/>
        <w:rPr>
          <w:rFonts w:ascii="宋体"/>
          <w:color w:val="auto"/>
          <w:szCs w:val="21"/>
          <w:highlight w:val="none"/>
        </w:rPr>
      </w:pPr>
    </w:p>
    <w:p>
      <w:pPr>
        <w:spacing w:line="400" w:lineRule="exact"/>
        <w:jc w:val="left"/>
        <w:rPr>
          <w:rFonts w:ascii="宋体"/>
          <w:color w:val="auto"/>
          <w:szCs w:val="21"/>
          <w:highlight w:val="none"/>
        </w:rPr>
      </w:pPr>
      <w:r>
        <w:rPr>
          <w:rFonts w:hint="eastAsia" w:ascii="宋体"/>
          <w:color w:val="auto"/>
          <w:szCs w:val="21"/>
          <w:highlight w:val="none"/>
        </w:rPr>
        <w:t>注1：投标保证金采取交易中心代收的，已开标记录表记录的结果为准。</w:t>
      </w:r>
    </w:p>
    <w:p>
      <w:pPr>
        <w:spacing w:line="400" w:lineRule="exact"/>
        <w:jc w:val="left"/>
        <w:rPr>
          <w:rFonts w:ascii="宋体"/>
          <w:color w:val="auto"/>
          <w:szCs w:val="21"/>
          <w:highlight w:val="none"/>
        </w:rPr>
      </w:pPr>
      <w:r>
        <w:rPr>
          <w:rFonts w:hint="eastAsia" w:ascii="宋体"/>
          <w:color w:val="auto"/>
          <w:szCs w:val="21"/>
          <w:highlight w:val="none"/>
        </w:rPr>
        <w:t>2：采取保函的，应采用上述格式或银行</w:t>
      </w:r>
      <w:r>
        <w:rPr>
          <w:rFonts w:hint="eastAsia" w:ascii="宋体" w:hAnsi="宋体"/>
          <w:color w:val="auto"/>
          <w:szCs w:val="21"/>
          <w:highlight w:val="none"/>
          <w:u w:val="single"/>
        </w:rPr>
        <w:t>或担保机构</w:t>
      </w:r>
      <w:r>
        <w:rPr>
          <w:rFonts w:hint="eastAsia" w:ascii="宋体"/>
          <w:color w:val="auto"/>
          <w:szCs w:val="21"/>
          <w:highlight w:val="none"/>
        </w:rPr>
        <w:t>的格式。</w:t>
      </w:r>
    </w:p>
    <w:p>
      <w:pPr>
        <w:spacing w:line="400" w:lineRule="exact"/>
        <w:jc w:val="left"/>
        <w:rPr>
          <w:rFonts w:ascii="宋体"/>
          <w:color w:val="auto"/>
          <w:sz w:val="20"/>
          <w:szCs w:val="20"/>
          <w:highlight w:val="none"/>
        </w:rPr>
      </w:pPr>
      <w:r>
        <w:rPr>
          <w:rFonts w:hint="eastAsia" w:ascii="宋体"/>
          <w:color w:val="auto"/>
          <w:szCs w:val="21"/>
          <w:highlight w:val="none"/>
        </w:rPr>
        <w:t>注2：委托代理人应附授权委托书。</w:t>
      </w:r>
      <w:r>
        <w:rPr>
          <w:rFonts w:ascii="宋体"/>
          <w:color w:val="auto"/>
          <w:szCs w:val="21"/>
          <w:highlight w:val="none"/>
        </w:rPr>
        <w:br w:type="page"/>
      </w:r>
      <w:bookmarkStart w:id="832" w:name="_Toc168475922"/>
      <w:bookmarkStart w:id="833" w:name="_Toc222031067"/>
      <w:bookmarkStart w:id="834" w:name="_Toc222029565"/>
      <w:bookmarkStart w:id="835" w:name="_Toc221952063"/>
      <w:bookmarkStart w:id="836" w:name="_Toc144974863"/>
      <w:bookmarkStart w:id="837" w:name="_Toc168476325"/>
    </w:p>
    <w:p>
      <w:pPr>
        <w:spacing w:line="360" w:lineRule="auto"/>
        <w:jc w:val="center"/>
        <w:outlineLvl w:val="2"/>
        <w:rPr>
          <w:rFonts w:ascii="宋体"/>
          <w:color w:val="auto"/>
          <w:sz w:val="28"/>
          <w:szCs w:val="27"/>
          <w:highlight w:val="none"/>
        </w:rPr>
      </w:pPr>
      <w:bookmarkStart w:id="838" w:name="_Toc17454905"/>
      <w:bookmarkStart w:id="839" w:name="_Toc17451135"/>
      <w:bookmarkStart w:id="840" w:name="_Toc658"/>
      <w:bookmarkStart w:id="841" w:name="_Toc17454956"/>
      <w:bookmarkStart w:id="842" w:name="_Toc222033916"/>
      <w:bookmarkStart w:id="843" w:name="_Toc17451657"/>
      <w:bookmarkStart w:id="844" w:name="_Toc222032734"/>
      <w:bookmarkStart w:id="845" w:name="_Toc14970"/>
      <w:bookmarkStart w:id="846" w:name="_Toc75788620"/>
      <w:bookmarkStart w:id="847" w:name="_Toc229305425"/>
      <w:bookmarkStart w:id="848" w:name="_Toc17556910"/>
      <w:bookmarkStart w:id="849" w:name="_Toc17451612"/>
      <w:bookmarkStart w:id="850" w:name="_Toc259524419"/>
      <w:bookmarkStart w:id="851" w:name="_Toc17452698"/>
      <w:r>
        <w:rPr>
          <w:rFonts w:hint="eastAsia" w:ascii="宋体"/>
          <w:color w:val="auto"/>
          <w:sz w:val="28"/>
          <w:szCs w:val="27"/>
          <w:highlight w:val="none"/>
        </w:rPr>
        <w:t>六</w:t>
      </w:r>
      <w:r>
        <w:rPr>
          <w:rFonts w:ascii="宋体"/>
          <w:color w:val="auto"/>
          <w:sz w:val="28"/>
          <w:szCs w:val="27"/>
          <w:highlight w:val="none"/>
        </w:rPr>
        <w:t>、已标价工程量清单</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spacing w:line="360" w:lineRule="auto"/>
        <w:jc w:val="center"/>
        <w:outlineLvl w:val="2"/>
        <w:rPr>
          <w:rFonts w:ascii="宋体"/>
          <w:color w:val="auto"/>
          <w:szCs w:val="21"/>
          <w:highlight w:val="none"/>
        </w:rPr>
      </w:pPr>
    </w:p>
    <w:p>
      <w:pPr>
        <w:spacing w:line="360" w:lineRule="auto"/>
        <w:rPr>
          <w:rFonts w:ascii="宋体"/>
          <w:color w:val="auto"/>
          <w:sz w:val="28"/>
          <w:szCs w:val="27"/>
          <w:highlight w:val="none"/>
        </w:rPr>
      </w:pPr>
    </w:p>
    <w:p>
      <w:pPr>
        <w:widowControl/>
        <w:jc w:val="left"/>
        <w:rPr>
          <w:rFonts w:ascii="宋体"/>
          <w:color w:val="auto"/>
          <w:sz w:val="28"/>
          <w:szCs w:val="27"/>
          <w:highlight w:val="none"/>
        </w:rPr>
      </w:pPr>
      <w:r>
        <w:rPr>
          <w:rFonts w:ascii="宋体"/>
          <w:color w:val="auto"/>
          <w:sz w:val="28"/>
          <w:szCs w:val="27"/>
          <w:highlight w:val="none"/>
        </w:rPr>
        <w:br w:type="page"/>
      </w:r>
    </w:p>
    <w:p>
      <w:pPr>
        <w:spacing w:line="360" w:lineRule="auto"/>
        <w:jc w:val="center"/>
        <w:outlineLvl w:val="2"/>
        <w:rPr>
          <w:rFonts w:ascii="宋体"/>
          <w:color w:val="auto"/>
          <w:sz w:val="28"/>
          <w:szCs w:val="27"/>
          <w:highlight w:val="none"/>
        </w:rPr>
      </w:pPr>
      <w:bookmarkStart w:id="852" w:name="_Toc17556912"/>
      <w:bookmarkStart w:id="853" w:name="_Toc222029566"/>
      <w:bookmarkStart w:id="854" w:name="_Toc17451659"/>
      <w:bookmarkStart w:id="855" w:name="_Toc222033917"/>
      <w:bookmarkStart w:id="856" w:name="_Toc229305426"/>
      <w:bookmarkStart w:id="857" w:name="_Toc17454907"/>
      <w:bookmarkStart w:id="858" w:name="_Toc144974864"/>
      <w:bookmarkStart w:id="859" w:name="_Toc221952064"/>
      <w:bookmarkStart w:id="860" w:name="_Toc17451614"/>
      <w:bookmarkStart w:id="861" w:name="_Toc259524420"/>
      <w:bookmarkStart w:id="862" w:name="_Toc5122"/>
      <w:bookmarkStart w:id="863" w:name="_Toc75788622"/>
      <w:bookmarkStart w:id="864" w:name="_Toc222032735"/>
      <w:bookmarkStart w:id="865" w:name="_Toc17454958"/>
      <w:bookmarkStart w:id="866" w:name="_Toc17452700"/>
      <w:bookmarkStart w:id="867" w:name="_Toc21190"/>
      <w:bookmarkStart w:id="868" w:name="_Toc168476326"/>
      <w:bookmarkStart w:id="869" w:name="_Toc17451137"/>
      <w:bookmarkStart w:id="870" w:name="_Toc168475923"/>
      <w:bookmarkStart w:id="871" w:name="_Toc222031068"/>
      <w:r>
        <w:rPr>
          <w:rFonts w:hint="eastAsia" w:ascii="宋体"/>
          <w:color w:val="auto"/>
          <w:sz w:val="28"/>
          <w:szCs w:val="27"/>
          <w:highlight w:val="none"/>
        </w:rPr>
        <w:t>七</w:t>
      </w:r>
      <w:r>
        <w:rPr>
          <w:rFonts w:ascii="宋体"/>
          <w:color w:val="auto"/>
          <w:sz w:val="28"/>
          <w:szCs w:val="27"/>
          <w:highlight w:val="none"/>
        </w:rPr>
        <w:t>、施工组织设计</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spacing w:line="400" w:lineRule="exact"/>
        <w:ind w:firstLine="420" w:firstLineChars="200"/>
        <w:rPr>
          <w:rFonts w:ascii="宋体"/>
          <w:color w:val="auto"/>
          <w:szCs w:val="21"/>
          <w:highlight w:val="none"/>
        </w:rPr>
      </w:pPr>
      <w:r>
        <w:rPr>
          <w:rFonts w:hint="eastAsia" w:ascii="宋体"/>
          <w:color w:val="auto"/>
          <w:szCs w:val="21"/>
          <w:highlight w:val="none"/>
        </w:rPr>
        <w:t xml:space="preserve">1. </w:t>
      </w:r>
      <w:r>
        <w:rPr>
          <w:rFonts w:hint="eastAsia" w:ascii="宋体"/>
          <w:color w:val="auto"/>
          <w:szCs w:val="21"/>
          <w:highlight w:val="none"/>
        </w:rPr>
        <w:tab/>
      </w:r>
      <w:r>
        <w:rPr>
          <w:rFonts w:hint="eastAsia" w:ascii="宋体"/>
          <w:color w:val="auto"/>
          <w:szCs w:val="21"/>
          <w:highlight w:val="none"/>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color w:val="auto"/>
          <w:szCs w:val="21"/>
          <w:highlight w:val="none"/>
        </w:rPr>
      </w:pPr>
      <w:r>
        <w:rPr>
          <w:rFonts w:hint="eastAsia" w:ascii="宋体"/>
          <w:color w:val="auto"/>
          <w:szCs w:val="21"/>
          <w:highlight w:val="none"/>
        </w:rPr>
        <w:t>2. 图表及格式要求：</w:t>
      </w: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附表一  拟投入本标段的主要施工设备表</w:t>
      </w: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附表二  拟投入本标段的试验和检测仪器设备表</w:t>
      </w: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附表三  拟投入本标段的劳动力计划表</w:t>
      </w: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附表四  计划开工日期、完工日期和施工进度网络图</w:t>
      </w:r>
    </w:p>
    <w:p>
      <w:pPr>
        <w:spacing w:line="400" w:lineRule="exact"/>
        <w:ind w:firstLine="420" w:firstLineChars="200"/>
        <w:jc w:val="left"/>
        <w:rPr>
          <w:rFonts w:ascii="宋体"/>
          <w:color w:val="auto"/>
          <w:szCs w:val="21"/>
          <w:highlight w:val="none"/>
        </w:rPr>
      </w:pPr>
      <w:r>
        <w:rPr>
          <w:rFonts w:hint="eastAsia" w:ascii="宋体"/>
          <w:color w:val="auto"/>
          <w:szCs w:val="21"/>
          <w:highlight w:val="none"/>
        </w:rPr>
        <w:t xml:space="preserve">附表五  施工总平面图                                                           </w:t>
      </w:r>
    </w:p>
    <w:p>
      <w:pPr>
        <w:spacing w:line="400" w:lineRule="exact"/>
        <w:ind w:firstLine="420" w:firstLineChars="200"/>
        <w:jc w:val="left"/>
        <w:rPr>
          <w:rFonts w:ascii="宋体"/>
          <w:color w:val="auto"/>
          <w:sz w:val="19"/>
          <w:szCs w:val="19"/>
          <w:highlight w:val="none"/>
        </w:rPr>
      </w:pPr>
      <w:r>
        <w:rPr>
          <w:rFonts w:hint="eastAsia" w:ascii="宋体"/>
          <w:color w:val="auto"/>
          <w:szCs w:val="21"/>
          <w:highlight w:val="none"/>
        </w:rPr>
        <w:t>附表六  临时用地表</w:t>
      </w:r>
      <w:r>
        <w:rPr>
          <w:rFonts w:ascii="宋体"/>
          <w:color w:val="auto"/>
          <w:sz w:val="19"/>
          <w:szCs w:val="19"/>
          <w:highlight w:val="none"/>
        </w:rPr>
        <w:br w:type="page"/>
      </w:r>
    </w:p>
    <w:p>
      <w:pPr>
        <w:spacing w:line="400" w:lineRule="exact"/>
        <w:jc w:val="center"/>
        <w:outlineLvl w:val="3"/>
        <w:rPr>
          <w:rFonts w:ascii="宋体"/>
          <w:b/>
          <w:color w:val="auto"/>
          <w:sz w:val="24"/>
          <w:szCs w:val="31"/>
          <w:highlight w:val="none"/>
        </w:rPr>
      </w:pPr>
      <w:bookmarkStart w:id="872" w:name="_Toc168475924"/>
      <w:bookmarkStart w:id="873" w:name="_Toc168476327"/>
      <w:bookmarkStart w:id="874" w:name="_Toc144974865"/>
      <w:bookmarkStart w:id="875" w:name="_Toc221952073"/>
      <w:r>
        <w:rPr>
          <w:rFonts w:ascii="宋体"/>
          <w:b/>
          <w:color w:val="auto"/>
          <w:sz w:val="24"/>
          <w:szCs w:val="31"/>
          <w:highlight w:val="none"/>
        </w:rPr>
        <w:t>附表一：拟投入本标段的主要施工设备表</w:t>
      </w:r>
      <w:bookmarkEnd w:id="872"/>
      <w:bookmarkEnd w:id="873"/>
      <w:bookmarkEnd w:id="874"/>
      <w:bookmarkEnd w:id="875"/>
    </w:p>
    <w:p>
      <w:pPr>
        <w:spacing w:line="400" w:lineRule="exact"/>
        <w:rPr>
          <w:rFonts w:ascii="宋体"/>
          <w:color w:val="auto"/>
          <w:sz w:val="19"/>
          <w:szCs w:val="19"/>
          <w:highlight w:val="none"/>
        </w:rPr>
      </w:pP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59"/>
        <w:gridCol w:w="742"/>
        <w:gridCol w:w="965"/>
        <w:gridCol w:w="655"/>
        <w:gridCol w:w="720"/>
        <w:gridCol w:w="1182"/>
        <w:gridCol w:w="853"/>
        <w:gridCol w:w="102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bookmarkStart w:id="876" w:name="_Toc221952074"/>
            <w:r>
              <w:rPr>
                <w:rFonts w:ascii="宋体"/>
                <w:color w:val="auto"/>
                <w:szCs w:val="21"/>
                <w:highlight w:val="none"/>
              </w:rPr>
              <w:t>序号</w:t>
            </w:r>
            <w:bookmarkEnd w:id="876"/>
          </w:p>
        </w:tc>
        <w:tc>
          <w:tcPr>
            <w:tcW w:w="1059" w:type="dxa"/>
          </w:tcPr>
          <w:p>
            <w:pPr>
              <w:spacing w:line="400" w:lineRule="exact"/>
              <w:jc w:val="center"/>
              <w:rPr>
                <w:rFonts w:ascii="宋体"/>
                <w:color w:val="auto"/>
                <w:szCs w:val="21"/>
                <w:highlight w:val="none"/>
              </w:rPr>
            </w:pPr>
            <w:bookmarkStart w:id="877" w:name="_Toc221952075"/>
            <w:r>
              <w:rPr>
                <w:rFonts w:ascii="宋体"/>
                <w:color w:val="auto"/>
                <w:szCs w:val="21"/>
                <w:highlight w:val="none"/>
              </w:rPr>
              <w:t>设备名称</w:t>
            </w:r>
            <w:bookmarkEnd w:id="877"/>
          </w:p>
        </w:tc>
        <w:tc>
          <w:tcPr>
            <w:tcW w:w="742" w:type="dxa"/>
          </w:tcPr>
          <w:p>
            <w:pPr>
              <w:spacing w:line="400" w:lineRule="exact"/>
              <w:jc w:val="center"/>
              <w:rPr>
                <w:rFonts w:ascii="宋体"/>
                <w:color w:val="auto"/>
                <w:szCs w:val="21"/>
                <w:highlight w:val="none"/>
              </w:rPr>
            </w:pPr>
            <w:bookmarkStart w:id="878" w:name="_Toc221952076"/>
            <w:r>
              <w:rPr>
                <w:rFonts w:ascii="宋体"/>
                <w:color w:val="auto"/>
                <w:szCs w:val="21"/>
                <w:highlight w:val="none"/>
              </w:rPr>
              <w:t>型号</w:t>
            </w:r>
            <w:bookmarkEnd w:id="878"/>
          </w:p>
          <w:p>
            <w:pPr>
              <w:spacing w:line="400" w:lineRule="exact"/>
              <w:jc w:val="center"/>
              <w:rPr>
                <w:rFonts w:ascii="宋体"/>
                <w:color w:val="auto"/>
                <w:szCs w:val="21"/>
                <w:highlight w:val="none"/>
              </w:rPr>
            </w:pPr>
            <w:bookmarkStart w:id="879" w:name="_Toc221952077"/>
            <w:r>
              <w:rPr>
                <w:rFonts w:ascii="宋体"/>
                <w:color w:val="auto"/>
                <w:szCs w:val="21"/>
                <w:highlight w:val="none"/>
              </w:rPr>
              <w:t>规格</w:t>
            </w:r>
            <w:bookmarkEnd w:id="879"/>
          </w:p>
        </w:tc>
        <w:tc>
          <w:tcPr>
            <w:tcW w:w="965" w:type="dxa"/>
          </w:tcPr>
          <w:p>
            <w:pPr>
              <w:spacing w:line="400" w:lineRule="exact"/>
              <w:jc w:val="center"/>
              <w:rPr>
                <w:rFonts w:ascii="宋体"/>
                <w:color w:val="auto"/>
                <w:szCs w:val="21"/>
                <w:highlight w:val="none"/>
              </w:rPr>
            </w:pPr>
            <w:bookmarkStart w:id="880" w:name="_Toc221952078"/>
            <w:r>
              <w:rPr>
                <w:rFonts w:ascii="宋体"/>
                <w:color w:val="auto"/>
                <w:szCs w:val="21"/>
                <w:highlight w:val="none"/>
              </w:rPr>
              <w:t>数量</w:t>
            </w:r>
            <w:bookmarkEnd w:id="880"/>
          </w:p>
        </w:tc>
        <w:tc>
          <w:tcPr>
            <w:tcW w:w="655" w:type="dxa"/>
          </w:tcPr>
          <w:p>
            <w:pPr>
              <w:spacing w:line="400" w:lineRule="exact"/>
              <w:jc w:val="center"/>
              <w:rPr>
                <w:rFonts w:ascii="宋体"/>
                <w:color w:val="auto"/>
                <w:szCs w:val="21"/>
                <w:highlight w:val="none"/>
              </w:rPr>
            </w:pPr>
            <w:bookmarkStart w:id="881" w:name="_Toc221952079"/>
            <w:r>
              <w:rPr>
                <w:rFonts w:ascii="宋体"/>
                <w:color w:val="auto"/>
                <w:szCs w:val="21"/>
                <w:highlight w:val="none"/>
              </w:rPr>
              <w:t>国别</w:t>
            </w:r>
            <w:bookmarkEnd w:id="881"/>
          </w:p>
          <w:p>
            <w:pPr>
              <w:spacing w:line="400" w:lineRule="exact"/>
              <w:jc w:val="center"/>
              <w:rPr>
                <w:rFonts w:ascii="宋体"/>
                <w:color w:val="auto"/>
                <w:szCs w:val="21"/>
                <w:highlight w:val="none"/>
              </w:rPr>
            </w:pPr>
            <w:bookmarkStart w:id="882" w:name="_Toc221952080"/>
            <w:r>
              <w:rPr>
                <w:rFonts w:ascii="宋体"/>
                <w:color w:val="auto"/>
                <w:szCs w:val="21"/>
                <w:highlight w:val="none"/>
              </w:rPr>
              <w:t>产地</w:t>
            </w:r>
            <w:bookmarkEnd w:id="882"/>
          </w:p>
        </w:tc>
        <w:tc>
          <w:tcPr>
            <w:tcW w:w="720" w:type="dxa"/>
          </w:tcPr>
          <w:p>
            <w:pPr>
              <w:spacing w:line="400" w:lineRule="exact"/>
              <w:jc w:val="center"/>
              <w:rPr>
                <w:rFonts w:ascii="宋体"/>
                <w:color w:val="auto"/>
                <w:szCs w:val="21"/>
                <w:highlight w:val="none"/>
              </w:rPr>
            </w:pPr>
            <w:bookmarkStart w:id="883" w:name="_Toc221952081"/>
            <w:r>
              <w:rPr>
                <w:rFonts w:ascii="宋体"/>
                <w:color w:val="auto"/>
                <w:szCs w:val="21"/>
                <w:highlight w:val="none"/>
              </w:rPr>
              <w:t>制造</w:t>
            </w:r>
            <w:bookmarkEnd w:id="883"/>
          </w:p>
          <w:p>
            <w:pPr>
              <w:spacing w:line="400" w:lineRule="exact"/>
              <w:jc w:val="center"/>
              <w:rPr>
                <w:rFonts w:ascii="宋体"/>
                <w:color w:val="auto"/>
                <w:szCs w:val="21"/>
                <w:highlight w:val="none"/>
              </w:rPr>
            </w:pPr>
            <w:bookmarkStart w:id="884" w:name="_Toc221952082"/>
            <w:r>
              <w:rPr>
                <w:rFonts w:ascii="宋体"/>
                <w:color w:val="auto"/>
                <w:szCs w:val="21"/>
                <w:highlight w:val="none"/>
              </w:rPr>
              <w:t>年份</w:t>
            </w:r>
            <w:bookmarkEnd w:id="884"/>
          </w:p>
        </w:tc>
        <w:tc>
          <w:tcPr>
            <w:tcW w:w="1182" w:type="dxa"/>
          </w:tcPr>
          <w:p>
            <w:pPr>
              <w:spacing w:line="400" w:lineRule="exact"/>
              <w:jc w:val="center"/>
              <w:rPr>
                <w:rFonts w:ascii="宋体"/>
                <w:color w:val="auto"/>
                <w:szCs w:val="21"/>
                <w:highlight w:val="none"/>
              </w:rPr>
            </w:pPr>
            <w:bookmarkStart w:id="885" w:name="_Toc221952083"/>
            <w:r>
              <w:rPr>
                <w:rFonts w:ascii="宋体"/>
                <w:color w:val="auto"/>
                <w:szCs w:val="21"/>
                <w:highlight w:val="none"/>
              </w:rPr>
              <w:t>额定功率（</w:t>
            </w:r>
            <w:r>
              <w:rPr>
                <w:rFonts w:hint="eastAsia" w:ascii="宋体"/>
                <w:color w:val="auto"/>
                <w:szCs w:val="21"/>
                <w:highlight w:val="none"/>
              </w:rPr>
              <w:t>K</w:t>
            </w:r>
            <w:r>
              <w:rPr>
                <w:rFonts w:ascii="宋体"/>
                <w:color w:val="auto"/>
                <w:szCs w:val="21"/>
                <w:highlight w:val="none"/>
              </w:rPr>
              <w:t>W）</w:t>
            </w:r>
            <w:bookmarkEnd w:id="885"/>
          </w:p>
        </w:tc>
        <w:tc>
          <w:tcPr>
            <w:tcW w:w="853" w:type="dxa"/>
          </w:tcPr>
          <w:p>
            <w:pPr>
              <w:spacing w:line="400" w:lineRule="exact"/>
              <w:jc w:val="center"/>
              <w:rPr>
                <w:rFonts w:ascii="宋体"/>
                <w:color w:val="auto"/>
                <w:szCs w:val="21"/>
                <w:highlight w:val="none"/>
              </w:rPr>
            </w:pPr>
            <w:bookmarkStart w:id="886" w:name="_Toc221952084"/>
            <w:r>
              <w:rPr>
                <w:rFonts w:ascii="宋体"/>
                <w:color w:val="auto"/>
                <w:szCs w:val="21"/>
                <w:highlight w:val="none"/>
              </w:rPr>
              <w:t>生产</w:t>
            </w:r>
            <w:bookmarkEnd w:id="886"/>
          </w:p>
          <w:p>
            <w:pPr>
              <w:spacing w:line="400" w:lineRule="exact"/>
              <w:jc w:val="center"/>
              <w:rPr>
                <w:rFonts w:ascii="宋体"/>
                <w:color w:val="auto"/>
                <w:szCs w:val="21"/>
                <w:highlight w:val="none"/>
              </w:rPr>
            </w:pPr>
            <w:bookmarkStart w:id="887" w:name="_Toc221952085"/>
            <w:r>
              <w:rPr>
                <w:rFonts w:ascii="宋体"/>
                <w:color w:val="auto"/>
                <w:szCs w:val="21"/>
                <w:highlight w:val="none"/>
              </w:rPr>
              <w:t>能力</w:t>
            </w:r>
            <w:bookmarkEnd w:id="887"/>
          </w:p>
        </w:tc>
        <w:tc>
          <w:tcPr>
            <w:tcW w:w="1028" w:type="dxa"/>
          </w:tcPr>
          <w:p>
            <w:pPr>
              <w:spacing w:line="400" w:lineRule="exact"/>
              <w:jc w:val="center"/>
              <w:rPr>
                <w:rFonts w:ascii="宋体"/>
                <w:color w:val="auto"/>
                <w:szCs w:val="21"/>
                <w:highlight w:val="none"/>
              </w:rPr>
            </w:pPr>
            <w:bookmarkStart w:id="888" w:name="_Toc221952086"/>
            <w:r>
              <w:rPr>
                <w:rFonts w:ascii="宋体"/>
                <w:color w:val="auto"/>
                <w:szCs w:val="21"/>
                <w:highlight w:val="none"/>
              </w:rPr>
              <w:t>用于施工部位</w:t>
            </w:r>
            <w:bookmarkEnd w:id="888"/>
          </w:p>
        </w:tc>
        <w:tc>
          <w:tcPr>
            <w:tcW w:w="674" w:type="dxa"/>
          </w:tcPr>
          <w:p>
            <w:pPr>
              <w:spacing w:line="400" w:lineRule="exact"/>
              <w:jc w:val="center"/>
              <w:rPr>
                <w:rFonts w:ascii="宋体"/>
                <w:color w:val="auto"/>
                <w:szCs w:val="21"/>
                <w:highlight w:val="none"/>
              </w:rPr>
            </w:pPr>
            <w:bookmarkStart w:id="889" w:name="_Toc221952087"/>
            <w:r>
              <w:rPr>
                <w:rFonts w:ascii="宋体"/>
                <w:color w:val="auto"/>
                <w:szCs w:val="21"/>
                <w:highlight w:val="none"/>
              </w:rPr>
              <w:t>备注</w:t>
            </w:r>
            <w:bookmarkEnd w:id="8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color w:val="auto"/>
                <w:szCs w:val="21"/>
                <w:highlight w:val="none"/>
              </w:rPr>
            </w:pPr>
          </w:p>
        </w:tc>
        <w:tc>
          <w:tcPr>
            <w:tcW w:w="1059" w:type="dxa"/>
          </w:tcPr>
          <w:p>
            <w:pPr>
              <w:spacing w:line="400" w:lineRule="exact"/>
              <w:jc w:val="center"/>
              <w:rPr>
                <w:rFonts w:ascii="宋体"/>
                <w:color w:val="auto"/>
                <w:szCs w:val="21"/>
                <w:highlight w:val="none"/>
              </w:rPr>
            </w:pPr>
          </w:p>
        </w:tc>
        <w:tc>
          <w:tcPr>
            <w:tcW w:w="742" w:type="dxa"/>
          </w:tcPr>
          <w:p>
            <w:pPr>
              <w:spacing w:line="400" w:lineRule="exact"/>
              <w:jc w:val="center"/>
              <w:rPr>
                <w:rFonts w:ascii="宋体"/>
                <w:color w:val="auto"/>
                <w:szCs w:val="21"/>
                <w:highlight w:val="none"/>
              </w:rPr>
            </w:pPr>
          </w:p>
        </w:tc>
        <w:tc>
          <w:tcPr>
            <w:tcW w:w="965" w:type="dxa"/>
          </w:tcPr>
          <w:p>
            <w:pPr>
              <w:spacing w:line="400" w:lineRule="exact"/>
              <w:jc w:val="center"/>
              <w:rPr>
                <w:rFonts w:ascii="宋体"/>
                <w:color w:val="auto"/>
                <w:szCs w:val="21"/>
                <w:highlight w:val="none"/>
              </w:rPr>
            </w:pPr>
          </w:p>
        </w:tc>
        <w:tc>
          <w:tcPr>
            <w:tcW w:w="655" w:type="dxa"/>
          </w:tcPr>
          <w:p>
            <w:pPr>
              <w:spacing w:line="400" w:lineRule="exact"/>
              <w:jc w:val="center"/>
              <w:rPr>
                <w:rFonts w:ascii="宋体"/>
                <w:color w:val="auto"/>
                <w:szCs w:val="21"/>
                <w:highlight w:val="none"/>
              </w:rPr>
            </w:pPr>
          </w:p>
        </w:tc>
        <w:tc>
          <w:tcPr>
            <w:tcW w:w="720" w:type="dxa"/>
          </w:tcPr>
          <w:p>
            <w:pPr>
              <w:spacing w:line="400" w:lineRule="exact"/>
              <w:jc w:val="center"/>
              <w:rPr>
                <w:rFonts w:ascii="宋体"/>
                <w:color w:val="auto"/>
                <w:szCs w:val="21"/>
                <w:highlight w:val="none"/>
              </w:rPr>
            </w:pPr>
          </w:p>
        </w:tc>
        <w:tc>
          <w:tcPr>
            <w:tcW w:w="1182" w:type="dxa"/>
          </w:tcPr>
          <w:p>
            <w:pPr>
              <w:spacing w:line="400" w:lineRule="exact"/>
              <w:jc w:val="center"/>
              <w:rPr>
                <w:rFonts w:ascii="宋体"/>
                <w:color w:val="auto"/>
                <w:szCs w:val="21"/>
                <w:highlight w:val="none"/>
              </w:rPr>
            </w:pPr>
          </w:p>
        </w:tc>
        <w:tc>
          <w:tcPr>
            <w:tcW w:w="853" w:type="dxa"/>
          </w:tcPr>
          <w:p>
            <w:pPr>
              <w:spacing w:line="400" w:lineRule="exact"/>
              <w:jc w:val="center"/>
              <w:rPr>
                <w:rFonts w:ascii="宋体"/>
                <w:color w:val="auto"/>
                <w:szCs w:val="21"/>
                <w:highlight w:val="none"/>
              </w:rPr>
            </w:pPr>
          </w:p>
        </w:tc>
        <w:tc>
          <w:tcPr>
            <w:tcW w:w="1028" w:type="dxa"/>
          </w:tcPr>
          <w:p>
            <w:pPr>
              <w:spacing w:line="400" w:lineRule="exact"/>
              <w:jc w:val="center"/>
              <w:rPr>
                <w:rFonts w:ascii="宋体"/>
                <w:color w:val="auto"/>
                <w:szCs w:val="21"/>
                <w:highlight w:val="none"/>
              </w:rPr>
            </w:pPr>
          </w:p>
        </w:tc>
        <w:tc>
          <w:tcPr>
            <w:tcW w:w="674" w:type="dxa"/>
          </w:tcPr>
          <w:p>
            <w:pPr>
              <w:spacing w:line="400" w:lineRule="exact"/>
              <w:jc w:val="center"/>
              <w:rPr>
                <w:rFonts w:ascii="宋体"/>
                <w:color w:val="auto"/>
                <w:szCs w:val="21"/>
                <w:highlight w:val="none"/>
              </w:rPr>
            </w:pPr>
          </w:p>
        </w:tc>
      </w:tr>
    </w:tbl>
    <w:p>
      <w:pPr>
        <w:spacing w:line="400" w:lineRule="exact"/>
        <w:rPr>
          <w:rFonts w:ascii="宋体"/>
          <w:color w:val="auto"/>
          <w:sz w:val="19"/>
          <w:szCs w:val="19"/>
          <w:highlight w:val="none"/>
        </w:rPr>
      </w:pPr>
    </w:p>
    <w:p>
      <w:pPr>
        <w:spacing w:line="400" w:lineRule="exact"/>
        <w:rPr>
          <w:rFonts w:ascii="宋体"/>
          <w:color w:val="auto"/>
          <w:sz w:val="19"/>
          <w:szCs w:val="19"/>
          <w:highlight w:val="none"/>
        </w:rPr>
      </w:pPr>
      <w:r>
        <w:rPr>
          <w:rFonts w:ascii="宋体"/>
          <w:color w:val="auto"/>
          <w:sz w:val="19"/>
          <w:szCs w:val="19"/>
          <w:highlight w:val="none"/>
        </w:rPr>
        <w:br w:type="page"/>
      </w:r>
    </w:p>
    <w:p>
      <w:pPr>
        <w:spacing w:line="400" w:lineRule="exact"/>
        <w:jc w:val="center"/>
        <w:outlineLvl w:val="3"/>
        <w:rPr>
          <w:rFonts w:ascii="宋体"/>
          <w:b/>
          <w:color w:val="auto"/>
          <w:sz w:val="24"/>
          <w:szCs w:val="31"/>
          <w:highlight w:val="none"/>
        </w:rPr>
      </w:pPr>
      <w:bookmarkStart w:id="890" w:name="_Toc168475925"/>
      <w:bookmarkStart w:id="891" w:name="_Toc168476328"/>
      <w:bookmarkStart w:id="892" w:name="_Toc144974866"/>
      <w:bookmarkStart w:id="893" w:name="_Toc221952088"/>
      <w:r>
        <w:rPr>
          <w:rFonts w:ascii="宋体"/>
          <w:b/>
          <w:color w:val="auto"/>
          <w:sz w:val="24"/>
          <w:szCs w:val="31"/>
          <w:highlight w:val="none"/>
        </w:rPr>
        <w:t>附表二：拟</w:t>
      </w:r>
      <w:r>
        <w:rPr>
          <w:rFonts w:hint="eastAsia" w:ascii="宋体"/>
          <w:b/>
          <w:color w:val="auto"/>
          <w:sz w:val="24"/>
          <w:szCs w:val="31"/>
          <w:highlight w:val="none"/>
        </w:rPr>
        <w:t>投入</w:t>
      </w:r>
      <w:r>
        <w:rPr>
          <w:rFonts w:ascii="宋体"/>
          <w:b/>
          <w:color w:val="auto"/>
          <w:sz w:val="24"/>
          <w:szCs w:val="31"/>
          <w:highlight w:val="none"/>
        </w:rPr>
        <w:t>本标段的</w:t>
      </w:r>
      <w:r>
        <w:rPr>
          <w:rFonts w:hint="eastAsia" w:ascii="宋体"/>
          <w:b/>
          <w:color w:val="auto"/>
          <w:sz w:val="24"/>
          <w:szCs w:val="31"/>
          <w:highlight w:val="none"/>
        </w:rPr>
        <w:t>试</w:t>
      </w:r>
      <w:r>
        <w:rPr>
          <w:rFonts w:ascii="宋体"/>
          <w:b/>
          <w:color w:val="auto"/>
          <w:sz w:val="24"/>
          <w:szCs w:val="31"/>
          <w:highlight w:val="none"/>
        </w:rPr>
        <w:t>验和检测仪器设备表</w:t>
      </w:r>
      <w:bookmarkEnd w:id="890"/>
      <w:bookmarkEnd w:id="891"/>
      <w:bookmarkEnd w:id="892"/>
      <w:bookmarkEnd w:id="893"/>
    </w:p>
    <w:p>
      <w:pPr>
        <w:spacing w:line="400" w:lineRule="exact"/>
        <w:rPr>
          <w:rFonts w:ascii="宋体"/>
          <w:color w:val="auto"/>
          <w:sz w:val="19"/>
          <w:szCs w:val="19"/>
          <w:highlight w:val="none"/>
        </w:rPr>
      </w:pP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95"/>
        <w:gridCol w:w="882"/>
        <w:gridCol w:w="882"/>
        <w:gridCol w:w="677"/>
        <w:gridCol w:w="744"/>
        <w:gridCol w:w="1221"/>
        <w:gridCol w:w="166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bookmarkStart w:id="894" w:name="_Toc221952089"/>
            <w:r>
              <w:rPr>
                <w:rFonts w:ascii="宋体"/>
                <w:color w:val="auto"/>
                <w:szCs w:val="21"/>
                <w:highlight w:val="none"/>
              </w:rPr>
              <w:t>序号</w:t>
            </w:r>
            <w:bookmarkEnd w:id="894"/>
          </w:p>
        </w:tc>
        <w:tc>
          <w:tcPr>
            <w:tcW w:w="1095" w:type="dxa"/>
          </w:tcPr>
          <w:p>
            <w:pPr>
              <w:spacing w:line="400" w:lineRule="exact"/>
              <w:jc w:val="center"/>
              <w:rPr>
                <w:rFonts w:ascii="宋体"/>
                <w:color w:val="auto"/>
                <w:szCs w:val="21"/>
                <w:highlight w:val="none"/>
              </w:rPr>
            </w:pPr>
            <w:bookmarkStart w:id="895" w:name="_Toc221952090"/>
            <w:r>
              <w:rPr>
                <w:rFonts w:ascii="宋体"/>
                <w:color w:val="auto"/>
                <w:szCs w:val="21"/>
                <w:highlight w:val="none"/>
              </w:rPr>
              <w:t>仪器设备名称</w:t>
            </w:r>
            <w:bookmarkEnd w:id="895"/>
          </w:p>
        </w:tc>
        <w:tc>
          <w:tcPr>
            <w:tcW w:w="882" w:type="dxa"/>
          </w:tcPr>
          <w:p>
            <w:pPr>
              <w:spacing w:line="400" w:lineRule="exact"/>
              <w:jc w:val="center"/>
              <w:rPr>
                <w:rFonts w:ascii="宋体"/>
                <w:color w:val="auto"/>
                <w:szCs w:val="21"/>
                <w:highlight w:val="none"/>
              </w:rPr>
            </w:pPr>
            <w:bookmarkStart w:id="896" w:name="_Toc221952091"/>
            <w:r>
              <w:rPr>
                <w:rFonts w:ascii="宋体"/>
                <w:color w:val="auto"/>
                <w:szCs w:val="21"/>
                <w:highlight w:val="none"/>
              </w:rPr>
              <w:t>型号</w:t>
            </w:r>
            <w:bookmarkEnd w:id="896"/>
          </w:p>
          <w:p>
            <w:pPr>
              <w:spacing w:line="400" w:lineRule="exact"/>
              <w:jc w:val="center"/>
              <w:rPr>
                <w:rFonts w:ascii="宋体"/>
                <w:color w:val="auto"/>
                <w:szCs w:val="21"/>
                <w:highlight w:val="none"/>
              </w:rPr>
            </w:pPr>
            <w:bookmarkStart w:id="897" w:name="_Toc221952092"/>
            <w:r>
              <w:rPr>
                <w:rFonts w:ascii="宋体"/>
                <w:color w:val="auto"/>
                <w:szCs w:val="21"/>
                <w:highlight w:val="none"/>
              </w:rPr>
              <w:t>规格</w:t>
            </w:r>
            <w:bookmarkEnd w:id="897"/>
          </w:p>
        </w:tc>
        <w:tc>
          <w:tcPr>
            <w:tcW w:w="882" w:type="dxa"/>
          </w:tcPr>
          <w:p>
            <w:pPr>
              <w:spacing w:line="400" w:lineRule="exact"/>
              <w:jc w:val="center"/>
              <w:rPr>
                <w:rFonts w:ascii="宋体"/>
                <w:color w:val="auto"/>
                <w:szCs w:val="21"/>
                <w:highlight w:val="none"/>
              </w:rPr>
            </w:pPr>
            <w:bookmarkStart w:id="898" w:name="_Toc221952093"/>
            <w:r>
              <w:rPr>
                <w:rFonts w:ascii="宋体"/>
                <w:color w:val="auto"/>
                <w:szCs w:val="21"/>
                <w:highlight w:val="none"/>
              </w:rPr>
              <w:t>数量</w:t>
            </w:r>
            <w:bookmarkEnd w:id="898"/>
          </w:p>
        </w:tc>
        <w:tc>
          <w:tcPr>
            <w:tcW w:w="677" w:type="dxa"/>
          </w:tcPr>
          <w:p>
            <w:pPr>
              <w:spacing w:line="400" w:lineRule="exact"/>
              <w:jc w:val="center"/>
              <w:rPr>
                <w:rFonts w:ascii="宋体"/>
                <w:color w:val="auto"/>
                <w:szCs w:val="21"/>
                <w:highlight w:val="none"/>
              </w:rPr>
            </w:pPr>
            <w:bookmarkStart w:id="899" w:name="_Toc221952094"/>
            <w:r>
              <w:rPr>
                <w:rFonts w:ascii="宋体"/>
                <w:color w:val="auto"/>
                <w:szCs w:val="21"/>
                <w:highlight w:val="none"/>
              </w:rPr>
              <w:t>国别</w:t>
            </w:r>
            <w:bookmarkEnd w:id="899"/>
          </w:p>
          <w:p>
            <w:pPr>
              <w:spacing w:line="400" w:lineRule="exact"/>
              <w:jc w:val="center"/>
              <w:rPr>
                <w:rFonts w:ascii="宋体"/>
                <w:color w:val="auto"/>
                <w:szCs w:val="21"/>
                <w:highlight w:val="none"/>
              </w:rPr>
            </w:pPr>
            <w:bookmarkStart w:id="900" w:name="_Toc221952095"/>
            <w:r>
              <w:rPr>
                <w:rFonts w:ascii="宋体"/>
                <w:color w:val="auto"/>
                <w:szCs w:val="21"/>
                <w:highlight w:val="none"/>
              </w:rPr>
              <w:t>产地</w:t>
            </w:r>
            <w:bookmarkEnd w:id="900"/>
          </w:p>
        </w:tc>
        <w:tc>
          <w:tcPr>
            <w:tcW w:w="744" w:type="dxa"/>
          </w:tcPr>
          <w:p>
            <w:pPr>
              <w:spacing w:line="400" w:lineRule="exact"/>
              <w:jc w:val="center"/>
              <w:rPr>
                <w:rFonts w:ascii="宋体"/>
                <w:color w:val="auto"/>
                <w:szCs w:val="21"/>
                <w:highlight w:val="none"/>
              </w:rPr>
            </w:pPr>
            <w:bookmarkStart w:id="901" w:name="_Toc221952096"/>
            <w:r>
              <w:rPr>
                <w:rFonts w:ascii="宋体"/>
                <w:color w:val="auto"/>
                <w:szCs w:val="21"/>
                <w:highlight w:val="none"/>
              </w:rPr>
              <w:t>制造</w:t>
            </w:r>
            <w:bookmarkEnd w:id="901"/>
          </w:p>
          <w:p>
            <w:pPr>
              <w:spacing w:line="400" w:lineRule="exact"/>
              <w:jc w:val="center"/>
              <w:rPr>
                <w:rFonts w:ascii="宋体"/>
                <w:color w:val="auto"/>
                <w:szCs w:val="21"/>
                <w:highlight w:val="none"/>
              </w:rPr>
            </w:pPr>
            <w:bookmarkStart w:id="902" w:name="_Toc221952097"/>
            <w:r>
              <w:rPr>
                <w:rFonts w:ascii="宋体"/>
                <w:color w:val="auto"/>
                <w:szCs w:val="21"/>
                <w:highlight w:val="none"/>
              </w:rPr>
              <w:t>年份</w:t>
            </w:r>
            <w:bookmarkEnd w:id="902"/>
          </w:p>
        </w:tc>
        <w:tc>
          <w:tcPr>
            <w:tcW w:w="1221" w:type="dxa"/>
          </w:tcPr>
          <w:p>
            <w:pPr>
              <w:spacing w:line="400" w:lineRule="exact"/>
              <w:jc w:val="center"/>
              <w:rPr>
                <w:rFonts w:ascii="宋体"/>
                <w:color w:val="auto"/>
                <w:szCs w:val="21"/>
                <w:highlight w:val="none"/>
              </w:rPr>
            </w:pPr>
            <w:bookmarkStart w:id="903" w:name="_Toc221952098"/>
            <w:r>
              <w:rPr>
                <w:rFonts w:ascii="宋体"/>
                <w:color w:val="auto"/>
                <w:szCs w:val="21"/>
                <w:highlight w:val="none"/>
              </w:rPr>
              <w:t>已使用台时数</w:t>
            </w:r>
            <w:bookmarkEnd w:id="903"/>
          </w:p>
        </w:tc>
        <w:tc>
          <w:tcPr>
            <w:tcW w:w="1665" w:type="dxa"/>
          </w:tcPr>
          <w:p>
            <w:pPr>
              <w:spacing w:line="400" w:lineRule="exact"/>
              <w:jc w:val="center"/>
              <w:rPr>
                <w:rFonts w:ascii="宋体"/>
                <w:color w:val="auto"/>
                <w:szCs w:val="21"/>
                <w:highlight w:val="none"/>
              </w:rPr>
            </w:pPr>
            <w:bookmarkStart w:id="904" w:name="_Toc221952099"/>
            <w:r>
              <w:rPr>
                <w:rFonts w:ascii="宋体"/>
                <w:color w:val="auto"/>
                <w:szCs w:val="21"/>
                <w:highlight w:val="none"/>
              </w:rPr>
              <w:t>用途</w:t>
            </w:r>
            <w:bookmarkEnd w:id="904"/>
          </w:p>
        </w:tc>
        <w:tc>
          <w:tcPr>
            <w:tcW w:w="691" w:type="dxa"/>
          </w:tcPr>
          <w:p>
            <w:pPr>
              <w:spacing w:line="400" w:lineRule="exact"/>
              <w:jc w:val="center"/>
              <w:rPr>
                <w:rFonts w:ascii="宋体"/>
                <w:color w:val="auto"/>
                <w:szCs w:val="21"/>
                <w:highlight w:val="none"/>
              </w:rPr>
            </w:pPr>
            <w:bookmarkStart w:id="905" w:name="_Toc221952100"/>
            <w:r>
              <w:rPr>
                <w:rFonts w:ascii="宋体"/>
                <w:color w:val="auto"/>
                <w:szCs w:val="21"/>
                <w:highlight w:val="none"/>
              </w:rPr>
              <w:t>备注</w:t>
            </w:r>
            <w:bookmarkEnd w:id="9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color w:val="auto"/>
                <w:szCs w:val="21"/>
                <w:highlight w:val="none"/>
              </w:rPr>
            </w:pPr>
          </w:p>
        </w:tc>
        <w:tc>
          <w:tcPr>
            <w:tcW w:w="1095"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882" w:type="dxa"/>
          </w:tcPr>
          <w:p>
            <w:pPr>
              <w:spacing w:line="400" w:lineRule="exact"/>
              <w:jc w:val="center"/>
              <w:rPr>
                <w:rFonts w:ascii="宋体"/>
                <w:color w:val="auto"/>
                <w:szCs w:val="21"/>
                <w:highlight w:val="none"/>
              </w:rPr>
            </w:pPr>
          </w:p>
        </w:tc>
        <w:tc>
          <w:tcPr>
            <w:tcW w:w="677" w:type="dxa"/>
          </w:tcPr>
          <w:p>
            <w:pPr>
              <w:spacing w:line="400" w:lineRule="exact"/>
              <w:jc w:val="center"/>
              <w:rPr>
                <w:rFonts w:ascii="宋体"/>
                <w:color w:val="auto"/>
                <w:szCs w:val="21"/>
                <w:highlight w:val="none"/>
              </w:rPr>
            </w:pPr>
          </w:p>
        </w:tc>
        <w:tc>
          <w:tcPr>
            <w:tcW w:w="744" w:type="dxa"/>
          </w:tcPr>
          <w:p>
            <w:pPr>
              <w:spacing w:line="400" w:lineRule="exact"/>
              <w:jc w:val="center"/>
              <w:rPr>
                <w:rFonts w:ascii="宋体"/>
                <w:color w:val="auto"/>
                <w:szCs w:val="21"/>
                <w:highlight w:val="none"/>
              </w:rPr>
            </w:pPr>
          </w:p>
        </w:tc>
        <w:tc>
          <w:tcPr>
            <w:tcW w:w="1221" w:type="dxa"/>
          </w:tcPr>
          <w:p>
            <w:pPr>
              <w:spacing w:line="400" w:lineRule="exact"/>
              <w:jc w:val="center"/>
              <w:rPr>
                <w:rFonts w:ascii="宋体"/>
                <w:color w:val="auto"/>
                <w:szCs w:val="21"/>
                <w:highlight w:val="none"/>
              </w:rPr>
            </w:pPr>
          </w:p>
        </w:tc>
        <w:tc>
          <w:tcPr>
            <w:tcW w:w="1665" w:type="dxa"/>
          </w:tcPr>
          <w:p>
            <w:pPr>
              <w:spacing w:line="400" w:lineRule="exact"/>
              <w:jc w:val="center"/>
              <w:rPr>
                <w:rFonts w:ascii="宋体"/>
                <w:color w:val="auto"/>
                <w:szCs w:val="21"/>
                <w:highlight w:val="none"/>
              </w:rPr>
            </w:pPr>
          </w:p>
        </w:tc>
        <w:tc>
          <w:tcPr>
            <w:tcW w:w="691" w:type="dxa"/>
          </w:tcPr>
          <w:p>
            <w:pPr>
              <w:spacing w:line="400" w:lineRule="exact"/>
              <w:jc w:val="center"/>
              <w:rPr>
                <w:rFonts w:ascii="宋体"/>
                <w:color w:val="auto"/>
                <w:szCs w:val="21"/>
                <w:highlight w:val="none"/>
              </w:rPr>
            </w:pPr>
          </w:p>
        </w:tc>
      </w:tr>
    </w:tbl>
    <w:p>
      <w:pPr>
        <w:spacing w:line="400" w:lineRule="exact"/>
        <w:rPr>
          <w:rFonts w:ascii="宋体"/>
          <w:color w:val="auto"/>
          <w:sz w:val="19"/>
          <w:szCs w:val="19"/>
          <w:highlight w:val="none"/>
        </w:rPr>
      </w:pPr>
      <w:r>
        <w:rPr>
          <w:rFonts w:ascii="宋体"/>
          <w:color w:val="auto"/>
          <w:sz w:val="19"/>
          <w:szCs w:val="19"/>
          <w:highlight w:val="none"/>
        </w:rPr>
        <w:br w:type="page"/>
      </w:r>
    </w:p>
    <w:p>
      <w:pPr>
        <w:spacing w:line="400" w:lineRule="exact"/>
        <w:jc w:val="center"/>
        <w:outlineLvl w:val="3"/>
        <w:rPr>
          <w:rFonts w:ascii="宋体"/>
          <w:b/>
          <w:color w:val="auto"/>
          <w:sz w:val="24"/>
          <w:szCs w:val="31"/>
          <w:highlight w:val="none"/>
        </w:rPr>
      </w:pPr>
      <w:bookmarkStart w:id="906" w:name="_Toc168476329"/>
      <w:bookmarkStart w:id="907" w:name="_Toc221952101"/>
      <w:bookmarkStart w:id="908" w:name="_Toc144974867"/>
      <w:bookmarkStart w:id="909" w:name="_Toc168475926"/>
      <w:r>
        <w:rPr>
          <w:rFonts w:ascii="宋体"/>
          <w:b/>
          <w:color w:val="auto"/>
          <w:sz w:val="24"/>
          <w:szCs w:val="31"/>
          <w:highlight w:val="none"/>
        </w:rPr>
        <w:t>附表三：</w:t>
      </w:r>
      <w:r>
        <w:rPr>
          <w:rFonts w:hint="eastAsia" w:ascii="宋体"/>
          <w:b/>
          <w:color w:val="auto"/>
          <w:sz w:val="24"/>
          <w:szCs w:val="31"/>
          <w:highlight w:val="none"/>
        </w:rPr>
        <w:t>拟投入本标段的</w:t>
      </w:r>
      <w:r>
        <w:rPr>
          <w:rFonts w:ascii="宋体"/>
          <w:b/>
          <w:color w:val="auto"/>
          <w:sz w:val="24"/>
          <w:szCs w:val="31"/>
          <w:highlight w:val="none"/>
        </w:rPr>
        <w:t>劳动力计划表</w:t>
      </w:r>
      <w:bookmarkEnd w:id="906"/>
      <w:bookmarkEnd w:id="907"/>
      <w:bookmarkEnd w:id="908"/>
      <w:bookmarkEnd w:id="909"/>
    </w:p>
    <w:p>
      <w:pPr>
        <w:spacing w:line="400" w:lineRule="exact"/>
        <w:ind w:right="200"/>
        <w:jc w:val="right"/>
        <w:rPr>
          <w:rFonts w:ascii="宋体"/>
          <w:color w:val="auto"/>
          <w:szCs w:val="21"/>
          <w:highlight w:val="none"/>
        </w:rPr>
      </w:pPr>
      <w:bookmarkStart w:id="910" w:name="_Toc221952102"/>
      <w:r>
        <w:rPr>
          <w:rFonts w:ascii="宋体"/>
          <w:color w:val="auto"/>
          <w:szCs w:val="21"/>
          <w:highlight w:val="none"/>
        </w:rPr>
        <w:t>单位：人</w:t>
      </w:r>
      <w:bookmarkEnd w:id="910"/>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bookmarkStart w:id="911" w:name="_Toc221952103"/>
            <w:r>
              <w:rPr>
                <w:rFonts w:ascii="宋体"/>
                <w:color w:val="auto"/>
                <w:szCs w:val="21"/>
                <w:highlight w:val="none"/>
              </w:rPr>
              <w:t>工种</w:t>
            </w:r>
            <w:bookmarkEnd w:id="911"/>
          </w:p>
        </w:tc>
        <w:tc>
          <w:tcPr>
            <w:tcW w:w="7699" w:type="dxa"/>
            <w:gridSpan w:val="7"/>
          </w:tcPr>
          <w:p>
            <w:pPr>
              <w:spacing w:line="400" w:lineRule="exact"/>
              <w:jc w:val="center"/>
              <w:rPr>
                <w:rFonts w:ascii="宋体"/>
                <w:color w:val="auto"/>
                <w:szCs w:val="21"/>
                <w:highlight w:val="none"/>
              </w:rPr>
            </w:pPr>
            <w:bookmarkStart w:id="912" w:name="_Toc221952104"/>
            <w:r>
              <w:rPr>
                <w:rFonts w:ascii="宋体"/>
                <w:color w:val="auto"/>
                <w:szCs w:val="21"/>
                <w:highlight w:val="none"/>
              </w:rPr>
              <w:t>按工程施工阶段投入劳动力情况</w:t>
            </w:r>
            <w:bookmarkEnd w:id="9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color w:val="auto"/>
                <w:szCs w:val="21"/>
                <w:highlight w:val="none"/>
              </w:rPr>
            </w:pPr>
          </w:p>
        </w:tc>
        <w:tc>
          <w:tcPr>
            <w:tcW w:w="1305"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6" w:type="dxa"/>
          </w:tcPr>
          <w:p>
            <w:pPr>
              <w:spacing w:line="400" w:lineRule="exact"/>
              <w:jc w:val="center"/>
              <w:rPr>
                <w:rFonts w:ascii="宋体"/>
                <w:color w:val="auto"/>
                <w:szCs w:val="21"/>
                <w:highlight w:val="none"/>
              </w:rPr>
            </w:pPr>
          </w:p>
        </w:tc>
        <w:tc>
          <w:tcPr>
            <w:tcW w:w="1064" w:type="dxa"/>
          </w:tcPr>
          <w:p>
            <w:pPr>
              <w:spacing w:line="400" w:lineRule="exact"/>
              <w:jc w:val="center"/>
              <w:rPr>
                <w:rFonts w:ascii="宋体"/>
                <w:color w:val="auto"/>
                <w:szCs w:val="21"/>
                <w:highlight w:val="none"/>
              </w:rPr>
            </w:pPr>
          </w:p>
        </w:tc>
      </w:tr>
    </w:tbl>
    <w:p>
      <w:pPr>
        <w:topLinePunct/>
        <w:spacing w:line="400" w:lineRule="exact"/>
        <w:rPr>
          <w:rFonts w:ascii="宋体"/>
          <w:color w:val="auto"/>
          <w:sz w:val="20"/>
          <w:szCs w:val="20"/>
          <w:highlight w:val="none"/>
        </w:rPr>
      </w:pPr>
    </w:p>
    <w:p>
      <w:pPr>
        <w:widowControl/>
        <w:jc w:val="left"/>
        <w:rPr>
          <w:rFonts w:ascii="宋体"/>
          <w:b/>
          <w:color w:val="auto"/>
          <w:sz w:val="24"/>
          <w:szCs w:val="31"/>
          <w:highlight w:val="none"/>
        </w:rPr>
      </w:pPr>
      <w:bookmarkStart w:id="913" w:name="_Toc221952105"/>
      <w:bookmarkStart w:id="914" w:name="_Toc168476330"/>
      <w:bookmarkStart w:id="915" w:name="_Toc144974868"/>
      <w:bookmarkStart w:id="916" w:name="_Toc168475927"/>
      <w:r>
        <w:rPr>
          <w:rFonts w:ascii="宋体"/>
          <w:b/>
          <w:color w:val="auto"/>
          <w:sz w:val="24"/>
          <w:szCs w:val="31"/>
          <w:highlight w:val="none"/>
        </w:rPr>
        <w:br w:type="page"/>
      </w:r>
    </w:p>
    <w:p>
      <w:pPr>
        <w:spacing w:line="400" w:lineRule="exact"/>
        <w:jc w:val="center"/>
        <w:outlineLvl w:val="3"/>
        <w:rPr>
          <w:rFonts w:ascii="宋体"/>
          <w:b/>
          <w:color w:val="auto"/>
          <w:sz w:val="24"/>
          <w:szCs w:val="31"/>
          <w:highlight w:val="none"/>
        </w:rPr>
      </w:pPr>
      <w:r>
        <w:rPr>
          <w:rFonts w:ascii="宋体"/>
          <w:b/>
          <w:color w:val="auto"/>
          <w:sz w:val="24"/>
          <w:szCs w:val="31"/>
          <w:highlight w:val="none"/>
        </w:rPr>
        <w:t>附表四：计划开</w:t>
      </w:r>
      <w:r>
        <w:rPr>
          <w:rFonts w:hint="eastAsia" w:ascii="宋体"/>
          <w:b/>
          <w:color w:val="auto"/>
          <w:sz w:val="24"/>
          <w:szCs w:val="31"/>
          <w:highlight w:val="none"/>
        </w:rPr>
        <w:t>工日期</w:t>
      </w:r>
      <w:r>
        <w:rPr>
          <w:rFonts w:ascii="宋体"/>
          <w:b/>
          <w:color w:val="auto"/>
          <w:sz w:val="24"/>
          <w:szCs w:val="31"/>
          <w:highlight w:val="none"/>
        </w:rPr>
        <w:t>、</w:t>
      </w:r>
      <w:r>
        <w:rPr>
          <w:rFonts w:hint="eastAsia" w:ascii="宋体"/>
          <w:b/>
          <w:color w:val="auto"/>
          <w:sz w:val="24"/>
          <w:szCs w:val="31"/>
          <w:highlight w:val="none"/>
        </w:rPr>
        <w:t>完工</w:t>
      </w:r>
      <w:r>
        <w:rPr>
          <w:rFonts w:ascii="宋体"/>
          <w:b/>
          <w:color w:val="auto"/>
          <w:sz w:val="24"/>
          <w:szCs w:val="31"/>
          <w:highlight w:val="none"/>
        </w:rPr>
        <w:t>日期和施工进度网络图</w:t>
      </w:r>
      <w:bookmarkEnd w:id="913"/>
      <w:bookmarkEnd w:id="914"/>
      <w:bookmarkEnd w:id="915"/>
      <w:bookmarkEnd w:id="916"/>
    </w:p>
    <w:p>
      <w:pPr>
        <w:spacing w:line="400" w:lineRule="exact"/>
        <w:rPr>
          <w:rFonts w:ascii="宋体"/>
          <w:color w:val="auto"/>
          <w:sz w:val="19"/>
          <w:szCs w:val="19"/>
          <w:highlight w:val="none"/>
        </w:rPr>
      </w:pPr>
    </w:p>
    <w:p>
      <w:pPr>
        <w:spacing w:line="400" w:lineRule="exact"/>
        <w:ind w:firstLine="420" w:firstLineChars="200"/>
        <w:rPr>
          <w:rFonts w:ascii="宋体"/>
          <w:color w:val="auto"/>
          <w:szCs w:val="21"/>
          <w:highlight w:val="none"/>
        </w:rPr>
      </w:pPr>
      <w:bookmarkStart w:id="917" w:name="_Toc221952106"/>
      <w:r>
        <w:rPr>
          <w:rFonts w:ascii="宋体"/>
          <w:color w:val="auto"/>
          <w:szCs w:val="21"/>
          <w:highlight w:val="none"/>
        </w:rPr>
        <w:t>1. 投标人应递交施工进度网络图或施工进度表，说明按招标文件要求的计划工期进行施工的各个关键日期。</w:t>
      </w:r>
      <w:bookmarkEnd w:id="917"/>
    </w:p>
    <w:p>
      <w:pPr>
        <w:spacing w:line="400" w:lineRule="exact"/>
        <w:ind w:firstLine="420" w:firstLineChars="200"/>
        <w:rPr>
          <w:rFonts w:ascii="宋体"/>
          <w:color w:val="auto"/>
          <w:szCs w:val="21"/>
          <w:highlight w:val="none"/>
        </w:rPr>
      </w:pPr>
      <w:bookmarkStart w:id="918" w:name="_Toc221952107"/>
      <w:r>
        <w:rPr>
          <w:rFonts w:ascii="宋体"/>
          <w:color w:val="auto"/>
          <w:szCs w:val="21"/>
          <w:highlight w:val="none"/>
        </w:rPr>
        <w:t>2. 施工进度表可采用网络图（或横道图）表示。</w:t>
      </w:r>
      <w:bookmarkEnd w:id="918"/>
    </w:p>
    <w:p>
      <w:pPr>
        <w:spacing w:line="400" w:lineRule="exact"/>
        <w:rPr>
          <w:rFonts w:ascii="宋体"/>
          <w:color w:val="auto"/>
          <w:sz w:val="19"/>
          <w:szCs w:val="19"/>
          <w:highlight w:val="none"/>
        </w:rPr>
      </w:pPr>
    </w:p>
    <w:p>
      <w:pPr>
        <w:spacing w:line="400" w:lineRule="exact"/>
        <w:rPr>
          <w:rFonts w:ascii="宋体"/>
          <w:color w:val="auto"/>
          <w:sz w:val="19"/>
          <w:szCs w:val="19"/>
          <w:highlight w:val="none"/>
        </w:rPr>
      </w:pPr>
    </w:p>
    <w:p>
      <w:pPr>
        <w:spacing w:line="400" w:lineRule="exact"/>
        <w:rPr>
          <w:rFonts w:ascii="宋体"/>
          <w:color w:val="auto"/>
          <w:sz w:val="19"/>
          <w:szCs w:val="19"/>
          <w:highlight w:val="none"/>
        </w:rPr>
      </w:pPr>
      <w:r>
        <w:rPr>
          <w:rFonts w:ascii="宋体"/>
          <w:color w:val="auto"/>
          <w:sz w:val="19"/>
          <w:szCs w:val="19"/>
          <w:highlight w:val="none"/>
        </w:rPr>
        <w:br w:type="page"/>
      </w:r>
    </w:p>
    <w:p>
      <w:pPr>
        <w:spacing w:line="400" w:lineRule="exact"/>
        <w:jc w:val="center"/>
        <w:outlineLvl w:val="3"/>
        <w:rPr>
          <w:rFonts w:ascii="宋体"/>
          <w:b/>
          <w:color w:val="auto"/>
          <w:sz w:val="24"/>
          <w:szCs w:val="31"/>
          <w:highlight w:val="none"/>
        </w:rPr>
      </w:pPr>
      <w:bookmarkStart w:id="919" w:name="_Toc144974869"/>
      <w:bookmarkStart w:id="920" w:name="_Toc221952108"/>
      <w:bookmarkStart w:id="921" w:name="_Toc168475928"/>
      <w:bookmarkStart w:id="922" w:name="_Toc168476331"/>
      <w:r>
        <w:rPr>
          <w:rFonts w:ascii="宋体"/>
          <w:b/>
          <w:color w:val="auto"/>
          <w:sz w:val="24"/>
          <w:szCs w:val="31"/>
          <w:highlight w:val="none"/>
        </w:rPr>
        <w:t>附表五：施工总平面图</w:t>
      </w:r>
      <w:bookmarkEnd w:id="919"/>
      <w:bookmarkEnd w:id="920"/>
      <w:bookmarkEnd w:id="921"/>
      <w:bookmarkEnd w:id="922"/>
    </w:p>
    <w:p>
      <w:pPr>
        <w:spacing w:line="400" w:lineRule="exact"/>
        <w:rPr>
          <w:rFonts w:ascii="宋体"/>
          <w:color w:val="auto"/>
          <w:sz w:val="19"/>
          <w:szCs w:val="19"/>
          <w:highlight w:val="none"/>
        </w:rPr>
      </w:pPr>
      <w:r>
        <w:rPr>
          <w:rFonts w:ascii="宋体"/>
          <w:color w:val="auto"/>
          <w:sz w:val="19"/>
          <w:szCs w:val="19"/>
          <w:highlight w:val="none"/>
        </w:rPr>
        <w:tab/>
      </w:r>
    </w:p>
    <w:p>
      <w:pPr>
        <w:spacing w:line="400" w:lineRule="exact"/>
        <w:ind w:firstLine="420" w:firstLineChars="200"/>
        <w:rPr>
          <w:rFonts w:ascii="宋体"/>
          <w:color w:val="auto"/>
          <w:szCs w:val="21"/>
          <w:highlight w:val="none"/>
        </w:rPr>
      </w:pPr>
      <w:bookmarkStart w:id="923" w:name="_Toc221952109"/>
      <w:r>
        <w:rPr>
          <w:rFonts w:asci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bookmarkEnd w:id="923"/>
    </w:p>
    <w:p>
      <w:pPr>
        <w:spacing w:line="400" w:lineRule="exact"/>
        <w:rPr>
          <w:rFonts w:ascii="宋体"/>
          <w:color w:val="auto"/>
          <w:sz w:val="19"/>
          <w:szCs w:val="19"/>
          <w:highlight w:val="none"/>
        </w:rPr>
      </w:pPr>
    </w:p>
    <w:p>
      <w:pPr>
        <w:spacing w:line="400" w:lineRule="exact"/>
        <w:rPr>
          <w:rFonts w:ascii="宋体"/>
          <w:color w:val="auto"/>
          <w:sz w:val="19"/>
          <w:szCs w:val="19"/>
          <w:highlight w:val="none"/>
        </w:rPr>
      </w:pPr>
      <w:r>
        <w:rPr>
          <w:rFonts w:ascii="宋体"/>
          <w:color w:val="auto"/>
          <w:sz w:val="19"/>
          <w:szCs w:val="19"/>
          <w:highlight w:val="none"/>
        </w:rPr>
        <w:br w:type="page"/>
      </w:r>
    </w:p>
    <w:p>
      <w:pPr>
        <w:spacing w:line="400" w:lineRule="exact"/>
        <w:jc w:val="center"/>
        <w:outlineLvl w:val="3"/>
        <w:rPr>
          <w:rFonts w:ascii="宋体"/>
          <w:b/>
          <w:color w:val="auto"/>
          <w:sz w:val="24"/>
          <w:szCs w:val="31"/>
          <w:highlight w:val="none"/>
        </w:rPr>
      </w:pPr>
      <w:bookmarkStart w:id="924" w:name="_Toc221952110"/>
      <w:bookmarkStart w:id="925" w:name="_Toc168475929"/>
      <w:bookmarkStart w:id="926" w:name="_Toc144974870"/>
      <w:bookmarkStart w:id="927" w:name="_Toc168476332"/>
      <w:r>
        <w:rPr>
          <w:rFonts w:ascii="宋体"/>
          <w:b/>
          <w:color w:val="auto"/>
          <w:sz w:val="24"/>
          <w:szCs w:val="31"/>
          <w:highlight w:val="none"/>
        </w:rPr>
        <w:t>附表六</w:t>
      </w:r>
      <w:r>
        <w:rPr>
          <w:rFonts w:hint="eastAsia" w:ascii="宋体"/>
          <w:b/>
          <w:color w:val="auto"/>
          <w:sz w:val="24"/>
          <w:szCs w:val="31"/>
          <w:highlight w:val="none"/>
        </w:rPr>
        <w:t>：</w:t>
      </w:r>
      <w:r>
        <w:rPr>
          <w:rFonts w:ascii="宋体"/>
          <w:b/>
          <w:color w:val="auto"/>
          <w:sz w:val="24"/>
          <w:szCs w:val="31"/>
          <w:highlight w:val="none"/>
        </w:rPr>
        <w:t>临时用地表</w:t>
      </w:r>
      <w:bookmarkEnd w:id="924"/>
      <w:bookmarkEnd w:id="925"/>
      <w:bookmarkEnd w:id="926"/>
      <w:bookmarkEnd w:id="927"/>
    </w:p>
    <w:p>
      <w:pPr>
        <w:spacing w:line="400" w:lineRule="exact"/>
        <w:jc w:val="left"/>
        <w:rPr>
          <w:rFonts w:ascii="宋体"/>
          <w:color w:val="auto"/>
          <w:sz w:val="22"/>
          <w:highlight w:val="none"/>
        </w:rPr>
      </w:pPr>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bookmarkStart w:id="928" w:name="_Toc221952111"/>
            <w:r>
              <w:rPr>
                <w:rFonts w:ascii="宋体"/>
                <w:color w:val="auto"/>
                <w:szCs w:val="21"/>
                <w:highlight w:val="none"/>
              </w:rPr>
              <w:t>用 途</w:t>
            </w:r>
            <w:bookmarkEnd w:id="928"/>
          </w:p>
        </w:tc>
        <w:tc>
          <w:tcPr>
            <w:tcW w:w="2132" w:type="dxa"/>
          </w:tcPr>
          <w:p>
            <w:pPr>
              <w:spacing w:line="400" w:lineRule="exact"/>
              <w:jc w:val="center"/>
              <w:rPr>
                <w:rFonts w:ascii="宋体"/>
                <w:color w:val="auto"/>
                <w:szCs w:val="21"/>
                <w:highlight w:val="none"/>
              </w:rPr>
            </w:pPr>
            <w:bookmarkStart w:id="929" w:name="_Toc221952112"/>
            <w:r>
              <w:rPr>
                <w:rFonts w:ascii="宋体"/>
                <w:color w:val="auto"/>
                <w:szCs w:val="21"/>
                <w:highlight w:val="none"/>
              </w:rPr>
              <w:t>面 积（</w:t>
            </w:r>
            <w:r>
              <w:rPr>
                <w:rFonts w:hint="eastAsia" w:ascii="宋体"/>
                <w:color w:val="auto"/>
                <w:szCs w:val="21"/>
                <w:highlight w:val="none"/>
              </w:rPr>
              <w:t>㎡</w:t>
            </w:r>
            <w:r>
              <w:rPr>
                <w:rFonts w:ascii="宋体"/>
                <w:color w:val="auto"/>
                <w:szCs w:val="21"/>
                <w:highlight w:val="none"/>
              </w:rPr>
              <w:t>）</w:t>
            </w:r>
            <w:bookmarkEnd w:id="929"/>
          </w:p>
        </w:tc>
        <w:tc>
          <w:tcPr>
            <w:tcW w:w="2132" w:type="dxa"/>
          </w:tcPr>
          <w:p>
            <w:pPr>
              <w:spacing w:line="400" w:lineRule="exact"/>
              <w:jc w:val="center"/>
              <w:rPr>
                <w:rFonts w:ascii="宋体"/>
                <w:color w:val="auto"/>
                <w:szCs w:val="21"/>
                <w:highlight w:val="none"/>
              </w:rPr>
            </w:pPr>
            <w:bookmarkStart w:id="930" w:name="_Toc221952113"/>
            <w:r>
              <w:rPr>
                <w:rFonts w:ascii="宋体"/>
                <w:color w:val="auto"/>
                <w:szCs w:val="21"/>
                <w:highlight w:val="none"/>
              </w:rPr>
              <w:t>位 置</w:t>
            </w:r>
            <w:bookmarkEnd w:id="930"/>
          </w:p>
        </w:tc>
        <w:tc>
          <w:tcPr>
            <w:tcW w:w="2132" w:type="dxa"/>
          </w:tcPr>
          <w:p>
            <w:pPr>
              <w:spacing w:line="400" w:lineRule="exact"/>
              <w:jc w:val="center"/>
              <w:rPr>
                <w:rFonts w:ascii="宋体"/>
                <w:color w:val="auto"/>
                <w:szCs w:val="21"/>
                <w:highlight w:val="none"/>
              </w:rPr>
            </w:pPr>
            <w:bookmarkStart w:id="931" w:name="_Toc221952114"/>
            <w:r>
              <w:rPr>
                <w:rFonts w:ascii="宋体"/>
                <w:color w:val="auto"/>
                <w:szCs w:val="21"/>
                <w:highlight w:val="none"/>
              </w:rPr>
              <w:t>需用时间</w:t>
            </w:r>
            <w:bookmarkEnd w:id="9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c>
          <w:tcPr>
            <w:tcW w:w="2132" w:type="dxa"/>
          </w:tcPr>
          <w:p>
            <w:pPr>
              <w:spacing w:line="400" w:lineRule="exact"/>
              <w:jc w:val="center"/>
              <w:rPr>
                <w:rFonts w:ascii="宋体"/>
                <w:color w:val="auto"/>
                <w:szCs w:val="21"/>
                <w:highlight w:val="none"/>
              </w:rPr>
            </w:pPr>
          </w:p>
        </w:tc>
      </w:tr>
    </w:tbl>
    <w:p>
      <w:pPr>
        <w:topLinePunct/>
        <w:spacing w:line="400" w:lineRule="exact"/>
        <w:rPr>
          <w:rFonts w:ascii="宋体"/>
          <w:color w:val="auto"/>
          <w:sz w:val="20"/>
          <w:szCs w:val="20"/>
          <w:highlight w:val="none"/>
        </w:rPr>
      </w:pPr>
    </w:p>
    <w:p>
      <w:pPr>
        <w:topLinePunct/>
        <w:spacing w:line="400" w:lineRule="exact"/>
        <w:rPr>
          <w:rFonts w:ascii="宋体"/>
          <w:color w:val="auto"/>
          <w:sz w:val="20"/>
          <w:szCs w:val="20"/>
          <w:highlight w:val="none"/>
        </w:rPr>
      </w:pPr>
    </w:p>
    <w:p>
      <w:pPr>
        <w:topLinePunct/>
        <w:spacing w:line="400" w:lineRule="exact"/>
        <w:rPr>
          <w:rFonts w:ascii="宋体"/>
          <w:color w:val="auto"/>
          <w:sz w:val="20"/>
          <w:szCs w:val="20"/>
          <w:highlight w:val="none"/>
        </w:rPr>
      </w:pPr>
    </w:p>
    <w:p>
      <w:pPr>
        <w:topLinePunct/>
        <w:spacing w:line="400" w:lineRule="exact"/>
        <w:rPr>
          <w:rFonts w:ascii="宋体"/>
          <w:color w:val="auto"/>
          <w:sz w:val="20"/>
          <w:szCs w:val="20"/>
          <w:highlight w:val="none"/>
        </w:rPr>
      </w:pPr>
    </w:p>
    <w:p>
      <w:pPr>
        <w:topLinePunct/>
        <w:spacing w:line="400" w:lineRule="exact"/>
        <w:rPr>
          <w:rFonts w:ascii="宋体"/>
          <w:color w:val="auto"/>
          <w:sz w:val="20"/>
          <w:szCs w:val="20"/>
          <w:highlight w:val="none"/>
        </w:rPr>
      </w:pPr>
    </w:p>
    <w:p>
      <w:pPr>
        <w:jc w:val="center"/>
        <w:rPr>
          <w:rFonts w:ascii="宋体"/>
          <w:b/>
          <w:color w:val="auto"/>
          <w:sz w:val="30"/>
          <w:szCs w:val="30"/>
          <w:highlight w:val="none"/>
        </w:rPr>
      </w:pPr>
      <w:bookmarkStart w:id="932" w:name="_Toc221952115"/>
      <w:bookmarkStart w:id="933" w:name="_Toc222032736"/>
      <w:bookmarkStart w:id="934" w:name="_Toc222033918"/>
      <w:bookmarkStart w:id="935" w:name="_Toc168476333"/>
      <w:bookmarkStart w:id="936" w:name="_Toc229305427"/>
      <w:bookmarkStart w:id="937" w:name="_Toc168475930"/>
      <w:bookmarkStart w:id="938" w:name="_Toc222029567"/>
      <w:bookmarkStart w:id="939" w:name="_Toc144974871"/>
      <w:bookmarkStart w:id="940" w:name="_Toc222031069"/>
      <w:bookmarkStart w:id="941" w:name="_Toc259524421"/>
      <w:r>
        <w:rPr>
          <w:rFonts w:ascii="宋体"/>
          <w:color w:val="auto"/>
          <w:sz w:val="28"/>
          <w:szCs w:val="27"/>
          <w:highlight w:val="none"/>
        </w:rPr>
        <w:br w:type="page"/>
      </w:r>
      <w:r>
        <w:rPr>
          <w:rFonts w:hint="eastAsia" w:ascii="宋体"/>
          <w:b/>
          <w:color w:val="auto"/>
          <w:sz w:val="30"/>
          <w:szCs w:val="30"/>
          <w:highlight w:val="none"/>
        </w:rPr>
        <w:t>施工组织设计要点</w:t>
      </w:r>
    </w:p>
    <w:p>
      <w:pPr>
        <w:jc w:val="left"/>
        <w:rPr>
          <w:rFonts w:ascii="宋体"/>
          <w:color w:val="auto"/>
          <w:szCs w:val="21"/>
          <w:highlight w:val="none"/>
        </w:rPr>
      </w:pPr>
    </w:p>
    <w:p>
      <w:pPr>
        <w:spacing w:line="400" w:lineRule="exact"/>
        <w:ind w:firstLine="480" w:firstLineChars="200"/>
        <w:rPr>
          <w:rFonts w:ascii="宋体"/>
          <w:color w:val="auto"/>
          <w:sz w:val="24"/>
          <w:highlight w:val="none"/>
        </w:rPr>
      </w:pPr>
    </w:p>
    <w:p>
      <w:pPr>
        <w:spacing w:line="400" w:lineRule="exact"/>
        <w:ind w:firstLine="480" w:firstLineChars="200"/>
        <w:rPr>
          <w:rFonts w:ascii="宋体"/>
          <w:color w:val="auto"/>
          <w:sz w:val="24"/>
          <w:highlight w:val="none"/>
        </w:rPr>
      </w:pPr>
      <w:r>
        <w:rPr>
          <w:rFonts w:hint="eastAsia" w:ascii="宋体"/>
          <w:color w:val="auto"/>
          <w:sz w:val="24"/>
          <w:highlight w:val="none"/>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b/>
          <w:color w:val="auto"/>
          <w:sz w:val="30"/>
          <w:szCs w:val="30"/>
          <w:highlight w:val="none"/>
        </w:rPr>
      </w:pPr>
      <w:r>
        <w:rPr>
          <w:rFonts w:hint="eastAsia" w:ascii="宋体"/>
          <w:color w:val="auto"/>
          <w:sz w:val="24"/>
          <w:highlight w:val="none"/>
        </w:rPr>
        <w:t>一、文字部分：</w:t>
      </w:r>
    </w:p>
    <w:p>
      <w:pPr>
        <w:spacing w:line="400" w:lineRule="exact"/>
        <w:ind w:firstLine="480" w:firstLineChars="200"/>
        <w:rPr>
          <w:rFonts w:ascii="宋体"/>
          <w:color w:val="auto"/>
          <w:sz w:val="24"/>
          <w:highlight w:val="none"/>
        </w:rPr>
      </w:pPr>
      <w:r>
        <w:rPr>
          <w:rFonts w:hint="eastAsia" w:ascii="宋体"/>
          <w:color w:val="auto"/>
          <w:sz w:val="24"/>
          <w:highlight w:val="none"/>
        </w:rPr>
        <w:t>1.工程概况及工程重点、难点</w:t>
      </w:r>
    </w:p>
    <w:p>
      <w:pPr>
        <w:spacing w:line="400" w:lineRule="exact"/>
        <w:ind w:firstLine="480" w:firstLineChars="200"/>
        <w:rPr>
          <w:rFonts w:ascii="宋体"/>
          <w:color w:val="auto"/>
          <w:sz w:val="24"/>
          <w:highlight w:val="none"/>
        </w:rPr>
      </w:pPr>
      <w:r>
        <w:rPr>
          <w:rFonts w:hint="eastAsia" w:ascii="宋体"/>
          <w:color w:val="auto"/>
          <w:sz w:val="24"/>
          <w:highlight w:val="none"/>
        </w:rPr>
        <w:t>2. 项目组织机构</w:t>
      </w:r>
    </w:p>
    <w:p>
      <w:pPr>
        <w:spacing w:line="400" w:lineRule="exact"/>
        <w:ind w:firstLine="480" w:firstLineChars="200"/>
        <w:rPr>
          <w:rFonts w:ascii="宋体"/>
          <w:color w:val="auto"/>
          <w:sz w:val="24"/>
          <w:highlight w:val="none"/>
        </w:rPr>
      </w:pPr>
      <w:r>
        <w:rPr>
          <w:rFonts w:hint="eastAsia" w:ascii="宋体"/>
          <w:color w:val="auto"/>
          <w:sz w:val="24"/>
          <w:highlight w:val="none"/>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color w:val="auto"/>
          <w:sz w:val="24"/>
          <w:highlight w:val="none"/>
        </w:rPr>
      </w:pPr>
      <w:r>
        <w:rPr>
          <w:rFonts w:hint="eastAsia" w:ascii="宋体"/>
          <w:color w:val="auto"/>
          <w:sz w:val="24"/>
          <w:highlight w:val="none"/>
        </w:rPr>
        <w:t>3.施工总平面布置</w:t>
      </w:r>
    </w:p>
    <w:p>
      <w:pPr>
        <w:spacing w:line="400" w:lineRule="exact"/>
        <w:ind w:firstLine="480" w:firstLineChars="200"/>
        <w:rPr>
          <w:rFonts w:ascii="宋体"/>
          <w:color w:val="auto"/>
          <w:sz w:val="24"/>
          <w:highlight w:val="none"/>
        </w:rPr>
      </w:pPr>
      <w:r>
        <w:rPr>
          <w:rFonts w:hint="eastAsia" w:ascii="宋体"/>
          <w:color w:val="auto"/>
          <w:sz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color w:val="auto"/>
          <w:sz w:val="24"/>
          <w:highlight w:val="none"/>
        </w:rPr>
      </w:pPr>
      <w:r>
        <w:rPr>
          <w:rFonts w:hint="eastAsia" w:ascii="宋体"/>
          <w:color w:val="auto"/>
          <w:sz w:val="24"/>
          <w:highlight w:val="none"/>
        </w:rPr>
        <w:t>3.1临设平面布置图；</w:t>
      </w:r>
    </w:p>
    <w:p>
      <w:pPr>
        <w:spacing w:line="400" w:lineRule="exact"/>
        <w:ind w:firstLine="480" w:firstLineChars="200"/>
        <w:rPr>
          <w:rFonts w:ascii="宋体"/>
          <w:color w:val="auto"/>
          <w:sz w:val="24"/>
          <w:highlight w:val="none"/>
        </w:rPr>
      </w:pPr>
      <w:r>
        <w:rPr>
          <w:rFonts w:hint="eastAsia" w:ascii="宋体"/>
          <w:color w:val="auto"/>
          <w:sz w:val="24"/>
          <w:highlight w:val="none"/>
        </w:rPr>
        <w:t>3.2临时供水、临时供电；</w:t>
      </w:r>
    </w:p>
    <w:p>
      <w:pPr>
        <w:spacing w:line="400" w:lineRule="exact"/>
        <w:ind w:firstLine="480" w:firstLineChars="200"/>
        <w:rPr>
          <w:rFonts w:ascii="宋体"/>
          <w:color w:val="auto"/>
          <w:sz w:val="24"/>
          <w:highlight w:val="none"/>
        </w:rPr>
      </w:pPr>
      <w:r>
        <w:rPr>
          <w:rFonts w:hint="eastAsia" w:ascii="宋体"/>
          <w:color w:val="auto"/>
          <w:sz w:val="24"/>
          <w:highlight w:val="none"/>
        </w:rPr>
        <w:t>3.3临时排水、排污；</w:t>
      </w:r>
    </w:p>
    <w:p>
      <w:pPr>
        <w:spacing w:line="400" w:lineRule="exact"/>
        <w:ind w:firstLine="480" w:firstLineChars="200"/>
        <w:rPr>
          <w:rFonts w:ascii="宋体"/>
          <w:color w:val="auto"/>
          <w:sz w:val="24"/>
          <w:highlight w:val="none"/>
        </w:rPr>
      </w:pPr>
      <w:r>
        <w:rPr>
          <w:rFonts w:hint="eastAsia" w:ascii="宋体"/>
          <w:color w:val="auto"/>
          <w:sz w:val="24"/>
          <w:highlight w:val="none"/>
        </w:rPr>
        <w:t>3.4围蔽结构；</w:t>
      </w:r>
    </w:p>
    <w:p>
      <w:pPr>
        <w:spacing w:line="400" w:lineRule="exact"/>
        <w:ind w:firstLine="480" w:firstLineChars="200"/>
        <w:rPr>
          <w:rFonts w:ascii="宋体"/>
          <w:color w:val="auto"/>
          <w:sz w:val="24"/>
          <w:highlight w:val="none"/>
        </w:rPr>
      </w:pPr>
      <w:r>
        <w:rPr>
          <w:rFonts w:hint="eastAsia" w:ascii="宋体"/>
          <w:color w:val="auto"/>
          <w:sz w:val="24"/>
          <w:highlight w:val="none"/>
        </w:rPr>
        <w:t>3.5施工通道布置；</w:t>
      </w:r>
    </w:p>
    <w:p>
      <w:pPr>
        <w:spacing w:line="400" w:lineRule="exact"/>
        <w:ind w:firstLine="480" w:firstLineChars="200"/>
        <w:rPr>
          <w:rFonts w:ascii="宋体"/>
          <w:color w:val="auto"/>
          <w:sz w:val="24"/>
          <w:highlight w:val="none"/>
        </w:rPr>
      </w:pPr>
      <w:r>
        <w:rPr>
          <w:rFonts w:hint="eastAsia" w:ascii="宋体"/>
          <w:color w:val="auto"/>
          <w:sz w:val="24"/>
          <w:highlight w:val="none"/>
        </w:rPr>
        <w:t>3.6投标人认为需补充的要点。</w:t>
      </w:r>
    </w:p>
    <w:p>
      <w:pPr>
        <w:spacing w:line="400" w:lineRule="exact"/>
        <w:ind w:firstLine="480" w:firstLineChars="200"/>
        <w:rPr>
          <w:rFonts w:ascii="宋体"/>
          <w:color w:val="auto"/>
          <w:sz w:val="24"/>
          <w:highlight w:val="none"/>
        </w:rPr>
      </w:pPr>
      <w:r>
        <w:rPr>
          <w:rFonts w:hint="eastAsia" w:ascii="宋体"/>
          <w:color w:val="auto"/>
          <w:sz w:val="24"/>
          <w:highlight w:val="none"/>
        </w:rPr>
        <w:t>4.主要分项工程的施工方案、施工方法、施工工艺</w:t>
      </w:r>
    </w:p>
    <w:p>
      <w:pPr>
        <w:spacing w:line="400" w:lineRule="exact"/>
        <w:ind w:firstLine="480" w:firstLineChars="200"/>
        <w:rPr>
          <w:rFonts w:ascii="宋体"/>
          <w:color w:val="auto"/>
          <w:sz w:val="24"/>
          <w:highlight w:val="none"/>
        </w:rPr>
      </w:pPr>
      <w:r>
        <w:rPr>
          <w:rFonts w:hint="eastAsia" w:ascii="宋体"/>
          <w:color w:val="auto"/>
          <w:sz w:val="24"/>
          <w:highlight w:val="none"/>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color w:val="auto"/>
          <w:sz w:val="24"/>
          <w:highlight w:val="none"/>
        </w:rPr>
      </w:pPr>
      <w:r>
        <w:rPr>
          <w:rFonts w:hint="eastAsia" w:ascii="宋体"/>
          <w:color w:val="auto"/>
          <w:sz w:val="24"/>
          <w:highlight w:val="none"/>
        </w:rPr>
        <w:t>5.施工计划</w:t>
      </w:r>
    </w:p>
    <w:p>
      <w:pPr>
        <w:spacing w:line="400" w:lineRule="exact"/>
        <w:ind w:firstLine="480" w:firstLineChars="200"/>
        <w:rPr>
          <w:rFonts w:ascii="宋体"/>
          <w:color w:val="auto"/>
          <w:sz w:val="24"/>
          <w:highlight w:val="none"/>
        </w:rPr>
      </w:pPr>
      <w:r>
        <w:rPr>
          <w:rFonts w:hint="eastAsia" w:ascii="宋体"/>
          <w:color w:val="auto"/>
          <w:sz w:val="24"/>
          <w:highlight w:val="none"/>
        </w:rPr>
        <w:t>5.1总体施工进度计划</w:t>
      </w:r>
    </w:p>
    <w:p>
      <w:pPr>
        <w:spacing w:line="400" w:lineRule="exact"/>
        <w:ind w:firstLine="480" w:firstLineChars="200"/>
        <w:rPr>
          <w:rFonts w:ascii="宋体"/>
          <w:color w:val="auto"/>
          <w:sz w:val="24"/>
          <w:highlight w:val="none"/>
        </w:rPr>
      </w:pPr>
      <w:r>
        <w:rPr>
          <w:rFonts w:hint="eastAsia" w:ascii="宋体"/>
          <w:color w:val="auto"/>
          <w:sz w:val="24"/>
          <w:highlight w:val="none"/>
        </w:rPr>
        <w:t>5.2各阶段施工进度计划及控制措施</w:t>
      </w:r>
    </w:p>
    <w:p>
      <w:pPr>
        <w:spacing w:line="400" w:lineRule="exact"/>
        <w:ind w:firstLine="480" w:firstLineChars="200"/>
        <w:rPr>
          <w:rFonts w:ascii="宋体"/>
          <w:color w:val="auto"/>
          <w:sz w:val="24"/>
          <w:highlight w:val="none"/>
        </w:rPr>
      </w:pPr>
      <w:r>
        <w:rPr>
          <w:rFonts w:hint="eastAsia" w:ascii="宋体"/>
          <w:color w:val="auto"/>
          <w:sz w:val="24"/>
          <w:highlight w:val="none"/>
        </w:rPr>
        <w:t>5.3工、料、机、资金等的使用计划</w:t>
      </w:r>
    </w:p>
    <w:p>
      <w:pPr>
        <w:spacing w:line="400" w:lineRule="exact"/>
        <w:ind w:firstLine="480" w:firstLineChars="200"/>
        <w:rPr>
          <w:rFonts w:ascii="宋体"/>
          <w:color w:val="auto"/>
          <w:sz w:val="24"/>
          <w:highlight w:val="none"/>
        </w:rPr>
      </w:pPr>
      <w:r>
        <w:rPr>
          <w:rFonts w:hint="eastAsia" w:ascii="宋体"/>
          <w:color w:val="auto"/>
          <w:sz w:val="24"/>
          <w:highlight w:val="none"/>
        </w:rPr>
        <w:t>5.4主要的工艺流程</w:t>
      </w:r>
    </w:p>
    <w:p>
      <w:pPr>
        <w:spacing w:line="400" w:lineRule="exact"/>
        <w:ind w:firstLine="480" w:firstLineChars="200"/>
        <w:rPr>
          <w:rFonts w:ascii="宋体"/>
          <w:color w:val="auto"/>
          <w:sz w:val="24"/>
          <w:highlight w:val="none"/>
        </w:rPr>
      </w:pPr>
      <w:r>
        <w:rPr>
          <w:rFonts w:hint="eastAsia" w:ascii="宋体"/>
          <w:color w:val="auto"/>
          <w:sz w:val="24"/>
          <w:highlight w:val="none"/>
        </w:rPr>
        <w:t>6.环保与文明施工（包括空气污染、水质污染、噪音控制、施工场地和驻地卫生，以及文明施工等方面控制措施）</w:t>
      </w:r>
    </w:p>
    <w:p>
      <w:pPr>
        <w:spacing w:line="400" w:lineRule="exact"/>
        <w:ind w:firstLine="480" w:firstLineChars="200"/>
        <w:rPr>
          <w:rFonts w:ascii="宋体"/>
          <w:color w:val="auto"/>
          <w:sz w:val="24"/>
          <w:highlight w:val="none"/>
        </w:rPr>
      </w:pPr>
      <w:r>
        <w:rPr>
          <w:rFonts w:hint="eastAsia" w:ascii="宋体"/>
          <w:color w:val="auto"/>
          <w:sz w:val="24"/>
          <w:highlight w:val="none"/>
        </w:rPr>
        <w:t>7.质量、安全生产目标及保证体系和保证措施</w:t>
      </w:r>
    </w:p>
    <w:p>
      <w:pPr>
        <w:spacing w:line="400" w:lineRule="exact"/>
        <w:ind w:firstLine="480" w:firstLineChars="200"/>
        <w:rPr>
          <w:rFonts w:ascii="宋体"/>
          <w:color w:val="auto"/>
          <w:sz w:val="24"/>
          <w:highlight w:val="none"/>
        </w:rPr>
      </w:pPr>
      <w:r>
        <w:rPr>
          <w:rFonts w:hint="eastAsia" w:ascii="宋体"/>
          <w:color w:val="auto"/>
          <w:sz w:val="24"/>
          <w:highlight w:val="none"/>
        </w:rPr>
        <w:t>8.制订完善的成品保护措施。</w:t>
      </w:r>
    </w:p>
    <w:p>
      <w:pPr>
        <w:spacing w:line="400" w:lineRule="exact"/>
        <w:ind w:firstLine="480" w:firstLineChars="200"/>
        <w:rPr>
          <w:rFonts w:ascii="宋体"/>
          <w:color w:val="auto"/>
          <w:sz w:val="24"/>
          <w:highlight w:val="none"/>
        </w:rPr>
      </w:pPr>
      <w:r>
        <w:rPr>
          <w:rFonts w:hint="eastAsia" w:ascii="宋体"/>
          <w:color w:val="auto"/>
          <w:sz w:val="24"/>
          <w:highlight w:val="none"/>
        </w:rPr>
        <w:t>9.民工工资支付方案及措施</w:t>
      </w:r>
    </w:p>
    <w:p>
      <w:pPr>
        <w:spacing w:line="400" w:lineRule="exact"/>
        <w:ind w:firstLine="480" w:firstLineChars="200"/>
        <w:rPr>
          <w:rFonts w:ascii="宋体"/>
          <w:color w:val="auto"/>
          <w:sz w:val="24"/>
          <w:highlight w:val="none"/>
        </w:rPr>
      </w:pPr>
      <w:r>
        <w:rPr>
          <w:rFonts w:hint="eastAsia" w:ascii="宋体"/>
          <w:color w:val="auto"/>
          <w:sz w:val="24"/>
          <w:highlight w:val="none"/>
        </w:rPr>
        <w:t>二、图表部分</w:t>
      </w:r>
    </w:p>
    <w:p>
      <w:pPr>
        <w:spacing w:line="400" w:lineRule="exact"/>
        <w:ind w:firstLine="480" w:firstLineChars="200"/>
        <w:rPr>
          <w:rFonts w:ascii="宋体"/>
          <w:color w:val="auto"/>
          <w:sz w:val="24"/>
          <w:highlight w:val="none"/>
        </w:rPr>
      </w:pPr>
      <w:r>
        <w:rPr>
          <w:rFonts w:hint="eastAsia" w:ascii="宋体"/>
          <w:color w:val="auto"/>
          <w:sz w:val="24"/>
          <w:highlight w:val="none"/>
        </w:rPr>
        <w:t>1. 项目组织机构图</w:t>
      </w:r>
    </w:p>
    <w:p>
      <w:pPr>
        <w:spacing w:line="400" w:lineRule="exact"/>
        <w:ind w:firstLine="480" w:firstLineChars="200"/>
        <w:rPr>
          <w:rFonts w:ascii="宋体"/>
          <w:color w:val="auto"/>
          <w:sz w:val="24"/>
          <w:highlight w:val="none"/>
        </w:rPr>
      </w:pPr>
      <w:r>
        <w:rPr>
          <w:rFonts w:hint="eastAsia" w:ascii="宋体"/>
          <w:color w:val="auto"/>
          <w:sz w:val="24"/>
          <w:highlight w:val="none"/>
        </w:rPr>
        <w:t>2. 施工平面布置图</w:t>
      </w:r>
    </w:p>
    <w:p>
      <w:pPr>
        <w:spacing w:line="400" w:lineRule="exact"/>
        <w:ind w:firstLine="480" w:firstLineChars="200"/>
        <w:rPr>
          <w:rFonts w:ascii="宋体"/>
          <w:color w:val="auto"/>
          <w:sz w:val="24"/>
          <w:highlight w:val="none"/>
        </w:rPr>
      </w:pPr>
      <w:r>
        <w:rPr>
          <w:rFonts w:hint="eastAsia" w:ascii="宋体"/>
          <w:color w:val="auto"/>
          <w:sz w:val="24"/>
          <w:highlight w:val="none"/>
        </w:rPr>
        <w:t>3.施工进度计划网络图及横道图</w:t>
      </w:r>
    </w:p>
    <w:p>
      <w:pPr>
        <w:spacing w:line="400" w:lineRule="exact"/>
        <w:ind w:firstLine="480" w:firstLineChars="200"/>
        <w:rPr>
          <w:rFonts w:ascii="宋体"/>
          <w:color w:val="auto"/>
          <w:sz w:val="24"/>
          <w:highlight w:val="none"/>
        </w:rPr>
      </w:pPr>
      <w:r>
        <w:rPr>
          <w:rFonts w:hint="eastAsia" w:ascii="宋体"/>
          <w:color w:val="auto"/>
          <w:sz w:val="24"/>
          <w:highlight w:val="none"/>
        </w:rPr>
        <w:t>4.劳动力使用计划图（或表）</w:t>
      </w:r>
    </w:p>
    <w:p>
      <w:pPr>
        <w:spacing w:line="400" w:lineRule="exact"/>
        <w:ind w:firstLine="480" w:firstLineChars="200"/>
        <w:rPr>
          <w:rFonts w:ascii="宋体"/>
          <w:color w:val="auto"/>
          <w:sz w:val="24"/>
          <w:highlight w:val="none"/>
        </w:rPr>
      </w:pPr>
      <w:r>
        <w:rPr>
          <w:rFonts w:hint="eastAsia" w:ascii="宋体"/>
          <w:color w:val="auto"/>
          <w:sz w:val="24"/>
          <w:highlight w:val="none"/>
        </w:rPr>
        <w:t>5.拟投入的主要材料、半成品、设备及品牌计划表</w:t>
      </w:r>
    </w:p>
    <w:p>
      <w:pPr>
        <w:spacing w:line="400" w:lineRule="exact"/>
        <w:ind w:firstLine="480" w:firstLineChars="200"/>
        <w:rPr>
          <w:rFonts w:ascii="宋体"/>
          <w:color w:val="auto"/>
          <w:sz w:val="24"/>
          <w:highlight w:val="none"/>
        </w:rPr>
      </w:pPr>
      <w:r>
        <w:rPr>
          <w:rFonts w:hint="eastAsia" w:ascii="宋体"/>
          <w:color w:val="auto"/>
          <w:sz w:val="24"/>
          <w:highlight w:val="none"/>
        </w:rPr>
        <w:t>6.拟投入的主要施工机械设备计划表</w:t>
      </w:r>
    </w:p>
    <w:p>
      <w:pPr>
        <w:spacing w:line="400" w:lineRule="exact"/>
        <w:ind w:firstLine="480" w:firstLineChars="200"/>
        <w:rPr>
          <w:rFonts w:ascii="宋体"/>
          <w:color w:val="auto"/>
          <w:sz w:val="24"/>
          <w:highlight w:val="none"/>
        </w:rPr>
      </w:pPr>
      <w:r>
        <w:rPr>
          <w:rFonts w:hint="eastAsia" w:ascii="宋体"/>
          <w:color w:val="auto"/>
          <w:sz w:val="24"/>
          <w:highlight w:val="none"/>
        </w:rPr>
        <w:t>7.资金使用计划表</w:t>
      </w:r>
    </w:p>
    <w:p>
      <w:pPr>
        <w:spacing w:line="400" w:lineRule="exact"/>
        <w:ind w:firstLine="480" w:firstLineChars="200"/>
        <w:rPr>
          <w:rFonts w:ascii="宋体"/>
          <w:color w:val="auto"/>
          <w:sz w:val="24"/>
          <w:highlight w:val="none"/>
        </w:rPr>
      </w:pPr>
      <w:r>
        <w:rPr>
          <w:rFonts w:hint="eastAsia" w:ascii="宋体"/>
          <w:color w:val="auto"/>
          <w:sz w:val="24"/>
          <w:highlight w:val="none"/>
        </w:rPr>
        <w:t>8.主要施工工艺的工艺流程图</w:t>
      </w:r>
    </w:p>
    <w:p>
      <w:pPr>
        <w:spacing w:line="400" w:lineRule="exact"/>
        <w:ind w:firstLine="360" w:firstLineChars="150"/>
        <w:rPr>
          <w:rFonts w:ascii="宋体"/>
          <w:color w:val="auto"/>
          <w:sz w:val="24"/>
          <w:highlight w:val="none"/>
        </w:rPr>
      </w:pPr>
    </w:p>
    <w:p>
      <w:pPr>
        <w:widowControl/>
        <w:jc w:val="left"/>
        <w:rPr>
          <w:rFonts w:ascii="宋体"/>
          <w:color w:val="auto"/>
          <w:sz w:val="28"/>
          <w:szCs w:val="27"/>
          <w:highlight w:val="none"/>
        </w:rPr>
      </w:pPr>
    </w:p>
    <w:p>
      <w:pPr>
        <w:pageBreakBefore/>
        <w:widowControl/>
        <w:jc w:val="left"/>
        <w:rPr>
          <w:rFonts w:ascii="宋体"/>
          <w:color w:val="auto"/>
          <w:sz w:val="28"/>
          <w:szCs w:val="27"/>
          <w:highlight w:val="none"/>
        </w:rPr>
      </w:pPr>
    </w:p>
    <w:p>
      <w:pPr>
        <w:spacing w:line="360" w:lineRule="auto"/>
        <w:jc w:val="center"/>
        <w:outlineLvl w:val="2"/>
        <w:rPr>
          <w:rFonts w:ascii="宋体"/>
          <w:color w:val="auto"/>
          <w:sz w:val="28"/>
          <w:szCs w:val="27"/>
          <w:highlight w:val="none"/>
        </w:rPr>
      </w:pPr>
      <w:bookmarkStart w:id="942" w:name="_Toc17452701"/>
      <w:bookmarkStart w:id="943" w:name="_Toc75788623"/>
      <w:bookmarkStart w:id="944" w:name="_Toc17528"/>
      <w:bookmarkStart w:id="945" w:name="_Toc17556913"/>
      <w:bookmarkStart w:id="946" w:name="_Toc17454908"/>
      <w:bookmarkStart w:id="947" w:name="_Toc17451138"/>
      <w:bookmarkStart w:id="948" w:name="_Toc17454959"/>
      <w:bookmarkStart w:id="949" w:name="_Toc13884"/>
      <w:bookmarkStart w:id="950" w:name="_Toc17451615"/>
      <w:bookmarkStart w:id="951" w:name="_Toc17451660"/>
      <w:r>
        <w:rPr>
          <w:rFonts w:hint="eastAsia" w:ascii="宋体"/>
          <w:color w:val="auto"/>
          <w:sz w:val="28"/>
          <w:szCs w:val="27"/>
          <w:highlight w:val="none"/>
        </w:rPr>
        <w:t>八</w:t>
      </w:r>
      <w:r>
        <w:rPr>
          <w:rFonts w:ascii="宋体"/>
          <w:color w:val="auto"/>
          <w:sz w:val="28"/>
          <w:szCs w:val="27"/>
          <w:highlight w:val="none"/>
        </w:rPr>
        <w:t>、项目管理机构</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spacing w:line="400" w:lineRule="exact"/>
        <w:jc w:val="left"/>
        <w:outlineLvl w:val="3"/>
        <w:rPr>
          <w:rFonts w:ascii="宋体"/>
          <w:b/>
          <w:color w:val="auto"/>
          <w:sz w:val="24"/>
          <w:szCs w:val="31"/>
          <w:highlight w:val="none"/>
        </w:rPr>
      </w:pPr>
      <w:bookmarkStart w:id="952" w:name="_Toc144974872"/>
      <w:bookmarkStart w:id="953" w:name="_Toc168475931"/>
      <w:bookmarkStart w:id="954" w:name="_Toc221952116"/>
      <w:bookmarkStart w:id="955" w:name="_Toc168476334"/>
      <w:r>
        <w:rPr>
          <w:rFonts w:ascii="宋体"/>
          <w:b/>
          <w:color w:val="auto"/>
          <w:sz w:val="24"/>
          <w:szCs w:val="31"/>
          <w:highlight w:val="none"/>
        </w:rPr>
        <w:t>（一）项目管理机构组成表</w:t>
      </w:r>
      <w:bookmarkEnd w:id="952"/>
      <w:bookmarkEnd w:id="953"/>
      <w:bookmarkEnd w:id="954"/>
      <w:bookmarkEnd w:id="955"/>
    </w:p>
    <w:tbl>
      <w:tblPr>
        <w:tblStyle w:val="4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21"/>
        <w:gridCol w:w="720"/>
        <w:gridCol w:w="1081"/>
        <w:gridCol w:w="720"/>
        <w:gridCol w:w="721"/>
        <w:gridCol w:w="720"/>
        <w:gridCol w:w="2524"/>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restart"/>
            <w:vAlign w:val="center"/>
          </w:tcPr>
          <w:p>
            <w:pPr>
              <w:spacing w:line="400" w:lineRule="exact"/>
              <w:jc w:val="center"/>
              <w:rPr>
                <w:rFonts w:ascii="宋体"/>
                <w:color w:val="auto"/>
                <w:szCs w:val="21"/>
                <w:highlight w:val="none"/>
              </w:rPr>
            </w:pPr>
            <w:bookmarkStart w:id="956" w:name="_Toc221952117"/>
            <w:r>
              <w:rPr>
                <w:rFonts w:ascii="宋体"/>
                <w:color w:val="auto"/>
                <w:szCs w:val="21"/>
                <w:highlight w:val="none"/>
              </w:rPr>
              <w:t>职务</w:t>
            </w:r>
            <w:bookmarkEnd w:id="956"/>
          </w:p>
        </w:tc>
        <w:tc>
          <w:tcPr>
            <w:tcW w:w="721" w:type="dxa"/>
            <w:vMerge w:val="restart"/>
            <w:vAlign w:val="center"/>
          </w:tcPr>
          <w:p>
            <w:pPr>
              <w:spacing w:line="400" w:lineRule="exact"/>
              <w:jc w:val="center"/>
              <w:rPr>
                <w:rFonts w:ascii="宋体"/>
                <w:color w:val="auto"/>
                <w:szCs w:val="21"/>
                <w:highlight w:val="none"/>
              </w:rPr>
            </w:pPr>
            <w:bookmarkStart w:id="957" w:name="_Toc221952118"/>
            <w:r>
              <w:rPr>
                <w:rFonts w:ascii="宋体"/>
                <w:color w:val="auto"/>
                <w:szCs w:val="21"/>
                <w:highlight w:val="none"/>
              </w:rPr>
              <w:t>姓名</w:t>
            </w:r>
            <w:bookmarkEnd w:id="957"/>
          </w:p>
        </w:tc>
        <w:tc>
          <w:tcPr>
            <w:tcW w:w="720" w:type="dxa"/>
            <w:vMerge w:val="restart"/>
            <w:vAlign w:val="center"/>
          </w:tcPr>
          <w:p>
            <w:pPr>
              <w:spacing w:line="400" w:lineRule="exact"/>
              <w:jc w:val="center"/>
              <w:rPr>
                <w:rFonts w:ascii="宋体"/>
                <w:color w:val="auto"/>
                <w:szCs w:val="21"/>
                <w:highlight w:val="none"/>
              </w:rPr>
            </w:pPr>
            <w:bookmarkStart w:id="958" w:name="_Toc221952119"/>
            <w:r>
              <w:rPr>
                <w:rFonts w:ascii="宋体"/>
                <w:color w:val="auto"/>
                <w:szCs w:val="21"/>
                <w:highlight w:val="none"/>
              </w:rPr>
              <w:t>职称</w:t>
            </w:r>
            <w:bookmarkEnd w:id="958"/>
          </w:p>
        </w:tc>
        <w:tc>
          <w:tcPr>
            <w:tcW w:w="5766" w:type="dxa"/>
            <w:gridSpan w:val="5"/>
            <w:vAlign w:val="center"/>
          </w:tcPr>
          <w:p>
            <w:pPr>
              <w:spacing w:line="400" w:lineRule="exact"/>
              <w:jc w:val="center"/>
              <w:rPr>
                <w:rFonts w:ascii="宋体"/>
                <w:color w:val="auto"/>
                <w:szCs w:val="21"/>
                <w:highlight w:val="none"/>
              </w:rPr>
            </w:pPr>
            <w:bookmarkStart w:id="959" w:name="_Toc221952120"/>
            <w:r>
              <w:rPr>
                <w:rFonts w:ascii="宋体"/>
                <w:color w:val="auto"/>
                <w:szCs w:val="21"/>
                <w:highlight w:val="none"/>
              </w:rPr>
              <w:t>执业或职业资格证明</w:t>
            </w:r>
            <w:bookmarkEnd w:id="959"/>
          </w:p>
        </w:tc>
        <w:tc>
          <w:tcPr>
            <w:tcW w:w="671" w:type="dxa"/>
            <w:vAlign w:val="center"/>
          </w:tcPr>
          <w:p>
            <w:pPr>
              <w:spacing w:line="400" w:lineRule="exact"/>
              <w:jc w:val="center"/>
              <w:rPr>
                <w:rFonts w:ascii="宋体"/>
                <w:color w:val="auto"/>
                <w:szCs w:val="21"/>
                <w:highlight w:val="none"/>
              </w:rPr>
            </w:pPr>
            <w:bookmarkStart w:id="960" w:name="_Toc221952121"/>
            <w:r>
              <w:rPr>
                <w:rFonts w:ascii="宋体"/>
                <w:color w:val="auto"/>
                <w:szCs w:val="21"/>
                <w:highlight w:val="none"/>
              </w:rPr>
              <w:t>备注</w:t>
            </w:r>
            <w:bookmarkEnd w:id="9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Merge w:val="continue"/>
            <w:vAlign w:val="center"/>
          </w:tcPr>
          <w:p>
            <w:pPr>
              <w:rPr>
                <w:color w:val="auto"/>
                <w:highlight w:val="none"/>
              </w:rPr>
            </w:pPr>
          </w:p>
        </w:tc>
        <w:tc>
          <w:tcPr>
            <w:tcW w:w="721" w:type="dxa"/>
            <w:vMerge w:val="continue"/>
            <w:vAlign w:val="center"/>
          </w:tcPr>
          <w:p>
            <w:pPr>
              <w:rPr>
                <w:color w:val="auto"/>
                <w:highlight w:val="none"/>
              </w:rPr>
            </w:pPr>
          </w:p>
        </w:tc>
        <w:tc>
          <w:tcPr>
            <w:tcW w:w="720" w:type="dxa"/>
            <w:vMerge w:val="continue"/>
            <w:vAlign w:val="center"/>
          </w:tcPr>
          <w:p>
            <w:pPr>
              <w:rPr>
                <w:color w:val="auto"/>
                <w:highlight w:val="none"/>
              </w:rPr>
            </w:pPr>
          </w:p>
        </w:tc>
        <w:tc>
          <w:tcPr>
            <w:tcW w:w="1081" w:type="dxa"/>
            <w:vAlign w:val="center"/>
          </w:tcPr>
          <w:p>
            <w:pPr>
              <w:spacing w:line="400" w:lineRule="exact"/>
              <w:jc w:val="center"/>
              <w:rPr>
                <w:rFonts w:ascii="宋体"/>
                <w:color w:val="auto"/>
                <w:szCs w:val="21"/>
                <w:highlight w:val="none"/>
              </w:rPr>
            </w:pPr>
            <w:bookmarkStart w:id="961" w:name="_Toc221952122"/>
            <w:r>
              <w:rPr>
                <w:rFonts w:ascii="宋体"/>
                <w:color w:val="auto"/>
                <w:szCs w:val="21"/>
                <w:highlight w:val="none"/>
              </w:rPr>
              <w:t>证书名称</w:t>
            </w:r>
            <w:bookmarkEnd w:id="961"/>
          </w:p>
        </w:tc>
        <w:tc>
          <w:tcPr>
            <w:tcW w:w="720" w:type="dxa"/>
            <w:vAlign w:val="center"/>
          </w:tcPr>
          <w:p>
            <w:pPr>
              <w:spacing w:line="400" w:lineRule="exact"/>
              <w:jc w:val="center"/>
              <w:rPr>
                <w:rFonts w:ascii="宋体"/>
                <w:color w:val="auto"/>
                <w:szCs w:val="21"/>
                <w:highlight w:val="none"/>
              </w:rPr>
            </w:pPr>
            <w:bookmarkStart w:id="962" w:name="_Toc221952123"/>
            <w:r>
              <w:rPr>
                <w:rFonts w:ascii="宋体"/>
                <w:color w:val="auto"/>
                <w:szCs w:val="21"/>
                <w:highlight w:val="none"/>
              </w:rPr>
              <w:t>级别</w:t>
            </w:r>
            <w:bookmarkEnd w:id="962"/>
          </w:p>
        </w:tc>
        <w:tc>
          <w:tcPr>
            <w:tcW w:w="721" w:type="dxa"/>
            <w:vAlign w:val="center"/>
          </w:tcPr>
          <w:p>
            <w:pPr>
              <w:spacing w:line="400" w:lineRule="exact"/>
              <w:jc w:val="center"/>
              <w:rPr>
                <w:rFonts w:ascii="宋体"/>
                <w:color w:val="auto"/>
                <w:szCs w:val="21"/>
                <w:highlight w:val="none"/>
              </w:rPr>
            </w:pPr>
            <w:bookmarkStart w:id="963" w:name="_Toc221952124"/>
            <w:r>
              <w:rPr>
                <w:rFonts w:ascii="宋体"/>
                <w:color w:val="auto"/>
                <w:szCs w:val="21"/>
                <w:highlight w:val="none"/>
              </w:rPr>
              <w:t>证号</w:t>
            </w:r>
            <w:bookmarkEnd w:id="963"/>
          </w:p>
        </w:tc>
        <w:tc>
          <w:tcPr>
            <w:tcW w:w="720" w:type="dxa"/>
            <w:vAlign w:val="center"/>
          </w:tcPr>
          <w:p>
            <w:pPr>
              <w:spacing w:line="400" w:lineRule="exact"/>
              <w:jc w:val="center"/>
              <w:rPr>
                <w:rFonts w:ascii="宋体"/>
                <w:color w:val="auto"/>
                <w:szCs w:val="21"/>
                <w:highlight w:val="none"/>
              </w:rPr>
            </w:pPr>
            <w:bookmarkStart w:id="964" w:name="_Toc221952125"/>
            <w:r>
              <w:rPr>
                <w:rFonts w:ascii="宋体"/>
                <w:color w:val="auto"/>
                <w:szCs w:val="21"/>
                <w:highlight w:val="none"/>
              </w:rPr>
              <w:t>专业</w:t>
            </w:r>
            <w:bookmarkEnd w:id="964"/>
          </w:p>
        </w:tc>
        <w:tc>
          <w:tcPr>
            <w:tcW w:w="2524" w:type="dxa"/>
            <w:vAlign w:val="center"/>
          </w:tcPr>
          <w:p>
            <w:pPr>
              <w:spacing w:line="400" w:lineRule="exact"/>
              <w:jc w:val="center"/>
              <w:rPr>
                <w:rFonts w:ascii="宋体"/>
                <w:color w:val="auto"/>
                <w:szCs w:val="21"/>
                <w:highlight w:val="none"/>
              </w:rPr>
            </w:pPr>
            <w:bookmarkStart w:id="965" w:name="_Toc221952126"/>
            <w:r>
              <w:rPr>
                <w:rFonts w:hint="eastAsia" w:ascii="宋体"/>
                <w:color w:val="auto"/>
                <w:szCs w:val="21"/>
                <w:highlight w:val="none"/>
              </w:rPr>
              <w:t>社会</w:t>
            </w:r>
            <w:r>
              <w:rPr>
                <w:rFonts w:ascii="宋体"/>
                <w:color w:val="auto"/>
                <w:szCs w:val="21"/>
                <w:highlight w:val="none"/>
              </w:rPr>
              <w:t>保险</w:t>
            </w:r>
            <w:bookmarkEnd w:id="965"/>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108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721" w:type="dxa"/>
            <w:vAlign w:val="center"/>
          </w:tcPr>
          <w:p>
            <w:pPr>
              <w:spacing w:line="400" w:lineRule="exact"/>
              <w:jc w:val="center"/>
              <w:rPr>
                <w:rFonts w:ascii="宋体"/>
                <w:color w:val="auto"/>
                <w:szCs w:val="21"/>
                <w:highlight w:val="none"/>
              </w:rPr>
            </w:pPr>
          </w:p>
        </w:tc>
        <w:tc>
          <w:tcPr>
            <w:tcW w:w="720" w:type="dxa"/>
            <w:vAlign w:val="center"/>
          </w:tcPr>
          <w:p>
            <w:pPr>
              <w:spacing w:line="400" w:lineRule="exact"/>
              <w:jc w:val="center"/>
              <w:rPr>
                <w:rFonts w:ascii="宋体"/>
                <w:color w:val="auto"/>
                <w:szCs w:val="21"/>
                <w:highlight w:val="none"/>
              </w:rPr>
            </w:pPr>
          </w:p>
        </w:tc>
        <w:tc>
          <w:tcPr>
            <w:tcW w:w="2524" w:type="dxa"/>
            <w:vAlign w:val="center"/>
          </w:tcPr>
          <w:p>
            <w:pPr>
              <w:spacing w:line="400" w:lineRule="exact"/>
              <w:jc w:val="center"/>
              <w:rPr>
                <w:rFonts w:ascii="宋体"/>
                <w:color w:val="auto"/>
                <w:szCs w:val="21"/>
                <w:highlight w:val="none"/>
              </w:rPr>
            </w:pPr>
          </w:p>
        </w:tc>
        <w:tc>
          <w:tcPr>
            <w:tcW w:w="671" w:type="dxa"/>
            <w:vAlign w:val="center"/>
          </w:tcPr>
          <w:p>
            <w:pPr>
              <w:spacing w:line="400" w:lineRule="exact"/>
              <w:jc w:val="center"/>
              <w:rPr>
                <w:rFonts w:ascii="宋体"/>
                <w:color w:val="auto"/>
                <w:szCs w:val="21"/>
                <w:highlight w:val="none"/>
              </w:rPr>
            </w:pPr>
          </w:p>
        </w:tc>
      </w:tr>
    </w:tbl>
    <w:p>
      <w:pPr>
        <w:spacing w:line="400" w:lineRule="exact"/>
        <w:rPr>
          <w:rFonts w:ascii="宋体"/>
          <w:color w:val="auto"/>
          <w:sz w:val="19"/>
          <w:szCs w:val="19"/>
          <w:highlight w:val="none"/>
        </w:rPr>
      </w:pPr>
    </w:p>
    <w:p>
      <w:pPr>
        <w:topLinePunct/>
        <w:spacing w:line="400" w:lineRule="exact"/>
        <w:rPr>
          <w:rFonts w:ascii="宋体"/>
          <w:color w:val="auto"/>
          <w:sz w:val="19"/>
          <w:szCs w:val="19"/>
          <w:highlight w:val="none"/>
        </w:rPr>
      </w:pPr>
    </w:p>
    <w:p>
      <w:pPr>
        <w:widowControl/>
        <w:jc w:val="left"/>
        <w:rPr>
          <w:rFonts w:ascii="宋体"/>
          <w:b/>
          <w:color w:val="auto"/>
          <w:sz w:val="24"/>
          <w:szCs w:val="31"/>
          <w:highlight w:val="none"/>
        </w:rPr>
      </w:pPr>
      <w:bookmarkStart w:id="966" w:name="_Toc221952127"/>
      <w:bookmarkStart w:id="967" w:name="_Toc168475932"/>
      <w:bookmarkStart w:id="968" w:name="_Toc144974873"/>
      <w:bookmarkStart w:id="969" w:name="_Toc168476335"/>
      <w:r>
        <w:rPr>
          <w:rFonts w:ascii="宋体"/>
          <w:b/>
          <w:color w:val="auto"/>
          <w:sz w:val="24"/>
          <w:szCs w:val="31"/>
          <w:highlight w:val="none"/>
        </w:rPr>
        <w:br w:type="page"/>
      </w:r>
    </w:p>
    <w:p>
      <w:pPr>
        <w:spacing w:line="400" w:lineRule="exact"/>
        <w:jc w:val="left"/>
        <w:outlineLvl w:val="3"/>
        <w:rPr>
          <w:rFonts w:ascii="宋体"/>
          <w:b/>
          <w:color w:val="auto"/>
          <w:sz w:val="24"/>
          <w:szCs w:val="31"/>
          <w:highlight w:val="none"/>
        </w:rPr>
      </w:pPr>
      <w:r>
        <w:rPr>
          <w:rFonts w:ascii="宋体"/>
          <w:b/>
          <w:color w:val="auto"/>
          <w:sz w:val="24"/>
          <w:szCs w:val="31"/>
          <w:highlight w:val="none"/>
        </w:rPr>
        <w:t>（二）主要人员简历表</w:t>
      </w:r>
      <w:bookmarkEnd w:id="966"/>
      <w:bookmarkEnd w:id="967"/>
      <w:bookmarkEnd w:id="968"/>
      <w:bookmarkEnd w:id="969"/>
    </w:p>
    <w:tbl>
      <w:tblPr>
        <w:tblStyle w:val="4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50"/>
        <w:gridCol w:w="701"/>
        <w:gridCol w:w="902"/>
        <w:gridCol w:w="1037"/>
        <w:gridCol w:w="691"/>
        <w:gridCol w:w="1228"/>
        <w:gridCol w:w="49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2" w:type="dxa"/>
            <w:vAlign w:val="center"/>
          </w:tcPr>
          <w:p>
            <w:pPr>
              <w:jc w:val="center"/>
              <w:rPr>
                <w:rFonts w:ascii="宋体"/>
                <w:color w:val="auto"/>
                <w:szCs w:val="21"/>
                <w:highlight w:val="none"/>
              </w:rPr>
            </w:pPr>
            <w:bookmarkStart w:id="970" w:name="_Toc221952129"/>
            <w:r>
              <w:rPr>
                <w:rFonts w:ascii="宋体"/>
                <w:color w:val="auto"/>
                <w:szCs w:val="21"/>
                <w:highlight w:val="none"/>
              </w:rPr>
              <w:t>姓  名</w:t>
            </w:r>
            <w:bookmarkEnd w:id="970"/>
          </w:p>
        </w:tc>
        <w:tc>
          <w:tcPr>
            <w:tcW w:w="1051" w:type="dxa"/>
            <w:gridSpan w:val="2"/>
            <w:vAlign w:val="center"/>
          </w:tcPr>
          <w:p>
            <w:pPr>
              <w:jc w:val="center"/>
              <w:rPr>
                <w:rFonts w:ascii="宋体"/>
                <w:color w:val="auto"/>
                <w:szCs w:val="21"/>
                <w:highlight w:val="none"/>
              </w:rPr>
            </w:pPr>
          </w:p>
        </w:tc>
        <w:tc>
          <w:tcPr>
            <w:tcW w:w="902" w:type="dxa"/>
            <w:vAlign w:val="center"/>
          </w:tcPr>
          <w:p>
            <w:pPr>
              <w:jc w:val="center"/>
              <w:rPr>
                <w:rFonts w:ascii="宋体"/>
                <w:color w:val="auto"/>
                <w:szCs w:val="21"/>
                <w:highlight w:val="none"/>
              </w:rPr>
            </w:pPr>
            <w:bookmarkStart w:id="971" w:name="_Toc221952130"/>
            <w:r>
              <w:rPr>
                <w:rFonts w:ascii="宋体"/>
                <w:color w:val="auto"/>
                <w:szCs w:val="21"/>
                <w:highlight w:val="none"/>
              </w:rPr>
              <w:t>年 龄</w:t>
            </w:r>
            <w:bookmarkEnd w:id="971"/>
          </w:p>
        </w:tc>
        <w:tc>
          <w:tcPr>
            <w:tcW w:w="1037" w:type="dxa"/>
            <w:vAlign w:val="center"/>
          </w:tcPr>
          <w:p>
            <w:pPr>
              <w:jc w:val="center"/>
              <w:rPr>
                <w:rFonts w:ascii="宋体"/>
                <w:color w:val="auto"/>
                <w:szCs w:val="21"/>
                <w:highlight w:val="none"/>
              </w:rPr>
            </w:pPr>
          </w:p>
        </w:tc>
        <w:tc>
          <w:tcPr>
            <w:tcW w:w="2409" w:type="dxa"/>
            <w:gridSpan w:val="3"/>
            <w:vAlign w:val="center"/>
          </w:tcPr>
          <w:p>
            <w:pPr>
              <w:jc w:val="center"/>
              <w:rPr>
                <w:rFonts w:ascii="宋体"/>
                <w:color w:val="auto"/>
                <w:szCs w:val="21"/>
                <w:highlight w:val="none"/>
              </w:rPr>
            </w:pPr>
            <w:bookmarkStart w:id="972" w:name="_Toc221952131"/>
            <w:r>
              <w:rPr>
                <w:rFonts w:ascii="宋体"/>
                <w:color w:val="auto"/>
                <w:szCs w:val="21"/>
                <w:highlight w:val="none"/>
              </w:rPr>
              <w:t>学历</w:t>
            </w:r>
            <w:bookmarkEnd w:id="972"/>
          </w:p>
        </w:tc>
        <w:tc>
          <w:tcPr>
            <w:tcW w:w="1977" w:type="dxa"/>
            <w:vAlign w:val="center"/>
          </w:tcPr>
          <w:p>
            <w:pPr>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color w:val="auto"/>
                <w:szCs w:val="21"/>
                <w:highlight w:val="none"/>
              </w:rPr>
            </w:pPr>
            <w:r>
              <w:rPr>
                <w:rFonts w:hint="eastAsia" w:ascii="宋体"/>
                <w:color w:val="auto"/>
                <w:szCs w:val="21"/>
                <w:highlight w:val="none"/>
              </w:rPr>
              <w:t>执业资格</w:t>
            </w:r>
          </w:p>
        </w:tc>
        <w:tc>
          <w:tcPr>
            <w:tcW w:w="2990" w:type="dxa"/>
            <w:gridSpan w:val="4"/>
            <w:vAlign w:val="center"/>
          </w:tcPr>
          <w:p>
            <w:pPr>
              <w:spacing w:line="360" w:lineRule="auto"/>
              <w:jc w:val="center"/>
              <w:rPr>
                <w:rFonts w:ascii="宋体"/>
                <w:color w:val="auto"/>
                <w:szCs w:val="21"/>
                <w:highlight w:val="none"/>
              </w:rPr>
            </w:pPr>
          </w:p>
        </w:tc>
        <w:tc>
          <w:tcPr>
            <w:tcW w:w="2409" w:type="dxa"/>
            <w:gridSpan w:val="3"/>
            <w:vAlign w:val="center"/>
          </w:tcPr>
          <w:p>
            <w:pPr>
              <w:spacing w:line="360" w:lineRule="auto"/>
              <w:jc w:val="center"/>
              <w:rPr>
                <w:rFonts w:ascii="宋体"/>
                <w:color w:val="auto"/>
                <w:szCs w:val="21"/>
                <w:highlight w:val="none"/>
              </w:rPr>
            </w:pPr>
            <w:r>
              <w:rPr>
                <w:rFonts w:hint="eastAsia" w:ascii="宋体"/>
                <w:color w:val="auto"/>
                <w:szCs w:val="21"/>
                <w:highlight w:val="none"/>
              </w:rPr>
              <w:t>安全培训考核合格证书</w:t>
            </w:r>
          </w:p>
        </w:tc>
        <w:tc>
          <w:tcPr>
            <w:tcW w:w="1977"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color w:val="auto"/>
                <w:szCs w:val="21"/>
                <w:highlight w:val="none"/>
              </w:rPr>
            </w:pPr>
            <w:bookmarkStart w:id="973" w:name="_Toc221952132"/>
            <w:r>
              <w:rPr>
                <w:rFonts w:ascii="宋体"/>
                <w:color w:val="auto"/>
                <w:szCs w:val="21"/>
                <w:highlight w:val="none"/>
              </w:rPr>
              <w:t>职  称</w:t>
            </w:r>
            <w:bookmarkEnd w:id="973"/>
          </w:p>
        </w:tc>
        <w:tc>
          <w:tcPr>
            <w:tcW w:w="1051" w:type="dxa"/>
            <w:gridSpan w:val="2"/>
            <w:vAlign w:val="center"/>
          </w:tcPr>
          <w:p>
            <w:pPr>
              <w:spacing w:line="360" w:lineRule="auto"/>
              <w:jc w:val="center"/>
              <w:rPr>
                <w:rFonts w:ascii="宋体"/>
                <w:color w:val="auto"/>
                <w:szCs w:val="21"/>
                <w:highlight w:val="none"/>
              </w:rPr>
            </w:pPr>
          </w:p>
        </w:tc>
        <w:tc>
          <w:tcPr>
            <w:tcW w:w="902" w:type="dxa"/>
            <w:vAlign w:val="center"/>
          </w:tcPr>
          <w:p>
            <w:pPr>
              <w:spacing w:line="360" w:lineRule="auto"/>
              <w:jc w:val="center"/>
              <w:rPr>
                <w:rFonts w:ascii="宋体"/>
                <w:color w:val="auto"/>
                <w:szCs w:val="21"/>
                <w:highlight w:val="none"/>
              </w:rPr>
            </w:pPr>
            <w:bookmarkStart w:id="974" w:name="_Toc221952133"/>
            <w:r>
              <w:rPr>
                <w:rFonts w:ascii="宋体"/>
                <w:color w:val="auto"/>
                <w:szCs w:val="21"/>
                <w:highlight w:val="none"/>
              </w:rPr>
              <w:t>职 务</w:t>
            </w:r>
            <w:bookmarkEnd w:id="974"/>
          </w:p>
        </w:tc>
        <w:tc>
          <w:tcPr>
            <w:tcW w:w="1037" w:type="dxa"/>
            <w:vAlign w:val="center"/>
          </w:tcPr>
          <w:p>
            <w:pPr>
              <w:spacing w:line="360" w:lineRule="auto"/>
              <w:jc w:val="center"/>
              <w:rPr>
                <w:rFonts w:ascii="宋体"/>
                <w:color w:val="auto"/>
                <w:szCs w:val="21"/>
                <w:highlight w:val="none"/>
              </w:rPr>
            </w:pPr>
          </w:p>
        </w:tc>
        <w:tc>
          <w:tcPr>
            <w:tcW w:w="2409" w:type="dxa"/>
            <w:gridSpan w:val="3"/>
            <w:vAlign w:val="center"/>
          </w:tcPr>
          <w:p>
            <w:pPr>
              <w:spacing w:line="360" w:lineRule="auto"/>
              <w:jc w:val="center"/>
              <w:rPr>
                <w:rFonts w:ascii="宋体"/>
                <w:color w:val="auto"/>
                <w:szCs w:val="21"/>
                <w:highlight w:val="none"/>
              </w:rPr>
            </w:pPr>
            <w:bookmarkStart w:id="975" w:name="_Toc221952134"/>
            <w:r>
              <w:rPr>
                <w:rFonts w:ascii="宋体"/>
                <w:color w:val="auto"/>
                <w:szCs w:val="21"/>
                <w:highlight w:val="none"/>
              </w:rPr>
              <w:t>拟在本合同任职</w:t>
            </w:r>
            <w:bookmarkEnd w:id="975"/>
          </w:p>
        </w:tc>
        <w:tc>
          <w:tcPr>
            <w:tcW w:w="1977" w:type="dxa"/>
            <w:vAlign w:val="center"/>
          </w:tcPr>
          <w:p>
            <w:pPr>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color w:val="auto"/>
                <w:szCs w:val="21"/>
                <w:highlight w:val="none"/>
              </w:rPr>
            </w:pPr>
            <w:bookmarkStart w:id="976" w:name="_Toc221952135"/>
            <w:r>
              <w:rPr>
                <w:rFonts w:ascii="宋体"/>
                <w:color w:val="auto"/>
                <w:szCs w:val="21"/>
                <w:highlight w:val="none"/>
              </w:rPr>
              <w:t>毕业学校</w:t>
            </w:r>
            <w:bookmarkEnd w:id="976"/>
          </w:p>
        </w:tc>
        <w:tc>
          <w:tcPr>
            <w:tcW w:w="7376" w:type="dxa"/>
            <w:gridSpan w:val="8"/>
          </w:tcPr>
          <w:p>
            <w:pPr>
              <w:spacing w:line="360" w:lineRule="auto"/>
              <w:rPr>
                <w:rFonts w:ascii="宋体"/>
                <w:color w:val="auto"/>
                <w:szCs w:val="21"/>
                <w:highlight w:val="none"/>
              </w:rPr>
            </w:pPr>
            <w:bookmarkStart w:id="977" w:name="_Toc221952136"/>
            <w:r>
              <w:rPr>
                <w:rFonts w:ascii="宋体"/>
                <w:color w:val="auto"/>
                <w:szCs w:val="21"/>
                <w:highlight w:val="none"/>
              </w:rPr>
              <w:t>年毕业于            学校        专业</w:t>
            </w:r>
            <w:bookmarkEnd w:id="9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9"/>
            <w:vAlign w:val="center"/>
          </w:tcPr>
          <w:p>
            <w:pPr>
              <w:spacing w:line="360" w:lineRule="auto"/>
              <w:jc w:val="center"/>
              <w:rPr>
                <w:rFonts w:ascii="宋体"/>
                <w:color w:val="auto"/>
                <w:szCs w:val="21"/>
                <w:highlight w:val="none"/>
              </w:rPr>
            </w:pPr>
            <w:bookmarkStart w:id="978" w:name="_Toc221952137"/>
            <w:r>
              <w:rPr>
                <w:rFonts w:ascii="宋体"/>
                <w:color w:val="auto"/>
                <w:szCs w:val="21"/>
                <w:highlight w:val="none"/>
              </w:rPr>
              <w:t>主要</w:t>
            </w:r>
            <w:r>
              <w:rPr>
                <w:rFonts w:hint="eastAsia" w:ascii="宋体"/>
                <w:color w:val="auto"/>
                <w:szCs w:val="21"/>
                <w:highlight w:val="none"/>
              </w:rPr>
              <w:t>施工管理</w:t>
            </w:r>
            <w:r>
              <w:rPr>
                <w:rFonts w:ascii="宋体"/>
                <w:color w:val="auto"/>
                <w:szCs w:val="21"/>
                <w:highlight w:val="none"/>
              </w:rPr>
              <w:t>经历</w:t>
            </w:r>
            <w:bookmarkEnd w:id="9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2" w:type="dxa"/>
            <w:gridSpan w:val="2"/>
            <w:vAlign w:val="center"/>
          </w:tcPr>
          <w:p>
            <w:pPr>
              <w:spacing w:line="360" w:lineRule="auto"/>
              <w:jc w:val="center"/>
              <w:rPr>
                <w:rFonts w:ascii="宋体"/>
                <w:color w:val="auto"/>
                <w:szCs w:val="21"/>
                <w:highlight w:val="none"/>
              </w:rPr>
            </w:pPr>
            <w:bookmarkStart w:id="979" w:name="_Toc221952138"/>
            <w:r>
              <w:rPr>
                <w:rFonts w:ascii="宋体"/>
                <w:color w:val="auto"/>
                <w:szCs w:val="21"/>
                <w:highlight w:val="none"/>
              </w:rPr>
              <w:t>时  间</w:t>
            </w:r>
            <w:bookmarkEnd w:id="979"/>
          </w:p>
        </w:tc>
        <w:tc>
          <w:tcPr>
            <w:tcW w:w="3331" w:type="dxa"/>
            <w:gridSpan w:val="4"/>
            <w:vAlign w:val="center"/>
          </w:tcPr>
          <w:p>
            <w:pPr>
              <w:spacing w:line="360" w:lineRule="auto"/>
              <w:jc w:val="center"/>
              <w:rPr>
                <w:rFonts w:ascii="宋体"/>
                <w:color w:val="auto"/>
                <w:szCs w:val="21"/>
                <w:highlight w:val="none"/>
              </w:rPr>
            </w:pPr>
            <w:bookmarkStart w:id="980" w:name="_Toc221952139"/>
            <w:r>
              <w:rPr>
                <w:rFonts w:ascii="宋体"/>
                <w:color w:val="auto"/>
                <w:szCs w:val="21"/>
                <w:highlight w:val="none"/>
              </w:rPr>
              <w:t>参加过的类似项目</w:t>
            </w:r>
            <w:bookmarkEnd w:id="980"/>
          </w:p>
        </w:tc>
        <w:tc>
          <w:tcPr>
            <w:tcW w:w="1228" w:type="dxa"/>
            <w:vAlign w:val="center"/>
          </w:tcPr>
          <w:p>
            <w:pPr>
              <w:spacing w:line="360" w:lineRule="auto"/>
              <w:jc w:val="center"/>
              <w:rPr>
                <w:rFonts w:ascii="宋体"/>
                <w:color w:val="auto"/>
                <w:szCs w:val="21"/>
                <w:highlight w:val="none"/>
              </w:rPr>
            </w:pPr>
            <w:bookmarkStart w:id="981" w:name="_Toc221952140"/>
            <w:r>
              <w:rPr>
                <w:rFonts w:ascii="宋体"/>
                <w:color w:val="auto"/>
                <w:szCs w:val="21"/>
                <w:highlight w:val="none"/>
              </w:rPr>
              <w:t>担任职务</w:t>
            </w:r>
            <w:bookmarkEnd w:id="981"/>
          </w:p>
        </w:tc>
        <w:tc>
          <w:tcPr>
            <w:tcW w:w="2467" w:type="dxa"/>
            <w:gridSpan w:val="2"/>
            <w:vAlign w:val="center"/>
          </w:tcPr>
          <w:p>
            <w:pPr>
              <w:spacing w:line="360" w:lineRule="auto"/>
              <w:rPr>
                <w:rFonts w:ascii="宋体"/>
                <w:color w:val="auto"/>
                <w:szCs w:val="21"/>
                <w:highlight w:val="none"/>
              </w:rPr>
            </w:pPr>
            <w:bookmarkStart w:id="982" w:name="_Toc221952141"/>
            <w:r>
              <w:rPr>
                <w:rFonts w:ascii="宋体"/>
                <w:color w:val="auto"/>
                <w:szCs w:val="21"/>
                <w:highlight w:val="none"/>
              </w:rPr>
              <w:t>发包人及联系电话</w:t>
            </w:r>
            <w:bookmarkEnd w:id="9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color w:val="auto"/>
                <w:szCs w:val="21"/>
                <w:highlight w:val="none"/>
              </w:rPr>
            </w:pPr>
          </w:p>
        </w:tc>
        <w:tc>
          <w:tcPr>
            <w:tcW w:w="3331" w:type="dxa"/>
            <w:gridSpan w:val="4"/>
          </w:tcPr>
          <w:p>
            <w:pPr>
              <w:spacing w:line="360" w:lineRule="auto"/>
              <w:rPr>
                <w:rFonts w:ascii="宋体"/>
                <w:color w:val="auto"/>
                <w:szCs w:val="21"/>
                <w:highlight w:val="none"/>
              </w:rPr>
            </w:pPr>
          </w:p>
        </w:tc>
        <w:tc>
          <w:tcPr>
            <w:tcW w:w="1228" w:type="dxa"/>
          </w:tcPr>
          <w:p>
            <w:pPr>
              <w:spacing w:line="360" w:lineRule="auto"/>
              <w:rPr>
                <w:rFonts w:ascii="宋体"/>
                <w:color w:val="auto"/>
                <w:szCs w:val="21"/>
                <w:highlight w:val="none"/>
              </w:rPr>
            </w:pPr>
          </w:p>
        </w:tc>
        <w:tc>
          <w:tcPr>
            <w:tcW w:w="2467" w:type="dxa"/>
            <w:gridSpan w:val="2"/>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color w:val="auto"/>
                <w:szCs w:val="21"/>
                <w:highlight w:val="none"/>
              </w:rPr>
            </w:pPr>
          </w:p>
        </w:tc>
        <w:tc>
          <w:tcPr>
            <w:tcW w:w="3331" w:type="dxa"/>
            <w:gridSpan w:val="4"/>
          </w:tcPr>
          <w:p>
            <w:pPr>
              <w:spacing w:line="360" w:lineRule="auto"/>
              <w:rPr>
                <w:rFonts w:ascii="宋体"/>
                <w:color w:val="auto"/>
                <w:szCs w:val="21"/>
                <w:highlight w:val="none"/>
              </w:rPr>
            </w:pPr>
          </w:p>
        </w:tc>
        <w:tc>
          <w:tcPr>
            <w:tcW w:w="1228" w:type="dxa"/>
          </w:tcPr>
          <w:p>
            <w:pPr>
              <w:spacing w:line="360" w:lineRule="auto"/>
              <w:rPr>
                <w:rFonts w:ascii="宋体"/>
                <w:color w:val="auto"/>
                <w:szCs w:val="21"/>
                <w:highlight w:val="none"/>
              </w:rPr>
            </w:pPr>
          </w:p>
        </w:tc>
        <w:tc>
          <w:tcPr>
            <w:tcW w:w="2467" w:type="dxa"/>
            <w:gridSpan w:val="2"/>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color w:val="auto"/>
                <w:szCs w:val="21"/>
                <w:highlight w:val="none"/>
              </w:rPr>
            </w:pPr>
          </w:p>
        </w:tc>
        <w:tc>
          <w:tcPr>
            <w:tcW w:w="3331" w:type="dxa"/>
            <w:gridSpan w:val="4"/>
          </w:tcPr>
          <w:p>
            <w:pPr>
              <w:spacing w:line="360" w:lineRule="auto"/>
              <w:rPr>
                <w:rFonts w:ascii="宋体"/>
                <w:color w:val="auto"/>
                <w:szCs w:val="21"/>
                <w:highlight w:val="none"/>
              </w:rPr>
            </w:pPr>
          </w:p>
        </w:tc>
        <w:tc>
          <w:tcPr>
            <w:tcW w:w="1228" w:type="dxa"/>
          </w:tcPr>
          <w:p>
            <w:pPr>
              <w:spacing w:line="360" w:lineRule="auto"/>
              <w:rPr>
                <w:rFonts w:ascii="宋体"/>
                <w:color w:val="auto"/>
                <w:szCs w:val="21"/>
                <w:highlight w:val="none"/>
              </w:rPr>
            </w:pPr>
          </w:p>
        </w:tc>
        <w:tc>
          <w:tcPr>
            <w:tcW w:w="2467" w:type="dxa"/>
            <w:gridSpan w:val="2"/>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color w:val="auto"/>
                <w:szCs w:val="21"/>
                <w:highlight w:val="none"/>
              </w:rPr>
            </w:pPr>
          </w:p>
        </w:tc>
        <w:tc>
          <w:tcPr>
            <w:tcW w:w="3331" w:type="dxa"/>
            <w:gridSpan w:val="4"/>
            <w:vAlign w:val="center"/>
          </w:tcPr>
          <w:p>
            <w:pPr>
              <w:spacing w:line="360" w:lineRule="auto"/>
              <w:rPr>
                <w:rFonts w:ascii="宋体"/>
                <w:color w:val="auto"/>
                <w:szCs w:val="21"/>
                <w:highlight w:val="none"/>
              </w:rPr>
            </w:pPr>
          </w:p>
        </w:tc>
        <w:tc>
          <w:tcPr>
            <w:tcW w:w="1228" w:type="dxa"/>
            <w:vAlign w:val="center"/>
          </w:tcPr>
          <w:p>
            <w:pPr>
              <w:spacing w:line="360" w:lineRule="auto"/>
              <w:rPr>
                <w:rFonts w:ascii="宋体"/>
                <w:color w:val="auto"/>
                <w:szCs w:val="21"/>
                <w:highlight w:val="none"/>
              </w:rPr>
            </w:pPr>
          </w:p>
        </w:tc>
        <w:tc>
          <w:tcPr>
            <w:tcW w:w="2467" w:type="dxa"/>
            <w:gridSpan w:val="2"/>
            <w:vAlign w:val="center"/>
          </w:tcPr>
          <w:p>
            <w:pPr>
              <w:spacing w:line="360" w:lineRule="auto"/>
              <w:rPr>
                <w:rFonts w:ascii="宋体"/>
                <w:color w:val="auto"/>
                <w:szCs w:val="21"/>
                <w:highlight w:val="none"/>
              </w:rPr>
            </w:pPr>
          </w:p>
        </w:tc>
      </w:tr>
    </w:tbl>
    <w:p>
      <w:pPr>
        <w:spacing w:line="400" w:lineRule="exact"/>
        <w:rPr>
          <w:rFonts w:ascii="宋体"/>
          <w:color w:val="auto"/>
          <w:sz w:val="19"/>
          <w:szCs w:val="19"/>
          <w:highlight w:val="none"/>
        </w:rPr>
      </w:pPr>
    </w:p>
    <w:p>
      <w:pPr>
        <w:spacing w:line="400" w:lineRule="exact"/>
        <w:rPr>
          <w:rFonts w:ascii="宋体"/>
          <w:color w:val="auto"/>
          <w:sz w:val="20"/>
          <w:szCs w:val="20"/>
          <w:highlight w:val="none"/>
        </w:rPr>
      </w:pPr>
    </w:p>
    <w:p>
      <w:pPr>
        <w:topLinePunct/>
        <w:spacing w:line="400" w:lineRule="exact"/>
        <w:jc w:val="center"/>
        <w:rPr>
          <w:rFonts w:ascii="宋体"/>
          <w:color w:val="auto"/>
          <w:sz w:val="20"/>
          <w:szCs w:val="20"/>
          <w:highlight w:val="none"/>
        </w:rPr>
      </w:pPr>
      <w:r>
        <w:rPr>
          <w:rFonts w:ascii="宋体"/>
          <w:color w:val="auto"/>
          <w:sz w:val="20"/>
          <w:szCs w:val="20"/>
          <w:highlight w:val="none"/>
        </w:rPr>
        <w:br w:type="page"/>
      </w:r>
    </w:p>
    <w:p>
      <w:pPr>
        <w:spacing w:line="360" w:lineRule="auto"/>
        <w:jc w:val="center"/>
        <w:outlineLvl w:val="2"/>
        <w:rPr>
          <w:rFonts w:ascii="宋体"/>
          <w:color w:val="auto"/>
          <w:sz w:val="28"/>
          <w:szCs w:val="27"/>
          <w:highlight w:val="none"/>
        </w:rPr>
      </w:pPr>
      <w:bookmarkStart w:id="983" w:name="_Toc222032738"/>
      <w:bookmarkStart w:id="984" w:name="_Toc222031071"/>
      <w:bookmarkStart w:id="985" w:name="_Toc222033920"/>
      <w:bookmarkStart w:id="986" w:name="_Toc221948389"/>
      <w:bookmarkStart w:id="987" w:name="_Toc75788624"/>
      <w:bookmarkStart w:id="988" w:name="_Toc31104"/>
      <w:bookmarkStart w:id="989" w:name="_Toc17454960"/>
      <w:bookmarkStart w:id="990" w:name="_Toc26374"/>
      <w:bookmarkStart w:id="991" w:name="_Toc259524423"/>
      <w:bookmarkStart w:id="992" w:name="_Toc229305429"/>
      <w:bookmarkStart w:id="993" w:name="_Toc17556914"/>
      <w:bookmarkStart w:id="994" w:name="_Toc17451139"/>
      <w:bookmarkStart w:id="995" w:name="_Toc17451661"/>
      <w:bookmarkStart w:id="996" w:name="_Toc17454909"/>
      <w:bookmarkStart w:id="997" w:name="_Toc222029569"/>
      <w:bookmarkStart w:id="998" w:name="_Toc17452702"/>
      <w:bookmarkStart w:id="999" w:name="_Toc17451616"/>
      <w:bookmarkStart w:id="1000" w:name="_Toc221952153"/>
      <w:r>
        <w:rPr>
          <w:rFonts w:hint="eastAsia" w:ascii="宋体"/>
          <w:color w:val="auto"/>
          <w:sz w:val="28"/>
          <w:szCs w:val="27"/>
          <w:highlight w:val="none"/>
        </w:rPr>
        <w:t>九、资格审查资料</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pPr>
        <w:spacing w:line="400" w:lineRule="exact"/>
        <w:jc w:val="left"/>
        <w:outlineLvl w:val="3"/>
        <w:rPr>
          <w:rFonts w:ascii="宋体"/>
          <w:b/>
          <w:color w:val="auto"/>
          <w:sz w:val="24"/>
          <w:szCs w:val="31"/>
          <w:highlight w:val="none"/>
        </w:rPr>
      </w:pPr>
      <w:bookmarkStart w:id="1001" w:name="_Toc179715759"/>
      <w:bookmarkStart w:id="1002" w:name="_Toc221952154"/>
      <w:bookmarkStart w:id="1003" w:name="_Toc152047266"/>
      <w:bookmarkStart w:id="1004" w:name="_Toc259524424"/>
      <w:r>
        <w:rPr>
          <w:rFonts w:hint="eastAsia" w:ascii="宋体"/>
          <w:b/>
          <w:color w:val="auto"/>
          <w:sz w:val="24"/>
          <w:szCs w:val="31"/>
          <w:highlight w:val="none"/>
        </w:rPr>
        <w:t>（一）投标人基本情况表</w:t>
      </w:r>
      <w:bookmarkEnd w:id="1001"/>
      <w:bookmarkEnd w:id="1002"/>
      <w:bookmarkEnd w:id="1003"/>
      <w:bookmarkEnd w:id="1004"/>
    </w:p>
    <w:tbl>
      <w:tblPr>
        <w:tblStyle w:val="41"/>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05" w:name="_Toc221952155"/>
            <w:r>
              <w:rPr>
                <w:rFonts w:hint="eastAsia" w:ascii="宋体"/>
                <w:color w:val="auto"/>
                <w:szCs w:val="20"/>
                <w:highlight w:val="none"/>
              </w:rPr>
              <w:t>投标人</w:t>
            </w:r>
            <w:r>
              <w:rPr>
                <w:rFonts w:ascii="宋体"/>
                <w:color w:val="auto"/>
                <w:szCs w:val="20"/>
                <w:highlight w:val="none"/>
              </w:rPr>
              <w:t>名称</w:t>
            </w:r>
            <w:bookmarkEnd w:id="100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06" w:name="_Toc221952156"/>
            <w:r>
              <w:rPr>
                <w:rFonts w:ascii="宋体"/>
                <w:color w:val="auto"/>
                <w:szCs w:val="20"/>
                <w:highlight w:val="none"/>
              </w:rPr>
              <w:t>注册地址</w:t>
            </w:r>
            <w:bookmarkEnd w:id="1006"/>
          </w:p>
        </w:tc>
        <w:tc>
          <w:tcPr>
            <w:tcW w:w="3233"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07" w:name="_Toc221952157"/>
            <w:r>
              <w:rPr>
                <w:rFonts w:ascii="宋体"/>
                <w:color w:val="auto"/>
                <w:szCs w:val="20"/>
                <w:highlight w:val="none"/>
              </w:rPr>
              <w:t>邮政编码</w:t>
            </w:r>
            <w:bookmarkEnd w:id="1007"/>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08" w:name="_Toc221952158"/>
            <w:r>
              <w:rPr>
                <w:rFonts w:ascii="宋体"/>
                <w:color w:val="auto"/>
                <w:szCs w:val="20"/>
                <w:highlight w:val="none"/>
              </w:rPr>
              <w:t>联系方式</w:t>
            </w:r>
            <w:bookmarkEnd w:id="100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09" w:name="_Toc221952159"/>
            <w:r>
              <w:rPr>
                <w:rFonts w:ascii="宋体"/>
                <w:color w:val="auto"/>
                <w:szCs w:val="20"/>
                <w:highlight w:val="none"/>
              </w:rPr>
              <w:t>联系人</w:t>
            </w:r>
            <w:bookmarkEnd w:id="1009"/>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0" w:name="_Toc221952160"/>
            <w:r>
              <w:rPr>
                <w:rFonts w:ascii="宋体"/>
                <w:color w:val="auto"/>
                <w:szCs w:val="20"/>
                <w:highlight w:val="none"/>
              </w:rPr>
              <w:t>电 话</w:t>
            </w:r>
            <w:bookmarkEnd w:id="1010"/>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1" w:name="_Toc221952161"/>
            <w:r>
              <w:rPr>
                <w:rFonts w:ascii="宋体"/>
                <w:color w:val="auto"/>
                <w:szCs w:val="20"/>
                <w:highlight w:val="none"/>
              </w:rPr>
              <w:t>传  真</w:t>
            </w:r>
            <w:bookmarkEnd w:id="1011"/>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2" w:name="_Toc221952162"/>
            <w:r>
              <w:rPr>
                <w:rFonts w:ascii="宋体"/>
                <w:color w:val="auto"/>
                <w:szCs w:val="20"/>
                <w:highlight w:val="none"/>
              </w:rPr>
              <w:t>网 址</w:t>
            </w:r>
            <w:bookmarkEnd w:id="1012"/>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3" w:name="_Toc221952163"/>
            <w:r>
              <w:rPr>
                <w:rFonts w:ascii="宋体"/>
                <w:color w:val="auto"/>
                <w:szCs w:val="20"/>
                <w:highlight w:val="none"/>
              </w:rPr>
              <w:t>组织结构</w:t>
            </w:r>
            <w:bookmarkEnd w:id="1013"/>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4" w:name="_Toc221952164"/>
            <w:r>
              <w:rPr>
                <w:rFonts w:ascii="宋体"/>
                <w:color w:val="auto"/>
                <w:szCs w:val="20"/>
                <w:highlight w:val="none"/>
              </w:rPr>
              <w:t>法定代表人</w:t>
            </w:r>
            <w:bookmarkEnd w:id="1014"/>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5" w:name="_Toc221952165"/>
            <w:r>
              <w:rPr>
                <w:rFonts w:ascii="宋体"/>
                <w:color w:val="auto"/>
                <w:szCs w:val="20"/>
                <w:highlight w:val="none"/>
              </w:rPr>
              <w:t>姓名</w:t>
            </w:r>
            <w:bookmarkEnd w:id="1015"/>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6" w:name="_Toc221952166"/>
            <w:r>
              <w:rPr>
                <w:rFonts w:ascii="宋体"/>
                <w:color w:val="auto"/>
                <w:szCs w:val="20"/>
                <w:highlight w:val="none"/>
              </w:rPr>
              <w:t>技术职称</w:t>
            </w:r>
            <w:bookmarkEnd w:id="1016"/>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7" w:name="_Toc221952167"/>
            <w:r>
              <w:rPr>
                <w:rFonts w:ascii="宋体"/>
                <w:color w:val="auto"/>
                <w:szCs w:val="20"/>
                <w:highlight w:val="none"/>
              </w:rPr>
              <w:t>电话</w:t>
            </w:r>
            <w:bookmarkEnd w:id="1017"/>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8" w:name="_Toc221952168"/>
            <w:r>
              <w:rPr>
                <w:rFonts w:ascii="宋体"/>
                <w:color w:val="auto"/>
                <w:szCs w:val="20"/>
                <w:highlight w:val="none"/>
              </w:rPr>
              <w:t>技术负责人</w:t>
            </w:r>
            <w:bookmarkEnd w:id="101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19" w:name="_Toc221952169"/>
            <w:r>
              <w:rPr>
                <w:rFonts w:ascii="宋体"/>
                <w:color w:val="auto"/>
                <w:szCs w:val="20"/>
                <w:highlight w:val="none"/>
              </w:rPr>
              <w:t>姓名</w:t>
            </w:r>
            <w:bookmarkEnd w:id="1019"/>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0" w:name="_Toc221952170"/>
            <w:r>
              <w:rPr>
                <w:rFonts w:ascii="宋体"/>
                <w:color w:val="auto"/>
                <w:szCs w:val="20"/>
                <w:highlight w:val="none"/>
              </w:rPr>
              <w:t>技术职称</w:t>
            </w:r>
            <w:bookmarkEnd w:id="1020"/>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1" w:name="_Toc221952171"/>
            <w:r>
              <w:rPr>
                <w:rFonts w:ascii="宋体"/>
                <w:color w:val="auto"/>
                <w:szCs w:val="20"/>
                <w:highlight w:val="none"/>
              </w:rPr>
              <w:t>电话</w:t>
            </w:r>
            <w:bookmarkEnd w:id="1021"/>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2" w:name="_Toc221952172"/>
            <w:r>
              <w:rPr>
                <w:rFonts w:ascii="宋体"/>
                <w:color w:val="auto"/>
                <w:szCs w:val="20"/>
                <w:highlight w:val="none"/>
              </w:rPr>
              <w:t>成立时间</w:t>
            </w:r>
            <w:bookmarkEnd w:id="102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281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3" w:name="_Toc221952173"/>
            <w:r>
              <w:rPr>
                <w:rFonts w:ascii="宋体"/>
                <w:color w:val="auto"/>
                <w:szCs w:val="20"/>
                <w:highlight w:val="none"/>
              </w:rPr>
              <w:t>员工总人数：</w:t>
            </w:r>
            <w:bookmarkEnd w:id="102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4" w:name="_Toc221952174"/>
            <w:r>
              <w:rPr>
                <w:rFonts w:ascii="宋体"/>
                <w:color w:val="auto"/>
                <w:szCs w:val="20"/>
                <w:highlight w:val="none"/>
              </w:rPr>
              <w:t>企业资质等级</w:t>
            </w:r>
            <w:bookmarkEnd w:id="1024"/>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5" w:name="_Toc221952175"/>
            <w:r>
              <w:rPr>
                <w:rFonts w:ascii="宋体"/>
                <w:color w:val="auto"/>
                <w:szCs w:val="20"/>
                <w:highlight w:val="none"/>
              </w:rPr>
              <w:t>其中</w:t>
            </w:r>
            <w:bookmarkEnd w:id="1025"/>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r>
              <w:rPr>
                <w:rFonts w:ascii="宋体"/>
                <w:color w:val="auto"/>
                <w:szCs w:val="20"/>
                <w:highlight w:val="none"/>
              </w:rPr>
              <w:t>项目负责人</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6" w:name="_Toc221952177"/>
            <w:r>
              <w:rPr>
                <w:rFonts w:ascii="宋体"/>
                <w:color w:val="auto"/>
                <w:szCs w:val="20"/>
                <w:highlight w:val="none"/>
              </w:rPr>
              <w:t>营业执照号</w:t>
            </w:r>
            <w:bookmarkEnd w:id="1026"/>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7" w:name="_Toc221952178"/>
            <w:r>
              <w:rPr>
                <w:rFonts w:ascii="宋体"/>
                <w:color w:val="auto"/>
                <w:szCs w:val="20"/>
                <w:highlight w:val="none"/>
              </w:rPr>
              <w:t>高级职称人员</w:t>
            </w:r>
            <w:bookmarkEnd w:id="1027"/>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8" w:name="_Toc221952179"/>
            <w:r>
              <w:rPr>
                <w:rFonts w:ascii="宋体"/>
                <w:color w:val="auto"/>
                <w:szCs w:val="20"/>
                <w:highlight w:val="none"/>
              </w:rPr>
              <w:t>注册资金</w:t>
            </w:r>
            <w:bookmarkEnd w:id="1028"/>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29" w:name="_Toc221952180"/>
            <w:r>
              <w:rPr>
                <w:rFonts w:ascii="宋体"/>
                <w:color w:val="auto"/>
                <w:szCs w:val="20"/>
                <w:highlight w:val="none"/>
              </w:rPr>
              <w:t>中级职称人员</w:t>
            </w:r>
            <w:bookmarkEnd w:id="1029"/>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30" w:name="_Toc221952181"/>
            <w:r>
              <w:rPr>
                <w:rFonts w:ascii="宋体"/>
                <w:color w:val="auto"/>
                <w:szCs w:val="20"/>
                <w:highlight w:val="none"/>
              </w:rPr>
              <w:t>开户银行</w:t>
            </w:r>
            <w:bookmarkEnd w:id="1030"/>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31" w:name="_Toc221952182"/>
            <w:r>
              <w:rPr>
                <w:rFonts w:ascii="宋体"/>
                <w:color w:val="auto"/>
                <w:szCs w:val="20"/>
                <w:highlight w:val="none"/>
              </w:rPr>
              <w:t>初级职称人员</w:t>
            </w:r>
            <w:bookmarkEnd w:id="1031"/>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32" w:name="_Toc221952183"/>
            <w:r>
              <w:rPr>
                <w:rFonts w:ascii="宋体"/>
                <w:color w:val="auto"/>
                <w:szCs w:val="20"/>
                <w:highlight w:val="none"/>
              </w:rPr>
              <w:t>账号</w:t>
            </w:r>
            <w:bookmarkEnd w:id="103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rPr>
                <w:color w:val="auto"/>
                <w:highlight w:val="none"/>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auto"/>
                <w:szCs w:val="20"/>
                <w:highlight w:val="none"/>
              </w:rPr>
            </w:pPr>
            <w:bookmarkStart w:id="1033" w:name="_Toc221952184"/>
            <w:r>
              <w:rPr>
                <w:rFonts w:ascii="宋体"/>
                <w:color w:val="auto"/>
                <w:szCs w:val="20"/>
                <w:highlight w:val="none"/>
              </w:rPr>
              <w:t>技工</w:t>
            </w:r>
            <w:bookmarkEnd w:id="103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color w:val="auto"/>
                <w:szCs w:val="20"/>
                <w:highlight w:val="none"/>
              </w:rPr>
            </w:pPr>
            <w:bookmarkStart w:id="1034" w:name="_Toc221952185"/>
            <w:r>
              <w:rPr>
                <w:rFonts w:ascii="宋体"/>
                <w:color w:val="auto"/>
                <w:szCs w:val="20"/>
                <w:highlight w:val="none"/>
              </w:rPr>
              <w:t>经营范围</w:t>
            </w:r>
            <w:bookmarkEnd w:id="1034"/>
          </w:p>
        </w:tc>
        <w:tc>
          <w:tcPr>
            <w:tcW w:w="6811" w:type="dxa"/>
            <w:gridSpan w:val="9"/>
            <w:tcBorders>
              <w:top w:val="single" w:color="auto" w:sz="4" w:space="0"/>
              <w:left w:val="single" w:color="auto" w:sz="4" w:space="0"/>
              <w:right w:val="single" w:color="auto" w:sz="4" w:space="0"/>
            </w:tcBorders>
            <w:vAlign w:val="center"/>
          </w:tcPr>
          <w:p>
            <w:pPr>
              <w:topLinePunct/>
              <w:spacing w:line="400" w:lineRule="exact"/>
              <w:rPr>
                <w:rFonts w:ascii="宋体"/>
                <w:color w:val="auto"/>
                <w:szCs w:val="20"/>
                <w:highlight w:val="none"/>
              </w:rPr>
            </w:pPr>
          </w:p>
          <w:p>
            <w:pPr>
              <w:topLinePunct/>
              <w:spacing w:line="400" w:lineRule="exact"/>
              <w:jc w:val="center"/>
              <w:rPr>
                <w:rFonts w:ascii="宋体"/>
                <w:color w:val="auto"/>
                <w:szCs w:val="20"/>
                <w:highlight w:val="none"/>
              </w:rPr>
            </w:pPr>
          </w:p>
          <w:p>
            <w:pPr>
              <w:topLinePunct/>
              <w:spacing w:line="400" w:lineRule="exact"/>
              <w:jc w:val="center"/>
              <w:rPr>
                <w:rFonts w:ascii="宋体"/>
                <w:color w:val="auto"/>
                <w:szCs w:val="20"/>
                <w:highlight w:val="none"/>
              </w:rPr>
            </w:pPr>
          </w:p>
          <w:p>
            <w:pPr>
              <w:topLinePunct/>
              <w:spacing w:line="400" w:lineRule="exact"/>
              <w:jc w:val="center"/>
              <w:rPr>
                <w:rFonts w:ascii="宋体"/>
                <w:color w:val="auto"/>
                <w:szCs w:val="20"/>
                <w:highlight w:val="none"/>
              </w:rPr>
            </w:pPr>
          </w:p>
          <w:p>
            <w:pPr>
              <w:topLinePunct/>
              <w:spacing w:line="400" w:lineRule="exact"/>
              <w:jc w:val="center"/>
              <w:rPr>
                <w:rFonts w:ascii="宋体"/>
                <w:color w:val="auto"/>
                <w:szCs w:val="20"/>
                <w:highlight w:val="none"/>
              </w:rPr>
            </w:pPr>
          </w:p>
          <w:p>
            <w:pPr>
              <w:topLinePunct/>
              <w:spacing w:line="400" w:lineRule="exact"/>
              <w:jc w:val="center"/>
              <w:rPr>
                <w:rFonts w:ascii="宋体"/>
                <w:color w:val="auto"/>
                <w:szCs w:val="20"/>
                <w:highlight w:val="none"/>
              </w:rPr>
            </w:pPr>
          </w:p>
          <w:p>
            <w:pPr>
              <w:topLinePunct/>
              <w:spacing w:line="400" w:lineRule="exact"/>
              <w:jc w:val="center"/>
              <w:rPr>
                <w:rFonts w:asci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bookmarkStart w:id="1035" w:name="_Toc221952186"/>
            <w:r>
              <w:rPr>
                <w:rFonts w:ascii="宋体"/>
                <w:color w:val="auto"/>
                <w:szCs w:val="20"/>
                <w:highlight w:val="none"/>
              </w:rPr>
              <w:t>备注</w:t>
            </w:r>
            <w:bookmarkEnd w:id="103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color w:val="auto"/>
                <w:szCs w:val="20"/>
                <w:highlight w:val="none"/>
              </w:rPr>
            </w:pPr>
          </w:p>
        </w:tc>
      </w:tr>
    </w:tbl>
    <w:p>
      <w:pPr>
        <w:spacing w:line="400" w:lineRule="exact"/>
        <w:rPr>
          <w:rFonts w:ascii="宋体"/>
          <w:color w:val="auto"/>
          <w:highlight w:val="none"/>
        </w:rPr>
      </w:pPr>
      <w:r>
        <w:rPr>
          <w:rFonts w:hint="eastAsia" w:ascii="宋体"/>
          <w:color w:val="auto"/>
          <w:highlight w:val="none"/>
        </w:rPr>
        <w:t>注：</w:t>
      </w:r>
      <w:r>
        <w:rPr>
          <w:rFonts w:hint="eastAsia" w:ascii="宋体" w:hAnsi="宋体"/>
          <w:color w:val="auto"/>
          <w:sz w:val="22"/>
          <w:highlight w:val="none"/>
        </w:rPr>
        <w:t>应附投标人营业执照副本、资质证书副本和安全生产许可证等材料的复印件</w:t>
      </w:r>
      <w:r>
        <w:rPr>
          <w:rFonts w:hint="eastAsia" w:ascii="宋体"/>
          <w:color w:val="auto"/>
          <w:highlight w:val="none"/>
        </w:rPr>
        <w:t>。</w:t>
      </w:r>
      <w:r>
        <w:rPr>
          <w:rFonts w:ascii="宋体"/>
          <w:color w:val="auto"/>
          <w:highlight w:val="none"/>
        </w:rPr>
        <w:br w:type="page"/>
      </w:r>
      <w:bookmarkStart w:id="1036" w:name="_Toc221952187"/>
      <w:bookmarkStart w:id="1037" w:name="_Toc222033921"/>
      <w:bookmarkStart w:id="1038" w:name="_Toc222029570"/>
      <w:bookmarkStart w:id="1039" w:name="_Toc222031072"/>
      <w:bookmarkStart w:id="1040" w:name="_Toc259524425"/>
      <w:bookmarkStart w:id="1041" w:name="_Toc222032739"/>
      <w:bookmarkStart w:id="1042" w:name="_Toc152047267"/>
      <w:bookmarkStart w:id="1043" w:name="_Toc229305430"/>
      <w:bookmarkStart w:id="1044" w:name="_Toc179715760"/>
    </w:p>
    <w:p>
      <w:pPr>
        <w:spacing w:line="400" w:lineRule="exact"/>
        <w:jc w:val="left"/>
        <w:outlineLvl w:val="3"/>
        <w:rPr>
          <w:rFonts w:ascii="宋体"/>
          <w:b/>
          <w:color w:val="auto"/>
          <w:sz w:val="24"/>
          <w:szCs w:val="31"/>
          <w:highlight w:val="none"/>
        </w:rPr>
      </w:pPr>
      <w:bookmarkStart w:id="1045" w:name="_Toc144974877"/>
      <w:bookmarkStart w:id="1046" w:name="_Toc247527849"/>
      <w:bookmarkStart w:id="1047" w:name="_Toc247514301"/>
      <w:bookmarkStart w:id="1048" w:name="_Toc152042598"/>
      <w:bookmarkStart w:id="1049" w:name="_Toc265953295"/>
      <w:bookmarkStart w:id="1050" w:name="_Toc152045809"/>
      <w:bookmarkStart w:id="1051" w:name="_Toc332641444"/>
      <w:r>
        <w:rPr>
          <w:rFonts w:ascii="宋体"/>
          <w:b/>
          <w:color w:val="auto"/>
          <w:sz w:val="24"/>
          <w:szCs w:val="31"/>
          <w:highlight w:val="none"/>
        </w:rPr>
        <w:t>（二）</w:t>
      </w:r>
      <w:r>
        <w:rPr>
          <w:rFonts w:hint="eastAsia" w:ascii="宋体"/>
          <w:b/>
          <w:color w:val="auto"/>
          <w:sz w:val="24"/>
          <w:szCs w:val="31"/>
          <w:highlight w:val="none"/>
        </w:rPr>
        <w:t>拟投入</w:t>
      </w:r>
      <w:bookmarkEnd w:id="1045"/>
      <w:bookmarkEnd w:id="1046"/>
      <w:bookmarkEnd w:id="1047"/>
      <w:bookmarkEnd w:id="1048"/>
      <w:bookmarkEnd w:id="1049"/>
      <w:bookmarkEnd w:id="1050"/>
      <w:bookmarkEnd w:id="1051"/>
      <w:r>
        <w:rPr>
          <w:rFonts w:hint="eastAsia" w:ascii="宋体"/>
          <w:b/>
          <w:color w:val="auto"/>
          <w:sz w:val="24"/>
          <w:szCs w:val="31"/>
          <w:highlight w:val="none"/>
        </w:rPr>
        <w:t>项目负责人</w:t>
      </w:r>
    </w:p>
    <w:p>
      <w:pPr>
        <w:spacing w:before="260" w:after="260" w:line="415" w:lineRule="auto"/>
        <w:jc w:val="center"/>
        <w:rPr>
          <w:rFonts w:ascii="宋体"/>
          <w:b/>
          <w:color w:val="auto"/>
          <w:sz w:val="32"/>
          <w:szCs w:val="32"/>
          <w:highlight w:val="none"/>
        </w:rPr>
      </w:pPr>
      <w:r>
        <w:rPr>
          <w:rFonts w:hint="eastAsia" w:ascii="宋体"/>
          <w:b/>
          <w:color w:val="auto"/>
          <w:sz w:val="32"/>
          <w:szCs w:val="32"/>
          <w:highlight w:val="none"/>
        </w:rPr>
        <w:t>项目负责人</w:t>
      </w:r>
      <w:r>
        <w:rPr>
          <w:rFonts w:ascii="宋体"/>
          <w:b/>
          <w:color w:val="auto"/>
          <w:sz w:val="32"/>
          <w:szCs w:val="32"/>
          <w:highlight w:val="none"/>
        </w:rPr>
        <w:t>简历表</w:t>
      </w:r>
    </w:p>
    <w:tbl>
      <w:tblPr>
        <w:tblStyle w:val="4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85"/>
        <w:gridCol w:w="784"/>
        <w:gridCol w:w="1006"/>
        <w:gridCol w:w="1155"/>
        <w:gridCol w:w="765"/>
        <w:gridCol w:w="1368"/>
        <w:gridCol w:w="177"/>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line="440" w:lineRule="exact"/>
              <w:jc w:val="center"/>
              <w:rPr>
                <w:rFonts w:ascii="宋体"/>
                <w:color w:val="auto"/>
                <w:szCs w:val="21"/>
                <w:highlight w:val="none"/>
              </w:rPr>
            </w:pPr>
            <w:r>
              <w:rPr>
                <w:rFonts w:ascii="宋体"/>
                <w:color w:val="auto"/>
                <w:szCs w:val="21"/>
                <w:highlight w:val="none"/>
              </w:rPr>
              <w:t>姓  名</w:t>
            </w:r>
          </w:p>
        </w:tc>
        <w:tc>
          <w:tcPr>
            <w:tcW w:w="1169" w:type="dxa"/>
            <w:gridSpan w:val="2"/>
            <w:vAlign w:val="center"/>
          </w:tcPr>
          <w:p>
            <w:pPr>
              <w:spacing w:line="440" w:lineRule="exact"/>
              <w:jc w:val="center"/>
              <w:rPr>
                <w:rFonts w:ascii="宋体"/>
                <w:color w:val="auto"/>
                <w:szCs w:val="21"/>
                <w:highlight w:val="none"/>
              </w:rPr>
            </w:pPr>
          </w:p>
        </w:tc>
        <w:tc>
          <w:tcPr>
            <w:tcW w:w="1006" w:type="dxa"/>
            <w:vAlign w:val="center"/>
          </w:tcPr>
          <w:p>
            <w:pPr>
              <w:spacing w:line="440" w:lineRule="exact"/>
              <w:jc w:val="center"/>
              <w:rPr>
                <w:rFonts w:ascii="宋体"/>
                <w:color w:val="auto"/>
                <w:szCs w:val="21"/>
                <w:highlight w:val="none"/>
              </w:rPr>
            </w:pPr>
            <w:r>
              <w:rPr>
                <w:rFonts w:ascii="宋体"/>
                <w:color w:val="auto"/>
                <w:szCs w:val="21"/>
                <w:highlight w:val="none"/>
              </w:rPr>
              <w:t>年 龄</w:t>
            </w:r>
          </w:p>
        </w:tc>
        <w:tc>
          <w:tcPr>
            <w:tcW w:w="1155" w:type="dxa"/>
            <w:vAlign w:val="center"/>
          </w:tcPr>
          <w:p>
            <w:pPr>
              <w:spacing w:line="440" w:lineRule="exact"/>
              <w:jc w:val="center"/>
              <w:rPr>
                <w:rFonts w:ascii="宋体"/>
                <w:color w:val="auto"/>
                <w:szCs w:val="21"/>
                <w:highlight w:val="none"/>
              </w:rPr>
            </w:pPr>
          </w:p>
        </w:tc>
        <w:tc>
          <w:tcPr>
            <w:tcW w:w="2310" w:type="dxa"/>
            <w:gridSpan w:val="3"/>
            <w:vAlign w:val="center"/>
          </w:tcPr>
          <w:p>
            <w:pPr>
              <w:spacing w:line="440" w:lineRule="exact"/>
              <w:jc w:val="center"/>
              <w:rPr>
                <w:rFonts w:ascii="宋体"/>
                <w:color w:val="auto"/>
                <w:szCs w:val="21"/>
                <w:highlight w:val="none"/>
              </w:rPr>
            </w:pPr>
            <w:r>
              <w:rPr>
                <w:rFonts w:ascii="宋体"/>
                <w:color w:val="auto"/>
                <w:szCs w:val="21"/>
                <w:highlight w:val="none"/>
              </w:rPr>
              <w:t>学历</w:t>
            </w:r>
          </w:p>
        </w:tc>
        <w:tc>
          <w:tcPr>
            <w:tcW w:w="2313" w:type="dxa"/>
            <w:vAlign w:val="center"/>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line="440" w:lineRule="exact"/>
              <w:jc w:val="center"/>
              <w:rPr>
                <w:rFonts w:ascii="宋体"/>
                <w:color w:val="auto"/>
                <w:szCs w:val="21"/>
                <w:highlight w:val="none"/>
              </w:rPr>
            </w:pPr>
            <w:r>
              <w:rPr>
                <w:rFonts w:ascii="宋体"/>
                <w:color w:val="auto"/>
                <w:szCs w:val="21"/>
                <w:highlight w:val="none"/>
              </w:rPr>
              <w:t>职  称</w:t>
            </w:r>
          </w:p>
        </w:tc>
        <w:tc>
          <w:tcPr>
            <w:tcW w:w="1169" w:type="dxa"/>
            <w:gridSpan w:val="2"/>
            <w:vAlign w:val="center"/>
          </w:tcPr>
          <w:p>
            <w:pPr>
              <w:spacing w:line="440" w:lineRule="exact"/>
              <w:jc w:val="center"/>
              <w:rPr>
                <w:rFonts w:ascii="宋体"/>
                <w:color w:val="auto"/>
                <w:szCs w:val="21"/>
                <w:highlight w:val="none"/>
              </w:rPr>
            </w:pPr>
          </w:p>
        </w:tc>
        <w:tc>
          <w:tcPr>
            <w:tcW w:w="1006" w:type="dxa"/>
            <w:vAlign w:val="center"/>
          </w:tcPr>
          <w:p>
            <w:pPr>
              <w:spacing w:line="440" w:lineRule="exact"/>
              <w:jc w:val="center"/>
              <w:rPr>
                <w:rFonts w:ascii="宋体"/>
                <w:color w:val="auto"/>
                <w:szCs w:val="21"/>
                <w:highlight w:val="none"/>
              </w:rPr>
            </w:pPr>
            <w:r>
              <w:rPr>
                <w:rFonts w:ascii="宋体"/>
                <w:color w:val="auto"/>
                <w:szCs w:val="21"/>
                <w:highlight w:val="none"/>
              </w:rPr>
              <w:t>职 务</w:t>
            </w:r>
          </w:p>
        </w:tc>
        <w:tc>
          <w:tcPr>
            <w:tcW w:w="1155" w:type="dxa"/>
            <w:vAlign w:val="center"/>
          </w:tcPr>
          <w:p>
            <w:pPr>
              <w:spacing w:line="440" w:lineRule="exact"/>
              <w:jc w:val="center"/>
              <w:rPr>
                <w:rFonts w:ascii="宋体"/>
                <w:color w:val="auto"/>
                <w:szCs w:val="21"/>
                <w:highlight w:val="none"/>
              </w:rPr>
            </w:pPr>
          </w:p>
        </w:tc>
        <w:tc>
          <w:tcPr>
            <w:tcW w:w="2310" w:type="dxa"/>
            <w:gridSpan w:val="3"/>
            <w:vAlign w:val="center"/>
          </w:tcPr>
          <w:p>
            <w:pPr>
              <w:spacing w:line="440" w:lineRule="exact"/>
              <w:jc w:val="center"/>
              <w:rPr>
                <w:rFonts w:ascii="宋体"/>
                <w:color w:val="auto"/>
                <w:szCs w:val="21"/>
                <w:highlight w:val="none"/>
              </w:rPr>
            </w:pPr>
            <w:r>
              <w:rPr>
                <w:rFonts w:ascii="宋体"/>
                <w:color w:val="auto"/>
                <w:szCs w:val="21"/>
                <w:highlight w:val="none"/>
              </w:rPr>
              <w:t>拟在本合同任职</w:t>
            </w:r>
          </w:p>
        </w:tc>
        <w:tc>
          <w:tcPr>
            <w:tcW w:w="2313" w:type="dxa"/>
            <w:vAlign w:val="center"/>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line="440" w:lineRule="exact"/>
              <w:rPr>
                <w:rFonts w:ascii="宋体"/>
                <w:color w:val="auto"/>
                <w:szCs w:val="21"/>
                <w:highlight w:val="none"/>
              </w:rPr>
            </w:pPr>
            <w:r>
              <w:rPr>
                <w:rFonts w:ascii="宋体"/>
                <w:color w:val="auto"/>
                <w:szCs w:val="21"/>
                <w:highlight w:val="none"/>
              </w:rPr>
              <w:t>毕业学校</w:t>
            </w:r>
          </w:p>
        </w:tc>
        <w:tc>
          <w:tcPr>
            <w:tcW w:w="7953" w:type="dxa"/>
            <w:gridSpan w:val="8"/>
          </w:tcPr>
          <w:p>
            <w:pPr>
              <w:spacing w:line="440" w:lineRule="exact"/>
              <w:rPr>
                <w:rFonts w:ascii="宋体"/>
                <w:color w:val="auto"/>
                <w:szCs w:val="21"/>
                <w:highlight w:val="none"/>
              </w:rPr>
            </w:pPr>
            <w:r>
              <w:rPr>
                <w:rFonts w:asci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9"/>
            <w:vAlign w:val="center"/>
          </w:tcPr>
          <w:p>
            <w:pPr>
              <w:spacing w:line="440" w:lineRule="exact"/>
              <w:jc w:val="center"/>
              <w:rPr>
                <w:rFonts w:ascii="宋体"/>
                <w:color w:val="auto"/>
                <w:szCs w:val="21"/>
                <w:highlight w:val="none"/>
              </w:rPr>
            </w:pPr>
            <w:r>
              <w:rPr>
                <w:rFonts w:asci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74" w:type="dxa"/>
            <w:gridSpan w:val="2"/>
            <w:vAlign w:val="center"/>
          </w:tcPr>
          <w:p>
            <w:pPr>
              <w:spacing w:line="440" w:lineRule="exact"/>
              <w:rPr>
                <w:rFonts w:ascii="宋体"/>
                <w:color w:val="auto"/>
                <w:szCs w:val="21"/>
                <w:highlight w:val="none"/>
              </w:rPr>
            </w:pPr>
            <w:r>
              <w:rPr>
                <w:rFonts w:ascii="宋体"/>
                <w:color w:val="auto"/>
                <w:szCs w:val="21"/>
                <w:highlight w:val="none"/>
              </w:rPr>
              <w:t>时  间</w:t>
            </w:r>
          </w:p>
        </w:tc>
        <w:tc>
          <w:tcPr>
            <w:tcW w:w="3710" w:type="dxa"/>
            <w:gridSpan w:val="4"/>
            <w:vAlign w:val="center"/>
          </w:tcPr>
          <w:p>
            <w:pPr>
              <w:spacing w:line="440" w:lineRule="exact"/>
              <w:rPr>
                <w:rFonts w:ascii="宋体"/>
                <w:color w:val="auto"/>
                <w:szCs w:val="21"/>
                <w:highlight w:val="none"/>
              </w:rPr>
            </w:pPr>
            <w:r>
              <w:rPr>
                <w:rFonts w:ascii="宋体"/>
                <w:color w:val="auto"/>
                <w:szCs w:val="21"/>
                <w:highlight w:val="none"/>
              </w:rPr>
              <w:t>参加过的类似项目</w:t>
            </w:r>
          </w:p>
        </w:tc>
        <w:tc>
          <w:tcPr>
            <w:tcW w:w="1368" w:type="dxa"/>
            <w:vAlign w:val="center"/>
          </w:tcPr>
          <w:p>
            <w:pPr>
              <w:spacing w:line="440" w:lineRule="exact"/>
              <w:rPr>
                <w:rFonts w:ascii="宋体"/>
                <w:color w:val="auto"/>
                <w:szCs w:val="21"/>
                <w:highlight w:val="none"/>
              </w:rPr>
            </w:pPr>
            <w:r>
              <w:rPr>
                <w:rFonts w:ascii="宋体"/>
                <w:color w:val="auto"/>
                <w:szCs w:val="21"/>
                <w:highlight w:val="none"/>
              </w:rPr>
              <w:t>担任职务</w:t>
            </w:r>
          </w:p>
        </w:tc>
        <w:tc>
          <w:tcPr>
            <w:tcW w:w="2490" w:type="dxa"/>
            <w:gridSpan w:val="2"/>
            <w:vAlign w:val="center"/>
          </w:tcPr>
          <w:p>
            <w:pPr>
              <w:spacing w:line="440" w:lineRule="exact"/>
              <w:rPr>
                <w:rFonts w:ascii="宋体"/>
                <w:color w:val="auto"/>
                <w:szCs w:val="21"/>
                <w:highlight w:val="none"/>
              </w:rPr>
            </w:pPr>
            <w:r>
              <w:rPr>
                <w:rFonts w:asci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line="440" w:lineRule="exact"/>
              <w:rPr>
                <w:rFonts w:ascii="宋体"/>
                <w:color w:val="auto"/>
                <w:szCs w:val="21"/>
                <w:highlight w:val="none"/>
              </w:rPr>
            </w:pPr>
          </w:p>
        </w:tc>
        <w:tc>
          <w:tcPr>
            <w:tcW w:w="3710" w:type="dxa"/>
            <w:gridSpan w:val="4"/>
          </w:tcPr>
          <w:p>
            <w:pPr>
              <w:spacing w:line="440" w:lineRule="exact"/>
              <w:rPr>
                <w:rFonts w:ascii="宋体"/>
                <w:color w:val="auto"/>
                <w:szCs w:val="21"/>
                <w:highlight w:val="none"/>
              </w:rPr>
            </w:pPr>
          </w:p>
        </w:tc>
        <w:tc>
          <w:tcPr>
            <w:tcW w:w="1368" w:type="dxa"/>
          </w:tcPr>
          <w:p>
            <w:pPr>
              <w:spacing w:line="440" w:lineRule="exact"/>
              <w:rPr>
                <w:rFonts w:ascii="宋体"/>
                <w:color w:val="auto"/>
                <w:szCs w:val="21"/>
                <w:highlight w:val="none"/>
              </w:rPr>
            </w:pPr>
          </w:p>
        </w:tc>
        <w:tc>
          <w:tcPr>
            <w:tcW w:w="2490" w:type="dxa"/>
            <w:gridSpan w:val="2"/>
          </w:tcPr>
          <w:p>
            <w:pPr>
              <w:spacing w:line="440" w:lineRule="exact"/>
              <w:rPr>
                <w:rFonts w:ascii="宋体"/>
                <w:color w:val="auto"/>
                <w:szCs w:val="21"/>
                <w:highlight w:val="none"/>
              </w:rPr>
            </w:pPr>
          </w:p>
        </w:tc>
      </w:tr>
    </w:tbl>
    <w:p>
      <w:pPr>
        <w:spacing w:line="400" w:lineRule="exact"/>
        <w:ind w:firstLine="420"/>
        <w:rPr>
          <w:rFonts w:ascii="宋体"/>
          <w:color w:val="auto"/>
          <w:highlight w:val="none"/>
        </w:rPr>
      </w:pPr>
      <w:r>
        <w:rPr>
          <w:rFonts w:hint="eastAsia" w:ascii="宋体"/>
          <w:color w:val="auto"/>
          <w:highlight w:val="none"/>
        </w:rPr>
        <w:t>应附注册建造师执业资格证书、养老保险复印件、安全培训考核合格证（B证）复印件。</w:t>
      </w:r>
    </w:p>
    <w:p>
      <w:pPr>
        <w:spacing w:before="260" w:after="260" w:line="415" w:lineRule="auto"/>
        <w:jc w:val="center"/>
        <w:rPr>
          <w:rFonts w:ascii="宋体"/>
          <w:b/>
          <w:color w:val="auto"/>
          <w:sz w:val="32"/>
          <w:szCs w:val="32"/>
          <w:highlight w:val="none"/>
        </w:rPr>
      </w:pPr>
      <w:bookmarkStart w:id="1052" w:name="_Toc247085892"/>
      <w:bookmarkStart w:id="1053" w:name="_Toc332641447"/>
      <w:bookmarkStart w:id="1054" w:name="_Toc246996374"/>
      <w:bookmarkStart w:id="1055" w:name="_Toc246997117"/>
      <w:r>
        <w:rPr>
          <w:rFonts w:ascii="宋体"/>
          <w:b/>
          <w:color w:val="auto"/>
          <w:sz w:val="24"/>
          <w:szCs w:val="31"/>
          <w:highlight w:val="none"/>
        </w:rPr>
        <w:br w:type="page"/>
      </w:r>
      <w:r>
        <w:rPr>
          <w:rFonts w:hint="eastAsia" w:ascii="宋体"/>
          <w:b/>
          <w:color w:val="auto"/>
          <w:sz w:val="32"/>
          <w:szCs w:val="32"/>
          <w:highlight w:val="none"/>
        </w:rPr>
        <w:t xml:space="preserve"> 技术负责人</w:t>
      </w:r>
      <w:r>
        <w:rPr>
          <w:rFonts w:ascii="宋体"/>
          <w:b/>
          <w:color w:val="auto"/>
          <w:sz w:val="32"/>
          <w:szCs w:val="32"/>
          <w:highlight w:val="none"/>
        </w:rPr>
        <w:t>简历表</w:t>
      </w:r>
    </w:p>
    <w:tbl>
      <w:tblPr>
        <w:tblStyle w:val="4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85"/>
        <w:gridCol w:w="784"/>
        <w:gridCol w:w="1006"/>
        <w:gridCol w:w="1155"/>
        <w:gridCol w:w="765"/>
        <w:gridCol w:w="1368"/>
        <w:gridCol w:w="177"/>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姓  名</w:t>
            </w:r>
          </w:p>
        </w:tc>
        <w:tc>
          <w:tcPr>
            <w:tcW w:w="1169" w:type="dxa"/>
            <w:gridSpan w:val="2"/>
            <w:vAlign w:val="center"/>
          </w:tcPr>
          <w:p>
            <w:pPr>
              <w:spacing w:before="260" w:after="260" w:line="415" w:lineRule="auto"/>
              <w:jc w:val="center"/>
              <w:rPr>
                <w:rFonts w:ascii="宋体"/>
                <w:color w:val="auto"/>
                <w:szCs w:val="21"/>
                <w:highlight w:val="none"/>
              </w:rPr>
            </w:pPr>
          </w:p>
        </w:tc>
        <w:tc>
          <w:tcPr>
            <w:tcW w:w="1006"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年 龄</w:t>
            </w:r>
          </w:p>
        </w:tc>
        <w:tc>
          <w:tcPr>
            <w:tcW w:w="1155" w:type="dxa"/>
            <w:vAlign w:val="center"/>
          </w:tcPr>
          <w:p>
            <w:pPr>
              <w:spacing w:before="260" w:after="260" w:line="415" w:lineRule="auto"/>
              <w:jc w:val="center"/>
              <w:rPr>
                <w:rFonts w:ascii="宋体"/>
                <w:color w:val="auto"/>
                <w:szCs w:val="21"/>
                <w:highlight w:val="none"/>
              </w:rPr>
            </w:pPr>
          </w:p>
        </w:tc>
        <w:tc>
          <w:tcPr>
            <w:tcW w:w="2310" w:type="dxa"/>
            <w:gridSpan w:val="3"/>
            <w:vAlign w:val="center"/>
          </w:tcPr>
          <w:p>
            <w:pPr>
              <w:spacing w:before="260" w:after="260" w:line="415" w:lineRule="auto"/>
              <w:jc w:val="center"/>
              <w:rPr>
                <w:rFonts w:ascii="宋体"/>
                <w:color w:val="auto"/>
                <w:szCs w:val="21"/>
                <w:highlight w:val="none"/>
              </w:rPr>
            </w:pPr>
            <w:r>
              <w:rPr>
                <w:rFonts w:ascii="宋体"/>
                <w:color w:val="auto"/>
                <w:szCs w:val="21"/>
                <w:highlight w:val="none"/>
              </w:rPr>
              <w:t>学历</w:t>
            </w:r>
          </w:p>
        </w:tc>
        <w:tc>
          <w:tcPr>
            <w:tcW w:w="2313" w:type="dxa"/>
            <w:vAlign w:val="center"/>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职  称</w:t>
            </w:r>
          </w:p>
        </w:tc>
        <w:tc>
          <w:tcPr>
            <w:tcW w:w="1169" w:type="dxa"/>
            <w:gridSpan w:val="2"/>
            <w:vAlign w:val="center"/>
          </w:tcPr>
          <w:p>
            <w:pPr>
              <w:spacing w:before="260" w:after="260" w:line="415" w:lineRule="auto"/>
              <w:jc w:val="center"/>
              <w:rPr>
                <w:rFonts w:ascii="宋体"/>
                <w:color w:val="auto"/>
                <w:szCs w:val="21"/>
                <w:highlight w:val="none"/>
              </w:rPr>
            </w:pPr>
          </w:p>
        </w:tc>
        <w:tc>
          <w:tcPr>
            <w:tcW w:w="1006"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职 务</w:t>
            </w:r>
          </w:p>
        </w:tc>
        <w:tc>
          <w:tcPr>
            <w:tcW w:w="1155" w:type="dxa"/>
            <w:vAlign w:val="center"/>
          </w:tcPr>
          <w:p>
            <w:pPr>
              <w:spacing w:before="260" w:after="260" w:line="415" w:lineRule="auto"/>
              <w:jc w:val="center"/>
              <w:rPr>
                <w:rFonts w:ascii="宋体"/>
                <w:color w:val="auto"/>
                <w:szCs w:val="21"/>
                <w:highlight w:val="none"/>
              </w:rPr>
            </w:pPr>
          </w:p>
        </w:tc>
        <w:tc>
          <w:tcPr>
            <w:tcW w:w="2310" w:type="dxa"/>
            <w:gridSpan w:val="3"/>
            <w:vAlign w:val="center"/>
          </w:tcPr>
          <w:p>
            <w:pPr>
              <w:spacing w:before="260" w:after="260" w:line="415" w:lineRule="auto"/>
              <w:jc w:val="center"/>
              <w:rPr>
                <w:rFonts w:ascii="宋体"/>
                <w:color w:val="auto"/>
                <w:szCs w:val="21"/>
                <w:highlight w:val="none"/>
              </w:rPr>
            </w:pPr>
            <w:r>
              <w:rPr>
                <w:rFonts w:ascii="宋体"/>
                <w:color w:val="auto"/>
                <w:szCs w:val="21"/>
                <w:highlight w:val="none"/>
              </w:rPr>
              <w:t>拟在本合同任职</w:t>
            </w:r>
          </w:p>
        </w:tc>
        <w:tc>
          <w:tcPr>
            <w:tcW w:w="2313" w:type="dxa"/>
            <w:vAlign w:val="center"/>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毕业学校</w:t>
            </w:r>
          </w:p>
        </w:tc>
        <w:tc>
          <w:tcPr>
            <w:tcW w:w="7953" w:type="dxa"/>
            <w:gridSpan w:val="8"/>
          </w:tcPr>
          <w:p>
            <w:pPr>
              <w:spacing w:before="260" w:after="260" w:line="415" w:lineRule="auto"/>
              <w:jc w:val="center"/>
              <w:rPr>
                <w:rFonts w:ascii="宋体"/>
                <w:color w:val="auto"/>
                <w:szCs w:val="21"/>
                <w:highlight w:val="none"/>
              </w:rPr>
            </w:pPr>
            <w:r>
              <w:rPr>
                <w:rFonts w:asci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9"/>
            <w:vAlign w:val="center"/>
          </w:tcPr>
          <w:p>
            <w:pPr>
              <w:spacing w:before="260" w:after="260" w:line="415" w:lineRule="auto"/>
              <w:jc w:val="center"/>
              <w:rPr>
                <w:rFonts w:ascii="宋体"/>
                <w:color w:val="auto"/>
                <w:szCs w:val="21"/>
                <w:highlight w:val="none"/>
              </w:rPr>
            </w:pPr>
            <w:r>
              <w:rPr>
                <w:rFonts w:asci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74" w:type="dxa"/>
            <w:gridSpan w:val="2"/>
            <w:vAlign w:val="center"/>
          </w:tcPr>
          <w:p>
            <w:pPr>
              <w:spacing w:before="260" w:after="260" w:line="415" w:lineRule="auto"/>
              <w:jc w:val="center"/>
              <w:rPr>
                <w:rFonts w:ascii="宋体"/>
                <w:color w:val="auto"/>
                <w:szCs w:val="21"/>
                <w:highlight w:val="none"/>
              </w:rPr>
            </w:pPr>
            <w:r>
              <w:rPr>
                <w:rFonts w:ascii="宋体"/>
                <w:color w:val="auto"/>
                <w:szCs w:val="21"/>
                <w:highlight w:val="none"/>
              </w:rPr>
              <w:t>时  间</w:t>
            </w:r>
          </w:p>
        </w:tc>
        <w:tc>
          <w:tcPr>
            <w:tcW w:w="3710" w:type="dxa"/>
            <w:gridSpan w:val="4"/>
            <w:vAlign w:val="center"/>
          </w:tcPr>
          <w:p>
            <w:pPr>
              <w:spacing w:before="260" w:after="260" w:line="415" w:lineRule="auto"/>
              <w:jc w:val="center"/>
              <w:rPr>
                <w:rFonts w:ascii="宋体"/>
                <w:color w:val="auto"/>
                <w:szCs w:val="21"/>
                <w:highlight w:val="none"/>
              </w:rPr>
            </w:pPr>
            <w:r>
              <w:rPr>
                <w:rFonts w:ascii="宋体"/>
                <w:color w:val="auto"/>
                <w:szCs w:val="21"/>
                <w:highlight w:val="none"/>
              </w:rPr>
              <w:t>参加过的类似项目</w:t>
            </w:r>
          </w:p>
        </w:tc>
        <w:tc>
          <w:tcPr>
            <w:tcW w:w="1368" w:type="dxa"/>
            <w:vAlign w:val="center"/>
          </w:tcPr>
          <w:p>
            <w:pPr>
              <w:spacing w:before="260" w:after="260" w:line="415" w:lineRule="auto"/>
              <w:jc w:val="center"/>
              <w:rPr>
                <w:rFonts w:ascii="宋体"/>
                <w:color w:val="auto"/>
                <w:szCs w:val="21"/>
                <w:highlight w:val="none"/>
              </w:rPr>
            </w:pPr>
            <w:r>
              <w:rPr>
                <w:rFonts w:ascii="宋体"/>
                <w:color w:val="auto"/>
                <w:szCs w:val="21"/>
                <w:highlight w:val="none"/>
              </w:rPr>
              <w:t>担任职务</w:t>
            </w:r>
          </w:p>
        </w:tc>
        <w:tc>
          <w:tcPr>
            <w:tcW w:w="2490" w:type="dxa"/>
            <w:gridSpan w:val="2"/>
            <w:vAlign w:val="center"/>
          </w:tcPr>
          <w:p>
            <w:pPr>
              <w:spacing w:before="260" w:after="260" w:line="415" w:lineRule="auto"/>
              <w:jc w:val="center"/>
              <w:rPr>
                <w:rFonts w:ascii="宋体"/>
                <w:color w:val="auto"/>
                <w:szCs w:val="21"/>
                <w:highlight w:val="none"/>
              </w:rPr>
            </w:pPr>
            <w:r>
              <w:rPr>
                <w:rFonts w:asci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674" w:type="dxa"/>
            <w:gridSpan w:val="2"/>
          </w:tcPr>
          <w:p>
            <w:pPr>
              <w:spacing w:before="260" w:after="260" w:line="415" w:lineRule="auto"/>
              <w:jc w:val="center"/>
              <w:rPr>
                <w:rFonts w:ascii="宋体"/>
                <w:color w:val="auto"/>
                <w:szCs w:val="21"/>
                <w:highlight w:val="none"/>
              </w:rPr>
            </w:pPr>
          </w:p>
        </w:tc>
        <w:tc>
          <w:tcPr>
            <w:tcW w:w="3710" w:type="dxa"/>
            <w:gridSpan w:val="4"/>
          </w:tcPr>
          <w:p>
            <w:pPr>
              <w:spacing w:before="260" w:after="260" w:line="415" w:lineRule="auto"/>
              <w:jc w:val="center"/>
              <w:rPr>
                <w:rFonts w:ascii="宋体"/>
                <w:color w:val="auto"/>
                <w:szCs w:val="21"/>
                <w:highlight w:val="none"/>
              </w:rPr>
            </w:pPr>
          </w:p>
        </w:tc>
        <w:tc>
          <w:tcPr>
            <w:tcW w:w="1368" w:type="dxa"/>
          </w:tcPr>
          <w:p>
            <w:pPr>
              <w:spacing w:before="260" w:after="260" w:line="415" w:lineRule="auto"/>
              <w:jc w:val="center"/>
              <w:rPr>
                <w:rFonts w:ascii="宋体"/>
                <w:color w:val="auto"/>
                <w:szCs w:val="21"/>
                <w:highlight w:val="none"/>
              </w:rPr>
            </w:pPr>
          </w:p>
        </w:tc>
        <w:tc>
          <w:tcPr>
            <w:tcW w:w="2490" w:type="dxa"/>
            <w:gridSpan w:val="2"/>
          </w:tcPr>
          <w:p>
            <w:pPr>
              <w:spacing w:before="260" w:after="260" w:line="415" w:lineRule="auto"/>
              <w:jc w:val="center"/>
              <w:rPr>
                <w:rFonts w:ascii="宋体"/>
                <w:color w:val="auto"/>
                <w:szCs w:val="21"/>
                <w:highlight w:val="none"/>
              </w:rPr>
            </w:pPr>
          </w:p>
        </w:tc>
      </w:tr>
    </w:tbl>
    <w:p>
      <w:pPr>
        <w:spacing w:before="260" w:after="260" w:line="415" w:lineRule="auto"/>
        <w:jc w:val="center"/>
        <w:rPr>
          <w:rFonts w:ascii="宋体"/>
          <w:color w:val="auto"/>
          <w:szCs w:val="21"/>
          <w:highlight w:val="none"/>
        </w:rPr>
      </w:pPr>
      <w:r>
        <w:rPr>
          <w:rFonts w:hint="eastAsia" w:ascii="宋体"/>
          <w:color w:val="auto"/>
          <w:szCs w:val="21"/>
          <w:highlight w:val="none"/>
        </w:rPr>
        <w:t>应附职称证书复印件（如有）、养老保险复印件。</w:t>
      </w:r>
    </w:p>
    <w:p>
      <w:pPr>
        <w:pageBreakBefore/>
        <w:widowControl/>
        <w:jc w:val="left"/>
        <w:rPr>
          <w:rFonts w:ascii="宋体"/>
          <w:b/>
          <w:color w:val="auto"/>
          <w:sz w:val="24"/>
          <w:szCs w:val="31"/>
          <w:highlight w:val="none"/>
        </w:rPr>
      </w:pPr>
    </w:p>
    <w:p>
      <w:pPr>
        <w:spacing w:line="400" w:lineRule="exact"/>
        <w:jc w:val="left"/>
        <w:outlineLvl w:val="3"/>
        <w:rPr>
          <w:rFonts w:ascii="宋体"/>
          <w:b/>
          <w:color w:val="auto"/>
          <w:sz w:val="24"/>
          <w:szCs w:val="31"/>
          <w:highlight w:val="none"/>
        </w:rPr>
      </w:pPr>
      <w:r>
        <w:rPr>
          <w:rFonts w:hint="eastAsia" w:ascii="宋体"/>
          <w:b/>
          <w:color w:val="auto"/>
          <w:sz w:val="24"/>
          <w:szCs w:val="31"/>
          <w:highlight w:val="none"/>
        </w:rPr>
        <w:t>（三）专职安全管理员</w:t>
      </w:r>
      <w:bookmarkEnd w:id="1052"/>
      <w:bookmarkEnd w:id="1053"/>
      <w:bookmarkEnd w:id="1054"/>
      <w:bookmarkEnd w:id="1055"/>
    </w:p>
    <w:p>
      <w:pPr>
        <w:spacing w:before="260" w:after="260" w:line="415" w:lineRule="auto"/>
        <w:jc w:val="center"/>
        <w:rPr>
          <w:rFonts w:ascii="宋体"/>
          <w:b/>
          <w:color w:val="auto"/>
          <w:sz w:val="32"/>
          <w:szCs w:val="32"/>
          <w:highlight w:val="none"/>
        </w:rPr>
      </w:pPr>
      <w:r>
        <w:rPr>
          <w:rFonts w:hint="eastAsia" w:ascii="宋体"/>
          <w:b/>
          <w:color w:val="auto"/>
          <w:sz w:val="32"/>
          <w:szCs w:val="32"/>
          <w:highlight w:val="none"/>
        </w:rPr>
        <w:t>专职安全员简历表</w:t>
      </w:r>
    </w:p>
    <w:tbl>
      <w:tblPr>
        <w:tblStyle w:val="41"/>
        <w:tblpPr w:leftFromText="180" w:rightFromText="180" w:vertAnchor="text" w:horzAnchor="margin" w:tblpXSpec="center" w:tblpY="297"/>
        <w:tblW w:w="85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28"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姓名</w:t>
            </w:r>
          </w:p>
        </w:tc>
        <w:tc>
          <w:tcPr>
            <w:tcW w:w="1917" w:type="dxa"/>
            <w:vAlign w:val="center"/>
          </w:tcPr>
          <w:p>
            <w:pPr>
              <w:pStyle w:val="150"/>
              <w:adjustRightInd w:val="0"/>
              <w:snapToGrid w:val="0"/>
              <w:spacing w:before="0" w:after="0"/>
              <w:jc w:val="center"/>
              <w:rPr>
                <w:rFonts w:ascii="宋体" w:eastAsia="宋体"/>
                <w:color w:val="auto"/>
                <w:sz w:val="21"/>
                <w:szCs w:val="21"/>
                <w:highlight w:val="none"/>
              </w:rPr>
            </w:pPr>
          </w:p>
        </w:tc>
        <w:tc>
          <w:tcPr>
            <w:tcW w:w="1329"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年龄</w:t>
            </w:r>
          </w:p>
        </w:tc>
        <w:tc>
          <w:tcPr>
            <w:tcW w:w="1312" w:type="dxa"/>
            <w:vAlign w:val="center"/>
          </w:tcPr>
          <w:p>
            <w:pPr>
              <w:pStyle w:val="150"/>
              <w:adjustRightInd w:val="0"/>
              <w:snapToGrid w:val="0"/>
              <w:spacing w:before="0" w:after="0"/>
              <w:jc w:val="center"/>
              <w:rPr>
                <w:rFonts w:ascii="宋体" w:eastAsia="宋体"/>
                <w:color w:val="auto"/>
                <w:sz w:val="21"/>
                <w:szCs w:val="21"/>
                <w:highlight w:val="none"/>
              </w:rPr>
            </w:pPr>
          </w:p>
        </w:tc>
        <w:tc>
          <w:tcPr>
            <w:tcW w:w="1264"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职称</w:t>
            </w:r>
          </w:p>
        </w:tc>
        <w:tc>
          <w:tcPr>
            <w:tcW w:w="1378" w:type="dxa"/>
            <w:vAlign w:val="center"/>
          </w:tcPr>
          <w:p>
            <w:pPr>
              <w:pStyle w:val="150"/>
              <w:adjustRightInd w:val="0"/>
              <w:snapToGrid w:val="0"/>
              <w:spacing w:before="0" w:after="0"/>
              <w:jc w:val="center"/>
              <w:rPr>
                <w:rFonts w:asci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28"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从事本工作时间</w:t>
            </w:r>
          </w:p>
        </w:tc>
        <w:tc>
          <w:tcPr>
            <w:tcW w:w="1917" w:type="dxa"/>
            <w:vAlign w:val="center"/>
          </w:tcPr>
          <w:p>
            <w:pPr>
              <w:pStyle w:val="150"/>
              <w:adjustRightInd w:val="0"/>
              <w:snapToGrid w:val="0"/>
              <w:spacing w:before="0" w:after="0"/>
              <w:jc w:val="center"/>
              <w:rPr>
                <w:rFonts w:ascii="宋体" w:eastAsia="宋体"/>
                <w:color w:val="auto"/>
                <w:sz w:val="21"/>
                <w:szCs w:val="21"/>
                <w:highlight w:val="none"/>
              </w:rPr>
            </w:pPr>
          </w:p>
        </w:tc>
        <w:tc>
          <w:tcPr>
            <w:tcW w:w="1329"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学历</w:t>
            </w:r>
          </w:p>
        </w:tc>
        <w:tc>
          <w:tcPr>
            <w:tcW w:w="1312" w:type="dxa"/>
            <w:vAlign w:val="center"/>
          </w:tcPr>
          <w:p>
            <w:pPr>
              <w:pStyle w:val="150"/>
              <w:adjustRightInd w:val="0"/>
              <w:snapToGrid w:val="0"/>
              <w:spacing w:before="0" w:after="0"/>
              <w:jc w:val="center"/>
              <w:rPr>
                <w:rFonts w:ascii="宋体" w:eastAsia="宋体"/>
                <w:color w:val="auto"/>
                <w:sz w:val="21"/>
                <w:szCs w:val="21"/>
                <w:highlight w:val="none"/>
              </w:rPr>
            </w:pPr>
          </w:p>
        </w:tc>
        <w:tc>
          <w:tcPr>
            <w:tcW w:w="1264"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专业</w:t>
            </w:r>
          </w:p>
        </w:tc>
        <w:tc>
          <w:tcPr>
            <w:tcW w:w="1378" w:type="dxa"/>
            <w:vAlign w:val="center"/>
          </w:tcPr>
          <w:p>
            <w:pPr>
              <w:pStyle w:val="150"/>
              <w:adjustRightInd w:val="0"/>
              <w:snapToGrid w:val="0"/>
              <w:spacing w:before="0" w:after="0"/>
              <w:jc w:val="center"/>
              <w:rPr>
                <w:rFonts w:asci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28"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毕业院校</w:t>
            </w:r>
          </w:p>
        </w:tc>
        <w:tc>
          <w:tcPr>
            <w:tcW w:w="4558" w:type="dxa"/>
            <w:gridSpan w:val="3"/>
            <w:vAlign w:val="center"/>
          </w:tcPr>
          <w:p>
            <w:pPr>
              <w:pStyle w:val="150"/>
              <w:adjustRightInd w:val="0"/>
              <w:snapToGrid w:val="0"/>
              <w:spacing w:before="0" w:after="0"/>
              <w:jc w:val="center"/>
              <w:rPr>
                <w:rFonts w:ascii="宋体" w:eastAsia="宋体"/>
                <w:color w:val="auto"/>
                <w:sz w:val="21"/>
                <w:szCs w:val="21"/>
                <w:highlight w:val="none"/>
              </w:rPr>
            </w:pPr>
          </w:p>
        </w:tc>
        <w:tc>
          <w:tcPr>
            <w:tcW w:w="1264" w:type="dxa"/>
            <w:vAlign w:val="center"/>
          </w:tcPr>
          <w:p>
            <w:pPr>
              <w:pStyle w:val="150"/>
              <w:adjustRightInd w:val="0"/>
              <w:snapToGrid w:val="0"/>
              <w:spacing w:before="0" w:after="0"/>
              <w:jc w:val="center"/>
              <w:rPr>
                <w:rFonts w:ascii="宋体" w:eastAsia="宋体"/>
                <w:color w:val="auto"/>
                <w:sz w:val="21"/>
                <w:szCs w:val="21"/>
                <w:highlight w:val="none"/>
              </w:rPr>
            </w:pPr>
            <w:r>
              <w:rPr>
                <w:rFonts w:hint="eastAsia" w:ascii="宋体" w:eastAsia="宋体"/>
                <w:color w:val="auto"/>
                <w:sz w:val="21"/>
                <w:szCs w:val="21"/>
                <w:highlight w:val="none"/>
              </w:rPr>
              <w:t>毕业时间</w:t>
            </w:r>
          </w:p>
        </w:tc>
        <w:tc>
          <w:tcPr>
            <w:tcW w:w="1378" w:type="dxa"/>
            <w:vAlign w:val="center"/>
          </w:tcPr>
          <w:p>
            <w:pPr>
              <w:pStyle w:val="150"/>
              <w:adjustRightInd w:val="0"/>
              <w:snapToGrid w:val="0"/>
              <w:spacing w:before="0" w:after="0"/>
              <w:jc w:val="center"/>
              <w:rPr>
                <w:rFonts w:ascii="宋体" w:eastAsia="宋体"/>
                <w:color w:val="auto"/>
                <w:sz w:val="21"/>
                <w:szCs w:val="21"/>
                <w:highlight w:val="none"/>
              </w:rPr>
            </w:pPr>
          </w:p>
        </w:tc>
      </w:tr>
    </w:tbl>
    <w:p>
      <w:pPr>
        <w:spacing w:line="400" w:lineRule="exact"/>
        <w:ind w:firstLine="420" w:firstLineChars="200"/>
        <w:rPr>
          <w:rFonts w:ascii="宋体"/>
          <w:color w:val="auto"/>
          <w:highlight w:val="none"/>
        </w:rPr>
      </w:pPr>
      <w:r>
        <w:rPr>
          <w:rFonts w:hint="eastAsia"/>
          <w:color w:val="auto"/>
          <w:highlight w:val="none"/>
        </w:rPr>
        <w:t>应附安全</w:t>
      </w:r>
      <w:r>
        <w:rPr>
          <w:rFonts w:hint="eastAsia"/>
          <w:color w:val="auto"/>
          <w:highlight w:val="none"/>
          <w:u w:val="single"/>
        </w:rPr>
        <w:t>生产</w:t>
      </w:r>
      <w:r>
        <w:rPr>
          <w:rFonts w:hint="eastAsia"/>
          <w:color w:val="auto"/>
          <w:highlight w:val="none"/>
        </w:rPr>
        <w:t>考核合格证（C证）</w:t>
      </w:r>
      <w:r>
        <w:rPr>
          <w:rFonts w:hint="eastAsia"/>
          <w:color w:val="auto"/>
          <w:highlight w:val="none"/>
          <w:u w:val="single"/>
        </w:rPr>
        <w:t>或建筑施工企业专职安全生产管理人员安全生产考核合格证书（C3）扫描件</w:t>
      </w:r>
      <w:r>
        <w:rPr>
          <w:rFonts w:hint="eastAsia"/>
          <w:color w:val="auto"/>
          <w:highlight w:val="none"/>
        </w:rPr>
        <w:t>、养老保险</w:t>
      </w:r>
      <w:r>
        <w:rPr>
          <w:rFonts w:hint="eastAsia"/>
          <w:color w:val="auto"/>
          <w:highlight w:val="none"/>
          <w:u w:val="single"/>
        </w:rPr>
        <w:t>扫描件</w:t>
      </w:r>
      <w:r>
        <w:rPr>
          <w:rFonts w:hint="eastAsia"/>
          <w:color w:val="auto"/>
          <w:highlight w:val="none"/>
        </w:rPr>
        <w:t>。</w:t>
      </w:r>
    </w:p>
    <w:p>
      <w:pPr>
        <w:widowControl/>
        <w:jc w:val="left"/>
        <w:rPr>
          <w:rFonts w:ascii="宋体"/>
          <w:color w:val="auto"/>
          <w:highlight w:val="none"/>
        </w:rPr>
      </w:pPr>
      <w:r>
        <w:rPr>
          <w:rFonts w:ascii="宋体"/>
          <w:b/>
          <w:color w:val="auto"/>
          <w:sz w:val="24"/>
          <w:szCs w:val="31"/>
          <w:highlight w:val="none"/>
        </w:rPr>
        <w:br w:type="page"/>
      </w:r>
      <w:bookmarkEnd w:id="1036"/>
      <w:bookmarkEnd w:id="1037"/>
      <w:bookmarkEnd w:id="1038"/>
      <w:bookmarkEnd w:id="1039"/>
      <w:bookmarkEnd w:id="1040"/>
      <w:bookmarkEnd w:id="1041"/>
      <w:bookmarkEnd w:id="1042"/>
      <w:bookmarkEnd w:id="1043"/>
      <w:bookmarkEnd w:id="1044"/>
    </w:p>
    <w:p>
      <w:pPr>
        <w:spacing w:line="360" w:lineRule="auto"/>
        <w:jc w:val="left"/>
        <w:outlineLvl w:val="3"/>
        <w:rPr>
          <w:rFonts w:ascii="宋体"/>
          <w:b/>
          <w:strike/>
          <w:color w:val="auto"/>
          <w:sz w:val="24"/>
          <w:szCs w:val="31"/>
          <w:highlight w:val="none"/>
        </w:rPr>
      </w:pPr>
      <w:bookmarkStart w:id="1056" w:name="_Toc229474018"/>
      <w:bookmarkStart w:id="1057" w:name="_Toc227133884"/>
      <w:bookmarkStart w:id="1058" w:name="_Toc221949861"/>
      <w:bookmarkStart w:id="1059" w:name="_Toc222029457"/>
      <w:r>
        <w:rPr>
          <w:rFonts w:hint="eastAsia" w:ascii="宋体"/>
          <w:b/>
          <w:strike/>
          <w:color w:val="auto"/>
          <w:sz w:val="24"/>
          <w:szCs w:val="31"/>
          <w:highlight w:val="none"/>
        </w:rPr>
        <w:t>（四）近5年完成的类似项目情况表</w:t>
      </w:r>
      <w:bookmarkEnd w:id="1056"/>
      <w:bookmarkEnd w:id="1057"/>
      <w:bookmarkEnd w:id="1058"/>
      <w:bookmarkEnd w:id="1059"/>
    </w:p>
    <w:p>
      <w:pPr>
        <w:topLinePunct/>
        <w:spacing w:line="360" w:lineRule="auto"/>
        <w:jc w:val="center"/>
        <w:rPr>
          <w:rFonts w:ascii="宋体"/>
          <w:strike/>
          <w:color w:val="auto"/>
          <w:szCs w:val="21"/>
          <w:highlight w:val="none"/>
        </w:rPr>
      </w:pPr>
      <w:r>
        <w:rPr>
          <w:rFonts w:hint="eastAsia" w:ascii="宋体"/>
          <w:strike/>
          <w:color w:val="auto"/>
          <w:szCs w:val="21"/>
          <w:highlight w:val="none"/>
        </w:rPr>
        <w:t>（近5年指年月至年月）</w:t>
      </w:r>
    </w:p>
    <w:tbl>
      <w:tblPr>
        <w:tblStyle w:val="4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0" w:name="_Toc221949862"/>
            <w:r>
              <w:rPr>
                <w:rFonts w:hint="eastAsia" w:ascii="宋体"/>
                <w:strike/>
                <w:color w:val="auto"/>
                <w:szCs w:val="21"/>
                <w:highlight w:val="none"/>
              </w:rPr>
              <w:t>合同</w:t>
            </w:r>
            <w:r>
              <w:rPr>
                <w:rFonts w:ascii="宋体"/>
                <w:strike/>
                <w:color w:val="auto"/>
                <w:szCs w:val="21"/>
                <w:highlight w:val="none"/>
              </w:rPr>
              <w:t>名称</w:t>
            </w:r>
            <w:bookmarkEnd w:id="1060"/>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1" w:name="_Toc221949863"/>
            <w:r>
              <w:rPr>
                <w:rFonts w:hint="eastAsia" w:ascii="宋体"/>
                <w:strike/>
                <w:color w:val="auto"/>
                <w:szCs w:val="21"/>
                <w:highlight w:val="none"/>
              </w:rPr>
              <w:t>合同</w:t>
            </w:r>
            <w:r>
              <w:rPr>
                <w:rFonts w:ascii="宋体"/>
                <w:strike/>
                <w:color w:val="auto"/>
                <w:szCs w:val="21"/>
                <w:highlight w:val="none"/>
              </w:rPr>
              <w:t>项目所在地</w:t>
            </w:r>
            <w:bookmarkEnd w:id="1061"/>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2" w:name="_Toc221949864"/>
            <w:r>
              <w:rPr>
                <w:rFonts w:ascii="宋体"/>
                <w:strike/>
                <w:color w:val="auto"/>
                <w:szCs w:val="21"/>
                <w:highlight w:val="none"/>
              </w:rPr>
              <w:t>发包人名称</w:t>
            </w:r>
            <w:bookmarkEnd w:id="1062"/>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3" w:name="_Toc221949865"/>
            <w:r>
              <w:rPr>
                <w:rFonts w:ascii="宋体"/>
                <w:strike/>
                <w:color w:val="auto"/>
                <w:szCs w:val="21"/>
                <w:highlight w:val="none"/>
              </w:rPr>
              <w:t>发包人地址</w:t>
            </w:r>
            <w:bookmarkEnd w:id="1063"/>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4" w:name="_Toc221949866"/>
            <w:r>
              <w:rPr>
                <w:rFonts w:ascii="宋体"/>
                <w:strike/>
                <w:color w:val="auto"/>
                <w:szCs w:val="21"/>
                <w:highlight w:val="none"/>
              </w:rPr>
              <w:t>发包人电话</w:t>
            </w:r>
            <w:bookmarkEnd w:id="1064"/>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5" w:name="_Toc221949867"/>
            <w:r>
              <w:rPr>
                <w:rFonts w:hint="eastAsia" w:ascii="宋体"/>
                <w:strike/>
                <w:color w:val="auto"/>
                <w:szCs w:val="21"/>
                <w:highlight w:val="none"/>
              </w:rPr>
              <w:t>签约</w:t>
            </w:r>
            <w:r>
              <w:rPr>
                <w:rFonts w:ascii="宋体"/>
                <w:strike/>
                <w:color w:val="auto"/>
                <w:szCs w:val="21"/>
                <w:highlight w:val="none"/>
              </w:rPr>
              <w:t>合同价</w:t>
            </w:r>
            <w:bookmarkEnd w:id="1065"/>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6" w:name="_Toc221949868"/>
            <w:r>
              <w:rPr>
                <w:rFonts w:ascii="宋体"/>
                <w:strike/>
                <w:color w:val="auto"/>
                <w:szCs w:val="21"/>
                <w:highlight w:val="none"/>
              </w:rPr>
              <w:t>开工日期</w:t>
            </w:r>
            <w:bookmarkEnd w:id="1066"/>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7" w:name="_Toc221949869"/>
            <w:r>
              <w:rPr>
                <w:rFonts w:hint="eastAsia" w:ascii="宋体"/>
                <w:strike/>
                <w:color w:val="auto"/>
                <w:szCs w:val="21"/>
                <w:highlight w:val="none"/>
              </w:rPr>
              <w:t>完工</w:t>
            </w:r>
            <w:r>
              <w:rPr>
                <w:rFonts w:ascii="宋体"/>
                <w:strike/>
                <w:color w:val="auto"/>
                <w:szCs w:val="21"/>
                <w:highlight w:val="none"/>
              </w:rPr>
              <w:t>日期</w:t>
            </w:r>
            <w:bookmarkEnd w:id="1067"/>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8" w:name="_Toc221949870"/>
            <w:r>
              <w:rPr>
                <w:rFonts w:ascii="宋体"/>
                <w:strike/>
                <w:color w:val="auto"/>
                <w:szCs w:val="21"/>
                <w:highlight w:val="none"/>
              </w:rPr>
              <w:t>承担的工作</w:t>
            </w:r>
            <w:bookmarkEnd w:id="1068"/>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69" w:name="_Toc221949871"/>
            <w:r>
              <w:rPr>
                <w:rFonts w:ascii="宋体"/>
                <w:strike/>
                <w:color w:val="auto"/>
                <w:szCs w:val="21"/>
                <w:highlight w:val="none"/>
              </w:rPr>
              <w:t>工程质量</w:t>
            </w:r>
            <w:bookmarkEnd w:id="1069"/>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r>
              <w:rPr>
                <w:rFonts w:ascii="宋体"/>
                <w:strike/>
                <w:color w:val="auto"/>
                <w:szCs w:val="21"/>
                <w:highlight w:val="none"/>
              </w:rPr>
              <w:t>项目负责人</w:t>
            </w:r>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70" w:name="_Toc221949873"/>
            <w:r>
              <w:rPr>
                <w:rFonts w:ascii="宋体"/>
                <w:strike/>
                <w:color w:val="auto"/>
                <w:szCs w:val="21"/>
                <w:highlight w:val="none"/>
              </w:rPr>
              <w:t>技术负责人</w:t>
            </w:r>
            <w:bookmarkEnd w:id="1070"/>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71" w:name="_Toc221949874"/>
            <w:r>
              <w:rPr>
                <w:rFonts w:hint="eastAsia" w:ascii="宋体"/>
                <w:strike/>
                <w:color w:val="auto"/>
                <w:szCs w:val="21"/>
                <w:highlight w:val="none"/>
              </w:rPr>
              <w:t>监理人以</w:t>
            </w:r>
            <w:r>
              <w:rPr>
                <w:rFonts w:ascii="宋体"/>
                <w:strike/>
                <w:color w:val="auto"/>
                <w:szCs w:val="21"/>
                <w:highlight w:val="none"/>
              </w:rPr>
              <w:t>及电话</w:t>
            </w:r>
            <w:bookmarkEnd w:id="1071"/>
          </w:p>
        </w:tc>
        <w:tc>
          <w:tcPr>
            <w:tcW w:w="5616" w:type="dxa"/>
            <w:vAlign w:val="center"/>
          </w:tcPr>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72" w:name="_Toc221949875"/>
            <w:r>
              <w:rPr>
                <w:rFonts w:hint="eastAsia" w:ascii="宋体"/>
                <w:strike/>
                <w:color w:val="auto"/>
                <w:szCs w:val="21"/>
                <w:highlight w:val="none"/>
              </w:rPr>
              <w:t>合同</w:t>
            </w:r>
            <w:r>
              <w:rPr>
                <w:rFonts w:ascii="宋体"/>
                <w:strike/>
                <w:color w:val="auto"/>
                <w:szCs w:val="21"/>
                <w:highlight w:val="none"/>
              </w:rPr>
              <w:t>项目描述</w:t>
            </w:r>
            <w:bookmarkEnd w:id="1072"/>
          </w:p>
        </w:tc>
        <w:tc>
          <w:tcPr>
            <w:tcW w:w="5616" w:type="dxa"/>
            <w:vAlign w:val="center"/>
          </w:tcPr>
          <w:p>
            <w:pPr>
              <w:topLinePunct/>
              <w:spacing w:line="360" w:lineRule="auto"/>
              <w:jc w:val="center"/>
              <w:rPr>
                <w:rFonts w:ascii="宋体"/>
                <w:strike/>
                <w:color w:val="auto"/>
                <w:szCs w:val="21"/>
                <w:highlight w:val="none"/>
              </w:rPr>
            </w:pPr>
          </w:p>
          <w:p>
            <w:pPr>
              <w:topLinePunct/>
              <w:spacing w:line="360" w:lineRule="auto"/>
              <w:jc w:val="center"/>
              <w:rPr>
                <w:rFonts w:ascii="宋体"/>
                <w:strike/>
                <w:color w:val="auto"/>
                <w:szCs w:val="21"/>
                <w:highlight w:val="none"/>
              </w:rPr>
            </w:pPr>
          </w:p>
          <w:p>
            <w:pPr>
              <w:topLinePunct/>
              <w:spacing w:line="360" w:lineRule="auto"/>
              <w:jc w:val="center"/>
              <w:rPr>
                <w:rFonts w:asci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6" w:type="dxa"/>
            <w:vAlign w:val="center"/>
          </w:tcPr>
          <w:p>
            <w:pPr>
              <w:topLinePunct/>
              <w:jc w:val="center"/>
              <w:rPr>
                <w:rFonts w:ascii="宋体"/>
                <w:strike/>
                <w:color w:val="auto"/>
                <w:szCs w:val="21"/>
                <w:highlight w:val="none"/>
              </w:rPr>
            </w:pPr>
            <w:bookmarkStart w:id="1073" w:name="_Toc221949876"/>
            <w:r>
              <w:rPr>
                <w:rFonts w:ascii="宋体"/>
                <w:strike/>
                <w:color w:val="auto"/>
                <w:szCs w:val="21"/>
                <w:highlight w:val="none"/>
              </w:rPr>
              <w:t>备注</w:t>
            </w:r>
            <w:bookmarkEnd w:id="1073"/>
          </w:p>
        </w:tc>
        <w:tc>
          <w:tcPr>
            <w:tcW w:w="5616" w:type="dxa"/>
            <w:vAlign w:val="center"/>
          </w:tcPr>
          <w:p>
            <w:pPr>
              <w:topLinePunct/>
              <w:spacing w:line="360" w:lineRule="auto"/>
              <w:jc w:val="center"/>
              <w:rPr>
                <w:rFonts w:ascii="宋体"/>
                <w:strike/>
                <w:color w:val="auto"/>
                <w:szCs w:val="21"/>
                <w:highlight w:val="none"/>
              </w:rPr>
            </w:pPr>
            <w:r>
              <w:rPr>
                <w:rFonts w:hint="eastAsia" w:ascii="宋体"/>
                <w:strike/>
                <w:color w:val="auto"/>
                <w:szCs w:val="21"/>
                <w:highlight w:val="none"/>
              </w:rPr>
              <w:t>合同项目描述内容至少包括项目概况、本合同在项目中的地位（部位、合同价格所占比例）和合同工程完工验收鉴定书有关验收结论</w:t>
            </w:r>
          </w:p>
        </w:tc>
      </w:tr>
    </w:tbl>
    <w:p>
      <w:pPr>
        <w:spacing w:line="400" w:lineRule="exact"/>
        <w:rPr>
          <w:rFonts w:ascii="宋体"/>
          <w:strike/>
          <w:color w:val="auto"/>
          <w:highlight w:val="none"/>
        </w:rPr>
      </w:pPr>
      <w:r>
        <w:rPr>
          <w:rFonts w:hint="eastAsia" w:ascii="宋体"/>
          <w:strike/>
          <w:color w:val="auto"/>
          <w:highlight w:val="none"/>
        </w:rPr>
        <w:t>注：相关材料复印件在本章“十、原件的复印件”中提供。</w:t>
      </w: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spacing w:line="400" w:lineRule="exact"/>
        <w:rPr>
          <w:rFonts w:ascii="宋体"/>
          <w:color w:val="auto"/>
          <w:highlight w:val="none"/>
        </w:rPr>
      </w:pPr>
    </w:p>
    <w:p>
      <w:pPr>
        <w:jc w:val="left"/>
        <w:rPr>
          <w:rFonts w:ascii="宋体"/>
          <w:b/>
          <w:bCs/>
          <w:color w:val="auto"/>
          <w:kern w:val="0"/>
          <w:sz w:val="24"/>
          <w:szCs w:val="24"/>
          <w:highlight w:val="none"/>
        </w:rPr>
      </w:pPr>
      <w:bookmarkStart w:id="1074" w:name="_Toc229474023"/>
      <w:bookmarkStart w:id="1075" w:name="_Toc221949894"/>
      <w:bookmarkStart w:id="1076" w:name="_Toc179715764"/>
      <w:bookmarkStart w:id="1077" w:name="_Toc227133887"/>
      <w:bookmarkStart w:id="1078" w:name="_Toc152047271"/>
      <w:bookmarkStart w:id="1079" w:name="_Toc222029460"/>
      <w:r>
        <w:rPr>
          <w:rFonts w:hint="eastAsia" w:ascii="宋体"/>
          <w:b/>
          <w:bCs/>
          <w:color w:val="auto"/>
          <w:kern w:val="0"/>
          <w:sz w:val="24"/>
          <w:szCs w:val="24"/>
          <w:highlight w:val="none"/>
        </w:rPr>
        <w:br w:type="page"/>
      </w:r>
    </w:p>
    <w:p>
      <w:pPr>
        <w:spacing w:line="600" w:lineRule="exact"/>
        <w:ind w:left="482"/>
        <w:jc w:val="left"/>
        <w:rPr>
          <w:rFonts w:ascii="宋体"/>
          <w:b/>
          <w:bCs/>
          <w:color w:val="auto"/>
          <w:sz w:val="24"/>
          <w:szCs w:val="24"/>
          <w:highlight w:val="none"/>
        </w:rPr>
      </w:pPr>
      <w:r>
        <w:rPr>
          <w:rFonts w:hint="eastAsia" w:ascii="宋体"/>
          <w:b/>
          <w:bCs/>
          <w:color w:val="auto"/>
          <w:kern w:val="0"/>
          <w:sz w:val="24"/>
          <w:szCs w:val="24"/>
          <w:highlight w:val="none"/>
        </w:rPr>
        <w:t>（五）</w:t>
      </w:r>
      <w:r>
        <w:rPr>
          <w:rFonts w:ascii="宋体"/>
          <w:b/>
          <w:bCs/>
          <w:color w:val="auto"/>
          <w:kern w:val="0"/>
          <w:sz w:val="24"/>
          <w:szCs w:val="24"/>
          <w:highlight w:val="none"/>
        </w:rPr>
        <w:t>投标人声明</w:t>
      </w:r>
      <w:r>
        <w:rPr>
          <w:b/>
          <w:bCs/>
          <w:color w:val="auto"/>
          <w:sz w:val="24"/>
          <w:szCs w:val="24"/>
          <w:highlight w:val="none"/>
        </w:rPr>
        <w:t>（</w:t>
      </w:r>
      <w:r>
        <w:rPr>
          <w:rFonts w:hint="eastAsia"/>
          <w:b/>
          <w:bCs/>
          <w:color w:val="auto"/>
          <w:sz w:val="24"/>
          <w:szCs w:val="24"/>
          <w:highlight w:val="none"/>
        </w:rPr>
        <w:t>按照此格式填报）</w:t>
      </w:r>
    </w:p>
    <w:p>
      <w:pPr>
        <w:spacing w:line="600" w:lineRule="exact"/>
        <w:ind w:firstLine="602" w:firstLineChars="200"/>
        <w:jc w:val="center"/>
        <w:rPr>
          <w:rFonts w:ascii="宋体"/>
          <w:b/>
          <w:bCs/>
          <w:color w:val="auto"/>
          <w:kern w:val="0"/>
          <w:sz w:val="30"/>
          <w:szCs w:val="30"/>
          <w:highlight w:val="none"/>
        </w:rPr>
      </w:pPr>
      <w:r>
        <w:rPr>
          <w:rFonts w:hint="eastAsia" w:ascii="宋体"/>
          <w:b/>
          <w:bCs/>
          <w:color w:val="auto"/>
          <w:kern w:val="0"/>
          <w:sz w:val="30"/>
          <w:szCs w:val="30"/>
          <w:highlight w:val="none"/>
        </w:rPr>
        <w:t>投标人声明</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广州市黄埔区水务局、本招标项目招标人及招标监管机构：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本公司就参加投标工作，作出郑重声明：</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三、本公司不存在下列情形：</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（1）为招标人不具有独立法人资格的附属机构（单位）；</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（2）为本标段前期准备提供设计或咨询服务或者与本项目设计人或提供咨询服务的机构存在附属关系的；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（3）为本项目监理人或者与本项目监理人存在隶属关系或者其他利害关系；</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（4）为本标段的代建人；</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（5）为本标段提供招标代理服务的；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（6）与本标段的监理人或代建人或招标代理机构同为一个法定代表人的；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（7）与本标段的监理人或代建人或招标代理机构互相控股或参股的；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（8）与本标段的监理人或代建人或招标代理机构相互任职或工作的；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（9）与本标段的检测机构有隶属关系或者其他利害关系；</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（10）与招标人存在利害关系且可能影响招标公正性；</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（11）与本标段的其他投标人为同一个单位负责人；</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（12）与本标段的其他投标人存在控股、管理关系；</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（13）被依法暂停或取消投标资格的；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（14）被责令停产停业、暂扣或者吊销许可证、暂扣或者吊销执照的；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（15）进入清算程序，或被宣布破产，或其他丧失履约能力的情形；</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（16）在最近三年内有骗取中标或严重违约或重大工程质量问题的；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（17）被工商行政管理机关在全国企业信用信息公示系统中列入严重违法失信企业名单；</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（18）被最高人民法院在“信用中国”网站（www.creditchina.gov.cn）或各级信用信息共享平台中列入失信被执行人名单；</w:t>
      </w:r>
    </w:p>
    <w:p>
      <w:pPr>
        <w:snapToGrid w:val="0"/>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（19）被发改委、人力资源社会保障、质检总局等有关部门、单位在“信用中国”网站中列入联合惩戒失信黑名单。</w:t>
      </w:r>
    </w:p>
    <w:p>
      <w:pPr>
        <w:snapToGrid w:val="0"/>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（20）未在以往工程中因不诚信行为或不充分履约行为被本项目招标人书面拒绝投标的，或未被纳入联合惩戒范围的。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（21）在近三年内投标人或其法定代表人、拟委派的项目负责人有行贿犯罪行为的；</w:t>
      </w:r>
    </w:p>
    <w:p>
      <w:pPr>
        <w:spacing w:line="360" w:lineRule="auto"/>
        <w:ind w:firstLine="480" w:firstLineChars="200"/>
        <w:jc w:val="left"/>
        <w:rPr>
          <w:rFonts w:ascii="宋体"/>
          <w:color w:val="auto"/>
          <w:kern w:val="0"/>
          <w:sz w:val="24"/>
          <w:szCs w:val="24"/>
          <w:highlight w:val="none"/>
        </w:rPr>
      </w:pPr>
      <w:r>
        <w:rPr>
          <w:rFonts w:hint="eastAsia" w:ascii="宋体"/>
          <w:color w:val="auto"/>
          <w:kern w:val="0"/>
          <w:sz w:val="24"/>
          <w:szCs w:val="24"/>
          <w:highlight w:val="none"/>
        </w:rPr>
        <w:t>（22）被“信用广州”网站纳入失信联合惩戒名单（失信黑名单）。</w:t>
      </w:r>
    </w:p>
    <w:p>
      <w:pPr>
        <w:spacing w:line="360" w:lineRule="auto"/>
        <w:ind w:firstLine="480" w:firstLineChars="200"/>
        <w:jc w:val="left"/>
        <w:rPr>
          <w:rFonts w:ascii="宋体"/>
          <w:color w:val="auto"/>
          <w:kern w:val="0"/>
          <w:sz w:val="24"/>
          <w:szCs w:val="24"/>
          <w:highlight w:val="none"/>
        </w:rPr>
      </w:pPr>
      <w:r>
        <w:rPr>
          <w:rFonts w:hint="eastAsia" w:ascii="宋体"/>
          <w:color w:val="auto"/>
          <w:kern w:val="0"/>
          <w:sz w:val="24"/>
          <w:szCs w:val="24"/>
          <w:highlight w:val="none"/>
        </w:rPr>
        <w:t>（23）法律法规规定的其他情形。</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四、本公司保证本项目拟派的项目负责人和安全员没有在其他在建项目中任职。</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七、与本公司单位负责人为同一人或者与本公司存在控股、管理关系的其他单位包括：</w:t>
      </w:r>
      <w:r>
        <w:rPr>
          <w:rFonts w:ascii="宋体"/>
          <w:color w:val="auto"/>
          <w:kern w:val="0"/>
          <w:sz w:val="24"/>
          <w:szCs w:val="24"/>
          <w:highlight w:val="none"/>
          <w:u w:val="single"/>
        </w:rPr>
        <w:t xml:space="preserve">      </w:t>
      </w:r>
      <w:r>
        <w:rPr>
          <w:rFonts w:hint="eastAsia" w:ascii="宋体"/>
          <w:color w:val="auto"/>
          <w:kern w:val="0"/>
          <w:sz w:val="24"/>
          <w:szCs w:val="24"/>
          <w:highlight w:val="none"/>
        </w:rPr>
        <w:t>。（注：本条由投标人如实填写，如有，应列出全部满足招标公告资质要求的相关单位的名称；如无，则填写“无”。）</w:t>
      </w: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八、本公司承诺，在本项目招投标阶段以及中标后履行合同阶段，若我公司有发生本项目合同文本附件中不诚信行为情形的，我公司自愿接受招标人按照本项目合同文本附件《不诚信行为的情形及相应被暂停参与投标活动的处理标准》对我公司进行相应处理。</w:t>
      </w:r>
    </w:p>
    <w:p>
      <w:pPr>
        <w:spacing w:line="360" w:lineRule="auto"/>
        <w:ind w:firstLine="629"/>
        <w:jc w:val="left"/>
        <w:rPr>
          <w:rFonts w:ascii="宋体"/>
          <w:color w:val="auto"/>
          <w:kern w:val="0"/>
          <w:sz w:val="24"/>
          <w:szCs w:val="24"/>
          <w:highlight w:val="none"/>
        </w:rPr>
      </w:pPr>
      <w:r>
        <w:rPr>
          <w:rFonts w:hint="eastAsia" w:ascii="宋体"/>
          <w:color w:val="auto"/>
          <w:kern w:val="0"/>
          <w:sz w:val="24"/>
          <w:szCs w:val="24"/>
          <w:highlight w:val="none"/>
        </w:rPr>
        <w:t>本公司违反上述保证，或本声明陈述与事实不符，经查实，本公司除按招标文件或合同约定自愿接受招标人的处理外，还愿意接受公开通报或相应行政处罚，承担由此带来的所有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color w:val="auto"/>
          <w:kern w:val="0"/>
          <w:sz w:val="24"/>
          <w:szCs w:val="24"/>
          <w:highlight w:val="none"/>
        </w:rPr>
      </w:pPr>
    </w:p>
    <w:p>
      <w:pPr>
        <w:spacing w:line="360" w:lineRule="auto"/>
        <w:ind w:firstLine="480" w:firstLineChars="200"/>
        <w:rPr>
          <w:rFonts w:ascii="宋体"/>
          <w:color w:val="auto"/>
          <w:kern w:val="0"/>
          <w:sz w:val="24"/>
          <w:szCs w:val="24"/>
          <w:highlight w:val="none"/>
        </w:rPr>
      </w:pPr>
      <w:r>
        <w:rPr>
          <w:rFonts w:hint="eastAsia" w:ascii="宋体"/>
          <w:color w:val="auto"/>
          <w:kern w:val="0"/>
          <w:sz w:val="24"/>
          <w:szCs w:val="24"/>
          <w:highlight w:val="none"/>
        </w:rPr>
        <w:t>特此声明</w:t>
      </w:r>
    </w:p>
    <w:p>
      <w:pPr>
        <w:spacing w:line="600" w:lineRule="exact"/>
        <w:ind w:left="629" w:right="1449" w:firstLine="480" w:firstLineChars="200"/>
        <w:jc w:val="right"/>
        <w:rPr>
          <w:rFonts w:ascii="宋体"/>
          <w:color w:val="auto"/>
          <w:kern w:val="0"/>
          <w:sz w:val="24"/>
          <w:szCs w:val="24"/>
          <w:highlight w:val="none"/>
        </w:rPr>
      </w:pPr>
      <w:r>
        <w:rPr>
          <w:rFonts w:hint="eastAsia" w:ascii="宋体"/>
          <w:color w:val="auto"/>
          <w:kern w:val="0"/>
          <w:sz w:val="24"/>
          <w:szCs w:val="24"/>
          <w:highlight w:val="none"/>
        </w:rPr>
        <w:t>声明企业：</w:t>
      </w:r>
    </w:p>
    <w:p>
      <w:pPr>
        <w:spacing w:line="600" w:lineRule="exact"/>
        <w:ind w:right="1779"/>
        <w:jc w:val="right"/>
        <w:rPr>
          <w:rFonts w:ascii="宋体"/>
          <w:color w:val="auto"/>
          <w:kern w:val="0"/>
          <w:sz w:val="24"/>
          <w:szCs w:val="24"/>
          <w:highlight w:val="none"/>
        </w:rPr>
      </w:pPr>
      <w:r>
        <w:rPr>
          <w:rFonts w:hint="eastAsia" w:ascii="宋体"/>
          <w:color w:val="auto"/>
          <w:kern w:val="0"/>
          <w:sz w:val="24"/>
          <w:szCs w:val="24"/>
          <w:highlight w:val="none"/>
        </w:rPr>
        <w:t>法定代表人（签字）：</w:t>
      </w:r>
    </w:p>
    <w:p>
      <w:pPr>
        <w:spacing w:line="600" w:lineRule="exact"/>
        <w:ind w:right="1779"/>
        <w:jc w:val="right"/>
        <w:rPr>
          <w:rFonts w:ascii="宋体"/>
          <w:color w:val="auto"/>
          <w:kern w:val="0"/>
          <w:sz w:val="24"/>
          <w:szCs w:val="24"/>
          <w:highlight w:val="none"/>
        </w:rPr>
      </w:pPr>
      <w:r>
        <w:rPr>
          <w:rFonts w:hint="eastAsia" w:ascii="宋体"/>
          <w:color w:val="auto"/>
          <w:kern w:val="0"/>
          <w:sz w:val="24"/>
          <w:szCs w:val="24"/>
          <w:highlight w:val="none"/>
        </w:rPr>
        <w:t>项目负责人（签字）：</w:t>
      </w:r>
    </w:p>
    <w:p>
      <w:pPr>
        <w:spacing w:line="600" w:lineRule="exact"/>
        <w:ind w:right="1779"/>
        <w:jc w:val="right"/>
        <w:rPr>
          <w:rFonts w:ascii="宋体"/>
          <w:color w:val="auto"/>
          <w:kern w:val="0"/>
          <w:sz w:val="24"/>
          <w:szCs w:val="24"/>
          <w:highlight w:val="none"/>
        </w:rPr>
      </w:pPr>
      <w:r>
        <w:rPr>
          <w:rFonts w:hint="eastAsia" w:ascii="宋体"/>
          <w:color w:val="auto"/>
          <w:kern w:val="0"/>
          <w:sz w:val="24"/>
          <w:szCs w:val="24"/>
          <w:highlight w:val="none"/>
        </w:rPr>
        <w:t>技术负责人（签字）：</w:t>
      </w:r>
    </w:p>
    <w:p>
      <w:pPr>
        <w:spacing w:line="600" w:lineRule="exact"/>
        <w:ind w:right="879" w:firstLine="480" w:firstLineChars="200"/>
        <w:jc w:val="right"/>
        <w:rPr>
          <w:rFonts w:ascii="宋体"/>
          <w:color w:val="auto"/>
          <w:kern w:val="0"/>
          <w:sz w:val="24"/>
          <w:szCs w:val="24"/>
          <w:highlight w:val="none"/>
        </w:rPr>
      </w:pPr>
      <w:r>
        <w:rPr>
          <w:rFonts w:hint="eastAsia" w:ascii="宋体"/>
          <w:color w:val="auto"/>
          <w:kern w:val="0"/>
          <w:sz w:val="24"/>
          <w:szCs w:val="24"/>
          <w:highlight w:val="none"/>
        </w:rPr>
        <w:t>（盖单位章）</w:t>
      </w:r>
    </w:p>
    <w:p>
      <w:pPr>
        <w:spacing w:line="360" w:lineRule="auto"/>
        <w:ind w:right="1179" w:firstLine="480" w:firstLineChars="200"/>
        <w:jc w:val="right"/>
        <w:rPr>
          <w:rFonts w:ascii="宋体"/>
          <w:color w:val="auto"/>
          <w:kern w:val="0"/>
          <w:sz w:val="24"/>
          <w:szCs w:val="24"/>
          <w:highlight w:val="none"/>
        </w:rPr>
      </w:pPr>
      <w:r>
        <w:rPr>
          <w:rFonts w:hint="eastAsia" w:ascii="宋体"/>
          <w:color w:val="auto"/>
          <w:sz w:val="24"/>
          <w:szCs w:val="24"/>
          <w:highlight w:val="none"/>
        </w:rPr>
        <w:t>年  月  日</w:t>
      </w:r>
    </w:p>
    <w:p>
      <w:pPr>
        <w:pStyle w:val="136"/>
        <w:spacing w:line="600" w:lineRule="exact"/>
        <w:ind w:firstLine="480" w:firstLineChars="200"/>
        <w:rPr>
          <w:rFonts w:ascii="宋体" w:eastAsia="宋体"/>
          <w:color w:val="auto"/>
          <w:sz w:val="24"/>
          <w:szCs w:val="24"/>
          <w:highlight w:val="none"/>
        </w:rPr>
      </w:pPr>
    </w:p>
    <w:p>
      <w:pPr>
        <w:pStyle w:val="136"/>
        <w:spacing w:line="600" w:lineRule="exact"/>
        <w:ind w:right="879" w:firstLine="480" w:firstLineChars="200"/>
        <w:jc w:val="right"/>
        <w:rPr>
          <w:rFonts w:ascii="宋体" w:eastAsia="宋体"/>
          <w:strike/>
          <w:color w:val="auto"/>
          <w:sz w:val="24"/>
          <w:szCs w:val="24"/>
          <w:highlight w:val="none"/>
        </w:rPr>
      </w:pPr>
    </w:p>
    <w:p>
      <w:pPr>
        <w:rPr>
          <w:rFonts w:ascii="宋体"/>
          <w:strike/>
          <w:color w:val="auto"/>
          <w:highlight w:val="none"/>
        </w:rPr>
      </w:pPr>
    </w:p>
    <w:p>
      <w:pPr>
        <w:rPr>
          <w:rFonts w:ascii="宋体"/>
          <w:color w:val="auto"/>
          <w:highlight w:val="none"/>
        </w:rPr>
      </w:pPr>
    </w:p>
    <w:p>
      <w:pPr>
        <w:rPr>
          <w:rFonts w:ascii="宋体"/>
          <w:color w:val="auto"/>
          <w:highlight w:val="none"/>
        </w:rPr>
      </w:pPr>
    </w:p>
    <w:p>
      <w:pPr>
        <w:pageBreakBefore/>
        <w:rPr>
          <w:rFonts w:ascii="宋体"/>
          <w:b/>
          <w:color w:val="auto"/>
          <w:sz w:val="24"/>
          <w:szCs w:val="24"/>
          <w:highlight w:val="none"/>
        </w:rPr>
      </w:pPr>
      <w:r>
        <w:rPr>
          <w:rFonts w:hint="eastAsia" w:ascii="宋体"/>
          <w:b/>
          <w:color w:val="auto"/>
          <w:sz w:val="24"/>
          <w:szCs w:val="24"/>
          <w:highlight w:val="none"/>
        </w:rPr>
        <w:t>（六）投标人廉洁承诺书（格式）</w:t>
      </w:r>
    </w:p>
    <w:p>
      <w:pPr>
        <w:pStyle w:val="36"/>
        <w:ind w:firstLine="482"/>
        <w:jc w:val="center"/>
        <w:rPr>
          <w:rFonts w:ascii="宋体"/>
          <w:b/>
          <w:bCs/>
          <w:color w:val="auto"/>
          <w:sz w:val="40"/>
          <w:szCs w:val="40"/>
          <w:highlight w:val="none"/>
        </w:rPr>
      </w:pPr>
      <w:r>
        <w:rPr>
          <w:rFonts w:hint="eastAsia" w:ascii="宋体"/>
          <w:b/>
          <w:bCs/>
          <w:color w:val="auto"/>
          <w:sz w:val="40"/>
          <w:szCs w:val="40"/>
          <w:highlight w:val="none"/>
        </w:rPr>
        <w:t>投标人廉洁承诺书</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广州市黄埔区水务局、本招标项目招标人及招标监管机构：</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本公司参加了</w:t>
      </w:r>
      <w:r>
        <w:rPr>
          <w:rFonts w:hint="eastAsia" w:eastAsia="宋体"/>
          <w:color w:val="auto"/>
          <w:sz w:val="21"/>
          <w:szCs w:val="21"/>
          <w:highlight w:val="none"/>
          <w:u w:val="single"/>
        </w:rPr>
        <w:t xml:space="preserve">   （项目名称/标段名称）    </w:t>
      </w:r>
      <w:r>
        <w:rPr>
          <w:rFonts w:hint="eastAsia" w:eastAsia="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一、自觉遵守国家有关法律法规及廉洁规定。</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二、不与招标单位工作人员串通投标，损害国家利益、企业利益以及他人的合法利益；</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三、不与其他单位围标、串标，不出让投标资格，不向招标人或评标委员会成员行贿。</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五、不以任何名义为参与招标、评标工作的有关人员装修住房、婚丧嫁取、配偶子女的工作安排以及境内外旅游等提供方便；</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六、不以谋取非正当利益为目的，擅自与参与招标、评标工作的有关人员就业务问题进行私下商谈或者达成利益默契；</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p>
    <w:p>
      <w:pPr>
        <w:pStyle w:val="23"/>
        <w:spacing w:line="555" w:lineRule="atLeast"/>
        <w:ind w:right="420" w:firstLine="645"/>
        <w:rPr>
          <w:rFonts w:eastAsia="宋体"/>
          <w:color w:val="auto"/>
          <w:sz w:val="21"/>
          <w:szCs w:val="21"/>
          <w:highlight w:val="none"/>
        </w:rPr>
      </w:pPr>
      <w:r>
        <w:rPr>
          <w:rFonts w:hint="eastAsia" w:eastAsia="宋体"/>
          <w:color w:val="auto"/>
          <w:sz w:val="21"/>
          <w:szCs w:val="21"/>
          <w:highlight w:val="none"/>
        </w:rPr>
        <w:t>特此承诺</w:t>
      </w:r>
    </w:p>
    <w:p>
      <w:pPr>
        <w:pStyle w:val="36"/>
        <w:spacing w:before="0" w:beforeAutospacing="0" w:after="0" w:afterAutospacing="0" w:line="360" w:lineRule="auto"/>
        <w:ind w:right="1455" w:firstLine="2880"/>
        <w:jc w:val="right"/>
        <w:rPr>
          <w:rFonts w:ascii="宋体"/>
          <w:color w:val="auto"/>
          <w:sz w:val="21"/>
          <w:szCs w:val="21"/>
          <w:highlight w:val="none"/>
        </w:rPr>
      </w:pPr>
      <w:r>
        <w:rPr>
          <w:rFonts w:hint="eastAsia" w:ascii="宋体"/>
          <w:color w:val="auto"/>
          <w:sz w:val="21"/>
          <w:szCs w:val="21"/>
          <w:highlight w:val="none"/>
        </w:rPr>
        <w:t>承诺企业（该单位章）：      </w:t>
      </w:r>
    </w:p>
    <w:p>
      <w:pPr>
        <w:pStyle w:val="36"/>
        <w:spacing w:before="0" w:beforeAutospacing="0" w:after="0" w:afterAutospacing="0" w:line="360" w:lineRule="auto"/>
        <w:ind w:firstLine="482"/>
        <w:jc w:val="right"/>
        <w:rPr>
          <w:rFonts w:ascii="宋体"/>
          <w:color w:val="auto"/>
          <w:sz w:val="21"/>
          <w:szCs w:val="21"/>
          <w:highlight w:val="none"/>
        </w:rPr>
      </w:pPr>
      <w:r>
        <w:rPr>
          <w:rFonts w:hint="eastAsia" w:ascii="宋体"/>
          <w:color w:val="auto"/>
          <w:sz w:val="21"/>
          <w:szCs w:val="21"/>
          <w:highlight w:val="none"/>
        </w:rPr>
        <w:t xml:space="preserve">法定代表人签字：           </w:t>
      </w:r>
    </w:p>
    <w:p>
      <w:pPr>
        <w:pStyle w:val="36"/>
        <w:spacing w:before="0" w:beforeAutospacing="0" w:after="0" w:afterAutospacing="0"/>
        <w:ind w:firstLine="482"/>
        <w:jc w:val="right"/>
        <w:rPr>
          <w:rFonts w:ascii="宋体"/>
          <w:color w:val="auto"/>
          <w:sz w:val="21"/>
          <w:szCs w:val="21"/>
          <w:highlight w:val="none"/>
        </w:rPr>
      </w:pPr>
      <w:r>
        <w:rPr>
          <w:rFonts w:hint="eastAsia" w:ascii="宋体"/>
          <w:color w:val="auto"/>
          <w:sz w:val="21"/>
          <w:szCs w:val="21"/>
          <w:highlight w:val="none"/>
        </w:rPr>
        <w:t>年   月   日</w:t>
      </w:r>
    </w:p>
    <w:bookmarkEnd w:id="1074"/>
    <w:p>
      <w:pPr>
        <w:spacing w:line="360" w:lineRule="auto"/>
        <w:jc w:val="center"/>
        <w:outlineLvl w:val="2"/>
        <w:rPr>
          <w:rFonts w:ascii="宋体"/>
          <w:color w:val="auto"/>
          <w:sz w:val="28"/>
          <w:szCs w:val="27"/>
          <w:highlight w:val="none"/>
        </w:rPr>
      </w:pPr>
      <w:bookmarkStart w:id="1080" w:name="_Toc229474024"/>
      <w:bookmarkStart w:id="1081" w:name="_Toc17451617"/>
      <w:bookmarkStart w:id="1082" w:name="_Toc17556915"/>
      <w:bookmarkStart w:id="1083" w:name="_Toc17452703"/>
      <w:bookmarkStart w:id="1084" w:name="_Toc17451140"/>
      <w:bookmarkStart w:id="1085" w:name="_Toc17454961"/>
      <w:bookmarkStart w:id="1086" w:name="_Toc17454910"/>
      <w:bookmarkStart w:id="1087" w:name="_Toc17451662"/>
      <w:bookmarkStart w:id="1088" w:name="_Toc75788625"/>
      <w:r>
        <w:rPr>
          <w:rFonts w:ascii="宋体"/>
          <w:color w:val="auto"/>
          <w:highlight w:val="none"/>
        </w:rPr>
        <w:br w:type="page"/>
      </w:r>
      <w:bookmarkStart w:id="1089" w:name="_Toc21459"/>
      <w:bookmarkStart w:id="1090" w:name="_Toc19420"/>
      <w:r>
        <w:rPr>
          <w:rFonts w:hint="eastAsia" w:ascii="宋体"/>
          <w:color w:val="auto"/>
          <w:sz w:val="28"/>
          <w:szCs w:val="27"/>
          <w:highlight w:val="none"/>
        </w:rPr>
        <w:t>十、</w:t>
      </w:r>
      <w:bookmarkEnd w:id="1075"/>
      <w:bookmarkEnd w:id="1076"/>
      <w:bookmarkEnd w:id="1077"/>
      <w:bookmarkEnd w:id="1078"/>
      <w:bookmarkEnd w:id="1079"/>
      <w:bookmarkEnd w:id="1080"/>
      <w:r>
        <w:rPr>
          <w:rFonts w:hint="eastAsia" w:ascii="宋体"/>
          <w:color w:val="auto"/>
          <w:sz w:val="28"/>
          <w:szCs w:val="27"/>
          <w:highlight w:val="none"/>
        </w:rPr>
        <w:t>其他材料</w:t>
      </w:r>
      <w:bookmarkEnd w:id="1081"/>
      <w:bookmarkEnd w:id="1082"/>
      <w:bookmarkEnd w:id="1083"/>
      <w:bookmarkEnd w:id="1084"/>
      <w:bookmarkEnd w:id="1085"/>
      <w:bookmarkEnd w:id="1086"/>
      <w:bookmarkEnd w:id="1087"/>
      <w:bookmarkEnd w:id="1088"/>
      <w:bookmarkEnd w:id="1089"/>
      <w:bookmarkEnd w:id="1090"/>
    </w:p>
    <w:p>
      <w:pPr>
        <w:spacing w:line="360" w:lineRule="auto"/>
        <w:rPr>
          <w:rFonts w:ascii="宋体"/>
          <w:color w:val="auto"/>
          <w:sz w:val="24"/>
          <w:highlight w:val="none"/>
        </w:rPr>
      </w:pPr>
      <w:r>
        <w:rPr>
          <w:rFonts w:hint="eastAsia" w:ascii="宋体"/>
          <w:color w:val="auto"/>
          <w:sz w:val="24"/>
          <w:highlight w:val="none"/>
        </w:rPr>
        <w:t>（如投标报价低于工程成本警示价的，提供投标报价不低于成本价的证明材料。）</w:t>
      </w:r>
    </w:p>
    <w:p>
      <w:pPr>
        <w:spacing w:line="600" w:lineRule="exact"/>
        <w:ind w:firstLine="480"/>
        <w:jc w:val="left"/>
        <w:rPr>
          <w:rFonts w:ascii="宋体"/>
          <w:color w:val="auto"/>
          <w:sz w:val="30"/>
          <w:szCs w:val="30"/>
          <w:highlight w:val="none"/>
        </w:rPr>
      </w:pPr>
      <w:bookmarkStart w:id="1091" w:name="_Toc266881405"/>
      <w:bookmarkStart w:id="1092" w:name="_Toc266093553"/>
      <w:bookmarkStart w:id="1093" w:name="_Toc249846232"/>
      <w:bookmarkStart w:id="1094" w:name="_Toc416357992"/>
      <w:bookmarkStart w:id="1095" w:name="_Toc249845977"/>
      <w:bookmarkStart w:id="1096" w:name="_Toc253143224"/>
      <w:bookmarkStart w:id="1097" w:name="_Toc245024005"/>
      <w:bookmarkStart w:id="1098" w:name="_Toc416358163"/>
      <w:r>
        <w:rPr>
          <w:rFonts w:hint="eastAsia" w:ascii="宋体"/>
          <w:bCs/>
          <w:color w:val="auto"/>
          <w:kern w:val="0"/>
          <w:sz w:val="24"/>
          <w:szCs w:val="24"/>
          <w:highlight w:val="none"/>
        </w:rPr>
        <w:t>附件1</w:t>
      </w:r>
      <w:bookmarkEnd w:id="1091"/>
      <w:bookmarkEnd w:id="1092"/>
      <w:bookmarkEnd w:id="1093"/>
      <w:bookmarkEnd w:id="1094"/>
      <w:bookmarkEnd w:id="1095"/>
      <w:bookmarkEnd w:id="1096"/>
      <w:bookmarkEnd w:id="1097"/>
      <w:bookmarkEnd w:id="1098"/>
    </w:p>
    <w:p>
      <w:pPr>
        <w:tabs>
          <w:tab w:val="left" w:pos="720"/>
        </w:tabs>
        <w:snapToGrid w:val="0"/>
        <w:spacing w:line="360" w:lineRule="auto"/>
        <w:jc w:val="center"/>
        <w:rPr>
          <w:rFonts w:ascii="宋体"/>
          <w:b/>
          <w:color w:val="auto"/>
          <w:sz w:val="32"/>
          <w:szCs w:val="32"/>
          <w:highlight w:val="none"/>
        </w:rPr>
      </w:pPr>
      <w:r>
        <w:rPr>
          <w:rFonts w:hint="eastAsia" w:ascii="宋体"/>
          <w:b/>
          <w:color w:val="auto"/>
          <w:sz w:val="32"/>
          <w:szCs w:val="32"/>
          <w:highlight w:val="none"/>
        </w:rPr>
        <w:t>投标文件编制人员名单</w:t>
      </w:r>
    </w:p>
    <w:p>
      <w:pPr>
        <w:tabs>
          <w:tab w:val="left" w:pos="720"/>
        </w:tabs>
        <w:snapToGrid w:val="0"/>
        <w:spacing w:line="360" w:lineRule="auto"/>
        <w:rPr>
          <w:rFonts w:ascii="宋体"/>
          <w:color w:val="auto"/>
          <w:sz w:val="24"/>
          <w:szCs w:val="24"/>
          <w:highlight w:val="none"/>
        </w:rPr>
      </w:pPr>
    </w:p>
    <w:tbl>
      <w:tblPr>
        <w:tblStyle w:val="4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497"/>
        <w:gridCol w:w="2540"/>
        <w:gridCol w:w="243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24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color w:val="auto"/>
                <w:szCs w:val="21"/>
                <w:highlight w:val="none"/>
              </w:rPr>
            </w:pPr>
            <w:r>
              <w:rPr>
                <w:rFonts w:hint="eastAsia" w:asci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姓名</w:t>
            </w: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职务</w:t>
            </w: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所承担工作</w:t>
            </w: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身份证号码</w:t>
            </w: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9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243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color w:val="auto"/>
                <w:szCs w:val="21"/>
                <w:highlight w:val="none"/>
              </w:rPr>
            </w:pPr>
          </w:p>
        </w:tc>
      </w:tr>
    </w:tbl>
    <w:p>
      <w:pPr>
        <w:tabs>
          <w:tab w:val="left" w:pos="720"/>
        </w:tabs>
        <w:snapToGrid w:val="0"/>
        <w:spacing w:line="360" w:lineRule="auto"/>
        <w:rPr>
          <w:rFonts w:ascii="宋体"/>
          <w:color w:val="auto"/>
          <w:sz w:val="24"/>
          <w:szCs w:val="24"/>
          <w:highlight w:val="none"/>
        </w:rPr>
      </w:pPr>
    </w:p>
    <w:p>
      <w:pPr>
        <w:pStyle w:val="40"/>
        <w:spacing w:after="0" w:line="360" w:lineRule="auto"/>
        <w:ind w:left="-2" w:leftChars="-1" w:firstLine="350" w:firstLineChars="175"/>
        <w:jc w:val="left"/>
        <w:rPr>
          <w:rFonts w:ascii="宋体" w:eastAsia="宋体"/>
          <w:color w:val="auto"/>
          <w:szCs w:val="21"/>
          <w:highlight w:val="none"/>
        </w:rPr>
      </w:pPr>
      <w:r>
        <w:rPr>
          <w:rFonts w:hint="eastAsia" w:ascii="宋体" w:eastAsia="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40"/>
        <w:spacing w:after="0" w:line="360" w:lineRule="auto"/>
        <w:ind w:left="-2" w:leftChars="-1" w:firstLineChars="175"/>
        <w:jc w:val="center"/>
        <w:rPr>
          <w:rFonts w:ascii="宋体" w:eastAsia="宋体"/>
          <w:color w:val="auto"/>
          <w:sz w:val="24"/>
          <w:szCs w:val="24"/>
          <w:highlight w:val="none"/>
        </w:rPr>
      </w:pPr>
    </w:p>
    <w:p>
      <w:pPr>
        <w:pStyle w:val="40"/>
        <w:spacing w:after="0" w:line="360" w:lineRule="auto"/>
        <w:ind w:left="-2" w:leftChars="-1" w:firstLineChars="175"/>
        <w:rPr>
          <w:rFonts w:ascii="宋体" w:eastAsia="宋体"/>
          <w:color w:val="auto"/>
          <w:szCs w:val="21"/>
          <w:highlight w:val="none"/>
        </w:rPr>
      </w:pPr>
      <w:r>
        <w:rPr>
          <w:rFonts w:ascii="宋体" w:eastAsia="宋体"/>
          <w:color w:val="auto"/>
          <w:sz w:val="24"/>
          <w:szCs w:val="24"/>
          <w:highlight w:val="none"/>
        </w:rPr>
        <w:br w:type="page"/>
      </w:r>
      <w:r>
        <w:rPr>
          <w:rFonts w:hint="eastAsia" w:ascii="宋体" w:hAnsi="Calibri" w:eastAsia="宋体"/>
          <w:bCs/>
          <w:color w:val="auto"/>
          <w:sz w:val="24"/>
          <w:szCs w:val="24"/>
          <w:highlight w:val="none"/>
        </w:rPr>
        <w:t>附件2</w:t>
      </w:r>
    </w:p>
    <w:p>
      <w:pPr>
        <w:pStyle w:val="40"/>
        <w:spacing w:after="0" w:line="360" w:lineRule="auto"/>
        <w:ind w:left="-2" w:leftChars="-1" w:firstLine="562" w:firstLineChars="175"/>
        <w:jc w:val="both"/>
        <w:rPr>
          <w:rFonts w:ascii="宋体" w:eastAsia="宋体"/>
          <w:color w:val="auto"/>
          <w:sz w:val="32"/>
          <w:szCs w:val="32"/>
          <w:highlight w:val="none"/>
        </w:rPr>
      </w:pPr>
      <w:r>
        <w:rPr>
          <w:rFonts w:hint="eastAsia" w:ascii="宋体" w:eastAsia="宋体"/>
          <w:b/>
          <w:color w:val="auto"/>
          <w:sz w:val="32"/>
          <w:szCs w:val="32"/>
          <w:highlight w:val="none"/>
        </w:rPr>
        <w:t>对投标文件编制的承诺</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本公司授权</w:t>
      </w:r>
      <w:r>
        <w:rPr>
          <w:rFonts w:hint="eastAsia" w:ascii="宋体" w:eastAsia="宋体"/>
          <w:color w:val="auto"/>
          <w:sz w:val="24"/>
          <w:szCs w:val="24"/>
          <w:highlight w:val="none"/>
          <w:u w:val="single"/>
        </w:rPr>
        <w:t xml:space="preserve">         （身份证号：               ）</w:t>
      </w:r>
      <w:r>
        <w:rPr>
          <w:rFonts w:hint="eastAsia" w:ascii="宋体" w:eastAsia="宋体"/>
          <w:color w:val="auto"/>
          <w:sz w:val="24"/>
          <w:szCs w:val="24"/>
          <w:highlight w:val="none"/>
        </w:rPr>
        <w:t>负责对投标文件的编制及内容进行解释、说明，并承诺以下事项：</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1.被授权人清楚投标文件编制的具体情况，包括技术方案文件、工程量清单、以及投标文件的加密打包的理解；</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2.在本项目开标至评标结束前，努力确保被授权人在项目评标所在地附近；</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3.从评标委员会要求澄清起二小时内，被授权人应如实地书面澄清。</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 xml:space="preserve">如由于未遵守上述承诺内容之一导致无法进行澄清的，我公司认可和接受评标委员会作出的评审结论。                                 </w:t>
      </w:r>
    </w:p>
    <w:p>
      <w:pPr>
        <w:pStyle w:val="40"/>
        <w:spacing w:after="0" w:line="360" w:lineRule="auto"/>
        <w:ind w:left="-2" w:leftChars="-1" w:firstLine="420" w:firstLineChars="175"/>
        <w:rPr>
          <w:rFonts w:ascii="宋体" w:eastAsia="宋体"/>
          <w:color w:val="auto"/>
          <w:sz w:val="24"/>
          <w:szCs w:val="24"/>
          <w:highlight w:val="none"/>
        </w:rPr>
      </w:pP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附件：《投标文件编制情况》</w:t>
      </w:r>
    </w:p>
    <w:p>
      <w:pPr>
        <w:pStyle w:val="40"/>
        <w:spacing w:after="0" w:line="360" w:lineRule="auto"/>
        <w:ind w:left="-2" w:leftChars="-1" w:right="90" w:firstLine="420" w:firstLineChars="175"/>
        <w:rPr>
          <w:rFonts w:ascii="宋体"/>
          <w:color w:val="auto"/>
          <w:sz w:val="24"/>
          <w:szCs w:val="24"/>
          <w:highlight w:val="none"/>
          <w:u w:val="single"/>
        </w:rPr>
      </w:pPr>
      <w:r>
        <w:rPr>
          <w:rFonts w:hint="eastAsia" w:ascii="宋体"/>
          <w:color w:val="auto"/>
          <w:sz w:val="24"/>
          <w:szCs w:val="24"/>
          <w:highlight w:val="none"/>
        </w:rPr>
        <w:t xml:space="preserve"> 投标人名称（盖单位章）：</w:t>
      </w:r>
    </w:p>
    <w:p>
      <w:pPr>
        <w:pStyle w:val="40"/>
        <w:spacing w:after="0" w:line="360" w:lineRule="auto"/>
        <w:ind w:left="-2" w:leftChars="-1" w:firstLine="420" w:firstLineChars="175"/>
        <w:rPr>
          <w:rFonts w:ascii="宋体"/>
          <w:color w:val="auto"/>
          <w:sz w:val="24"/>
          <w:szCs w:val="24"/>
          <w:highlight w:val="none"/>
          <w:u w:val="single"/>
        </w:rPr>
      </w:pPr>
      <w:r>
        <w:rPr>
          <w:rFonts w:hint="eastAsia" w:ascii="宋体"/>
          <w:color w:val="auto"/>
          <w:sz w:val="24"/>
          <w:szCs w:val="24"/>
          <w:highlight w:val="none"/>
        </w:rPr>
        <w:t>法定代表人或被授权人（签字）：</w:t>
      </w:r>
    </w:p>
    <w:p>
      <w:pPr>
        <w:pStyle w:val="40"/>
        <w:spacing w:after="0" w:line="360" w:lineRule="auto"/>
        <w:ind w:left="-2" w:leftChars="-1" w:firstLine="420" w:firstLineChars="175"/>
        <w:jc w:val="center"/>
        <w:rPr>
          <w:rFonts w:ascii="宋体"/>
          <w:color w:val="auto"/>
          <w:sz w:val="24"/>
          <w:szCs w:val="24"/>
          <w:highlight w:val="none"/>
        </w:rPr>
      </w:pPr>
      <w:r>
        <w:rPr>
          <w:rFonts w:hint="eastAsia" w:ascii="宋体"/>
          <w:color w:val="auto"/>
          <w:sz w:val="24"/>
          <w:szCs w:val="24"/>
          <w:highlight w:val="none"/>
        </w:rPr>
        <w:t xml:space="preserve"> 日期：      年   月   日 </w:t>
      </w:r>
    </w:p>
    <w:p>
      <w:pPr>
        <w:pStyle w:val="40"/>
        <w:spacing w:after="0" w:line="360" w:lineRule="auto"/>
        <w:ind w:left="-2" w:leftChars="-1" w:firstLineChars="175"/>
        <w:jc w:val="left"/>
        <w:rPr>
          <w:rFonts w:ascii="宋体"/>
          <w:b/>
          <w:color w:val="auto"/>
          <w:sz w:val="32"/>
          <w:szCs w:val="32"/>
          <w:highlight w:val="none"/>
        </w:rPr>
      </w:pPr>
      <w:r>
        <w:rPr>
          <w:rFonts w:ascii="宋体"/>
          <w:color w:val="auto"/>
          <w:sz w:val="24"/>
          <w:szCs w:val="24"/>
          <w:highlight w:val="none"/>
        </w:rPr>
        <w:br w:type="page"/>
      </w:r>
      <w:r>
        <w:rPr>
          <w:rFonts w:hint="eastAsia" w:ascii="宋体"/>
          <w:color w:val="auto"/>
          <w:sz w:val="24"/>
          <w:szCs w:val="24"/>
          <w:highlight w:val="none"/>
        </w:rPr>
        <w:t xml:space="preserve"> 附件3</w:t>
      </w:r>
    </w:p>
    <w:p>
      <w:pPr>
        <w:pStyle w:val="40"/>
        <w:spacing w:after="0" w:line="360" w:lineRule="auto"/>
        <w:ind w:left="-2" w:leftChars="-1" w:firstLine="562" w:firstLineChars="175"/>
        <w:jc w:val="center"/>
        <w:rPr>
          <w:rFonts w:ascii="宋体" w:eastAsia="宋体"/>
          <w:color w:val="auto"/>
          <w:sz w:val="18"/>
          <w:szCs w:val="18"/>
          <w:highlight w:val="none"/>
        </w:rPr>
      </w:pPr>
      <w:r>
        <w:rPr>
          <w:rFonts w:hint="eastAsia" w:ascii="宋体" w:eastAsia="宋体"/>
          <w:b/>
          <w:color w:val="auto"/>
          <w:sz w:val="32"/>
          <w:szCs w:val="32"/>
          <w:highlight w:val="none"/>
        </w:rPr>
        <w:t>投标文件编制情况</w:t>
      </w:r>
    </w:p>
    <w:p>
      <w:pPr>
        <w:pStyle w:val="40"/>
        <w:spacing w:after="0" w:line="360" w:lineRule="auto"/>
        <w:ind w:left="-2" w:leftChars="-1" w:firstLine="420" w:firstLineChars="175"/>
        <w:rPr>
          <w:rFonts w:ascii="宋体" w:eastAsia="宋体"/>
          <w:color w:val="auto"/>
          <w:sz w:val="24"/>
          <w:szCs w:val="24"/>
          <w:highlight w:val="none"/>
          <w:u w:val="single"/>
        </w:rPr>
      </w:pPr>
      <w:r>
        <w:rPr>
          <w:rFonts w:hint="eastAsia" w:ascii="宋体" w:eastAsia="宋体"/>
          <w:color w:val="auto"/>
          <w:sz w:val="24"/>
          <w:szCs w:val="24"/>
          <w:highlight w:val="none"/>
        </w:rPr>
        <w:t>1.投标文件报价编制方式: □自行编制的，编制的负责人：</w:t>
      </w:r>
      <w:r>
        <w:rPr>
          <w:rFonts w:hint="eastAsia" w:ascii="宋体" w:eastAsia="宋体"/>
          <w:color w:val="auto"/>
          <w:sz w:val="24"/>
          <w:szCs w:val="24"/>
          <w:highlight w:val="none"/>
          <w:u w:val="single"/>
        </w:rPr>
        <w:t xml:space="preserve"> （盖造价工程师执业专用章或全国建设工程造价员章，执业单位应与投标人一致） </w:t>
      </w:r>
      <w:r>
        <w:rPr>
          <w:rFonts w:hint="eastAsia" w:ascii="宋体" w:eastAsia="宋体"/>
          <w:color w:val="auto"/>
          <w:sz w:val="24"/>
          <w:szCs w:val="24"/>
          <w:highlight w:val="none"/>
        </w:rPr>
        <w:t>。□委托编制的，受委托单位，编制的负责人：</w:t>
      </w:r>
      <w:r>
        <w:rPr>
          <w:rFonts w:hint="eastAsia" w:ascii="宋体" w:eastAsia="宋体"/>
          <w:color w:val="auto"/>
          <w:sz w:val="24"/>
          <w:szCs w:val="24"/>
          <w:highlight w:val="none"/>
          <w:u w:val="single"/>
        </w:rPr>
        <w:t xml:space="preserve"> （盖造价工程师执业专用章或全国建设工程造价员章，执业单位应与受委托单位一致） </w:t>
      </w:r>
      <w:r>
        <w:rPr>
          <w:rFonts w:hint="eastAsia" w:ascii="宋体" w:eastAsia="宋体"/>
          <w:color w:val="auto"/>
          <w:sz w:val="24"/>
          <w:szCs w:val="24"/>
          <w:highlight w:val="none"/>
        </w:rPr>
        <w:t>。</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2.投标文件加密打包的电脑情况</w:t>
      </w:r>
    </w:p>
    <w:tbl>
      <w:tblPr>
        <w:tblStyle w:val="41"/>
        <w:tblW w:w="8528" w:type="dxa"/>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tcPr>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投标文件加密打包的电脑     自有    □      外包    □     其他    □</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电脑类型</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电脑所属单位</w:t>
            </w:r>
          </w:p>
          <w:p>
            <w:pPr>
              <w:pStyle w:val="40"/>
              <w:spacing w:after="0" w:line="360" w:lineRule="auto"/>
              <w:ind w:left="-2" w:leftChars="-1" w:firstLine="420" w:firstLineChars="175"/>
              <w:rPr>
                <w:rFonts w:ascii="宋体" w:eastAsia="宋体"/>
                <w:color w:val="auto"/>
                <w:sz w:val="24"/>
                <w:szCs w:val="24"/>
                <w:highlight w:val="none"/>
              </w:rPr>
            </w:pPr>
            <w:r>
              <w:rPr>
                <w:rFonts w:hint="eastAsia" w:ascii="宋体" w:eastAsia="宋体"/>
                <w:color w:val="auto"/>
                <w:sz w:val="24"/>
                <w:szCs w:val="24"/>
                <w:highlight w:val="none"/>
              </w:rPr>
              <w:t>电脑所在地址        （如××市××区(县) ××街（路）××号××大厦××房）</w:t>
            </w:r>
          </w:p>
        </w:tc>
      </w:tr>
    </w:tbl>
    <w:p>
      <w:pPr>
        <w:pStyle w:val="40"/>
        <w:spacing w:after="0" w:line="360" w:lineRule="auto"/>
        <w:ind w:left="-2" w:leftChars="-1" w:firstLineChars="175"/>
        <w:rPr>
          <w:rFonts w:ascii="宋体"/>
          <w:color w:val="auto"/>
          <w:sz w:val="24"/>
          <w:highlight w:val="none"/>
        </w:rPr>
      </w:pPr>
    </w:p>
    <w:p>
      <w:pPr>
        <w:spacing w:line="360" w:lineRule="auto"/>
        <w:rPr>
          <w:rFonts w:ascii="宋体"/>
          <w:color w:val="auto"/>
          <w:sz w:val="24"/>
          <w:highlight w:val="none"/>
        </w:rPr>
      </w:pPr>
    </w:p>
    <w:p>
      <w:pPr>
        <w:rPr>
          <w:rFonts w:ascii="宋体"/>
          <w:color w:val="auto"/>
          <w:highlight w:val="none"/>
        </w:rPr>
      </w:pPr>
    </w:p>
    <w:p>
      <w:pPr>
        <w:jc w:val="left"/>
        <w:rPr>
          <w:rFonts w:hint="eastAsia" w:ascii="宋体"/>
          <w:color w:val="auto"/>
          <w:sz w:val="32"/>
          <w:szCs w:val="32"/>
          <w:highlight w:val="none"/>
        </w:rPr>
      </w:pPr>
      <w:bookmarkStart w:id="1099" w:name="_Toc9377"/>
      <w:bookmarkStart w:id="1100" w:name="_Toc29277"/>
      <w:bookmarkStart w:id="1101" w:name="_Toc17451141"/>
      <w:bookmarkStart w:id="1102" w:name="_Toc17556916"/>
      <w:bookmarkStart w:id="1103" w:name="_Toc75788626"/>
      <w:bookmarkStart w:id="1104" w:name="_Toc17451663"/>
      <w:bookmarkStart w:id="1105" w:name="_Toc17454911"/>
      <w:bookmarkStart w:id="1106" w:name="_Toc17454962"/>
      <w:bookmarkStart w:id="1107" w:name="_Toc17452704"/>
      <w:bookmarkStart w:id="1108" w:name="_Toc17451618"/>
      <w:r>
        <w:rPr>
          <w:rFonts w:hint="eastAsia" w:ascii="宋体"/>
          <w:color w:val="auto"/>
          <w:sz w:val="32"/>
          <w:szCs w:val="32"/>
          <w:highlight w:val="none"/>
        </w:rPr>
        <w:br w:type="page"/>
      </w:r>
    </w:p>
    <w:p>
      <w:pPr>
        <w:jc w:val="left"/>
        <w:rPr>
          <w:rFonts w:ascii="宋体"/>
          <w:color w:val="auto"/>
          <w:sz w:val="32"/>
          <w:szCs w:val="32"/>
          <w:highlight w:val="none"/>
        </w:rPr>
      </w:pPr>
      <w:r>
        <w:rPr>
          <w:rFonts w:hint="eastAsia" w:ascii="宋体"/>
          <w:color w:val="auto"/>
          <w:sz w:val="32"/>
          <w:szCs w:val="32"/>
          <w:highlight w:val="none"/>
        </w:rPr>
        <w:t>第九章 否决性条款汇总</w:t>
      </w:r>
      <w:bookmarkEnd w:id="1099"/>
      <w:bookmarkEnd w:id="1100"/>
      <w:bookmarkEnd w:id="1101"/>
      <w:bookmarkEnd w:id="1102"/>
      <w:bookmarkEnd w:id="1103"/>
      <w:bookmarkEnd w:id="1104"/>
      <w:bookmarkEnd w:id="1105"/>
      <w:bookmarkEnd w:id="1106"/>
      <w:bookmarkEnd w:id="1107"/>
      <w:bookmarkEnd w:id="1108"/>
    </w:p>
    <w:p>
      <w:pPr>
        <w:ind w:firstLine="420"/>
        <w:rPr>
          <w:rFonts w:ascii="宋体"/>
          <w:color w:val="auto"/>
          <w:highlight w:val="none"/>
        </w:rPr>
      </w:pPr>
    </w:p>
    <w:p>
      <w:pPr>
        <w:widowControl/>
        <w:spacing w:after="135" w:line="585" w:lineRule="atLeast"/>
        <w:ind w:firstLine="645"/>
        <w:jc w:val="left"/>
        <w:rPr>
          <w:rFonts w:ascii="宋体" w:hAnsi="宋体" w:cs="宋体"/>
          <w:color w:val="auto"/>
          <w:kern w:val="0"/>
          <w:sz w:val="24"/>
          <w:szCs w:val="24"/>
          <w:highlight w:val="none"/>
        </w:rPr>
      </w:pPr>
      <w:bookmarkStart w:id="1109" w:name="_Toc17451619"/>
      <w:bookmarkStart w:id="1110" w:name="_Toc17556972"/>
      <w:bookmarkStart w:id="1111" w:name="_Toc17454912"/>
      <w:bookmarkStart w:id="1112" w:name="_Toc17556917"/>
      <w:bookmarkStart w:id="1113" w:name="_Toc17451664"/>
      <w:bookmarkStart w:id="1114" w:name="_Toc17454963"/>
      <w:bookmarkStart w:id="1115" w:name="_Toc17452705"/>
      <w:bookmarkStart w:id="1116" w:name="_Toc17451142"/>
      <w:r>
        <w:rPr>
          <w:rFonts w:hint="eastAsia" w:ascii="宋体" w:hAnsi="宋体" w:cs="宋体"/>
          <w:color w:val="auto"/>
          <w:kern w:val="0"/>
          <w:sz w:val="24"/>
          <w:szCs w:val="24"/>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否决性条款指招标文件中规定的拒绝受理或者作无效标以及不合格标处理等否定投标文件效力的条款。</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一、拒绝受理投标文件的情形</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电子投标文件未在投标截止时间前完整上传并保存在广州公共资源交易中心电子评标系统且取得回执的。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2.投标文件未按招标文件要求进行电子签章，并进行加密的；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3.电子投标文件中投标人电子签章不完整的；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4.电子投标文件损坏或格式不正确的；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5.电子投标文件未加密的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二、作无效投标的情形</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投标文件不符合招标文件评标办法中形式评审标准、资格评审标准、响应性评审标准的要求。</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2.未成功递交投标文件的；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3.因投标人原因造成投标文件未解密的；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4.未按招标文件要求提供投标保证金的；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5.两个（含两个）以上的投标人加密打包投标文件电脑机器码一致的；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6.项目负责人和安全员为同一人的；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7.投标文件中的投标人、项目负责人、安全员与投标登记时的信息不一致的。</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三、作不合格标处理的情形</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1.资格评审标准：见评标办法前附表。</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2.形式评审标准：见评标办法前附表。</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3.响应性评审标准：见评标办法前附表。</w:t>
      </w:r>
    </w:p>
    <w:p>
      <w:pPr>
        <w:widowControl/>
        <w:spacing w:after="135" w:line="585" w:lineRule="atLeast"/>
        <w:ind w:firstLine="645"/>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四、其他否定投标文件效力情形</w:t>
      </w:r>
    </w:p>
    <w:p>
      <w:pPr>
        <w:widowControl/>
        <w:spacing w:after="135" w:line="585" w:lineRule="atLeast"/>
        <w:ind w:firstLine="645"/>
        <w:jc w:val="left"/>
        <w:rPr>
          <w:rFonts w:ascii="宋体" w:hAnsi="宋体" w:cs="宋体"/>
          <w:color w:val="auto"/>
          <w:kern w:val="0"/>
          <w:sz w:val="20"/>
          <w:szCs w:val="20"/>
          <w:highlight w:val="none"/>
        </w:rPr>
      </w:pPr>
      <w:r>
        <w:rPr>
          <w:rFonts w:hint="eastAsia" w:ascii="宋体" w:hAnsi="宋体" w:cs="宋体"/>
          <w:color w:val="auto"/>
          <w:kern w:val="0"/>
          <w:sz w:val="24"/>
          <w:szCs w:val="24"/>
          <w:highlight w:val="none"/>
        </w:rPr>
        <w:t>对低于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widowControl/>
        <w:spacing w:after="135" w:line="585" w:lineRule="atLeast"/>
        <w:ind w:firstLine="645"/>
        <w:jc w:val="left"/>
        <w:rPr>
          <w:rFonts w:ascii="宋体" w:cs="宋体"/>
          <w:color w:val="auto"/>
          <w:kern w:val="0"/>
          <w:sz w:val="24"/>
          <w:szCs w:val="24"/>
          <w:highlight w:val="none"/>
        </w:rPr>
      </w:pPr>
    </w:p>
    <w:bookmarkEnd w:id="1109"/>
    <w:bookmarkEnd w:id="1110"/>
    <w:bookmarkEnd w:id="1111"/>
    <w:bookmarkEnd w:id="1112"/>
    <w:bookmarkEnd w:id="1113"/>
    <w:bookmarkEnd w:id="1114"/>
    <w:bookmarkEnd w:id="1115"/>
    <w:bookmarkEnd w:id="1116"/>
    <w:p>
      <w:pPr>
        <w:pStyle w:val="9"/>
        <w:rPr>
          <w:rFonts w:ascii="宋体" w:eastAsia="宋体"/>
          <w:color w:val="auto"/>
          <w:sz w:val="32"/>
          <w:szCs w:val="32"/>
          <w:highlight w:val="none"/>
        </w:rPr>
      </w:pPr>
      <w:bookmarkStart w:id="1117" w:name="_Toc17556918"/>
      <w:bookmarkStart w:id="1118" w:name="_Toc17472014"/>
      <w:r>
        <w:rPr>
          <w:rFonts w:ascii="宋体" w:eastAsia="宋体"/>
          <w:color w:val="auto"/>
          <w:highlight w:val="none"/>
        </w:rPr>
        <w:br w:type="page"/>
      </w:r>
      <w:bookmarkStart w:id="1119" w:name="_Toc24352"/>
      <w:bookmarkStart w:id="1120" w:name="_Toc75788627"/>
      <w:bookmarkStart w:id="1121" w:name="_Toc4172"/>
      <w:r>
        <w:rPr>
          <w:rFonts w:hint="eastAsia" w:ascii="宋体" w:eastAsia="宋体"/>
          <w:color w:val="auto"/>
          <w:sz w:val="32"/>
          <w:szCs w:val="32"/>
          <w:highlight w:val="none"/>
        </w:rPr>
        <w:t>第十章 最高投标限价（招标控制价）</w:t>
      </w:r>
      <w:bookmarkEnd w:id="1117"/>
      <w:bookmarkEnd w:id="1118"/>
      <w:bookmarkEnd w:id="1119"/>
      <w:bookmarkEnd w:id="1120"/>
      <w:bookmarkEnd w:id="1121"/>
    </w:p>
    <w:p>
      <w:pPr>
        <w:pStyle w:val="10"/>
        <w:ind w:firstLine="640"/>
        <w:jc w:val="center"/>
        <w:rPr>
          <w:color w:val="auto"/>
          <w:sz w:val="32"/>
          <w:szCs w:val="32"/>
          <w:highlight w:val="none"/>
        </w:rPr>
      </w:pPr>
      <w:r>
        <w:rPr>
          <w:rFonts w:hint="eastAsia" w:ascii="宋体" w:cs="宋体"/>
          <w:color w:val="auto"/>
          <w:sz w:val="32"/>
          <w:szCs w:val="32"/>
          <w:highlight w:val="none"/>
        </w:rPr>
        <w:t>（另册）</w:t>
      </w:r>
    </w:p>
    <w:p>
      <w:pPr>
        <w:jc w:val="center"/>
        <w:rPr>
          <w:rFonts w:ascii="宋体" w:hAnsi="宋体" w:cs="宋体"/>
          <w:b/>
          <w:bCs/>
          <w:color w:val="auto"/>
          <w:kern w:val="0"/>
          <w:sz w:val="36"/>
          <w:szCs w:val="36"/>
          <w:highlight w:val="none"/>
          <w:lang w:bidi="ar"/>
        </w:rPr>
      </w:pPr>
      <w:bookmarkStart w:id="1122" w:name="bookmark0"/>
      <w:bookmarkStart w:id="1123" w:name="bookmark2"/>
      <w:bookmarkStart w:id="1124" w:name="bookmark1"/>
      <w:bookmarkStart w:id="1125" w:name="_Toc924"/>
    </w:p>
    <w:bookmarkEnd w:id="1122"/>
    <w:bookmarkEnd w:id="1123"/>
    <w:bookmarkEnd w:id="1124"/>
    <w:bookmarkEnd w:id="1125"/>
    <w:p>
      <w:pPr>
        <w:keepNext/>
        <w:keepLines/>
        <w:jc w:val="center"/>
        <w:rPr>
          <w:b/>
          <w:color w:val="auto"/>
          <w:highlight w:val="none"/>
        </w:rPr>
      </w:pPr>
    </w:p>
    <w:sectPr>
      <w:footerReference r:id="rId5" w:type="default"/>
      <w:pgSz w:w="11906" w:h="16838"/>
      <w:pgMar w:top="1440" w:right="1440" w:bottom="1440" w:left="144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49</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p>
  <w:p>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h="597" w:hRule="exact" w:wrap="around" w:vAnchor="text" w:hAnchor="margin" w:xAlign="center" w:y="112"/>
      <w:rPr>
        <w:rStyle w:val="46"/>
      </w:rPr>
    </w:pPr>
    <w:r>
      <w:fldChar w:fldCharType="begin"/>
    </w:r>
    <w:r>
      <w:rPr>
        <w:rStyle w:val="46"/>
      </w:rPr>
      <w:instrText xml:space="preserve">PAGE  </w:instrText>
    </w:r>
    <w:r>
      <w:fldChar w:fldCharType="separate"/>
    </w:r>
    <w:r>
      <w:rPr>
        <w:rStyle w:val="46"/>
      </w:rPr>
      <w:t>28</w:t>
    </w:r>
    <w:r>
      <w:fldChar w:fldCharType="end"/>
    </w:r>
  </w:p>
  <w:p>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D0B6E"/>
    <w:multiLevelType w:val="singleLevel"/>
    <w:tmpl w:val="A6BD0B6E"/>
    <w:lvl w:ilvl="0" w:tentative="0">
      <w:start w:val="11"/>
      <w:numFmt w:val="chineseCounting"/>
      <w:suff w:val="nothing"/>
      <w:lvlText w:val="%1、"/>
      <w:lvlJc w:val="left"/>
      <w:rPr>
        <w:rFonts w:hint="eastAsia"/>
      </w:rPr>
    </w:lvl>
  </w:abstractNum>
  <w:abstractNum w:abstractNumId="1">
    <w:nsid w:val="C66FEABE"/>
    <w:multiLevelType w:val="singleLevel"/>
    <w:tmpl w:val="C66FEABE"/>
    <w:lvl w:ilvl="0" w:tentative="0">
      <w:start w:val="1"/>
      <w:numFmt w:val="decimal"/>
      <w:suff w:val="nothing"/>
      <w:lvlText w:val="%1．"/>
      <w:lvlJc w:val="left"/>
      <w:pPr>
        <w:tabs>
          <w:tab w:val="left" w:pos="0"/>
        </w:tabs>
        <w:ind w:left="0" w:firstLine="400"/>
      </w:pPr>
    </w:lvl>
  </w:abstractNum>
  <w:abstractNum w:abstractNumId="2">
    <w:nsid w:val="13DE52C5"/>
    <w:multiLevelType w:val="singleLevel"/>
    <w:tmpl w:val="13DE52C5"/>
    <w:lvl w:ilvl="0" w:tentative="0">
      <w:start w:val="1"/>
      <w:numFmt w:val="chineseCounting"/>
      <w:suff w:val="space"/>
      <w:lvlText w:val="第%1章"/>
      <w:lvlJc w:val="left"/>
      <w:pPr>
        <w:tabs>
          <w:tab w:val="left" w:pos="0"/>
        </w:tabs>
        <w:ind w:left="0" w:firstLine="0"/>
      </w:pPr>
      <w:rPr>
        <w:rFonts w:hint="eastAsia"/>
      </w:rPr>
    </w:lvl>
  </w:abstractNum>
  <w:abstractNum w:abstractNumId="3">
    <w:nsid w:val="15604107"/>
    <w:multiLevelType w:val="singleLevel"/>
    <w:tmpl w:val="15604107"/>
    <w:lvl w:ilvl="0" w:tentative="0">
      <w:start w:val="1"/>
      <w:numFmt w:val="chineseCounting"/>
      <w:suff w:val="space"/>
      <w:lvlText w:val="第%1章"/>
      <w:lvlJc w:val="left"/>
      <w:pPr>
        <w:tabs>
          <w:tab w:val="left" w:pos="0"/>
        </w:tabs>
        <w:ind w:left="0" w:firstLine="0"/>
      </w:pPr>
      <w:rPr>
        <w:rFonts w:hint="eastAsia"/>
      </w:rPr>
    </w:lvl>
  </w:abstractNum>
  <w:abstractNum w:abstractNumId="4">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888F6D4"/>
    <w:multiLevelType w:val="singleLevel"/>
    <w:tmpl w:val="4888F6D4"/>
    <w:lvl w:ilvl="0" w:tentative="0">
      <w:start w:val="3"/>
      <w:numFmt w:val="decimal"/>
      <w:suff w:val="nothing"/>
      <w:lvlText w:val="%1、"/>
      <w:lvlJc w:val="left"/>
    </w:lvl>
  </w:abstractNum>
  <w:abstractNum w:abstractNumId="7">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CC91E1C"/>
    <w:multiLevelType w:val="multilevel"/>
    <w:tmpl w:val="6CC91E1C"/>
    <w:lvl w:ilvl="0" w:tentative="0">
      <w:start w:val="1"/>
      <w:numFmt w:val="decimal"/>
      <w:suff w:val="space"/>
      <w:lvlText w:val="%1、"/>
      <w:lvlJc w:val="left"/>
      <w:pPr>
        <w:ind w:left="350" w:hanging="360"/>
      </w:pPr>
      <w:rPr>
        <w:rFonts w:hint="default"/>
      </w:rPr>
    </w:lvl>
    <w:lvl w:ilvl="1" w:tentative="0">
      <w:start w:val="1"/>
      <w:numFmt w:val="lowerLetter"/>
      <w:lvlText w:val="%2)"/>
      <w:lvlJc w:val="left"/>
      <w:pPr>
        <w:ind w:left="830" w:hanging="420"/>
      </w:pPr>
    </w:lvl>
    <w:lvl w:ilvl="2" w:tentative="0">
      <w:start w:val="1"/>
      <w:numFmt w:val="lowerRoman"/>
      <w:lvlText w:val="%3."/>
      <w:lvlJc w:val="right"/>
      <w:pPr>
        <w:ind w:left="1250" w:hanging="420"/>
      </w:pPr>
    </w:lvl>
    <w:lvl w:ilvl="3" w:tentative="0">
      <w:start w:val="1"/>
      <w:numFmt w:val="decimal"/>
      <w:lvlText w:val="%4."/>
      <w:lvlJc w:val="left"/>
      <w:pPr>
        <w:ind w:left="1670" w:hanging="420"/>
      </w:pPr>
    </w:lvl>
    <w:lvl w:ilvl="4" w:tentative="0">
      <w:start w:val="1"/>
      <w:numFmt w:val="lowerLetter"/>
      <w:lvlText w:val="%5)"/>
      <w:lvlJc w:val="left"/>
      <w:pPr>
        <w:ind w:left="2090" w:hanging="420"/>
      </w:pPr>
    </w:lvl>
    <w:lvl w:ilvl="5" w:tentative="0">
      <w:start w:val="1"/>
      <w:numFmt w:val="lowerRoman"/>
      <w:lvlText w:val="%6."/>
      <w:lvlJc w:val="right"/>
      <w:pPr>
        <w:ind w:left="2510" w:hanging="420"/>
      </w:pPr>
    </w:lvl>
    <w:lvl w:ilvl="6" w:tentative="0">
      <w:start w:val="1"/>
      <w:numFmt w:val="decimal"/>
      <w:lvlText w:val="%7."/>
      <w:lvlJc w:val="left"/>
      <w:pPr>
        <w:ind w:left="2930" w:hanging="420"/>
      </w:pPr>
    </w:lvl>
    <w:lvl w:ilvl="7" w:tentative="0">
      <w:start w:val="1"/>
      <w:numFmt w:val="lowerLetter"/>
      <w:lvlText w:val="%8)"/>
      <w:lvlJc w:val="left"/>
      <w:pPr>
        <w:ind w:left="3350" w:hanging="420"/>
      </w:pPr>
    </w:lvl>
    <w:lvl w:ilvl="8" w:tentative="0">
      <w:start w:val="1"/>
      <w:numFmt w:val="lowerRoman"/>
      <w:lvlText w:val="%9."/>
      <w:lvlJc w:val="right"/>
      <w:pPr>
        <w:ind w:left="3770" w:hanging="420"/>
      </w:pPr>
    </w:lvl>
  </w:abstractNum>
  <w:num w:numId="1">
    <w:abstractNumId w:val="2"/>
  </w:num>
  <w:num w:numId="2">
    <w:abstractNumId w:val="3"/>
  </w:num>
  <w:num w:numId="3">
    <w:abstractNumId w:val="6"/>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代理机构">
    <w15:presenceInfo w15:providerId="WPS Office" w15:userId="136733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xNTU4Nzc0MDIwMjI5MjQ5MGYzMjIzY2Q4Nzk1ZDUifQ=="/>
  </w:docVars>
  <w:rsids>
    <w:rsidRoot w:val="00825125"/>
    <w:rsid w:val="00001585"/>
    <w:rsid w:val="000047A7"/>
    <w:rsid w:val="000149A0"/>
    <w:rsid w:val="000265DE"/>
    <w:rsid w:val="000332BE"/>
    <w:rsid w:val="000E42D7"/>
    <w:rsid w:val="000F1AE8"/>
    <w:rsid w:val="000F5FC6"/>
    <w:rsid w:val="00101D15"/>
    <w:rsid w:val="001056B4"/>
    <w:rsid w:val="001249B2"/>
    <w:rsid w:val="00127796"/>
    <w:rsid w:val="001623BD"/>
    <w:rsid w:val="00177E92"/>
    <w:rsid w:val="00190E6D"/>
    <w:rsid w:val="001C44D4"/>
    <w:rsid w:val="00211EE7"/>
    <w:rsid w:val="00223D7A"/>
    <w:rsid w:val="002264AA"/>
    <w:rsid w:val="0023414D"/>
    <w:rsid w:val="00284CB4"/>
    <w:rsid w:val="002B383C"/>
    <w:rsid w:val="003012BB"/>
    <w:rsid w:val="00301752"/>
    <w:rsid w:val="00302758"/>
    <w:rsid w:val="00306947"/>
    <w:rsid w:val="003072F2"/>
    <w:rsid w:val="00322478"/>
    <w:rsid w:val="00340657"/>
    <w:rsid w:val="00362F3A"/>
    <w:rsid w:val="00366CDC"/>
    <w:rsid w:val="00370A7A"/>
    <w:rsid w:val="003C1DFD"/>
    <w:rsid w:val="003C2512"/>
    <w:rsid w:val="003C7E5B"/>
    <w:rsid w:val="0041169A"/>
    <w:rsid w:val="0041534C"/>
    <w:rsid w:val="00435EB8"/>
    <w:rsid w:val="004411DB"/>
    <w:rsid w:val="00446069"/>
    <w:rsid w:val="00447C19"/>
    <w:rsid w:val="00450110"/>
    <w:rsid w:val="004657C7"/>
    <w:rsid w:val="004A4853"/>
    <w:rsid w:val="004A7952"/>
    <w:rsid w:val="004C572F"/>
    <w:rsid w:val="004C6808"/>
    <w:rsid w:val="004E33C2"/>
    <w:rsid w:val="005111BE"/>
    <w:rsid w:val="00525FA7"/>
    <w:rsid w:val="00536131"/>
    <w:rsid w:val="005516FB"/>
    <w:rsid w:val="00560DC8"/>
    <w:rsid w:val="00590AEA"/>
    <w:rsid w:val="005A78F8"/>
    <w:rsid w:val="005B658F"/>
    <w:rsid w:val="005D73C7"/>
    <w:rsid w:val="005D7C09"/>
    <w:rsid w:val="005E06B5"/>
    <w:rsid w:val="005E3CD5"/>
    <w:rsid w:val="006A2F45"/>
    <w:rsid w:val="006A5E8B"/>
    <w:rsid w:val="006C2DD5"/>
    <w:rsid w:val="0072790C"/>
    <w:rsid w:val="00734997"/>
    <w:rsid w:val="00750F3B"/>
    <w:rsid w:val="007529DF"/>
    <w:rsid w:val="00757BC3"/>
    <w:rsid w:val="00762ABB"/>
    <w:rsid w:val="007761F7"/>
    <w:rsid w:val="007907A6"/>
    <w:rsid w:val="00791A1E"/>
    <w:rsid w:val="007C54FB"/>
    <w:rsid w:val="00815B42"/>
    <w:rsid w:val="00821DD3"/>
    <w:rsid w:val="00825125"/>
    <w:rsid w:val="0083151B"/>
    <w:rsid w:val="00844180"/>
    <w:rsid w:val="008542FB"/>
    <w:rsid w:val="00855638"/>
    <w:rsid w:val="00862021"/>
    <w:rsid w:val="00877101"/>
    <w:rsid w:val="00881757"/>
    <w:rsid w:val="008B3028"/>
    <w:rsid w:val="008B4AB7"/>
    <w:rsid w:val="008D24CD"/>
    <w:rsid w:val="00906643"/>
    <w:rsid w:val="00911D45"/>
    <w:rsid w:val="0091774E"/>
    <w:rsid w:val="00921691"/>
    <w:rsid w:val="00925EF3"/>
    <w:rsid w:val="00934D6D"/>
    <w:rsid w:val="00970D12"/>
    <w:rsid w:val="009C0651"/>
    <w:rsid w:val="009C687D"/>
    <w:rsid w:val="009F2396"/>
    <w:rsid w:val="00A33C5F"/>
    <w:rsid w:val="00A5206F"/>
    <w:rsid w:val="00A80AAB"/>
    <w:rsid w:val="00A82F24"/>
    <w:rsid w:val="00AB0490"/>
    <w:rsid w:val="00AB3C0D"/>
    <w:rsid w:val="00AD626F"/>
    <w:rsid w:val="00AE1AA3"/>
    <w:rsid w:val="00AE3E17"/>
    <w:rsid w:val="00B05C2D"/>
    <w:rsid w:val="00B17705"/>
    <w:rsid w:val="00B24774"/>
    <w:rsid w:val="00B440FD"/>
    <w:rsid w:val="00B57552"/>
    <w:rsid w:val="00B97E27"/>
    <w:rsid w:val="00BA7C85"/>
    <w:rsid w:val="00BF1748"/>
    <w:rsid w:val="00C2250E"/>
    <w:rsid w:val="00C34C5B"/>
    <w:rsid w:val="00C36273"/>
    <w:rsid w:val="00C67886"/>
    <w:rsid w:val="00CC7002"/>
    <w:rsid w:val="00CD366D"/>
    <w:rsid w:val="00D3236B"/>
    <w:rsid w:val="00D52F1C"/>
    <w:rsid w:val="00D54C24"/>
    <w:rsid w:val="00D66567"/>
    <w:rsid w:val="00DC4B16"/>
    <w:rsid w:val="00DF2B03"/>
    <w:rsid w:val="00DF5876"/>
    <w:rsid w:val="00E061CE"/>
    <w:rsid w:val="00E22E90"/>
    <w:rsid w:val="00E36BFB"/>
    <w:rsid w:val="00E42F57"/>
    <w:rsid w:val="00E90282"/>
    <w:rsid w:val="00E930A8"/>
    <w:rsid w:val="00E9362B"/>
    <w:rsid w:val="00EA6C82"/>
    <w:rsid w:val="00ED0CA9"/>
    <w:rsid w:val="00EE378A"/>
    <w:rsid w:val="00EE6DCF"/>
    <w:rsid w:val="00EF00D1"/>
    <w:rsid w:val="00EF0E0C"/>
    <w:rsid w:val="00EF3910"/>
    <w:rsid w:val="00F1359B"/>
    <w:rsid w:val="00F61EA0"/>
    <w:rsid w:val="00F820FE"/>
    <w:rsid w:val="00F95412"/>
    <w:rsid w:val="00FC37DE"/>
    <w:rsid w:val="00FD4248"/>
    <w:rsid w:val="00FE0EAF"/>
    <w:rsid w:val="00FE1FCC"/>
    <w:rsid w:val="00FE6A67"/>
    <w:rsid w:val="01CC7CF9"/>
    <w:rsid w:val="061D286A"/>
    <w:rsid w:val="0B1F7084"/>
    <w:rsid w:val="0C080C54"/>
    <w:rsid w:val="0D6F6039"/>
    <w:rsid w:val="0F276A5B"/>
    <w:rsid w:val="103E49B7"/>
    <w:rsid w:val="10E6593C"/>
    <w:rsid w:val="12783FC9"/>
    <w:rsid w:val="13E1486E"/>
    <w:rsid w:val="14641FAC"/>
    <w:rsid w:val="146A632D"/>
    <w:rsid w:val="14A74F5B"/>
    <w:rsid w:val="14C52A4A"/>
    <w:rsid w:val="14D62EA9"/>
    <w:rsid w:val="15684FBE"/>
    <w:rsid w:val="15851367"/>
    <w:rsid w:val="160D6B52"/>
    <w:rsid w:val="169A6A25"/>
    <w:rsid w:val="1B4F6CC3"/>
    <w:rsid w:val="1CB771CF"/>
    <w:rsid w:val="1CF33CBE"/>
    <w:rsid w:val="1DAA31C8"/>
    <w:rsid w:val="1F7D6A4B"/>
    <w:rsid w:val="1F7D78FB"/>
    <w:rsid w:val="1FD738BB"/>
    <w:rsid w:val="1FE521F3"/>
    <w:rsid w:val="20264FDD"/>
    <w:rsid w:val="20372527"/>
    <w:rsid w:val="21F27089"/>
    <w:rsid w:val="23A4090A"/>
    <w:rsid w:val="24AD567B"/>
    <w:rsid w:val="2652435A"/>
    <w:rsid w:val="26D14C3B"/>
    <w:rsid w:val="2871160E"/>
    <w:rsid w:val="29014F61"/>
    <w:rsid w:val="2955519C"/>
    <w:rsid w:val="2A5C64E0"/>
    <w:rsid w:val="2A715269"/>
    <w:rsid w:val="2B431843"/>
    <w:rsid w:val="2C622E1D"/>
    <w:rsid w:val="2DEB2877"/>
    <w:rsid w:val="2E921798"/>
    <w:rsid w:val="2EF47328"/>
    <w:rsid w:val="303F2575"/>
    <w:rsid w:val="3279567D"/>
    <w:rsid w:val="32AB5901"/>
    <w:rsid w:val="331258BF"/>
    <w:rsid w:val="33DF6B01"/>
    <w:rsid w:val="34C25A29"/>
    <w:rsid w:val="352F437C"/>
    <w:rsid w:val="35C0175C"/>
    <w:rsid w:val="35C44201"/>
    <w:rsid w:val="360867E3"/>
    <w:rsid w:val="36797047"/>
    <w:rsid w:val="37971BCD"/>
    <w:rsid w:val="385E093C"/>
    <w:rsid w:val="38A048AC"/>
    <w:rsid w:val="38A071A7"/>
    <w:rsid w:val="39482C39"/>
    <w:rsid w:val="3CFE449C"/>
    <w:rsid w:val="409C2F14"/>
    <w:rsid w:val="40D935E4"/>
    <w:rsid w:val="41CC7C54"/>
    <w:rsid w:val="437654C1"/>
    <w:rsid w:val="481F277A"/>
    <w:rsid w:val="49385113"/>
    <w:rsid w:val="4A5C7442"/>
    <w:rsid w:val="4C313A81"/>
    <w:rsid w:val="4EA735EA"/>
    <w:rsid w:val="51F24178"/>
    <w:rsid w:val="522B2F44"/>
    <w:rsid w:val="52355DF2"/>
    <w:rsid w:val="53F75C83"/>
    <w:rsid w:val="551E56A4"/>
    <w:rsid w:val="552039F5"/>
    <w:rsid w:val="55540CA5"/>
    <w:rsid w:val="56156CBF"/>
    <w:rsid w:val="561C3DE9"/>
    <w:rsid w:val="5666798E"/>
    <w:rsid w:val="57055055"/>
    <w:rsid w:val="571F6E17"/>
    <w:rsid w:val="57FF7937"/>
    <w:rsid w:val="58625CC5"/>
    <w:rsid w:val="58DE493F"/>
    <w:rsid w:val="59904D75"/>
    <w:rsid w:val="5C3747E5"/>
    <w:rsid w:val="5C4C6B7A"/>
    <w:rsid w:val="5DCB1542"/>
    <w:rsid w:val="6247016A"/>
    <w:rsid w:val="62946128"/>
    <w:rsid w:val="631942AE"/>
    <w:rsid w:val="63BE2B30"/>
    <w:rsid w:val="66FB71D3"/>
    <w:rsid w:val="68565984"/>
    <w:rsid w:val="688A2F04"/>
    <w:rsid w:val="689F0641"/>
    <w:rsid w:val="68F60A5F"/>
    <w:rsid w:val="6A99676B"/>
    <w:rsid w:val="6B8C0D41"/>
    <w:rsid w:val="6BB169FA"/>
    <w:rsid w:val="6BC432FA"/>
    <w:rsid w:val="6D034120"/>
    <w:rsid w:val="6EA445F4"/>
    <w:rsid w:val="6F6F0D86"/>
    <w:rsid w:val="70CC116E"/>
    <w:rsid w:val="722E2B52"/>
    <w:rsid w:val="733817AF"/>
    <w:rsid w:val="73FC02D0"/>
    <w:rsid w:val="75683039"/>
    <w:rsid w:val="773212B3"/>
    <w:rsid w:val="7A017D17"/>
    <w:rsid w:val="7AAC3F36"/>
    <w:rsid w:val="7D78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heading 1"/>
    <w:basedOn w:val="1"/>
    <w:next w:val="1"/>
    <w:qFormat/>
    <w:uiPriority w:val="0"/>
    <w:pPr>
      <w:keepNext/>
      <w:keepLines/>
      <w:spacing w:before="340" w:after="330" w:line="578" w:lineRule="auto"/>
      <w:outlineLvl w:val="0"/>
    </w:pPr>
    <w:rPr>
      <w:b/>
      <w:bCs/>
      <w:kern w:val="44"/>
      <w:sz w:val="44"/>
      <w:szCs w:val="44"/>
    </w:rPr>
  </w:style>
  <w:style w:type="paragraph" w:styleId="9">
    <w:name w:val="heading 2"/>
    <w:basedOn w:val="1"/>
    <w:next w:val="10"/>
    <w:qFormat/>
    <w:uiPriority w:val="0"/>
    <w:pPr>
      <w:keepNext/>
      <w:keepLines/>
      <w:spacing w:before="260" w:after="260" w:line="415" w:lineRule="auto"/>
      <w:jc w:val="center"/>
      <w:outlineLvl w:val="1"/>
    </w:pPr>
    <w:rPr>
      <w:rFonts w:ascii="黑体" w:eastAsia="黑体"/>
      <w:sz w:val="30"/>
      <w:szCs w:val="30"/>
    </w:rPr>
  </w:style>
  <w:style w:type="paragraph" w:styleId="11">
    <w:name w:val="heading 3"/>
    <w:basedOn w:val="1"/>
    <w:next w:val="1"/>
    <w:qFormat/>
    <w:uiPriority w:val="0"/>
    <w:pPr>
      <w:keepNext/>
      <w:keepLines/>
      <w:spacing w:before="260" w:after="260" w:line="415" w:lineRule="auto"/>
      <w:outlineLvl w:val="2"/>
    </w:pPr>
    <w:rPr>
      <w:b/>
      <w:bCs/>
      <w:kern w:val="0"/>
      <w:sz w:val="32"/>
      <w:szCs w:val="32"/>
    </w:rPr>
  </w:style>
  <w:style w:type="paragraph" w:styleId="12">
    <w:name w:val="heading 4"/>
    <w:basedOn w:val="11"/>
    <w:next w:val="10"/>
    <w:qFormat/>
    <w:uiPriority w:val="0"/>
    <w:pPr>
      <w:spacing w:before="50" w:beforeLines="50" w:after="50" w:afterLines="50" w:line="360" w:lineRule="auto"/>
      <w:ind w:left="284" w:hanging="284"/>
      <w:jc w:val="center"/>
      <w:outlineLvl w:val="3"/>
    </w:pPr>
    <w:rPr>
      <w:rFonts w:ascii="Arial" w:hAnsi="Arial"/>
      <w:b w:val="0"/>
      <w:bCs w:val="0"/>
      <w:color w:val="000000"/>
      <w:sz w:val="24"/>
      <w:szCs w:val="24"/>
    </w:rPr>
  </w:style>
  <w:style w:type="paragraph" w:styleId="13">
    <w:name w:val="heading 5"/>
    <w:basedOn w:val="12"/>
    <w:next w:val="10"/>
    <w:qFormat/>
    <w:uiPriority w:val="0"/>
    <w:pPr>
      <w:spacing w:line="240" w:lineRule="exact"/>
      <w:outlineLvl w:val="4"/>
    </w:pPr>
  </w:style>
  <w:style w:type="paragraph" w:styleId="14">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5">
    <w:name w:val="heading 7"/>
    <w:basedOn w:val="1"/>
    <w:next w:val="10"/>
    <w:qFormat/>
    <w:uiPriority w:val="0"/>
    <w:pPr>
      <w:keepNext/>
      <w:keepLines/>
      <w:spacing w:before="240" w:after="64" w:line="319" w:lineRule="auto"/>
      <w:outlineLvl w:val="6"/>
    </w:pPr>
    <w:rPr>
      <w:rFonts w:ascii="Times New Roman" w:hAnsi="Times New Roman"/>
      <w:b/>
      <w:kern w:val="0"/>
      <w:sz w:val="24"/>
      <w:szCs w:val="20"/>
    </w:rPr>
  </w:style>
  <w:style w:type="paragraph" w:styleId="16">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7">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rPr>
      <w:rFonts w:eastAsia="仿宋_GB2312"/>
      <w:sz w:val="32"/>
    </w:rPr>
  </w:style>
  <w:style w:type="paragraph" w:styleId="3">
    <w:name w:val="Body Text Indent"/>
    <w:basedOn w:val="1"/>
    <w:next w:val="4"/>
    <w:qFormat/>
    <w:uiPriority w:val="0"/>
    <w:pPr>
      <w:spacing w:after="120"/>
      <w:ind w:left="200" w:leftChars="200"/>
    </w:pPr>
    <w:rPr>
      <w:rFonts w:ascii="Times New Roman" w:hAnsi="Times New Roman"/>
      <w:kern w:val="0"/>
      <w:sz w:val="20"/>
      <w:szCs w:val="24"/>
    </w:r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99"/>
    <w:pPr>
      <w:spacing w:after="120"/>
    </w:pPr>
  </w:style>
  <w:style w:type="paragraph" w:customStyle="1" w:styleId="6">
    <w:name w:val="Default"/>
    <w:next w:val="7"/>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styleId="7">
    <w:name w:val="List"/>
    <w:basedOn w:val="1"/>
    <w:next w:val="1"/>
    <w:qFormat/>
    <w:uiPriority w:val="0"/>
    <w:pPr>
      <w:snapToGrid w:val="0"/>
    </w:pPr>
    <w:rPr>
      <w:szCs w:val="24"/>
    </w:rPr>
  </w:style>
  <w:style w:type="paragraph" w:styleId="10">
    <w:name w:val="Normal Indent"/>
    <w:basedOn w:val="1"/>
    <w:next w:val="1"/>
    <w:qFormat/>
    <w:uiPriority w:val="99"/>
    <w:pPr>
      <w:ind w:firstLine="200" w:firstLineChars="200"/>
    </w:pPr>
  </w:style>
  <w:style w:type="paragraph" w:styleId="18">
    <w:name w:val="Document Map"/>
    <w:basedOn w:val="1"/>
    <w:qFormat/>
    <w:uiPriority w:val="0"/>
    <w:pPr>
      <w:shd w:val="clear" w:color="auto" w:fill="000080"/>
    </w:pPr>
    <w:rPr>
      <w:rFonts w:ascii="Times New Roman" w:hAnsi="Times New Roman"/>
      <w:kern w:val="0"/>
      <w:sz w:val="20"/>
      <w:szCs w:val="24"/>
    </w:rPr>
  </w:style>
  <w:style w:type="paragraph" w:styleId="19">
    <w:name w:val="annotation text"/>
    <w:basedOn w:val="1"/>
    <w:next w:val="1"/>
    <w:qFormat/>
    <w:uiPriority w:val="0"/>
    <w:pPr>
      <w:jc w:val="left"/>
    </w:pPr>
  </w:style>
  <w:style w:type="paragraph" w:styleId="20">
    <w:name w:val="Body Text 3"/>
    <w:basedOn w:val="1"/>
    <w:next w:val="1"/>
    <w:qFormat/>
    <w:uiPriority w:val="0"/>
    <w:pPr>
      <w:spacing w:after="120"/>
    </w:pPr>
    <w:rPr>
      <w:kern w:val="0"/>
      <w:sz w:val="16"/>
      <w:szCs w:val="16"/>
    </w:rPr>
  </w:style>
  <w:style w:type="paragraph" w:styleId="21">
    <w:name w:val="toc 5"/>
    <w:basedOn w:val="1"/>
    <w:next w:val="1"/>
    <w:qFormat/>
    <w:uiPriority w:val="0"/>
    <w:pPr>
      <w:ind w:left="1680"/>
    </w:pPr>
  </w:style>
  <w:style w:type="paragraph" w:styleId="22">
    <w:name w:val="toc 3"/>
    <w:basedOn w:val="1"/>
    <w:next w:val="1"/>
    <w:qFormat/>
    <w:uiPriority w:val="0"/>
    <w:pPr>
      <w:ind w:left="400" w:leftChars="400"/>
    </w:pPr>
  </w:style>
  <w:style w:type="paragraph" w:styleId="23">
    <w:name w:val="Plain Text"/>
    <w:basedOn w:val="1"/>
    <w:next w:val="1"/>
    <w:qFormat/>
    <w:uiPriority w:val="0"/>
    <w:rPr>
      <w:rFonts w:ascii="宋体" w:hAnsi="宋体" w:eastAsia="楷体_GB2312"/>
      <w:kern w:val="0"/>
      <w:sz w:val="20"/>
      <w:szCs w:val="24"/>
    </w:rPr>
  </w:style>
  <w:style w:type="paragraph" w:styleId="24">
    <w:name w:val="Date"/>
    <w:basedOn w:val="1"/>
    <w:next w:val="1"/>
    <w:qFormat/>
    <w:uiPriority w:val="0"/>
    <w:rPr>
      <w:rFonts w:ascii="Times New Roman" w:hAnsi="Times New Roman"/>
      <w:kern w:val="0"/>
      <w:sz w:val="24"/>
      <w:szCs w:val="20"/>
    </w:rPr>
  </w:style>
  <w:style w:type="paragraph" w:styleId="25">
    <w:name w:val="Body Text Indent 2"/>
    <w:basedOn w:val="1"/>
    <w:next w:val="1"/>
    <w:qFormat/>
    <w:uiPriority w:val="0"/>
    <w:pPr>
      <w:spacing w:after="120" w:line="480" w:lineRule="auto"/>
      <w:ind w:left="200" w:leftChars="200"/>
    </w:pPr>
    <w:rPr>
      <w:rFonts w:ascii="Times New Roman" w:hAnsi="Times New Roman"/>
      <w:kern w:val="0"/>
      <w:sz w:val="20"/>
      <w:szCs w:val="24"/>
    </w:rPr>
  </w:style>
  <w:style w:type="paragraph" w:styleId="26">
    <w:name w:val="endnote text"/>
    <w:basedOn w:val="1"/>
    <w:qFormat/>
    <w:uiPriority w:val="0"/>
    <w:pPr>
      <w:snapToGrid w:val="0"/>
      <w:jc w:val="left"/>
    </w:pPr>
  </w:style>
  <w:style w:type="paragraph" w:styleId="27">
    <w:name w:val="Balloon Text"/>
    <w:basedOn w:val="1"/>
    <w:qFormat/>
    <w:uiPriority w:val="0"/>
    <w:rPr>
      <w:kern w:val="0"/>
      <w:sz w:val="18"/>
      <w:szCs w:val="18"/>
    </w:rPr>
  </w:style>
  <w:style w:type="paragraph" w:styleId="28">
    <w:name w:val="footer"/>
    <w:basedOn w:val="1"/>
    <w:qFormat/>
    <w:uiPriority w:val="0"/>
    <w:pPr>
      <w:tabs>
        <w:tab w:val="center" w:pos="4153"/>
        <w:tab w:val="right" w:pos="8306"/>
      </w:tabs>
      <w:snapToGrid w:val="0"/>
      <w:jc w:val="left"/>
    </w:pPr>
    <w:rPr>
      <w:kern w:val="0"/>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0"/>
    <w:pPr>
      <w:tabs>
        <w:tab w:val="right" w:leader="dot" w:pos="9060"/>
      </w:tabs>
      <w:spacing w:before="120" w:after="120"/>
      <w:jc w:val="center"/>
    </w:pPr>
    <w:rPr>
      <w:rFonts w:ascii="Times New Roman" w:hAnsi="Times New Roman"/>
      <w:b/>
      <w:bCs/>
      <w:caps/>
      <w:sz w:val="24"/>
      <w:szCs w:val="24"/>
    </w:rPr>
  </w:style>
  <w:style w:type="paragraph" w:styleId="31">
    <w:name w:val="toc 4"/>
    <w:basedOn w:val="1"/>
    <w:next w:val="1"/>
    <w:qFormat/>
    <w:uiPriority w:val="0"/>
    <w:pPr>
      <w:ind w:left="1260"/>
    </w:pPr>
  </w:style>
  <w:style w:type="paragraph" w:styleId="32">
    <w:name w:val="footnote text"/>
    <w:basedOn w:val="1"/>
    <w:qFormat/>
    <w:uiPriority w:val="0"/>
    <w:pPr>
      <w:snapToGrid w:val="0"/>
      <w:spacing w:line="360" w:lineRule="auto"/>
      <w:ind w:firstLine="218" w:firstLineChars="218"/>
      <w:jc w:val="left"/>
    </w:pPr>
    <w:rPr>
      <w:rFonts w:ascii="宋体"/>
      <w:sz w:val="18"/>
      <w:szCs w:val="18"/>
    </w:rPr>
  </w:style>
  <w:style w:type="paragraph" w:styleId="33">
    <w:name w:val="Body Text Indent 3"/>
    <w:basedOn w:val="1"/>
    <w:next w:val="1"/>
    <w:qFormat/>
    <w:uiPriority w:val="0"/>
    <w:pPr>
      <w:spacing w:after="120"/>
      <w:ind w:left="200" w:leftChars="200"/>
    </w:pPr>
    <w:rPr>
      <w:rFonts w:ascii="Times New Roman" w:hAnsi="Times New Roman"/>
      <w:kern w:val="0"/>
      <w:sz w:val="16"/>
      <w:szCs w:val="16"/>
    </w:rPr>
  </w:style>
  <w:style w:type="paragraph" w:styleId="34">
    <w:name w:val="toc 2"/>
    <w:basedOn w:val="1"/>
    <w:next w:val="1"/>
    <w:qFormat/>
    <w:uiPriority w:val="0"/>
    <w:pPr>
      <w:tabs>
        <w:tab w:val="right" w:leader="dot" w:pos="8302"/>
      </w:tabs>
      <w:ind w:left="210"/>
      <w:jc w:val="left"/>
    </w:pPr>
    <w:rPr>
      <w:rFonts w:ascii="Times New Roman" w:hAnsi="Times New Roman"/>
      <w:smallCaps/>
      <w:sz w:val="20"/>
      <w:szCs w:val="20"/>
    </w:rPr>
  </w:style>
  <w:style w:type="paragraph" w:styleId="35">
    <w:name w:val="Body Text 2"/>
    <w:basedOn w:val="1"/>
    <w:next w:val="1"/>
    <w:qFormat/>
    <w:uiPriority w:val="0"/>
    <w:rPr>
      <w:rFonts w:ascii="宋体" w:hAnsi="宋体" w:eastAsia="楷体_GB2312"/>
      <w:kern w:val="0"/>
      <w:sz w:val="20"/>
      <w:szCs w:val="24"/>
      <w:u w:val="single"/>
    </w:rPr>
  </w:style>
  <w:style w:type="paragraph" w:styleId="36">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Title"/>
    <w:basedOn w:val="1"/>
    <w:next w:val="1"/>
    <w:qFormat/>
    <w:uiPriority w:val="0"/>
    <w:pPr>
      <w:spacing w:before="120" w:after="60"/>
      <w:jc w:val="center"/>
    </w:pPr>
    <w:rPr>
      <w:rFonts w:ascii="Arial" w:hAnsi="Arial" w:eastAsia="楷体_GB2312"/>
      <w:b/>
      <w:kern w:val="0"/>
      <w:sz w:val="44"/>
      <w:szCs w:val="20"/>
    </w:rPr>
  </w:style>
  <w:style w:type="paragraph" w:styleId="39">
    <w:name w:val="annotation subject"/>
    <w:basedOn w:val="19"/>
    <w:next w:val="19"/>
    <w:qFormat/>
    <w:uiPriority w:val="0"/>
    <w:rPr>
      <w:b/>
      <w:bCs/>
      <w:kern w:val="0"/>
      <w:sz w:val="20"/>
      <w:szCs w:val="20"/>
    </w:rPr>
  </w:style>
  <w:style w:type="paragraph" w:styleId="40">
    <w:name w:val="Body Text First Indent"/>
    <w:basedOn w:val="5"/>
    <w:qFormat/>
    <w:uiPriority w:val="0"/>
    <w:pPr>
      <w:ind w:firstLine="420"/>
    </w:pPr>
    <w:rPr>
      <w:rFonts w:ascii="Times New Roman" w:hAnsi="Times New Roman" w:eastAsia="楷体_GB2312"/>
      <w:kern w:val="0"/>
      <w:sz w:val="20"/>
      <w:szCs w:val="20"/>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rFonts w:eastAsia="宋体"/>
      <w:b/>
      <w:bCs/>
      <w:kern w:val="2"/>
      <w:sz w:val="24"/>
      <w:szCs w:val="24"/>
      <w:lang w:val="en-US" w:eastAsia="zh-CN" w:bidi="ar-SA"/>
    </w:rPr>
  </w:style>
  <w:style w:type="character" w:styleId="45">
    <w:name w:val="endnote reference"/>
    <w:qFormat/>
    <w:uiPriority w:val="0"/>
    <w:rPr>
      <w:rFonts w:eastAsia="宋体"/>
      <w:kern w:val="2"/>
      <w:sz w:val="24"/>
      <w:szCs w:val="24"/>
      <w:vertAlign w:val="superscript"/>
      <w:lang w:val="en-US" w:eastAsia="zh-CN" w:bidi="ar-SA"/>
    </w:rPr>
  </w:style>
  <w:style w:type="character" w:styleId="46">
    <w:name w:val="page number"/>
    <w:qFormat/>
    <w:uiPriority w:val="0"/>
    <w:rPr>
      <w:rFonts w:ascii="Arial" w:hAnsi="Arial" w:eastAsia="黑体"/>
      <w:kern w:val="2"/>
      <w:sz w:val="21"/>
      <w:szCs w:val="21"/>
      <w:lang w:val="en-US" w:eastAsia="zh-CN" w:bidi="ar-SA"/>
    </w:rPr>
  </w:style>
  <w:style w:type="character" w:styleId="47">
    <w:name w:val="FollowedHyperlink"/>
    <w:qFormat/>
    <w:uiPriority w:val="0"/>
    <w:rPr>
      <w:rFonts w:ascii="Arial" w:hAnsi="Arial" w:eastAsia="黑体"/>
      <w:color w:val="800080"/>
      <w:kern w:val="2"/>
      <w:sz w:val="21"/>
      <w:szCs w:val="21"/>
      <w:u w:val="single"/>
      <w:lang w:val="en-US" w:eastAsia="zh-CN" w:bidi="ar-SA"/>
    </w:rPr>
  </w:style>
  <w:style w:type="character" w:styleId="48">
    <w:name w:val="HTML Definition"/>
    <w:qFormat/>
    <w:uiPriority w:val="0"/>
    <w:rPr>
      <w:i/>
    </w:rPr>
  </w:style>
  <w:style w:type="character" w:styleId="49">
    <w:name w:val="Hyperlink"/>
    <w:qFormat/>
    <w:uiPriority w:val="0"/>
    <w:rPr>
      <w:rFonts w:ascii="Arial" w:hAnsi="Arial" w:eastAsia="黑体"/>
      <w:color w:val="0000FF"/>
      <w:kern w:val="2"/>
      <w:sz w:val="21"/>
      <w:szCs w:val="21"/>
      <w:u w:val="single"/>
      <w:lang w:val="en-US" w:eastAsia="zh-CN" w:bidi="ar-SA"/>
    </w:rPr>
  </w:style>
  <w:style w:type="character" w:styleId="50">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styleId="53">
    <w:name w:val="HTML Keyboard"/>
    <w:qFormat/>
    <w:uiPriority w:val="0"/>
    <w:rPr>
      <w:rFonts w:ascii="Consolas" w:hAnsi="Consolas" w:eastAsia="Consolas" w:cs="Consolas"/>
      <w:color w:val="FFFFFF"/>
      <w:sz w:val="21"/>
      <w:szCs w:val="21"/>
      <w:shd w:val="clear" w:color="auto" w:fill="333333"/>
    </w:rPr>
  </w:style>
  <w:style w:type="character" w:styleId="54">
    <w:name w:val="HTML Sample"/>
    <w:qFormat/>
    <w:uiPriority w:val="0"/>
    <w:rPr>
      <w:rFonts w:ascii="Consolas" w:hAnsi="Consolas" w:eastAsia="Consolas" w:cs="Consolas"/>
      <w:sz w:val="21"/>
      <w:szCs w:val="21"/>
    </w:rPr>
  </w:style>
  <w:style w:type="paragraph" w:customStyle="1" w:styleId="55">
    <w:name w:val="PlainText"/>
    <w:basedOn w:val="1"/>
    <w:qFormat/>
    <w:uiPriority w:val="0"/>
    <w:rPr>
      <w:rFonts w:ascii="宋体" w:hAnsi="Courier New"/>
      <w:kern w:val="0"/>
      <w:sz w:val="20"/>
      <w:szCs w:val="20"/>
    </w:rPr>
  </w:style>
  <w:style w:type="paragraph" w:customStyle="1" w:styleId="5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标题 3 字符"/>
    <w:qFormat/>
    <w:uiPriority w:val="0"/>
    <w:rPr>
      <w:rFonts w:ascii="Calibri" w:hAnsi="Calibri" w:eastAsia="宋体" w:cs="Times New Roman"/>
      <w:b/>
      <w:bCs/>
      <w:sz w:val="32"/>
      <w:szCs w:val="32"/>
    </w:rPr>
  </w:style>
  <w:style w:type="character" w:customStyle="1" w:styleId="58">
    <w:name w:val="纯文本 字符"/>
    <w:qFormat/>
    <w:uiPriority w:val="0"/>
    <w:rPr>
      <w:rFonts w:ascii="等线" w:hAnsi="等线" w:cs="Courier New"/>
    </w:rPr>
  </w:style>
  <w:style w:type="character" w:customStyle="1" w:styleId="59">
    <w:name w:val="NormalCharacter"/>
    <w:qFormat/>
    <w:uiPriority w:val="0"/>
  </w:style>
  <w:style w:type="character" w:customStyle="1" w:styleId="60">
    <w:name w:val="脚注文本 Char2"/>
    <w:qFormat/>
    <w:uiPriority w:val="0"/>
    <w:rPr>
      <w:kern w:val="2"/>
      <w:sz w:val="18"/>
      <w:szCs w:val="18"/>
    </w:rPr>
  </w:style>
  <w:style w:type="character" w:customStyle="1" w:styleId="61">
    <w:name w:val="批注主题 字符"/>
    <w:qFormat/>
    <w:uiPriority w:val="0"/>
    <w:rPr>
      <w:rFonts w:ascii="Calibri" w:hAnsi="Calibri" w:eastAsia="宋体" w:cs="Times New Roman"/>
      <w:b/>
      <w:bCs/>
    </w:rPr>
  </w:style>
  <w:style w:type="character" w:customStyle="1" w:styleId="62">
    <w:name w:val="正文文本 2 字符"/>
    <w:qFormat/>
    <w:uiPriority w:val="0"/>
    <w:rPr>
      <w:rFonts w:ascii="Calibri" w:hAnsi="Calibri" w:eastAsia="宋体" w:cs="Times New Roman"/>
    </w:rPr>
  </w:style>
  <w:style w:type="paragraph" w:customStyle="1" w:styleId="63">
    <w:name w:val="5z正文（创景）"/>
    <w:basedOn w:val="1"/>
    <w:qFormat/>
    <w:uiPriority w:val="0"/>
    <w:pPr>
      <w:adjustRightInd w:val="0"/>
      <w:snapToGrid w:val="0"/>
      <w:spacing w:line="360" w:lineRule="auto"/>
      <w:ind w:firstLine="200" w:firstLineChars="200"/>
      <w:textAlignment w:val="center"/>
    </w:pPr>
    <w:rPr>
      <w:kern w:val="0"/>
      <w:sz w:val="24"/>
      <w:szCs w:val="20"/>
    </w:rPr>
  </w:style>
  <w:style w:type="character" w:customStyle="1" w:styleId="64">
    <w:name w:val="标题 2 字符"/>
    <w:qFormat/>
    <w:uiPriority w:val="0"/>
    <w:rPr>
      <w:rFonts w:ascii="等线 Light" w:eastAsia="等线 Light" w:cs="Times New Roman"/>
      <w:b/>
      <w:bCs/>
      <w:sz w:val="32"/>
      <w:szCs w:val="32"/>
    </w:rPr>
  </w:style>
  <w:style w:type="paragraph" w:customStyle="1" w:styleId="65">
    <w:name w:val="font5"/>
    <w:basedOn w:val="1"/>
    <w:qFormat/>
    <w:uiPriority w:val="0"/>
    <w:pPr>
      <w:widowControl/>
      <w:spacing w:before="100" w:beforeAutospacing="1" w:after="100" w:afterAutospacing="1"/>
      <w:jc w:val="left"/>
    </w:pPr>
    <w:rPr>
      <w:rFonts w:ascii="宋体"/>
      <w:kern w:val="0"/>
      <w:sz w:val="24"/>
      <w:szCs w:val="24"/>
    </w:rPr>
  </w:style>
  <w:style w:type="character" w:customStyle="1" w:styleId="66">
    <w:name w:val="标题 9 字符"/>
    <w:qFormat/>
    <w:uiPriority w:val="0"/>
    <w:rPr>
      <w:rFonts w:ascii="等线 Light" w:eastAsia="等线 Light" w:cs="Times New Roman"/>
      <w:szCs w:val="21"/>
    </w:rPr>
  </w:style>
  <w:style w:type="character" w:customStyle="1" w:styleId="67">
    <w:name w:val="正文文本缩进 3 字符"/>
    <w:qFormat/>
    <w:uiPriority w:val="0"/>
    <w:rPr>
      <w:rFonts w:ascii="Calibri" w:hAnsi="Calibri" w:eastAsia="宋体" w:cs="Times New Roman"/>
      <w:sz w:val="16"/>
      <w:szCs w:val="16"/>
    </w:rPr>
  </w:style>
  <w:style w:type="character" w:customStyle="1" w:styleId="68">
    <w:name w:val="页脚 字符"/>
    <w:qFormat/>
    <w:uiPriority w:val="0"/>
    <w:rPr>
      <w:rFonts w:ascii="Calibri" w:hAnsi="Calibri" w:eastAsia="宋体" w:cs="Times New Roman"/>
      <w:sz w:val="18"/>
      <w:szCs w:val="18"/>
    </w:rPr>
  </w:style>
  <w:style w:type="character" w:customStyle="1" w:styleId="69">
    <w:name w:val="批注文字 字符"/>
    <w:qFormat/>
    <w:uiPriority w:val="0"/>
    <w:rPr>
      <w:rFonts w:ascii="Calibri" w:hAnsi="Calibri" w:eastAsia="宋体" w:cs="Times New Roman"/>
    </w:rPr>
  </w:style>
  <w:style w:type="character" w:customStyle="1" w:styleId="70">
    <w:name w:val="正文文本缩进 2 字符"/>
    <w:qFormat/>
    <w:uiPriority w:val="0"/>
    <w:rPr>
      <w:rFonts w:ascii="Calibri" w:hAnsi="Calibri" w:eastAsia="宋体" w:cs="Times New Roman"/>
    </w:rPr>
  </w:style>
  <w:style w:type="character" w:customStyle="1" w:styleId="71">
    <w:name w:val="无"/>
    <w:qFormat/>
    <w:uiPriority w:val="0"/>
    <w:rPr>
      <w:lang w:val="zh-TW" w:eastAsia="zh-TW"/>
    </w:rPr>
  </w:style>
  <w:style w:type="character" w:customStyle="1" w:styleId="72">
    <w:name w:val="批注框文本 字符"/>
    <w:qFormat/>
    <w:uiPriority w:val="0"/>
    <w:rPr>
      <w:rFonts w:ascii="Calibri" w:hAnsi="Calibri" w:eastAsia="宋体" w:cs="Times New Roman"/>
      <w:sz w:val="18"/>
      <w:szCs w:val="18"/>
    </w:rPr>
  </w:style>
  <w:style w:type="paragraph" w:styleId="73">
    <w:name w:val="List Paragraph"/>
    <w:basedOn w:val="1"/>
    <w:qFormat/>
    <w:uiPriority w:val="0"/>
    <w:pPr>
      <w:ind w:firstLine="200" w:firstLineChars="200"/>
    </w:pPr>
  </w:style>
  <w:style w:type="character" w:customStyle="1" w:styleId="74">
    <w:name w:val="标题 1 字符"/>
    <w:qFormat/>
    <w:uiPriority w:val="0"/>
    <w:rPr>
      <w:rFonts w:ascii="Calibri" w:hAnsi="Calibri" w:eastAsia="宋体" w:cs="Times New Roman"/>
      <w:b/>
      <w:bCs/>
      <w:kern w:val="44"/>
      <w:sz w:val="44"/>
      <w:szCs w:val="44"/>
    </w:rPr>
  </w:style>
  <w:style w:type="character" w:customStyle="1" w:styleId="75">
    <w:name w:val="标题 8 字符"/>
    <w:qFormat/>
    <w:uiPriority w:val="0"/>
    <w:rPr>
      <w:rFonts w:ascii="等线 Light" w:eastAsia="等线 Light" w:cs="Times New Roman"/>
      <w:sz w:val="24"/>
      <w:szCs w:val="24"/>
    </w:rPr>
  </w:style>
  <w:style w:type="character" w:customStyle="1" w:styleId="76">
    <w:name w:val="font31"/>
    <w:qFormat/>
    <w:uiPriority w:val="0"/>
    <w:rPr>
      <w:rFonts w:ascii="宋体" w:eastAsia="宋体"/>
      <w:color w:val="000000"/>
      <w:sz w:val="24"/>
      <w:szCs w:val="24"/>
      <w:u w:val="single"/>
    </w:rPr>
  </w:style>
  <w:style w:type="character" w:customStyle="1" w:styleId="77">
    <w:name w:val="正文文本缩进 字符"/>
    <w:qFormat/>
    <w:uiPriority w:val="0"/>
    <w:rPr>
      <w:rFonts w:ascii="Calibri" w:hAnsi="Calibri" w:eastAsia="宋体" w:cs="Times New Roman"/>
    </w:rPr>
  </w:style>
  <w:style w:type="character" w:customStyle="1" w:styleId="78">
    <w:name w:val="页眉 字符"/>
    <w:qFormat/>
    <w:uiPriority w:val="0"/>
    <w:rPr>
      <w:rFonts w:ascii="Calibri" w:hAnsi="Calibri" w:eastAsia="宋体" w:cs="Times New Roman"/>
      <w:sz w:val="18"/>
      <w:szCs w:val="18"/>
    </w:rPr>
  </w:style>
  <w:style w:type="character" w:customStyle="1" w:styleId="79">
    <w:name w:val="标题 字符"/>
    <w:qFormat/>
    <w:uiPriority w:val="0"/>
    <w:rPr>
      <w:rFonts w:ascii="等线 Light" w:eastAsia="等线 Light" w:cs="Times New Roman"/>
      <w:b/>
      <w:bCs/>
      <w:sz w:val="32"/>
      <w:szCs w:val="32"/>
    </w:rPr>
  </w:style>
  <w:style w:type="character" w:customStyle="1" w:styleId="80">
    <w:name w:val="title26"/>
    <w:qFormat/>
    <w:uiPriority w:val="0"/>
  </w:style>
  <w:style w:type="character" w:customStyle="1" w:styleId="81">
    <w:name w:val="标题 4 字符"/>
    <w:qFormat/>
    <w:uiPriority w:val="0"/>
    <w:rPr>
      <w:rFonts w:ascii="等线 Light" w:eastAsia="等线 Light" w:cs="Times New Roman"/>
      <w:b/>
      <w:bCs/>
      <w:sz w:val="28"/>
      <w:szCs w:val="28"/>
    </w:rPr>
  </w:style>
  <w:style w:type="character" w:customStyle="1" w:styleId="82">
    <w:name w:val="标题 Char1"/>
    <w:qFormat/>
    <w:uiPriority w:val="0"/>
    <w:rPr>
      <w:rFonts w:ascii="Cambria" w:hAnsi="Cambria" w:eastAsia="宋体" w:cs="Times New Roman"/>
      <w:b/>
      <w:kern w:val="2"/>
      <w:sz w:val="32"/>
      <w:szCs w:val="22"/>
    </w:rPr>
  </w:style>
  <w:style w:type="character" w:customStyle="1" w:styleId="83">
    <w:name w:val="脚注文本 字符"/>
    <w:qFormat/>
    <w:uiPriority w:val="0"/>
    <w:rPr>
      <w:rFonts w:ascii="Calibri" w:hAnsi="Calibri" w:eastAsia="宋体" w:cs="Times New Roman"/>
      <w:sz w:val="18"/>
      <w:szCs w:val="18"/>
    </w:rPr>
  </w:style>
  <w:style w:type="character" w:customStyle="1" w:styleId="84">
    <w:name w:val="标题 5 字符"/>
    <w:qFormat/>
    <w:uiPriority w:val="0"/>
    <w:rPr>
      <w:rFonts w:ascii="Calibri" w:hAnsi="Calibri" w:eastAsia="宋体" w:cs="Times New Roman"/>
      <w:b/>
      <w:bCs/>
      <w:sz w:val="28"/>
      <w:szCs w:val="28"/>
    </w:rPr>
  </w:style>
  <w:style w:type="character" w:customStyle="1" w:styleId="85">
    <w:name w:val="日期 字符"/>
    <w:qFormat/>
    <w:uiPriority w:val="0"/>
    <w:rPr>
      <w:rFonts w:ascii="Calibri" w:hAnsi="Calibri" w:eastAsia="宋体" w:cs="Times New Roman"/>
    </w:rPr>
  </w:style>
  <w:style w:type="character" w:customStyle="1" w:styleId="86">
    <w:name w:val="标题 7 字符"/>
    <w:qFormat/>
    <w:uiPriority w:val="0"/>
    <w:rPr>
      <w:rFonts w:ascii="Calibri" w:hAnsi="Calibri" w:eastAsia="宋体" w:cs="Times New Roman"/>
      <w:b/>
      <w:bCs/>
      <w:sz w:val="24"/>
      <w:szCs w:val="24"/>
    </w:rPr>
  </w:style>
  <w:style w:type="character" w:customStyle="1" w:styleId="87">
    <w:name w:val="脚注文本 Char"/>
    <w:qFormat/>
    <w:uiPriority w:val="0"/>
    <w:rPr>
      <w:kern w:val="2"/>
      <w:sz w:val="18"/>
      <w:szCs w:val="18"/>
    </w:rPr>
  </w:style>
  <w:style w:type="character" w:customStyle="1" w:styleId="88">
    <w:name w:val="username"/>
    <w:qFormat/>
    <w:uiPriority w:val="0"/>
  </w:style>
  <w:style w:type="character" w:customStyle="1" w:styleId="89">
    <w:name w:val="纯文本 Char1"/>
    <w:qFormat/>
    <w:uiPriority w:val="0"/>
    <w:rPr>
      <w:rFonts w:ascii="宋体" w:eastAsia="宋体" w:cs="Courier New"/>
      <w:szCs w:val="21"/>
    </w:rPr>
  </w:style>
  <w:style w:type="character" w:customStyle="1" w:styleId="90">
    <w:name w:val="font161"/>
    <w:qFormat/>
    <w:uiPriority w:val="0"/>
    <w:rPr>
      <w:rFonts w:ascii="Arial" w:hAnsi="Arial" w:eastAsia="黑体"/>
      <w:b/>
      <w:bCs/>
      <w:kern w:val="2"/>
      <w:sz w:val="32"/>
      <w:szCs w:val="32"/>
      <w:lang w:val="en-US" w:eastAsia="zh-CN" w:bidi="ar-SA"/>
    </w:rPr>
  </w:style>
  <w:style w:type="character" w:customStyle="1" w:styleId="91">
    <w:name w:val="文档结构图 字符"/>
    <w:qFormat/>
    <w:uiPriority w:val="0"/>
    <w:rPr>
      <w:rFonts w:ascii="Microsoft YaHei UI" w:eastAsia="Microsoft YaHei UI" w:cs="Times New Roman"/>
      <w:sz w:val="18"/>
      <w:szCs w:val="18"/>
    </w:rPr>
  </w:style>
  <w:style w:type="character" w:customStyle="1" w:styleId="92">
    <w:name w:val="正文文本 字符"/>
    <w:qFormat/>
    <w:uiPriority w:val="99"/>
    <w:rPr>
      <w:rFonts w:ascii="Calibri" w:hAnsi="Calibri" w:eastAsia="宋体" w:cs="Times New Roman"/>
    </w:rPr>
  </w:style>
  <w:style w:type="character" w:customStyle="1" w:styleId="93">
    <w:name w:val="标题 6 字符"/>
    <w:qFormat/>
    <w:uiPriority w:val="0"/>
    <w:rPr>
      <w:rFonts w:ascii="等线 Light" w:eastAsia="等线 Light" w:cs="Times New Roman"/>
      <w:b/>
      <w:bCs/>
      <w:sz w:val="24"/>
      <w:szCs w:val="24"/>
    </w:rPr>
  </w:style>
  <w:style w:type="character" w:customStyle="1" w:styleId="94">
    <w:name w:val="尾注文本 字符"/>
    <w:qFormat/>
    <w:uiPriority w:val="0"/>
    <w:rPr>
      <w:rFonts w:ascii="Calibri" w:hAnsi="Calibri" w:eastAsia="宋体" w:cs="Times New Roman"/>
    </w:rPr>
  </w:style>
  <w:style w:type="paragraph" w:customStyle="1" w:styleId="95">
    <w:name w:val="Char"/>
    <w:basedOn w:val="1"/>
    <w:qFormat/>
    <w:uiPriority w:val="0"/>
    <w:pPr>
      <w:tabs>
        <w:tab w:val="left" w:pos="1500"/>
      </w:tabs>
      <w:ind w:left="1500" w:hanging="420"/>
    </w:pPr>
    <w:rPr>
      <w:rFonts w:ascii="Times New Roman" w:hAnsi="Times New Roman"/>
      <w:sz w:val="24"/>
      <w:szCs w:val="24"/>
    </w:rPr>
  </w:style>
  <w:style w:type="paragraph" w:customStyle="1" w:styleId="9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97">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8">
    <w:name w:val="表格2"/>
    <w:basedOn w:val="1"/>
    <w:qFormat/>
    <w:uiPriority w:val="0"/>
    <w:pPr>
      <w:adjustRightInd w:val="0"/>
      <w:spacing w:before="60" w:after="60"/>
      <w:jc w:val="center"/>
    </w:pPr>
    <w:rPr>
      <w:rFonts w:ascii="宋体"/>
      <w:color w:val="000000"/>
      <w:kern w:val="0"/>
      <w:sz w:val="24"/>
      <w:szCs w:val="20"/>
    </w:rPr>
  </w:style>
  <w:style w:type="paragraph" w:customStyle="1" w:styleId="99">
    <w:name w:val="TOC 标题1"/>
    <w:basedOn w:val="8"/>
    <w:next w:val="1"/>
    <w:qFormat/>
    <w:uiPriority w:val="0"/>
    <w:pPr>
      <w:widowControl/>
      <w:spacing w:before="240" w:after="0" w:line="259" w:lineRule="auto"/>
      <w:jc w:val="left"/>
      <w:outlineLvl w:val="9"/>
    </w:pPr>
    <w:rPr>
      <w:rFonts w:ascii="Cambria" w:hAnsi="Cambria"/>
      <w:b w:val="0"/>
      <w:bCs w:val="0"/>
      <w:color w:val="366091"/>
      <w:kern w:val="0"/>
      <w:sz w:val="32"/>
      <w:szCs w:val="32"/>
    </w:rPr>
  </w:style>
  <w:style w:type="paragraph" w:customStyle="1" w:styleId="100">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02">
    <w:name w:val="公文标题"/>
    <w:basedOn w:val="11"/>
    <w:qFormat/>
    <w:uiPriority w:val="0"/>
    <w:pPr>
      <w:spacing w:before="0" w:after="0" w:line="240" w:lineRule="auto"/>
      <w:ind w:left="1469" w:right="1542"/>
      <w:jc w:val="left"/>
    </w:pPr>
    <w:rPr>
      <w:rFonts w:ascii="宋体"/>
      <w:bCs w:val="0"/>
      <w:kern w:val="2"/>
      <w:sz w:val="44"/>
      <w:szCs w:val="21"/>
    </w:rPr>
  </w:style>
  <w:style w:type="paragraph" w:customStyle="1" w:styleId="10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4">
    <w:name w:val="修订1"/>
    <w:qFormat/>
    <w:uiPriority w:val="0"/>
    <w:rPr>
      <w:rFonts w:ascii="Calibri" w:hAnsi="Calibri" w:eastAsia="宋体" w:cs="Times New Roman"/>
      <w:kern w:val="2"/>
      <w:sz w:val="21"/>
      <w:szCs w:val="22"/>
      <w:lang w:val="en-US" w:eastAsia="zh-CN" w:bidi="ar-SA"/>
    </w:rPr>
  </w:style>
  <w:style w:type="paragraph" w:customStyle="1" w:styleId="105">
    <w:name w:val="章节三"/>
    <w:basedOn w:val="1"/>
    <w:next w:val="1"/>
    <w:qFormat/>
    <w:uiPriority w:val="0"/>
    <w:pPr>
      <w:topLinePunct/>
      <w:adjustRightInd w:val="0"/>
      <w:snapToGrid w:val="0"/>
      <w:spacing w:before="50" w:beforeLines="50" w:after="50" w:afterLines="50"/>
      <w:jc w:val="left"/>
      <w:outlineLvl w:val="2"/>
    </w:pPr>
    <w:rPr>
      <w:rFonts w:ascii="黑体" w:eastAsia="黑体"/>
      <w:b/>
      <w:snapToGrid w:val="0"/>
      <w:spacing w:val="4"/>
      <w:kern w:val="0"/>
      <w:sz w:val="24"/>
      <w:szCs w:val="24"/>
    </w:rPr>
  </w:style>
  <w:style w:type="paragraph" w:customStyle="1" w:styleId="106">
    <w:name w:val="BodyTextIndent2"/>
    <w:basedOn w:val="1"/>
    <w:qFormat/>
    <w:uiPriority w:val="0"/>
    <w:pPr>
      <w:widowControl/>
      <w:spacing w:line="400" w:lineRule="exact"/>
      <w:ind w:left="425"/>
      <w:textAlignment w:val="baseline"/>
    </w:pPr>
    <w:rPr>
      <w:rFonts w:ascii="Times New Roman" w:hAnsi="Times New Roman"/>
      <w:color w:val="000000"/>
      <w:sz w:val="24"/>
      <w:szCs w:val="20"/>
    </w:rPr>
  </w:style>
  <w:style w:type="paragraph" w:customStyle="1" w:styleId="107">
    <w:name w:val="HtmlNormal"/>
    <w:basedOn w:val="1"/>
    <w:qFormat/>
    <w:uiPriority w:val="0"/>
    <w:pPr>
      <w:widowControl/>
      <w:spacing w:before="100" w:beforeAutospacing="1" w:after="100" w:afterAutospacing="1"/>
      <w:jc w:val="left"/>
      <w:textAlignment w:val="baseline"/>
    </w:pPr>
    <w:rPr>
      <w:rFonts w:ascii="Times New Roman" w:hAnsi="Times New Roman"/>
      <w:kern w:val="0"/>
      <w:sz w:val="24"/>
      <w:szCs w:val="20"/>
    </w:rPr>
  </w:style>
  <w:style w:type="paragraph" w:customStyle="1" w:styleId="108">
    <w:name w:val="样式 首行缩进:  2 字符"/>
    <w:basedOn w:val="1"/>
    <w:qFormat/>
    <w:uiPriority w:val="0"/>
    <w:pPr>
      <w:spacing w:line="360" w:lineRule="auto"/>
      <w:ind w:firstLine="200" w:firstLineChars="200"/>
    </w:pPr>
    <w:rPr>
      <w:rFonts w:ascii="Times New Roman" w:hAnsi="Times New Roman" w:cs="宋体"/>
      <w:sz w:val="24"/>
      <w:szCs w:val="20"/>
    </w:rPr>
  </w:style>
  <w:style w:type="paragraph" w:customStyle="1" w:styleId="10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font7"/>
    <w:basedOn w:val="1"/>
    <w:qFormat/>
    <w:uiPriority w:val="0"/>
    <w:pPr>
      <w:widowControl/>
      <w:spacing w:before="100" w:beforeAutospacing="1" w:after="100" w:afterAutospacing="1"/>
      <w:jc w:val="left"/>
    </w:pPr>
    <w:rPr>
      <w:rFonts w:ascii="宋体"/>
      <w:kern w:val="0"/>
      <w:sz w:val="28"/>
      <w:szCs w:val="28"/>
    </w:rPr>
  </w:style>
  <w:style w:type="paragraph" w:customStyle="1" w:styleId="111">
    <w:name w:val="1"/>
    <w:basedOn w:val="1"/>
    <w:qFormat/>
    <w:uiPriority w:val="0"/>
    <w:rPr>
      <w:rFonts w:ascii="Times New Roman" w:hAnsi="Times New Roman"/>
      <w:szCs w:val="24"/>
    </w:rPr>
  </w:style>
  <w:style w:type="paragraph" w:customStyle="1" w:styleId="11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4">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p0"/>
    <w:basedOn w:val="1"/>
    <w:qFormat/>
    <w:uiPriority w:val="0"/>
    <w:pPr>
      <w:widowControl/>
      <w:spacing w:before="75" w:after="75"/>
      <w:jc w:val="left"/>
    </w:pPr>
    <w:rPr>
      <w:rFonts w:ascii="宋体" w:cs="宋体"/>
      <w:kern w:val="0"/>
      <w:sz w:val="24"/>
      <w:szCs w:val="24"/>
    </w:rPr>
  </w:style>
  <w:style w:type="paragraph" w:customStyle="1" w:styleId="116">
    <w:name w:val="_Style 55"/>
    <w:basedOn w:val="5"/>
    <w:next w:val="40"/>
    <w:qFormat/>
    <w:uiPriority w:val="0"/>
    <w:pPr>
      <w:ind w:firstLine="420"/>
    </w:pPr>
    <w:rPr>
      <w:rFonts w:ascii="Times New Roman" w:hAnsi="Times New Roman" w:eastAsia="楷体_GB2312"/>
      <w:kern w:val="0"/>
      <w:sz w:val="20"/>
      <w:szCs w:val="20"/>
    </w:rPr>
  </w:style>
  <w:style w:type="paragraph" w:customStyle="1" w:styleId="117">
    <w:name w:val="样式 标题 3 + (中文) 黑体 小四 非加粗 段前: 7.8 磅 段后: 0 磅 行距: 固定值 20 磅"/>
    <w:basedOn w:val="11"/>
    <w:qFormat/>
    <w:uiPriority w:val="0"/>
    <w:pPr>
      <w:spacing w:before="0" w:after="0" w:line="400" w:lineRule="exact"/>
      <w:jc w:val="left"/>
    </w:pPr>
    <w:rPr>
      <w:rFonts w:ascii="宋体" w:hAnsi="宋体" w:eastAsia="黑体" w:cs="宋体"/>
      <w:b w:val="0"/>
      <w:bCs w:val="0"/>
      <w:sz w:val="24"/>
      <w:szCs w:val="20"/>
    </w:rPr>
  </w:style>
  <w:style w:type="paragraph" w:customStyle="1" w:styleId="118">
    <w:name w:val="TOC 标题2"/>
    <w:basedOn w:val="8"/>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9">
    <w:name w:val="公文抬头"/>
    <w:basedOn w:val="10"/>
    <w:qFormat/>
    <w:uiPriority w:val="0"/>
    <w:pPr>
      <w:ind w:firstLine="0" w:firstLineChars="0"/>
    </w:pPr>
    <w:rPr>
      <w:rFonts w:ascii="仿宋_GB2312" w:eastAsia="仿宋_GB2312"/>
      <w:sz w:val="30"/>
      <w:szCs w:val="24"/>
    </w:rPr>
  </w:style>
  <w:style w:type="paragraph" w:customStyle="1" w:styleId="120">
    <w:name w:val="Body text|1"/>
    <w:next w:val="10"/>
    <w:qFormat/>
    <w:uiPriority w:val="0"/>
    <w:pPr>
      <w:widowControl w:val="0"/>
      <w:spacing w:line="480" w:lineRule="auto"/>
    </w:pPr>
    <w:rPr>
      <w:rFonts w:ascii="宋体" w:hAnsi="Times New Roman" w:eastAsia="宋体" w:cs="宋体"/>
      <w:color w:val="000000"/>
      <w:sz w:val="26"/>
      <w:szCs w:val="26"/>
      <w:lang w:val="zh-TW" w:eastAsia="zh-TW" w:bidi="ar-SA"/>
    </w:rPr>
  </w:style>
  <w:style w:type="paragraph" w:customStyle="1" w:styleId="121">
    <w:name w:val="_Style 25"/>
    <w:basedOn w:val="1"/>
    <w:next w:val="1"/>
    <w:qFormat/>
    <w:uiPriority w:val="0"/>
  </w:style>
  <w:style w:type="paragraph" w:customStyle="1" w:styleId="122">
    <w:name w:val="样式 标题 3 + 首行缩进:  1.06 厘米"/>
    <w:basedOn w:val="11"/>
    <w:qFormat/>
    <w:uiPriority w:val="0"/>
    <w:pPr>
      <w:spacing w:before="120" w:after="0" w:line="240" w:lineRule="auto"/>
      <w:ind w:firstLine="49" w:firstLineChars="49"/>
      <w:jc w:val="center"/>
    </w:pPr>
    <w:rPr>
      <w:rFonts w:ascii="宋体" w:hAnsi="宋体" w:eastAsia="黑体" w:cs="宋体"/>
      <w:b w:val="0"/>
      <w:color w:val="000000"/>
      <w:kern w:val="2"/>
      <w:sz w:val="28"/>
      <w:szCs w:val="28"/>
    </w:rPr>
  </w:style>
  <w:style w:type="paragraph" w:customStyle="1" w:styleId="123">
    <w:name w:val="正文缩进 New"/>
    <w:basedOn w:val="101"/>
    <w:qFormat/>
    <w:uiPriority w:val="0"/>
    <w:pPr>
      <w:ind w:firstLine="420"/>
    </w:pPr>
    <w:rPr>
      <w:rFonts w:ascii="Times New Roman" w:hAnsi="Times New Roman" w:cs="Times New Roman"/>
      <w:kern w:val="2"/>
      <w:szCs w:val="20"/>
    </w:rPr>
  </w:style>
  <w:style w:type="paragraph" w:customStyle="1" w:styleId="124">
    <w:name w:val="xl47"/>
    <w:basedOn w:val="1"/>
    <w:qFormat/>
    <w:uiPriority w:val="0"/>
    <w:pPr>
      <w:widowControl/>
      <w:spacing w:before="100" w:beforeAutospacing="1" w:after="100" w:afterAutospacing="1"/>
      <w:jc w:val="center"/>
    </w:pPr>
    <w:rPr>
      <w:rFonts w:ascii="宋体"/>
      <w:kern w:val="0"/>
      <w:sz w:val="28"/>
      <w:szCs w:val="28"/>
    </w:rPr>
  </w:style>
  <w:style w:type="paragraph" w:customStyle="1" w:styleId="125">
    <w:name w:val="表头"/>
    <w:basedOn w:val="1"/>
    <w:qFormat/>
    <w:uiPriority w:val="0"/>
    <w:pPr>
      <w:spacing w:line="360" w:lineRule="auto"/>
      <w:jc w:val="center"/>
    </w:pPr>
    <w:rPr>
      <w:rFonts w:ascii="黑体" w:eastAsia="黑体"/>
      <w:kern w:val="0"/>
      <w:sz w:val="24"/>
      <w:szCs w:val="20"/>
    </w:rPr>
  </w:style>
  <w:style w:type="paragraph" w:customStyle="1" w:styleId="126">
    <w:name w:val="样式 标题 2 + Times New Roman 四号 非加粗 段前: 5 磅 段后: 0 磅 行距: 固定值 20..."/>
    <w:basedOn w:val="9"/>
    <w:qFormat/>
    <w:uiPriority w:val="0"/>
    <w:pPr>
      <w:spacing w:before="100" w:after="0"/>
    </w:pPr>
    <w:rPr>
      <w:rFonts w:ascii="Times New Roman" w:hAnsi="Times New Roman"/>
      <w:sz w:val="28"/>
      <w:szCs w:val="20"/>
    </w:rPr>
  </w:style>
  <w:style w:type="paragraph" w:customStyle="1" w:styleId="127">
    <w:name w:val="修订11"/>
    <w:qFormat/>
    <w:uiPriority w:val="0"/>
    <w:rPr>
      <w:rFonts w:ascii="Times New Roman" w:hAnsi="Times New Roman" w:eastAsia="宋体" w:cs="Times New Roman"/>
      <w:kern w:val="2"/>
      <w:sz w:val="21"/>
      <w:lang w:val="en-US" w:eastAsia="zh-CN" w:bidi="ar-SA"/>
    </w:rPr>
  </w:style>
  <w:style w:type="paragraph" w:customStyle="1" w:styleId="12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13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31">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32">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33">
    <w:name w:val="标题 2 New"/>
    <w:basedOn w:val="101"/>
    <w:next w:val="101"/>
    <w:qFormat/>
    <w:uiPriority w:val="0"/>
    <w:pPr>
      <w:keepNext/>
      <w:keepLines/>
      <w:spacing w:before="260" w:after="260" w:line="415" w:lineRule="auto"/>
      <w:outlineLvl w:val="1"/>
    </w:pPr>
    <w:rPr>
      <w:rFonts w:ascii="Arial" w:hAnsi="Arial" w:eastAsia="仿宋_GB2312"/>
      <w:b/>
      <w:bCs/>
      <w:sz w:val="32"/>
    </w:rPr>
  </w:style>
  <w:style w:type="paragraph" w:customStyle="1" w:styleId="13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35">
    <w:name w:val="xl31"/>
    <w:basedOn w:val="1"/>
    <w:qFormat/>
    <w:uiPriority w:val="0"/>
    <w:pPr>
      <w:widowControl/>
      <w:spacing w:before="100" w:beforeAutospacing="1" w:after="100" w:afterAutospacing="1"/>
      <w:jc w:val="center"/>
    </w:pPr>
    <w:rPr>
      <w:rFonts w:ascii="宋体"/>
      <w:kern w:val="0"/>
      <w:sz w:val="24"/>
      <w:szCs w:val="24"/>
    </w:rPr>
  </w:style>
  <w:style w:type="paragraph" w:customStyle="1" w:styleId="136">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137">
    <w:name w:val="发文落款"/>
    <w:basedOn w:val="136"/>
    <w:qFormat/>
    <w:uiPriority w:val="0"/>
    <w:pPr>
      <w:ind w:left="4094" w:right="607" w:firstLine="0"/>
      <w:jc w:val="center"/>
    </w:pPr>
    <w:rPr>
      <w:rFonts w:cs="仿宋_GB2312"/>
      <w:szCs w:val="32"/>
    </w:rPr>
  </w:style>
  <w:style w:type="paragraph" w:customStyle="1" w:styleId="138">
    <w:name w:val="正文文本缩进1"/>
    <w:basedOn w:val="1"/>
    <w:qFormat/>
    <w:uiPriority w:val="0"/>
    <w:pPr>
      <w:ind w:firstLine="480"/>
    </w:pPr>
    <w:rPr>
      <w:rFonts w:ascii="Times New Roman" w:hAnsi="Times New Roman"/>
      <w:sz w:val="24"/>
      <w:szCs w:val="20"/>
    </w:rPr>
  </w:style>
  <w:style w:type="paragraph" w:customStyle="1" w:styleId="139">
    <w:name w:val="表格"/>
    <w:basedOn w:val="1"/>
    <w:qFormat/>
    <w:uiPriority w:val="0"/>
    <w:pPr>
      <w:jc w:val="center"/>
      <w:textAlignment w:val="center"/>
    </w:pPr>
    <w:rPr>
      <w:rFonts w:ascii="华文细黑" w:hAnsi="华文细黑"/>
      <w:kern w:val="0"/>
      <w:szCs w:val="20"/>
    </w:rPr>
  </w:style>
  <w:style w:type="paragraph" w:customStyle="1" w:styleId="140">
    <w:name w:val="普通(网站) New"/>
    <w:basedOn w:val="100"/>
    <w:qFormat/>
    <w:uiPriority w:val="0"/>
    <w:pPr>
      <w:widowControl/>
      <w:spacing w:before="100" w:beforeAutospacing="1" w:after="100" w:afterAutospacing="1"/>
      <w:jc w:val="left"/>
    </w:pPr>
    <w:rPr>
      <w:rFonts w:ascii="宋体"/>
      <w:kern w:val="0"/>
      <w:sz w:val="24"/>
    </w:rPr>
  </w:style>
  <w:style w:type="paragraph" w:customStyle="1" w:styleId="141">
    <w:name w:val="样式 标题 1 + 黑体 三号 非加粗 居中 段前: 6 磅 段后: 6 磅 行距: 固定值 20 磅"/>
    <w:basedOn w:val="8"/>
    <w:qFormat/>
    <w:uiPriority w:val="0"/>
    <w:pPr>
      <w:spacing w:before="120" w:after="120" w:line="400" w:lineRule="exact"/>
      <w:jc w:val="center"/>
    </w:pPr>
    <w:rPr>
      <w:rFonts w:ascii="黑体" w:eastAsia="黑体" w:cs="宋体"/>
      <w:b w:val="0"/>
      <w:bCs w:val="0"/>
      <w:sz w:val="32"/>
      <w:szCs w:val="20"/>
    </w:rPr>
  </w:style>
  <w:style w:type="paragraph" w:customStyle="1" w:styleId="142">
    <w:name w:val="p17"/>
    <w:basedOn w:val="1"/>
    <w:qFormat/>
    <w:uiPriority w:val="0"/>
    <w:pPr>
      <w:widowControl/>
      <w:topLinePunct/>
      <w:snapToGrid w:val="0"/>
      <w:spacing w:line="360" w:lineRule="auto"/>
      <w:ind w:firstLine="420"/>
    </w:pPr>
    <w:rPr>
      <w:rFonts w:ascii="Times New Roman" w:hAnsi="Times New Roman"/>
      <w:spacing w:val="4"/>
      <w:kern w:val="0"/>
      <w:sz w:val="24"/>
      <w:szCs w:val="24"/>
    </w:rPr>
  </w:style>
  <w:style w:type="paragraph" w:customStyle="1" w:styleId="143">
    <w:name w:val="标题2"/>
    <w:basedOn w:val="9"/>
    <w:next w:val="1"/>
    <w:qFormat/>
    <w:uiPriority w:val="0"/>
    <w:pPr>
      <w:snapToGrid w:val="0"/>
      <w:spacing w:before="120" w:line="240" w:lineRule="auto"/>
      <w:jc w:val="left"/>
    </w:pPr>
    <w:rPr>
      <w:rFonts w:ascii="Arial" w:hAnsi="Arial"/>
      <w:sz w:val="21"/>
      <w:szCs w:val="21"/>
    </w:rPr>
  </w:style>
  <w:style w:type="paragraph" w:customStyle="1" w:styleId="144">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Char1"/>
    <w:basedOn w:val="1"/>
    <w:qFormat/>
    <w:uiPriority w:val="0"/>
    <w:pPr>
      <w:ind w:left="567" w:hanging="279"/>
    </w:pPr>
    <w:rPr>
      <w:rFonts w:ascii="Times New Roman" w:hAnsi="Times New Roman"/>
      <w:sz w:val="24"/>
      <w:szCs w:val="24"/>
    </w:rPr>
  </w:style>
  <w:style w:type="paragraph" w:customStyle="1" w:styleId="146">
    <w:name w:val="列出段落4"/>
    <w:basedOn w:val="1"/>
    <w:qFormat/>
    <w:uiPriority w:val="0"/>
    <w:pPr>
      <w:ind w:firstLine="200" w:firstLineChars="200"/>
    </w:pPr>
    <w:rPr>
      <w:rFonts w:ascii="Times New Roman" w:hAnsi="Times New Roman"/>
      <w:szCs w:val="20"/>
    </w:rPr>
  </w:style>
  <w:style w:type="paragraph" w:styleId="147">
    <w:name w:val="No Spacing"/>
    <w:qFormat/>
    <w:uiPriority w:val="0"/>
    <w:rPr>
      <w:rFonts w:ascii="Calibri" w:hAnsi="Calibri" w:eastAsia="宋体" w:cs="Times New Roman"/>
      <w:sz w:val="22"/>
      <w:szCs w:val="22"/>
      <w:lang w:val="en-US" w:eastAsia="zh-CN" w:bidi="ar-SA"/>
    </w:rPr>
  </w:style>
  <w:style w:type="paragraph" w:customStyle="1" w:styleId="148">
    <w:name w:val="Char Char Char Char"/>
    <w:basedOn w:val="1"/>
    <w:qFormat/>
    <w:uiPriority w:val="0"/>
    <w:rPr>
      <w:rFonts w:ascii="Times New Roman" w:hAnsi="Times New Roman"/>
      <w:sz w:val="30"/>
      <w:szCs w:val="24"/>
    </w:rPr>
  </w:style>
  <w:style w:type="paragraph" w:customStyle="1" w:styleId="149">
    <w:name w:val="Char Char Char1 Char"/>
    <w:basedOn w:val="18"/>
    <w:qFormat/>
    <w:uiPriority w:val="0"/>
    <w:rPr>
      <w:rFonts w:ascii="Tahoma" w:hAnsi="Tahoma"/>
      <w:kern w:val="2"/>
      <w:sz w:val="24"/>
    </w:rPr>
  </w:style>
  <w:style w:type="paragraph" w:customStyle="1" w:styleId="150">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51">
    <w:name w:val="标题 5 New"/>
    <w:basedOn w:val="100"/>
    <w:next w:val="100"/>
    <w:qFormat/>
    <w:uiPriority w:val="0"/>
    <w:pPr>
      <w:keepNext/>
      <w:keepLines/>
      <w:spacing w:before="280" w:after="290" w:line="377" w:lineRule="auto"/>
      <w:outlineLvl w:val="4"/>
    </w:pPr>
    <w:rPr>
      <w:rFonts w:eastAsia="仿宋_GB2312"/>
      <w:b/>
      <w:bCs/>
      <w:sz w:val="28"/>
      <w:szCs w:val="28"/>
    </w:rPr>
  </w:style>
  <w:style w:type="paragraph" w:customStyle="1" w:styleId="152">
    <w:name w:val="正文文本缩进 31"/>
    <w:basedOn w:val="1"/>
    <w:qFormat/>
    <w:uiPriority w:val="0"/>
    <w:pPr>
      <w:snapToGrid w:val="0"/>
      <w:spacing w:line="360" w:lineRule="auto"/>
      <w:ind w:left="20" w:firstLine="189" w:firstLineChars="189"/>
    </w:pPr>
    <w:rPr>
      <w:rFonts w:ascii="仿宋_GB2312" w:eastAsia="仿宋_GB2312"/>
      <w:sz w:val="28"/>
      <w:szCs w:val="24"/>
    </w:rPr>
  </w:style>
  <w:style w:type="paragraph" w:customStyle="1" w:styleId="153">
    <w:name w:val="Other|1"/>
    <w:basedOn w:val="1"/>
    <w:qFormat/>
    <w:uiPriority w:val="0"/>
    <w:pPr>
      <w:spacing w:line="266" w:lineRule="exact"/>
      <w:jc w:val="left"/>
    </w:pPr>
    <w:rPr>
      <w:rFonts w:ascii="宋体" w:cs="宋体"/>
      <w:kern w:val="0"/>
      <w:sz w:val="19"/>
      <w:szCs w:val="19"/>
      <w:lang w:val="zh-TW" w:eastAsia="zh-TW" w:bidi="zh-TW"/>
    </w:rPr>
  </w:style>
  <w:style w:type="paragraph" w:customStyle="1" w:styleId="154">
    <w:name w:val="Other|2"/>
    <w:basedOn w:val="1"/>
    <w:qFormat/>
    <w:uiPriority w:val="0"/>
    <w:pPr>
      <w:spacing w:before="100" w:line="302" w:lineRule="exact"/>
      <w:jc w:val="center"/>
    </w:pPr>
    <w:rPr>
      <w:rFonts w:ascii="宋体" w:cs="宋体"/>
      <w:kern w:val="0"/>
      <w:sz w:val="20"/>
      <w:szCs w:val="20"/>
      <w:lang w:val="zh-TW" w:eastAsia="zh-TW" w:bidi="zh-TW"/>
    </w:rPr>
  </w:style>
  <w:style w:type="paragraph" w:customStyle="1" w:styleId="155">
    <w:name w:val="Heading #1|1"/>
    <w:basedOn w:val="1"/>
    <w:qFormat/>
    <w:uiPriority w:val="0"/>
    <w:pPr>
      <w:spacing w:after="240"/>
      <w:jc w:val="center"/>
      <w:outlineLvl w:val="0"/>
    </w:pPr>
    <w:rPr>
      <w:rFonts w:ascii="宋体" w:cs="宋体"/>
      <w:kern w:val="0"/>
      <w:sz w:val="50"/>
      <w:szCs w:val="50"/>
      <w:lang w:val="zh-TW" w:eastAsia="zh-TW" w:bidi="zh-TW"/>
    </w:rPr>
  </w:style>
  <w:style w:type="paragraph" w:customStyle="1" w:styleId="156">
    <w:name w:val="Heading #2|1"/>
    <w:basedOn w:val="1"/>
    <w:qFormat/>
    <w:uiPriority w:val="0"/>
    <w:pPr>
      <w:spacing w:after="560"/>
      <w:jc w:val="center"/>
      <w:outlineLvl w:val="1"/>
    </w:pPr>
    <w:rPr>
      <w:rFonts w:ascii="宋体" w:cs="宋体"/>
      <w:kern w:val="0"/>
      <w:sz w:val="36"/>
      <w:szCs w:val="36"/>
      <w:lang w:val="zh-TW" w:eastAsia="zh-TW" w:bidi="zh-TW"/>
    </w:rPr>
  </w:style>
  <w:style w:type="paragraph" w:customStyle="1" w:styleId="157">
    <w:name w:val="Body text|2"/>
    <w:basedOn w:val="1"/>
    <w:qFormat/>
    <w:uiPriority w:val="0"/>
    <w:pPr>
      <w:spacing w:after="120" w:line="634" w:lineRule="exact"/>
      <w:ind w:firstLine="780"/>
      <w:jc w:val="left"/>
    </w:pPr>
    <w:rPr>
      <w:kern w:val="0"/>
      <w:sz w:val="26"/>
      <w:szCs w:val="26"/>
      <w:u w:val="single"/>
    </w:rPr>
  </w:style>
  <w:style w:type="paragraph" w:customStyle="1" w:styleId="158">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206</Pages>
  <Words>141287</Words>
  <Characters>147373</Characters>
  <Lines>427</Lines>
  <Paragraphs>120</Paragraphs>
  <TotalTime>16</TotalTime>
  <ScaleCrop>false</ScaleCrop>
  <LinksUpToDate>false</LinksUpToDate>
  <CharactersWithSpaces>156358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2023-07-03T12:10:00Z</dcterms:created>
  <dc:creator>Administrator</dc:creator>
  <cp:lastModifiedBy>招标代理机构</cp:lastModifiedBy>
  <cp:lastPrinted>2023-07-07T07:51:00Z</cp:lastPrinted>
  <dcterms:modified xsi:type="dcterms:W3CDTF">2023-07-20T10:26:24Z</dcterms:modified>
  <dc:title>广州黄埔区永和水质净化厂高效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D431E898F049499C98F71497A7473B1F_13</vt:lpwstr>
  </property>
</Properties>
</file>