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eastAsia="楷体_GB2312"/>
          <w:b/>
          <w:bCs/>
          <w:color w:val="auto"/>
          <w:spacing w:val="26"/>
          <w:sz w:val="52"/>
          <w:szCs w:val="110"/>
          <w14:shadow w14:blurRad="50800" w14:dist="38100" w14:dir="2700000" w14:sx="100000" w14:sy="100000" w14:kx="0" w14:ky="0" w14:algn="tl">
            <w14:srgbClr w14:val="000000">
              <w14:alpha w14:val="60000"/>
            </w14:srgbClr>
          </w14:shadow>
        </w:rPr>
      </w:pPr>
      <w:bookmarkStart w:id="0" w:name="_Toc8822_WPSOffice_Level2"/>
      <w:bookmarkStart w:id="1" w:name="_Toc25792_WPSOffice_Level2"/>
    </w:p>
    <w:p>
      <w:pPr>
        <w:pStyle w:val="2"/>
      </w:pPr>
    </w:p>
    <w:p>
      <w:pPr>
        <w:autoSpaceDE w:val="0"/>
        <w:autoSpaceDN w:val="0"/>
        <w:adjustRightInd w:val="0"/>
        <w:spacing w:line="360" w:lineRule="auto"/>
        <w:jc w:val="center"/>
        <w:rPr>
          <w:rFonts w:eastAsia="楷体_GB2312"/>
          <w:b/>
          <w:bCs/>
          <w:color w:val="auto"/>
          <w:spacing w:val="26"/>
          <w:sz w:val="52"/>
          <w:szCs w:val="110"/>
          <w14:shadow w14:blurRad="50800" w14:dist="38100" w14:dir="2700000" w14:sx="100000" w14:sy="100000" w14:kx="0" w14:ky="0" w14:algn="tl">
            <w14:srgbClr w14:val="000000">
              <w14:alpha w14:val="60000"/>
            </w14:srgbClr>
          </w14:shadow>
        </w:rPr>
      </w:pPr>
      <w:r>
        <w:rPr>
          <w:rFonts w:hint="eastAsia" w:eastAsia="楷体_GB2312"/>
          <w:b/>
          <w:bCs/>
          <w:color w:val="auto"/>
          <w:spacing w:val="26"/>
          <w:sz w:val="52"/>
          <w:szCs w:val="110"/>
          <w14:shadow w14:blurRad="50800" w14:dist="38100" w14:dir="2700000" w14:sx="100000" w14:sy="100000" w14:kx="0" w14:ky="0" w14:algn="tl">
            <w14:srgbClr w14:val="000000">
              <w14:alpha w14:val="60000"/>
            </w14:srgbClr>
          </w14:shadow>
        </w:rPr>
        <w:t>开发区半导体创新智造园项目</w:t>
      </w:r>
    </w:p>
    <w:p>
      <w:pPr>
        <w:autoSpaceDE w:val="0"/>
        <w:autoSpaceDN w:val="0"/>
        <w:adjustRightInd w:val="0"/>
        <w:spacing w:line="360" w:lineRule="auto"/>
        <w:jc w:val="center"/>
        <w:rPr>
          <w:rFonts w:eastAsia="楷体_GB2312"/>
          <w:b/>
          <w:bCs/>
          <w:color w:val="auto"/>
          <w:spacing w:val="26"/>
          <w:sz w:val="52"/>
          <w:szCs w:val="110"/>
          <w14:shadow w14:blurRad="50800" w14:dist="38100" w14:dir="2700000" w14:sx="100000" w14:sy="100000" w14:kx="0" w14:ky="0" w14:algn="tl">
            <w14:srgbClr w14:val="000000">
              <w14:alpha w14:val="60000"/>
            </w14:srgbClr>
          </w14:shadow>
        </w:rPr>
      </w:pPr>
      <w:r>
        <w:rPr>
          <w:rFonts w:hint="eastAsia" w:eastAsia="楷体_GB2312"/>
          <w:b/>
          <w:bCs/>
          <w:color w:val="auto"/>
          <w:spacing w:val="26"/>
          <w:sz w:val="52"/>
          <w:szCs w:val="110"/>
          <w14:shadow w14:blurRad="50800" w14:dist="38100" w14:dir="2700000" w14:sx="100000" w14:sy="100000" w14:kx="0" w14:ky="0" w14:algn="tl">
            <w14:srgbClr w14:val="000000">
              <w14:alpha w14:val="60000"/>
            </w14:srgbClr>
          </w14:shadow>
        </w:rPr>
        <w:t>第三方检测和监测服务</w:t>
      </w:r>
    </w:p>
    <w:p>
      <w:pPr>
        <w:autoSpaceDE w:val="0"/>
        <w:autoSpaceDN w:val="0"/>
        <w:adjustRightInd w:val="0"/>
        <w:spacing w:line="360" w:lineRule="auto"/>
        <w:jc w:val="center"/>
        <w:rPr>
          <w:rFonts w:ascii="宋体" w:hAnsi="宋体" w:cs="宋体"/>
          <w:b/>
          <w:bCs/>
          <w:color w:val="auto"/>
          <w:sz w:val="36"/>
          <w:szCs w:val="36"/>
          <w:lang w:val="en-US"/>
        </w:rPr>
      </w:pPr>
    </w:p>
    <w:p>
      <w:pPr>
        <w:pStyle w:val="11"/>
        <w:rPr>
          <w:lang w:val="zh-CN"/>
        </w:rPr>
      </w:pPr>
    </w:p>
    <w:p>
      <w:pPr>
        <w:autoSpaceDE w:val="0"/>
        <w:autoSpaceDN w:val="0"/>
        <w:adjustRightInd w:val="0"/>
        <w:spacing w:line="360" w:lineRule="auto"/>
        <w:jc w:val="center"/>
        <w:rPr>
          <w:rFonts w:ascii="宋体" w:hAnsi="宋体" w:cs="宋体"/>
          <w:b/>
          <w:bCs/>
          <w:color w:val="auto"/>
          <w:sz w:val="36"/>
          <w:szCs w:val="36"/>
          <w:lang w:val="zh-CN"/>
        </w:rPr>
      </w:pPr>
    </w:p>
    <w:p>
      <w:pPr>
        <w:autoSpaceDE w:val="0"/>
        <w:autoSpaceDN w:val="0"/>
        <w:adjustRightInd w:val="0"/>
        <w:spacing w:line="360" w:lineRule="auto"/>
        <w:jc w:val="center"/>
        <w:rPr>
          <w:rFonts w:ascii="宋体" w:hAnsi="宋体" w:cs="宋体"/>
          <w:b/>
          <w:bCs/>
          <w:color w:val="auto"/>
          <w:sz w:val="36"/>
          <w:szCs w:val="36"/>
          <w:lang w:val="zh-CN"/>
        </w:rPr>
      </w:pPr>
    </w:p>
    <w:p>
      <w:pPr>
        <w:spacing w:line="360" w:lineRule="auto"/>
        <w:jc w:val="center"/>
        <w:rPr>
          <w:rFonts w:eastAsia="楷体_GB2312"/>
          <w:b/>
          <w:bCs/>
          <w:color w:val="auto"/>
          <w:spacing w:val="26"/>
          <w:sz w:val="110"/>
          <w:szCs w:val="110"/>
          <w14:shadow w14:blurRad="50800" w14:dist="38100" w14:dir="2700000" w14:sx="100000" w14:sy="100000" w14:kx="0" w14:ky="0" w14:algn="tl">
            <w14:srgbClr w14:val="000000">
              <w14:alpha w14:val="60000"/>
            </w14:srgbClr>
          </w14:shadow>
        </w:rPr>
      </w:pPr>
      <w:r>
        <w:rPr>
          <w:rFonts w:hint="eastAsia" w:eastAsia="楷体_GB2312"/>
          <w:b/>
          <w:bCs/>
          <w:color w:val="auto"/>
          <w:spacing w:val="26"/>
          <w:sz w:val="110"/>
          <w:szCs w:val="110"/>
          <w14:shadow w14:blurRad="50800" w14:dist="38100" w14:dir="2700000" w14:sx="100000" w14:sy="100000" w14:kx="0" w14:ky="0" w14:algn="tl">
            <w14:srgbClr w14:val="000000">
              <w14:alpha w14:val="60000"/>
            </w14:srgbClr>
          </w14:shadow>
        </w:rPr>
        <w:t>招标公告</w:t>
      </w:r>
    </w:p>
    <w:p>
      <w:pPr>
        <w:autoSpaceDE w:val="0"/>
        <w:autoSpaceDN w:val="0"/>
        <w:adjustRightInd w:val="0"/>
        <w:spacing w:line="360" w:lineRule="auto"/>
        <w:rPr>
          <w:rFonts w:ascii="宋体" w:hAnsi="宋体" w:cs="宋体"/>
          <w:b/>
          <w:bCs/>
          <w:color w:val="auto"/>
          <w:sz w:val="44"/>
          <w:szCs w:val="44"/>
          <w:lang w:val="zh-CN"/>
        </w:rPr>
      </w:pPr>
    </w:p>
    <w:p>
      <w:pPr>
        <w:autoSpaceDE w:val="0"/>
        <w:autoSpaceDN w:val="0"/>
        <w:adjustRightInd w:val="0"/>
        <w:spacing w:line="360" w:lineRule="auto"/>
        <w:rPr>
          <w:rFonts w:ascii="宋体" w:hAnsi="宋体" w:cs="宋体"/>
          <w:b/>
          <w:bCs/>
          <w:color w:val="auto"/>
          <w:sz w:val="44"/>
          <w:szCs w:val="44"/>
          <w:lang w:val="zh-CN"/>
        </w:rPr>
      </w:pPr>
    </w:p>
    <w:p>
      <w:pPr>
        <w:autoSpaceDE w:val="0"/>
        <w:autoSpaceDN w:val="0"/>
        <w:adjustRightInd w:val="0"/>
        <w:spacing w:line="360" w:lineRule="auto"/>
        <w:rPr>
          <w:rFonts w:ascii="宋体" w:hAnsi="宋体" w:cs="宋体"/>
          <w:b/>
          <w:bCs/>
          <w:color w:val="auto"/>
          <w:sz w:val="44"/>
          <w:szCs w:val="44"/>
          <w:lang w:val="zh-CN"/>
        </w:rPr>
      </w:pPr>
    </w:p>
    <w:p>
      <w:pPr>
        <w:autoSpaceDE w:val="0"/>
        <w:autoSpaceDN w:val="0"/>
        <w:adjustRightInd w:val="0"/>
        <w:spacing w:line="360" w:lineRule="auto"/>
        <w:ind w:firstLine="1205"/>
        <w:rPr>
          <w:rFonts w:ascii="宋体" w:hAnsi="宋体" w:cs="宋体"/>
          <w:b/>
          <w:bCs/>
          <w:color w:val="auto"/>
          <w:sz w:val="30"/>
          <w:szCs w:val="30"/>
          <w:lang w:val="zh-CN"/>
        </w:rPr>
      </w:pPr>
    </w:p>
    <w:p>
      <w:pPr>
        <w:autoSpaceDE w:val="0"/>
        <w:autoSpaceDN w:val="0"/>
        <w:adjustRightInd w:val="0"/>
        <w:spacing w:line="360" w:lineRule="auto"/>
        <w:ind w:firstLine="1205"/>
        <w:outlineLvl w:val="0"/>
        <w:rPr>
          <w:rFonts w:ascii="宋体" w:hAnsi="宋体" w:cs="宋体"/>
          <w:b/>
          <w:bCs/>
          <w:color w:val="auto"/>
          <w:sz w:val="30"/>
          <w:szCs w:val="30"/>
          <w:u w:val="single"/>
          <w:lang w:val="zh-CN"/>
        </w:rPr>
      </w:pPr>
      <w:r>
        <w:rPr>
          <w:rFonts w:hint="eastAsia" w:ascii="宋体" w:hAnsi="宋体" w:cs="宋体"/>
          <w:b/>
          <w:bCs/>
          <w:color w:val="auto"/>
          <w:sz w:val="30"/>
          <w:szCs w:val="30"/>
          <w:lang w:val="zh-CN"/>
        </w:rPr>
        <w:t>招标人：</w:t>
      </w:r>
      <w:r>
        <w:rPr>
          <w:rFonts w:hint="eastAsia" w:ascii="宋体" w:hAnsi="宋体" w:cs="宋体"/>
          <w:b/>
          <w:bCs/>
          <w:color w:val="auto"/>
          <w:sz w:val="30"/>
          <w:szCs w:val="30"/>
          <w:u w:val="single"/>
          <w:lang w:val="zh-CN"/>
        </w:rPr>
        <w:t>广州增城智创产业园开发管理有限公司</w:t>
      </w:r>
    </w:p>
    <w:p>
      <w:pPr>
        <w:autoSpaceDE w:val="0"/>
        <w:autoSpaceDN w:val="0"/>
        <w:adjustRightInd w:val="0"/>
        <w:spacing w:line="360" w:lineRule="auto"/>
        <w:ind w:firstLine="1205"/>
        <w:outlineLvl w:val="0"/>
        <w:rPr>
          <w:rFonts w:ascii="宋体" w:hAnsi="宋体" w:eastAsia="宋体" w:cs="宋体"/>
          <w:b/>
          <w:bCs/>
          <w:color w:val="auto"/>
          <w:sz w:val="30"/>
          <w:szCs w:val="30"/>
          <w:u w:val="single"/>
        </w:rPr>
      </w:pPr>
      <w:r>
        <w:rPr>
          <w:rFonts w:hint="eastAsia" w:ascii="宋体" w:hAnsi="宋体" w:cs="宋体"/>
          <w:b/>
          <w:bCs/>
          <w:color w:val="auto"/>
          <w:sz w:val="30"/>
          <w:szCs w:val="30"/>
          <w:lang w:val="zh-CN"/>
        </w:rPr>
        <w:t>招标代理机构：</w:t>
      </w:r>
      <w:r>
        <w:rPr>
          <w:rFonts w:hint="eastAsia" w:ascii="宋体" w:hAnsi="宋体" w:eastAsia="宋体" w:cs="宋体"/>
          <w:b/>
          <w:bCs/>
          <w:color w:val="auto"/>
          <w:sz w:val="30"/>
          <w:szCs w:val="30"/>
          <w:u w:val="single"/>
          <w:lang w:val="zh-CN"/>
        </w:rPr>
        <w:t>广州永安工程管理有限公司</w:t>
      </w:r>
    </w:p>
    <w:p>
      <w:pPr>
        <w:spacing w:line="360" w:lineRule="auto"/>
        <w:ind w:firstLine="1189" w:firstLineChars="396"/>
        <w:outlineLvl w:val="0"/>
        <w:rPr>
          <w:rFonts w:ascii="宋体" w:hAnsi="宋体" w:cs="宋体"/>
          <w:b/>
          <w:bCs/>
          <w:color w:val="auto"/>
          <w:sz w:val="30"/>
          <w:szCs w:val="30"/>
          <w:lang w:val="zh-CN"/>
        </w:rPr>
      </w:pPr>
      <w:r>
        <w:rPr>
          <w:rFonts w:hint="eastAsia" w:ascii="宋体" w:hAnsi="宋体" w:cs="宋体"/>
          <w:b/>
          <w:bCs/>
          <w:color w:val="auto"/>
          <w:sz w:val="30"/>
          <w:szCs w:val="30"/>
          <w:lang w:val="zh-CN"/>
        </w:rPr>
        <w:t>日</w:t>
      </w:r>
      <w:r>
        <w:rPr>
          <w:rFonts w:hint="eastAsia" w:ascii="宋体" w:hAnsi="宋体" w:eastAsia="宋体" w:cs="宋体"/>
          <w:b/>
          <w:bCs/>
          <w:color w:val="auto"/>
          <w:sz w:val="30"/>
          <w:szCs w:val="30"/>
        </w:rPr>
        <w:t xml:space="preserve">   </w:t>
      </w:r>
      <w:r>
        <w:rPr>
          <w:rFonts w:hint="eastAsia" w:ascii="宋体" w:hAnsi="宋体" w:cs="宋体"/>
          <w:b/>
          <w:bCs/>
          <w:color w:val="auto"/>
          <w:sz w:val="30"/>
          <w:szCs w:val="30"/>
          <w:lang w:val="zh-CN"/>
        </w:rPr>
        <w:t>期：</w:t>
      </w:r>
      <w:r>
        <w:rPr>
          <w:rFonts w:hint="eastAsia" w:ascii="宋体" w:hAnsi="宋体" w:cs="宋体"/>
          <w:b/>
          <w:bCs/>
          <w:color w:val="auto"/>
          <w:sz w:val="30"/>
          <w:szCs w:val="30"/>
          <w:u w:val="single"/>
          <w:lang w:val="zh-CN"/>
        </w:rPr>
        <w:t>20</w:t>
      </w:r>
      <w:r>
        <w:rPr>
          <w:rFonts w:hint="eastAsia" w:ascii="宋体" w:hAnsi="宋体" w:eastAsia="宋体" w:cs="宋体"/>
          <w:b/>
          <w:bCs/>
          <w:color w:val="auto"/>
          <w:sz w:val="30"/>
          <w:szCs w:val="30"/>
          <w:u w:val="single"/>
        </w:rPr>
        <w:t>23</w:t>
      </w:r>
      <w:r>
        <w:rPr>
          <w:rFonts w:hint="eastAsia" w:ascii="宋体" w:hAnsi="宋体" w:cs="宋体"/>
          <w:b/>
          <w:bCs/>
          <w:color w:val="auto"/>
          <w:sz w:val="30"/>
          <w:szCs w:val="30"/>
          <w:lang w:val="zh-CN"/>
        </w:rPr>
        <w:t>年</w:t>
      </w:r>
      <w:r>
        <w:rPr>
          <w:rFonts w:hint="eastAsia" w:ascii="宋体" w:hAnsi="宋体" w:eastAsia="宋体" w:cs="宋体"/>
          <w:b/>
          <w:bCs/>
          <w:color w:val="auto"/>
          <w:sz w:val="30"/>
          <w:szCs w:val="30"/>
          <w:u w:val="single"/>
        </w:rPr>
        <w:t>7</w:t>
      </w:r>
      <w:r>
        <w:rPr>
          <w:rFonts w:hint="eastAsia" w:ascii="宋体" w:hAnsi="宋体" w:cs="宋体"/>
          <w:b/>
          <w:bCs/>
          <w:color w:val="auto"/>
          <w:sz w:val="30"/>
          <w:szCs w:val="30"/>
          <w:lang w:val="zh-CN"/>
        </w:rPr>
        <w:t>月</w:t>
      </w:r>
    </w:p>
    <w:p>
      <w:pPr>
        <w:jc w:val="center"/>
        <w:rPr>
          <w:rFonts w:ascii="宋体" w:hAnsi="宋体" w:eastAsia="宋体" w:cs="宋体"/>
          <w:color w:val="auto"/>
          <w:sz w:val="36"/>
          <w:szCs w:val="36"/>
        </w:rPr>
        <w:sectPr>
          <w:pgSz w:w="11906" w:h="16838"/>
          <w:pgMar w:top="1440" w:right="1418" w:bottom="1440" w:left="1418" w:header="851" w:footer="992" w:gutter="0"/>
          <w:cols w:space="720" w:num="1"/>
          <w:docGrid w:type="lines" w:linePitch="312" w:charSpace="0"/>
        </w:sectPr>
      </w:pPr>
    </w:p>
    <w:p>
      <w:pPr>
        <w:jc w:val="center"/>
        <w:rPr>
          <w:rFonts w:hint="eastAsia" w:ascii="宋体" w:hAnsi="宋体" w:eastAsia="宋体" w:cs="宋体"/>
          <w:color w:val="auto"/>
          <w:sz w:val="36"/>
          <w:szCs w:val="36"/>
        </w:rPr>
      </w:pPr>
      <w:r>
        <w:rPr>
          <w:rFonts w:hint="eastAsia" w:ascii="宋体" w:hAnsi="宋体" w:eastAsia="宋体" w:cs="宋体"/>
          <w:color w:val="auto"/>
          <w:sz w:val="36"/>
          <w:szCs w:val="36"/>
        </w:rPr>
        <w:t>开发区半导体创新智造园项目第三方检测和监测服务</w:t>
      </w:r>
    </w:p>
    <w:p>
      <w:pPr>
        <w:jc w:val="center"/>
        <w:rPr>
          <w:rFonts w:ascii="宋体" w:hAnsi="宋体" w:eastAsia="宋体" w:cs="宋体"/>
          <w:color w:val="auto"/>
          <w:sz w:val="36"/>
          <w:szCs w:val="36"/>
        </w:rPr>
      </w:pPr>
      <w:bookmarkStart w:id="82" w:name="_GoBack"/>
      <w:bookmarkEnd w:id="82"/>
      <w:r>
        <w:rPr>
          <w:rFonts w:hint="eastAsia" w:ascii="宋体" w:hAnsi="宋体" w:eastAsia="宋体" w:cs="宋体"/>
          <w:color w:val="auto"/>
          <w:sz w:val="36"/>
          <w:szCs w:val="36"/>
        </w:rPr>
        <w:t>招标公告</w:t>
      </w:r>
      <w:bookmarkEnd w:id="0"/>
      <w:bookmarkEnd w:id="1"/>
    </w:p>
    <w:p>
      <w:pPr>
        <w:spacing w:line="360" w:lineRule="auto"/>
        <w:outlineLvl w:val="0"/>
        <w:rPr>
          <w:rFonts w:ascii="宋体" w:hAnsi="宋体" w:eastAsia="宋体" w:cs="宋体"/>
          <w:b/>
          <w:color w:val="auto"/>
          <w:sz w:val="24"/>
          <w:szCs w:val="24"/>
        </w:rPr>
      </w:pPr>
      <w:bookmarkStart w:id="2" w:name="_Toc2230_WPSOffice_Level2"/>
      <w:bookmarkStart w:id="3" w:name="_Toc11558_WPSOffice_Level2"/>
      <w:bookmarkStart w:id="4" w:name="_Toc221949923"/>
      <w:r>
        <w:rPr>
          <w:rFonts w:hint="eastAsia" w:ascii="宋体" w:hAnsi="宋体" w:eastAsia="宋体" w:cs="宋体"/>
          <w:b/>
          <w:color w:val="auto"/>
          <w:sz w:val="24"/>
          <w:szCs w:val="24"/>
        </w:rPr>
        <w:t>1.招标条件</w:t>
      </w:r>
      <w:bookmarkEnd w:id="2"/>
      <w:bookmarkEnd w:id="3"/>
    </w:p>
    <w:bookmarkEnd w:id="4"/>
    <w:p>
      <w:pPr>
        <w:spacing w:line="360" w:lineRule="auto"/>
        <w:ind w:firstLine="472" w:firstLineChars="225"/>
        <w:rPr>
          <w:rFonts w:ascii="宋体" w:hAnsi="宋体" w:eastAsia="宋体" w:cs="宋体"/>
          <w:color w:val="auto"/>
          <w:sz w:val="21"/>
          <w:szCs w:val="21"/>
        </w:rPr>
      </w:pPr>
      <w:bookmarkStart w:id="5" w:name="_Toc221949924"/>
      <w:bookmarkStart w:id="6" w:name="_Toc168476030"/>
      <w:bookmarkStart w:id="7" w:name="_Toc144974481"/>
      <w:bookmarkStart w:id="8" w:name="_Toc168475627"/>
      <w:bookmarkStart w:id="9" w:name="_Toc222033815"/>
      <w:bookmarkStart w:id="10" w:name="_Toc222032633"/>
      <w:bookmarkStart w:id="11" w:name="_Toc222029464"/>
      <w:bookmarkStart w:id="12" w:name="_Toc222030966"/>
      <w:bookmarkStart w:id="13" w:name="_Toc229305324"/>
      <w:bookmarkStart w:id="14" w:name="_Toc259524297"/>
      <w:r>
        <w:rPr>
          <w:rFonts w:hint="eastAsia" w:ascii="宋体" w:hAnsi="宋体" w:eastAsia="宋体" w:cs="宋体"/>
          <w:color w:val="auto"/>
          <w:sz w:val="21"/>
          <w:szCs w:val="21"/>
        </w:rPr>
        <w:t>本招标项目</w:t>
      </w:r>
      <w:r>
        <w:rPr>
          <w:rFonts w:hint="eastAsia" w:ascii="宋体" w:hAnsi="宋体" w:eastAsia="宋体" w:cs="宋体"/>
          <w:color w:val="auto"/>
          <w:sz w:val="21"/>
          <w:szCs w:val="21"/>
          <w:u w:val="single"/>
        </w:rPr>
        <w:t>开发区半导体创新智造园项目</w:t>
      </w:r>
      <w:r>
        <w:rPr>
          <w:rFonts w:hint="eastAsia" w:ascii="宋体" w:hAnsi="宋体" w:eastAsia="宋体" w:cs="宋体"/>
          <w:color w:val="auto"/>
          <w:sz w:val="21"/>
          <w:szCs w:val="21"/>
        </w:rPr>
        <w:t>已由</w:t>
      </w:r>
      <w:r>
        <w:rPr>
          <w:rFonts w:hint="eastAsia" w:ascii="宋体" w:hAnsi="宋体" w:eastAsia="宋体" w:cs="宋体"/>
          <w:color w:val="auto"/>
          <w:sz w:val="21"/>
          <w:szCs w:val="21"/>
          <w:u w:val="single"/>
        </w:rPr>
        <w:t>广州市增城区发展和改革局</w:t>
      </w:r>
      <w:r>
        <w:rPr>
          <w:rFonts w:hint="eastAsia" w:ascii="宋体" w:hAnsi="宋体" w:eastAsia="宋体" w:cs="宋体"/>
          <w:color w:val="auto"/>
          <w:sz w:val="21"/>
          <w:szCs w:val="21"/>
        </w:rPr>
        <w:t>以</w:t>
      </w:r>
      <w:r>
        <w:rPr>
          <w:rFonts w:hint="eastAsia" w:ascii="宋体" w:hAnsi="宋体" w:eastAsia="宋体" w:cs="宋体"/>
          <w:color w:val="auto"/>
          <w:sz w:val="21"/>
          <w:szCs w:val="21"/>
          <w:u w:val="single"/>
        </w:rPr>
        <w:t>广东省企业投资项目备案证（项目代码：2212-440118-04-01-765558）</w:t>
      </w:r>
      <w:r>
        <w:rPr>
          <w:rFonts w:hint="eastAsia" w:ascii="宋体" w:hAnsi="宋体" w:eastAsia="宋体" w:cs="宋体"/>
          <w:color w:val="auto"/>
          <w:sz w:val="21"/>
          <w:szCs w:val="21"/>
        </w:rPr>
        <w:t>批准建设，项目业主为</w:t>
      </w:r>
      <w:r>
        <w:rPr>
          <w:rFonts w:hint="eastAsia" w:ascii="宋体" w:hAnsi="宋体" w:eastAsia="宋体" w:cs="宋体"/>
          <w:color w:val="auto"/>
          <w:sz w:val="21"/>
          <w:szCs w:val="21"/>
          <w:u w:val="single"/>
        </w:rPr>
        <w:t>广州增城智创产业园开发管理有限公司</w:t>
      </w:r>
      <w:r>
        <w:rPr>
          <w:rFonts w:hint="eastAsia" w:ascii="宋体" w:hAnsi="宋体" w:eastAsia="宋体" w:cs="宋体"/>
          <w:color w:val="auto"/>
          <w:sz w:val="21"/>
          <w:szCs w:val="21"/>
        </w:rPr>
        <w:t>，建设资金来自：</w:t>
      </w:r>
      <w:r>
        <w:rPr>
          <w:rFonts w:hint="eastAsia" w:ascii="宋体" w:hAnsi="宋体" w:eastAsia="宋体" w:cs="宋体"/>
          <w:color w:val="auto"/>
          <w:sz w:val="21"/>
          <w:szCs w:val="21"/>
          <w:u w:val="single"/>
        </w:rPr>
        <w:t>企业自筹</w:t>
      </w:r>
      <w:r>
        <w:rPr>
          <w:rFonts w:hint="eastAsia" w:ascii="宋体" w:hAnsi="宋体" w:eastAsia="宋体" w:cs="宋体"/>
          <w:color w:val="auto"/>
          <w:sz w:val="21"/>
          <w:szCs w:val="21"/>
        </w:rPr>
        <w:t>，出资比例为</w:t>
      </w:r>
      <w:r>
        <w:rPr>
          <w:rFonts w:ascii="宋体" w:hAnsi="宋体" w:eastAsia="宋体" w:cs="宋体"/>
          <w:color w:val="auto"/>
          <w:sz w:val="21"/>
          <w:szCs w:val="21"/>
          <w:u w:val="single"/>
        </w:rPr>
        <w:t>100%</w:t>
      </w:r>
      <w:r>
        <w:rPr>
          <w:rFonts w:hint="eastAsia" w:ascii="宋体" w:hAnsi="宋体" w:eastAsia="宋体" w:cs="宋体"/>
          <w:color w:val="auto"/>
          <w:sz w:val="21"/>
          <w:szCs w:val="21"/>
        </w:rPr>
        <w:t>，招标人为</w:t>
      </w:r>
      <w:r>
        <w:rPr>
          <w:rFonts w:hint="eastAsia" w:ascii="宋体" w:hAnsi="宋体" w:eastAsia="宋体" w:cs="宋体"/>
          <w:color w:val="auto"/>
          <w:sz w:val="21"/>
          <w:szCs w:val="21"/>
          <w:u w:val="single"/>
        </w:rPr>
        <w:t>广州增城智创产业园开发管理有限公司</w:t>
      </w:r>
      <w:r>
        <w:rPr>
          <w:rFonts w:hint="eastAsia" w:ascii="宋体" w:hAnsi="宋体" w:eastAsia="宋体" w:cs="宋体"/>
          <w:color w:val="auto"/>
          <w:sz w:val="21"/>
          <w:szCs w:val="21"/>
        </w:rPr>
        <w:t>。项目已具备招标条件，现对该项目</w:t>
      </w:r>
      <w:r>
        <w:rPr>
          <w:rFonts w:hint="eastAsia" w:ascii="宋体" w:hAnsi="宋体" w:eastAsia="宋体" w:cs="宋体"/>
          <w:color w:val="auto"/>
          <w:sz w:val="21"/>
          <w:szCs w:val="21"/>
          <w:u w:val="single"/>
        </w:rPr>
        <w:t>第三方检测和监测服务</w:t>
      </w:r>
      <w:r>
        <w:rPr>
          <w:rFonts w:hint="eastAsia" w:ascii="宋体" w:hAnsi="宋体" w:eastAsia="宋体" w:cs="宋体"/>
          <w:color w:val="auto"/>
          <w:sz w:val="21"/>
          <w:szCs w:val="21"/>
          <w:u w:val="single"/>
        </w:rPr>
        <w:t>进</w:t>
      </w:r>
      <w:r>
        <w:rPr>
          <w:rFonts w:hint="eastAsia" w:ascii="宋体" w:hAnsi="宋体" w:eastAsia="宋体" w:cs="宋体"/>
          <w:color w:val="auto"/>
          <w:sz w:val="21"/>
          <w:szCs w:val="21"/>
        </w:rPr>
        <w:t>行公开招标。</w:t>
      </w:r>
    </w:p>
    <w:p>
      <w:pPr>
        <w:spacing w:line="360" w:lineRule="auto"/>
        <w:outlineLvl w:val="0"/>
        <w:rPr>
          <w:rFonts w:ascii="宋体" w:hAnsi="宋体" w:eastAsia="宋体" w:cs="宋体"/>
          <w:b/>
          <w:color w:val="auto"/>
          <w:sz w:val="24"/>
          <w:szCs w:val="24"/>
        </w:rPr>
      </w:pPr>
      <w:bookmarkStart w:id="15" w:name="_Toc9584_WPSOffice_Level2"/>
      <w:bookmarkStart w:id="16" w:name="_Toc21759_WPSOffice_Level2"/>
      <w:r>
        <w:rPr>
          <w:rFonts w:hint="eastAsia" w:ascii="宋体" w:hAnsi="宋体" w:eastAsia="宋体" w:cs="宋体"/>
          <w:b/>
          <w:color w:val="auto"/>
          <w:sz w:val="24"/>
          <w:szCs w:val="24"/>
        </w:rPr>
        <w:t>2. 项目概况与招标范围</w:t>
      </w:r>
      <w:bookmarkEnd w:id="5"/>
      <w:bookmarkEnd w:id="6"/>
      <w:bookmarkEnd w:id="7"/>
      <w:bookmarkEnd w:id="8"/>
      <w:bookmarkEnd w:id="9"/>
      <w:bookmarkEnd w:id="10"/>
      <w:bookmarkEnd w:id="11"/>
      <w:bookmarkEnd w:id="12"/>
      <w:bookmarkEnd w:id="13"/>
      <w:bookmarkEnd w:id="14"/>
      <w:bookmarkEnd w:id="15"/>
      <w:bookmarkEnd w:id="16"/>
    </w:p>
    <w:p>
      <w:pPr>
        <w:spacing w:after="0" w:line="360" w:lineRule="auto"/>
        <w:ind w:firstLine="472" w:firstLineChars="225"/>
        <w:rPr>
          <w:rFonts w:ascii="宋体" w:hAnsi="宋体" w:eastAsia="宋体" w:cs="宋体"/>
          <w:color w:val="auto"/>
          <w:sz w:val="21"/>
          <w:szCs w:val="21"/>
        </w:rPr>
      </w:pPr>
      <w:r>
        <w:rPr>
          <w:rFonts w:hint="eastAsia" w:ascii="宋体" w:hAnsi="宋体" w:eastAsia="宋体" w:cs="宋体"/>
          <w:color w:val="auto"/>
          <w:sz w:val="21"/>
          <w:szCs w:val="21"/>
        </w:rPr>
        <w:t>2.1项目名称：</w:t>
      </w:r>
      <w:bookmarkStart w:id="17" w:name="_Toc222030967"/>
      <w:bookmarkStart w:id="18" w:name="_Toc222033816"/>
      <w:bookmarkStart w:id="19" w:name="_Toc222029465"/>
      <w:bookmarkStart w:id="20" w:name="_Toc222032634"/>
      <w:bookmarkStart w:id="21" w:name="_Toc168475628"/>
      <w:bookmarkStart w:id="22" w:name="_Toc259524298"/>
      <w:bookmarkStart w:id="23" w:name="_Toc221949926"/>
      <w:bookmarkStart w:id="24" w:name="_Toc168476031"/>
      <w:bookmarkStart w:id="25" w:name="_Toc229305325"/>
      <w:bookmarkStart w:id="26" w:name="_Toc144974482"/>
      <w:r>
        <w:rPr>
          <w:rFonts w:hint="eastAsia" w:ascii="宋体" w:hAnsi="宋体" w:eastAsia="宋体" w:cs="宋体"/>
          <w:color w:val="auto"/>
          <w:sz w:val="21"/>
          <w:szCs w:val="21"/>
          <w:u w:val="single"/>
        </w:rPr>
        <w:t>开发区半导体创新智造园项目</w:t>
      </w:r>
      <w:r>
        <w:rPr>
          <w:rStyle w:val="25"/>
          <w:rFonts w:hint="eastAsia" w:ascii="宋体" w:hAnsi="宋体" w:eastAsia="宋体" w:cs="宋体"/>
          <w:color w:val="auto"/>
          <w:sz w:val="21"/>
          <w:szCs w:val="21"/>
        </w:rPr>
        <w:t>第三方检测和监测服务</w:t>
      </w:r>
    </w:p>
    <w:p>
      <w:pPr>
        <w:spacing w:after="0" w:line="360" w:lineRule="auto"/>
        <w:ind w:firstLine="472" w:firstLineChars="225"/>
        <w:rPr>
          <w:rFonts w:ascii="宋体" w:hAnsi="宋体" w:eastAsia="宋体" w:cs="宋体"/>
          <w:color w:val="auto"/>
          <w:sz w:val="21"/>
          <w:szCs w:val="21"/>
          <w:u w:val="single"/>
        </w:rPr>
      </w:pPr>
      <w:r>
        <w:rPr>
          <w:rFonts w:hint="eastAsia" w:ascii="宋体" w:hAnsi="宋体" w:eastAsia="宋体" w:cs="宋体"/>
          <w:color w:val="auto"/>
          <w:sz w:val="21"/>
          <w:szCs w:val="21"/>
        </w:rPr>
        <w:t>2.2建设地点：</w:t>
      </w:r>
      <w:r>
        <w:rPr>
          <w:rFonts w:hint="eastAsia" w:ascii="宋体" w:hAnsi="宋体" w:eastAsia="宋体" w:cs="宋体"/>
          <w:color w:val="auto"/>
          <w:sz w:val="21"/>
          <w:szCs w:val="21"/>
          <w:u w:val="single"/>
        </w:rPr>
        <w:t>广州市增城区宁西街道增城经济技术开发区核心区新誉北路西侧(增城经济技术开发区)。</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rPr>
        <w:t>2.3项目规模：</w:t>
      </w:r>
      <w:r>
        <w:rPr>
          <w:rFonts w:hint="eastAsia" w:ascii="宋体" w:hAnsi="宋体" w:eastAsia="宋体" w:cs="宋体"/>
          <w:color w:val="auto"/>
          <w:sz w:val="21"/>
          <w:szCs w:val="21"/>
          <w:u w:val="single"/>
        </w:rPr>
        <w:t>项目地块建设用地面积16194.1 平方米，本项目总建筑面积为51410 ㎡，计容总建筑面积为44506㎡，地下建筑面积按6904㎡，建筑占地面积为7125.4 ㎡，绿地面积为1457.47㎡，综合容积率2.75，建筑密</w:t>
      </w:r>
      <w:r>
        <w:rPr>
          <w:rFonts w:hint="eastAsia" w:ascii="宋体" w:hAnsi="宋体" w:eastAsia="宋体" w:cs="宋体"/>
          <w:color w:val="auto"/>
          <w:sz w:val="21"/>
          <w:szCs w:val="21"/>
          <w:highlight w:val="none"/>
          <w:u w:val="single"/>
        </w:rPr>
        <w:t>度44%，绿地率9%，建筑限高80米。机动车停车位134个，装卸货泊位12个，非机动车停车位40个。（具体建设指标以正式项目规划报批文件为准）。</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2.4最高投标限价：</w:t>
      </w:r>
      <w:r>
        <w:rPr>
          <w:rFonts w:hint="eastAsia" w:ascii="宋体" w:hAnsi="宋体" w:eastAsia="宋体" w:cs="宋体"/>
          <w:color w:val="auto"/>
          <w:sz w:val="21"/>
          <w:szCs w:val="21"/>
          <w:highlight w:val="none"/>
          <w:u w:val="single"/>
        </w:rPr>
        <w:t>4,403,360.00元。</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2.5服务期限：本合同服务期限自本合同签订之日起至所有服务项目完成且结清检测和监测费用之日止。从乙方进场至完成所有检测和监测项目且技术成果通过审批，服务周期必须满足实际施工及验收要求，且甲方有权根据工程实际需要调整工期及验收时间，乙方需配合甲方的调整作出相应的执行计划。</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2.6招标内容：</w:t>
      </w:r>
      <w:r>
        <w:rPr>
          <w:rFonts w:hint="eastAsia" w:ascii="宋体" w:hAnsi="宋体" w:eastAsia="宋体" w:cs="宋体"/>
          <w:color w:val="auto"/>
          <w:sz w:val="21"/>
          <w:szCs w:val="21"/>
          <w:highlight w:val="none"/>
          <w:u w:val="single"/>
        </w:rPr>
        <w:t>本次招标内容为建设行政主管部门、监督部门要求的，由业主指定的具有质量监控作用的见证取样检测、地基基础检测、主体结构检测、节能工程检测、室内环境检测、防雷检测、消防检测、智能化检测、道路检测、园林绿化检测和基坑监测、主体沉降观测、高支模监测等按规范和验收要求必须检测和监测的项目，以及为工程验收提供依据的检测和监测项目。服务范围除以上工程检测和监测、试验工作外，还包括：</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与工程所在行政区域的相关建设行政主管部门和监督部门进行检测和监测工作的协调，申报检测和监测技术成果的审批。保证技术成果能够通过相关部门认可，确保不因检测和监测工作影响本工程项目的建设进度和竣工验收。</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（2）在进行检测和监测任务的过程中与该工程相关的施工单位、监理单位、设计单位、建设主管部门等相关单位的协调工作。</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（3）检测和监测数据的有关信息根据监管部门要求通过市住建监管系统进行传输报送。</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（4）根据相关规范和标准、主管部门文件的规定以及设计图纸的有关要求，结合工程实际情况编制相关项目的《检测和监测方案》，并报质监部门备案（如需要）。</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（5）负责检测和监测的工程质量需符合《建设工程质量管理条例》等国家相关管理要求。</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（6）除建设行政主管部门、监督部门及现行法律法规要求必须由第三方单位检测和监测项目外，招标人另有要求的检测和监测项目且投标人有资质的，仍属于本次招标范围内。</w:t>
      </w:r>
    </w:p>
    <w:p>
      <w:pPr>
        <w:spacing w:after="0" w:line="360" w:lineRule="auto"/>
        <w:ind w:firstLine="472" w:firstLineChars="225"/>
        <w:rPr>
          <w:color w:val="auto"/>
          <w:highlight w:val="none"/>
        </w:rPr>
      </w:pPr>
      <w:r>
        <w:rPr>
          <w:rFonts w:hint="eastAsia" w:ascii="宋体" w:hAnsi="宋体" w:eastAsia="宋体" w:cs="宋体"/>
          <w:color w:val="auto"/>
          <w:sz w:val="21"/>
          <w:szCs w:val="21"/>
          <w:highlight w:val="none"/>
          <w:u w:val="single"/>
        </w:rPr>
        <w:t>（具体以招标文件、施工图纸、检测和监测方案为准）。</w:t>
      </w:r>
    </w:p>
    <w:p>
      <w:pPr>
        <w:spacing w:after="0" w:line="360" w:lineRule="auto"/>
        <w:ind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2.7标段划分：</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 xml:space="preserve"> 个标段。</w:t>
      </w:r>
    </w:p>
    <w:p>
      <w:pPr>
        <w:spacing w:after="0" w:line="360" w:lineRule="auto"/>
        <w:ind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2.8承包方式：综合单价包干，包工、包料、包工期、包质量、包安全、包文明施工。</w:t>
      </w:r>
    </w:p>
    <w:p>
      <w:pPr>
        <w:spacing w:line="360" w:lineRule="auto"/>
        <w:outlineLvl w:val="0"/>
        <w:rPr>
          <w:rFonts w:ascii="宋体" w:hAnsi="宋体" w:eastAsia="宋体" w:cs="宋体"/>
          <w:b/>
          <w:color w:val="auto"/>
          <w:sz w:val="24"/>
          <w:szCs w:val="24"/>
          <w:highlight w:val="none"/>
        </w:rPr>
      </w:pPr>
      <w:bookmarkStart w:id="27" w:name="_Toc18914_WPSOffice_Level2"/>
      <w:bookmarkStart w:id="28" w:name="_Toc1000_WPSOffice_Level2"/>
      <w:r>
        <w:rPr>
          <w:rFonts w:hint="eastAsia" w:ascii="宋体" w:hAnsi="宋体" w:eastAsia="宋体" w:cs="宋体"/>
          <w:b/>
          <w:color w:val="auto"/>
          <w:sz w:val="24"/>
          <w:szCs w:val="24"/>
          <w:highlight w:val="none"/>
        </w:rPr>
        <w:t>3. 投标人资格要求</w:t>
      </w:r>
      <w:bookmarkEnd w:id="17"/>
      <w:bookmarkEnd w:id="18"/>
      <w:bookmarkEnd w:id="19"/>
      <w:bookmarkEnd w:id="20"/>
      <w:bookmarkEnd w:id="21"/>
      <w:bookmarkEnd w:id="22"/>
      <w:bookmarkEnd w:id="23"/>
      <w:bookmarkEnd w:id="24"/>
      <w:bookmarkEnd w:id="25"/>
      <w:bookmarkEnd w:id="26"/>
      <w:bookmarkEnd w:id="27"/>
      <w:bookmarkEnd w:id="28"/>
    </w:p>
    <w:p>
      <w:pPr>
        <w:spacing w:after="0" w:line="360" w:lineRule="auto"/>
        <w:ind w:firstLine="424" w:firstLineChars="202"/>
        <w:rPr>
          <w:rFonts w:ascii="宋体" w:hAnsi="宋体" w:eastAsia="宋体" w:cs="宋体"/>
          <w:color w:val="auto"/>
          <w:sz w:val="21"/>
          <w:szCs w:val="21"/>
          <w:highlight w:val="none"/>
        </w:rPr>
      </w:pPr>
      <w:bookmarkStart w:id="29" w:name="_Toc18756_WPSOffice_Level2"/>
      <w:bookmarkStart w:id="30" w:name="_Toc28507_WPSOffice_Level2"/>
      <w:bookmarkStart w:id="31" w:name="_Toc168476032"/>
      <w:bookmarkStart w:id="32" w:name="_Toc221949930"/>
      <w:bookmarkStart w:id="33" w:name="_Toc168475629"/>
      <w:bookmarkStart w:id="34" w:name="_Toc144974483"/>
      <w:bookmarkStart w:id="35" w:name="_Toc222032635"/>
      <w:bookmarkStart w:id="36" w:name="_Toc222029466"/>
      <w:bookmarkStart w:id="37" w:name="_Toc229305326"/>
      <w:bookmarkStart w:id="38" w:name="_Toc259524299"/>
      <w:bookmarkStart w:id="39" w:name="_Toc222033817"/>
      <w:bookmarkStart w:id="40" w:name="_Toc222030968"/>
      <w:r>
        <w:rPr>
          <w:rFonts w:hint="eastAsia" w:ascii="宋体" w:hAnsi="宋体" w:eastAsia="宋体" w:cs="宋体"/>
          <w:color w:val="auto"/>
          <w:sz w:val="21"/>
          <w:szCs w:val="21"/>
          <w:highlight w:val="none"/>
        </w:rPr>
        <w:t>3.1投标人参加投标的意思表达清楚，投标人代表被授权有效。</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3.2投标人（若为联合体投标，指联合体各方）具有独立法人资格，持有事业单位登记管理部门核发的事业单位法人证书或工商行政管理部门核发的企业法人营业执照，且在营业期限内。</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3.3本次招标要求投标人具备以下相应资质：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3.3.1投标人须同时具有以下两种资质：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①投标人（若为联合体投标，指联合体承担检测任务的单位）具备建设行政主管部门颁发的建设工程质量检测机构资质证书（检测范围覆盖见证取样检测、地基基础检测、主体结构检测），且证书在有效期内。</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②投标人（若为联合体投标，指联合体承担监测任务的单位）具有以下（1）、（2）（3）项其中之一资质：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（1）工程勘察综合甲级资质；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（2）工程勘察专业类岩土工程乙级（或以上）资质和工程勘察专业类工程测量乙级（或以上）资质；</w:t>
      </w:r>
    </w:p>
    <w:p>
      <w:pPr>
        <w:spacing w:after="0" w:line="360" w:lineRule="auto"/>
        <w:ind w:firstLine="444" w:firstLineChars="202"/>
        <w:rPr>
          <w:rFonts w:ascii="Calibri" w:hAnsi="Calibri" w:cs="Calibri" w:eastAsiaTheme="minorEastAsia"/>
          <w:b/>
          <w:strike w:val="0"/>
          <w:color w:val="auto"/>
          <w:sz w:val="22"/>
          <w:szCs w:val="22"/>
          <w:highlight w:val="none"/>
        </w:rPr>
      </w:pPr>
      <w:r>
        <w:rPr>
          <w:rFonts w:hint="eastAsia" w:eastAsiaTheme="minorEastAsia"/>
          <w:color w:val="auto"/>
          <w:highlight w:val="none"/>
        </w:rPr>
        <w:t>（3）工程勘察专业类岩土工程（分项）物探测试检测监测乙级（或以上）资质和工程勘察专业类工程测量乙级（或以上）资质。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3.3.2投标人（若为联合体投标，指联合体各方）具有质量技术监督部门颁发的CMA计量认证合格证书或检验检测机构资质认定证书，且证书在有效期内，认证范围覆盖招标主要内容：①承担检测任务的单位认证范围：包括见证取样检测、地基基础检测、主体结构检测；②承担监测任务的单位认证范围：包括基坑监测、主体沉降观测、高支模监测。如投标人CMA计量认证合格证书或检验检测机构资质认定证书中的检测项目与上述名称不同，但表达的意思一致也视为满足该项条件。</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投标人拟委派项目负责人要求具备工程类工程师或以上技术职称（</w:t>
      </w:r>
      <w:r>
        <w:rPr>
          <w:rFonts w:hint="eastAsia" w:ascii="宋体" w:hAnsi="宋体" w:eastAsia="宋体" w:cs="宋体"/>
          <w:bCs/>
          <w:color w:val="auto"/>
          <w:sz w:val="21"/>
          <w:szCs w:val="21"/>
          <w:highlight w:val="none"/>
        </w:rPr>
        <w:t>若为联合体投标，项目负责人须是联合体牵头人（主办方）正式员工）。</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w:t>
      </w: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人必须在投标登记前在广州市住建行业信用管理平台建立企业信用档案，企业信息取自投标截止时间前投标人在信用平台内的信息。（若为联合体投标，联合体各方都需提供网页截图）</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w:t>
      </w: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人已按照招标公告提供的内容签署盖章《投标申请人声明》、《投标人廉洁承诺书》。</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3.7投标人（若为联合体投标，指联合体各方）</w:t>
      </w:r>
      <w:r>
        <w:rPr>
          <w:rFonts w:hint="eastAsia" w:ascii="宋体" w:hAnsi="宋体" w:eastAsia="宋体" w:cs="宋体"/>
          <w:color w:val="auto"/>
          <w:sz w:val="21"/>
          <w:highlight w:val="none"/>
        </w:rPr>
        <w:t>近二年（从</w:t>
      </w:r>
      <w:r>
        <w:rPr>
          <w:rFonts w:hint="eastAsia" w:ascii="宋体" w:hAnsi="宋体" w:eastAsia="宋体" w:cs="宋体"/>
          <w:color w:val="auto"/>
          <w:sz w:val="21"/>
          <w:highlight w:val="none"/>
          <w:u w:val="single"/>
        </w:rPr>
        <w:t>2021</w:t>
      </w:r>
      <w:r>
        <w:rPr>
          <w:rFonts w:hint="eastAsia" w:ascii="宋体" w:hAnsi="宋体" w:eastAsia="宋体" w:cs="宋体"/>
          <w:color w:val="auto"/>
          <w:sz w:val="21"/>
          <w:highlight w:val="none"/>
        </w:rPr>
        <w:t>年1月1日起至投标截止时间止）未因以往检测和监测工作中存在伪造检测和监测数据、出具虚假检测和监测报告的行为被各级建设行政主管部门或市场监督管理部门行政处罚或通报的（按投标人提供的《投标人声明》第三条内容进行评审）</w:t>
      </w:r>
      <w:r>
        <w:rPr>
          <w:rFonts w:hint="eastAsia" w:ascii="宋体" w:hAnsi="宋体" w:eastAsia="宋体" w:cs="宋体"/>
          <w:bCs/>
          <w:color w:val="auto"/>
          <w:sz w:val="21"/>
          <w:szCs w:val="21"/>
          <w:highlight w:val="none"/>
        </w:rPr>
        <w:t>。</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3.8投标人（若为联合体投标，指联合体各方）单位负责人为同一人或者存在控股、管理关系的不同单位，不得参加同一标段投标或者未划分标段的同一招标项目登记</w:t>
      </w:r>
      <w:r>
        <w:rPr>
          <w:rFonts w:hint="eastAsia" w:ascii="宋体" w:hAnsi="宋体" w:eastAsia="宋体" w:cs="宋体"/>
          <w:color w:val="auto"/>
          <w:sz w:val="21"/>
          <w:highlight w:val="none"/>
        </w:rPr>
        <w:t>（按投标人提供的《投标人声明》第六条内容进行评审）</w:t>
      </w:r>
      <w:r>
        <w:rPr>
          <w:rFonts w:hint="eastAsia" w:ascii="宋体" w:hAnsi="宋体" w:eastAsia="宋体" w:cs="宋体"/>
          <w:bCs/>
          <w:color w:val="auto"/>
          <w:sz w:val="21"/>
          <w:szCs w:val="21"/>
          <w:highlight w:val="none"/>
        </w:rPr>
        <w:t>。</w:t>
      </w:r>
    </w:p>
    <w:p>
      <w:pPr>
        <w:wordWrap w:val="0"/>
        <w:spacing w:after="0" w:line="360" w:lineRule="auto"/>
        <w:ind w:firstLine="424" w:firstLineChars="202"/>
        <w:rPr>
          <w:rFonts w:ascii="宋体" w:hAnsi="宋体" w:eastAsia="宋体" w:cs="宋体"/>
          <w:color w:val="auto"/>
          <w:sz w:val="21"/>
          <w:highlight w:val="none"/>
        </w:rPr>
      </w:pPr>
      <w:r>
        <w:rPr>
          <w:rFonts w:hint="eastAsia" w:ascii="宋体" w:hAnsi="宋体" w:eastAsia="宋体" w:cs="宋体"/>
          <w:color w:val="auto"/>
          <w:sz w:val="21"/>
          <w:highlight w:val="none"/>
        </w:rPr>
        <w:t>3.9投标人（若为联合体投标，指联合体各方）未被纳入失信联合惩戒名单且被限制参加建设工程投标的（具体名单以递交投标文件截止时间“信用广州”https://credit1.gz.gov.cn/sgs/sgsXkNew公布的“失信黑名单”为准。不包含限制参加财政投资工程或政府投资工程的投标）。</w:t>
      </w:r>
    </w:p>
    <w:p>
      <w:pPr>
        <w:spacing w:after="0" w:line="360" w:lineRule="auto"/>
        <w:ind w:firstLine="424" w:firstLineChars="202"/>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3.10关于联合体投标：</w:t>
      </w:r>
      <w:r>
        <w:rPr>
          <w:rFonts w:hint="eastAsia" w:ascii="宋体" w:hAnsi="宋体" w:eastAsia="宋体" w:cs="宋体"/>
          <w:bCs/>
          <w:color w:val="auto"/>
          <w:sz w:val="21"/>
          <w:szCs w:val="21"/>
          <w:highlight w:val="none"/>
          <w:u w:val="single"/>
        </w:rPr>
        <w:t>本项目接受联合体投标。</w:t>
      </w:r>
    </w:p>
    <w:p>
      <w:pPr>
        <w:spacing w:after="0" w:line="360" w:lineRule="auto"/>
        <w:ind w:firstLine="424" w:firstLineChars="202"/>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注：（1）联合体各方应按招标文件提供的格式签订联合体协议书，明确联合体牵头人（主办方）和各方权利义务，并将该联合体协议书随投标文件一并提交招标人；</w:t>
      </w:r>
    </w:p>
    <w:p>
      <w:pPr>
        <w:spacing w:after="0" w:line="360" w:lineRule="auto"/>
        <w:ind w:firstLine="424" w:firstLineChars="202"/>
        <w:rPr>
          <w:rFonts w:ascii="宋体" w:hAnsi="宋体" w:eastAsia="宋体" w:cs="宋体"/>
          <w:bCs/>
          <w:color w:val="auto"/>
          <w:sz w:val="21"/>
          <w:szCs w:val="21"/>
          <w:u w:val="single"/>
        </w:rPr>
      </w:pPr>
      <w:r>
        <w:rPr>
          <w:rFonts w:hint="eastAsia" w:ascii="宋体" w:hAnsi="宋体" w:eastAsia="宋体" w:cs="宋体"/>
          <w:bCs/>
          <w:color w:val="auto"/>
          <w:sz w:val="21"/>
          <w:szCs w:val="21"/>
          <w:highlight w:val="none"/>
          <w:u w:val="single"/>
        </w:rPr>
        <w:t>（2）联合体各方不得再以自己名义单</w:t>
      </w:r>
      <w:r>
        <w:rPr>
          <w:rFonts w:hint="eastAsia" w:ascii="宋体" w:hAnsi="宋体" w:eastAsia="宋体" w:cs="宋体"/>
          <w:bCs/>
          <w:color w:val="auto"/>
          <w:sz w:val="21"/>
          <w:szCs w:val="21"/>
          <w:u w:val="single"/>
        </w:rPr>
        <w:t>独或参加其他联合体在本招标项目中投标，否则各相关投标均无效；</w:t>
      </w:r>
    </w:p>
    <w:p>
      <w:pPr>
        <w:spacing w:after="0" w:line="360" w:lineRule="auto"/>
        <w:ind w:firstLine="424" w:firstLineChars="202"/>
        <w:rPr>
          <w:rFonts w:ascii="宋体" w:hAnsi="宋体" w:eastAsia="宋体" w:cs="宋体"/>
          <w:bCs/>
          <w:color w:val="auto"/>
          <w:sz w:val="21"/>
          <w:szCs w:val="21"/>
          <w:u w:val="single"/>
        </w:rPr>
      </w:pPr>
      <w:r>
        <w:rPr>
          <w:rFonts w:hint="eastAsia" w:ascii="宋体" w:hAnsi="宋体" w:eastAsia="宋体" w:cs="宋体"/>
          <w:bCs/>
          <w:color w:val="auto"/>
          <w:sz w:val="21"/>
          <w:szCs w:val="21"/>
          <w:u w:val="single"/>
        </w:rPr>
        <w:t>（3）如投标人组成联合体，只接受不多于2家单位组成的联合体，且须以其中1家单位为牵头人（主办方），并签定联合体协议书。投标人拟任本工程</w:t>
      </w:r>
      <w:r>
        <w:rPr>
          <w:rFonts w:hint="eastAsia" w:ascii="宋体" w:hAnsi="宋体" w:eastAsia="宋体" w:cs="宋体"/>
          <w:b/>
          <w:color w:val="auto"/>
          <w:sz w:val="21"/>
          <w:szCs w:val="21"/>
          <w:u w:val="single"/>
        </w:rPr>
        <w:t>项目负责人须为牵头人（主办方）正式员工</w:t>
      </w:r>
      <w:r>
        <w:rPr>
          <w:rFonts w:hint="eastAsia" w:ascii="宋体" w:hAnsi="宋体" w:eastAsia="宋体" w:cs="宋体"/>
          <w:bCs/>
          <w:color w:val="auto"/>
          <w:sz w:val="21"/>
          <w:szCs w:val="21"/>
          <w:u w:val="single"/>
        </w:rPr>
        <w:t>，联合体各方不得再以自己名义或组成新的联合体参加本项目投标；</w:t>
      </w:r>
    </w:p>
    <w:p>
      <w:pPr>
        <w:spacing w:after="0" w:line="360" w:lineRule="auto"/>
        <w:ind w:firstLine="424" w:firstLineChars="202"/>
        <w:rPr>
          <w:rFonts w:ascii="宋体" w:hAnsi="宋体" w:eastAsia="宋体" w:cs="宋体"/>
          <w:bCs/>
          <w:color w:val="auto"/>
          <w:sz w:val="21"/>
          <w:szCs w:val="21"/>
          <w:u w:val="single"/>
        </w:rPr>
      </w:pPr>
      <w:r>
        <w:rPr>
          <w:rFonts w:hint="eastAsia" w:ascii="宋体" w:hAnsi="宋体" w:eastAsia="宋体" w:cs="宋体"/>
          <w:bCs/>
          <w:color w:val="auto"/>
          <w:sz w:val="21"/>
          <w:szCs w:val="21"/>
          <w:u w:val="single"/>
        </w:rPr>
        <w:t>（4）联合体牵头人（主办方）的被授权人作为联合体各方的代表，承担责任和指令，并负责整个投标过程中的一切责任；</w:t>
      </w:r>
    </w:p>
    <w:p>
      <w:pPr>
        <w:spacing w:after="0" w:line="360" w:lineRule="auto"/>
        <w:ind w:firstLine="424" w:firstLineChars="202"/>
        <w:rPr>
          <w:rFonts w:ascii="宋体" w:hAnsi="宋体" w:eastAsia="宋体" w:cs="宋体"/>
          <w:bCs/>
          <w:color w:val="auto"/>
          <w:sz w:val="21"/>
          <w:szCs w:val="21"/>
        </w:rPr>
      </w:pPr>
      <w:r>
        <w:rPr>
          <w:rFonts w:hint="eastAsia" w:ascii="宋体" w:hAnsi="宋体" w:eastAsia="宋体" w:cs="宋体"/>
          <w:bCs/>
          <w:color w:val="auto"/>
          <w:sz w:val="21"/>
          <w:szCs w:val="21"/>
          <w:u w:val="single"/>
        </w:rPr>
        <w:t>（5）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ascii="宋体" w:hAnsi="宋体" w:eastAsia="宋体" w:cs="宋体"/>
          <w:bCs/>
          <w:color w:val="auto"/>
          <w:sz w:val="21"/>
          <w:szCs w:val="21"/>
        </w:rPr>
        <w:t>。</w:t>
      </w:r>
    </w:p>
    <w:p>
      <w:pPr>
        <w:spacing w:after="0" w:line="360" w:lineRule="auto"/>
        <w:ind w:firstLine="424" w:firstLineChars="202"/>
        <w:rPr>
          <w:color w:val="auto"/>
        </w:rPr>
      </w:pPr>
      <w:r>
        <w:rPr>
          <w:rFonts w:hint="eastAsia" w:ascii="宋体" w:hAnsi="宋体" w:eastAsia="宋体" w:cs="宋体"/>
          <w:bCs/>
          <w:color w:val="auto"/>
          <w:sz w:val="21"/>
          <w:szCs w:val="21"/>
        </w:rPr>
        <w:t>注：未在招标公告第3条投标人资格要求单列的条件，不作为资审不合格的依据。</w:t>
      </w:r>
    </w:p>
    <w:p>
      <w:pPr>
        <w:spacing w:line="360" w:lineRule="auto"/>
        <w:outlineLvl w:val="0"/>
        <w:rPr>
          <w:rFonts w:ascii="宋体" w:hAnsi="宋体" w:eastAsia="宋体" w:cs="宋体"/>
          <w:b/>
          <w:color w:val="auto"/>
          <w:sz w:val="24"/>
          <w:szCs w:val="24"/>
        </w:rPr>
      </w:pPr>
      <w:r>
        <w:rPr>
          <w:rFonts w:hint="eastAsia" w:ascii="宋体" w:hAnsi="宋体" w:eastAsia="宋体" w:cs="宋体"/>
          <w:b/>
          <w:color w:val="auto"/>
          <w:sz w:val="24"/>
          <w:szCs w:val="24"/>
        </w:rPr>
        <w:t>4、投标说明</w:t>
      </w:r>
      <w:bookmarkEnd w:id="29"/>
      <w:bookmarkEnd w:id="30"/>
    </w:p>
    <w:p>
      <w:pPr>
        <w:pStyle w:val="8"/>
        <w:kinsoku w:val="0"/>
        <w:overflowPunct w:val="0"/>
        <w:spacing w:after="0" w:line="360" w:lineRule="auto"/>
        <w:ind w:firstLine="420" w:firstLineChars="200"/>
        <w:rPr>
          <w:rFonts w:ascii="宋体" w:hAnsi="宋体" w:eastAsia="宋体"/>
          <w:color w:val="auto"/>
          <w:sz w:val="21"/>
          <w:szCs w:val="21"/>
        </w:rPr>
      </w:pPr>
      <w:r>
        <w:rPr>
          <w:rFonts w:hint="eastAsia" w:ascii="宋体" w:hAnsi="宋体" w:eastAsia="宋体" w:cs="宋体"/>
          <w:color w:val="auto"/>
          <w:sz w:val="21"/>
          <w:szCs w:val="21"/>
        </w:rPr>
        <w:t>4.1</w:t>
      </w:r>
      <w:r>
        <w:rPr>
          <w:rFonts w:hint="eastAsia" w:ascii="宋体" w:hAnsi="宋体" w:eastAsia="宋体"/>
          <w:color w:val="auto"/>
          <w:sz w:val="21"/>
          <w:szCs w:val="21"/>
        </w:rPr>
        <w:t>投标登记前，投标人须在广州公共资源交易中心办理企业信息登记。</w:t>
      </w:r>
    </w:p>
    <w:p>
      <w:pPr>
        <w:shd w:val="clear" w:color="auto" w:fill="FFFFFF"/>
        <w:spacing w:after="0" w:line="360" w:lineRule="auto"/>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4.2本工程项目采用综合评估法进行评标。</w:t>
      </w:r>
    </w:p>
    <w:p>
      <w:pPr>
        <w:shd w:val="clear" w:color="auto" w:fill="FFFFFF"/>
        <w:spacing w:after="0" w:line="360" w:lineRule="auto"/>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4.3本项目各项投标活动具体可通过广州公共资源交易中心网站〉服务指南〉交易活动安排，查询具体的时间和场地安排。</w:t>
      </w:r>
    </w:p>
    <w:p>
      <w:pPr>
        <w:spacing w:line="360" w:lineRule="auto"/>
        <w:outlineLvl w:val="0"/>
        <w:rPr>
          <w:rFonts w:ascii="宋体" w:hAnsi="宋体" w:eastAsia="宋体" w:cs="宋体"/>
          <w:b/>
          <w:color w:val="auto"/>
          <w:sz w:val="24"/>
          <w:szCs w:val="24"/>
        </w:rPr>
      </w:pPr>
      <w:bookmarkStart w:id="41" w:name="_Toc29336_WPSOffice_Level2"/>
      <w:bookmarkStart w:id="42" w:name="_Toc32376_WPSOffice_Level2"/>
      <w:r>
        <w:rPr>
          <w:rFonts w:hint="eastAsia" w:ascii="宋体" w:hAnsi="宋体" w:eastAsia="宋体" w:cs="宋体"/>
          <w:b/>
          <w:color w:val="auto"/>
          <w:sz w:val="24"/>
          <w:szCs w:val="24"/>
        </w:rPr>
        <w:t>5．资格审查方式</w:t>
      </w:r>
      <w:bookmarkEnd w:id="41"/>
      <w:bookmarkEnd w:id="42"/>
    </w:p>
    <w:p>
      <w:pPr>
        <w:pStyle w:val="8"/>
        <w:kinsoku w:val="0"/>
        <w:overflowPunct w:val="0"/>
        <w:spacing w:after="0" w:line="360" w:lineRule="auto"/>
        <w:ind w:firstLine="420" w:firstLineChars="200"/>
        <w:rPr>
          <w:rFonts w:ascii="宋体" w:hAnsi="宋体" w:eastAsia="宋体"/>
          <w:color w:val="auto"/>
          <w:sz w:val="21"/>
          <w:szCs w:val="21"/>
          <w:u w:val="single"/>
        </w:rPr>
      </w:pPr>
      <w:r>
        <w:rPr>
          <w:rFonts w:hint="eastAsia" w:ascii="宋体" w:hAnsi="宋体" w:eastAsia="宋体"/>
          <w:color w:val="auto"/>
          <w:sz w:val="21"/>
          <w:szCs w:val="21"/>
          <w:u w:val="single"/>
        </w:rPr>
        <w:t>5.1</w:t>
      </w:r>
      <w:r>
        <w:rPr>
          <w:rFonts w:ascii="宋体" w:hAnsi="宋体" w:eastAsia="宋体"/>
          <w:color w:val="auto"/>
          <w:sz w:val="21"/>
          <w:szCs w:val="21"/>
          <w:u w:val="single"/>
        </w:rPr>
        <w:t>本次</w:t>
      </w:r>
      <w:r>
        <w:rPr>
          <w:rFonts w:hint="eastAsia" w:ascii="宋体" w:hAnsi="宋体" w:eastAsia="宋体"/>
          <w:color w:val="auto"/>
          <w:sz w:val="21"/>
          <w:szCs w:val="21"/>
          <w:u w:val="single"/>
        </w:rPr>
        <w:t>招标采用资格后审</w:t>
      </w:r>
      <w:r>
        <w:rPr>
          <w:rFonts w:ascii="宋体" w:hAnsi="宋体" w:eastAsia="宋体"/>
          <w:color w:val="auto"/>
          <w:sz w:val="21"/>
          <w:szCs w:val="21"/>
          <w:u w:val="single"/>
        </w:rPr>
        <w:t>。</w:t>
      </w:r>
    </w:p>
    <w:p>
      <w:pPr>
        <w:pStyle w:val="8"/>
        <w:kinsoku w:val="0"/>
        <w:overflowPunct w:val="0"/>
        <w:spacing w:after="0" w:line="360" w:lineRule="auto"/>
        <w:ind w:firstLine="420" w:firstLineChars="200"/>
        <w:rPr>
          <w:rFonts w:ascii="宋体" w:hAnsi="宋体" w:eastAsia="宋体"/>
          <w:color w:val="auto"/>
          <w:sz w:val="21"/>
          <w:szCs w:val="21"/>
          <w:u w:val="single"/>
        </w:rPr>
      </w:pPr>
      <w:r>
        <w:rPr>
          <w:rFonts w:hint="eastAsia" w:ascii="宋体" w:hAnsi="宋体" w:eastAsia="宋体"/>
          <w:color w:val="auto"/>
          <w:sz w:val="21"/>
          <w:szCs w:val="21"/>
          <w:u w:val="single"/>
        </w:rPr>
        <w:t>5.2当满足资格评审标准条件（详见招标公告第3条投标人资格要求）的投标人不足3名时为招标失败。招标人分析招标失败原因，修正招标方案，报有关管理部门核准后，重新组织招标。</w:t>
      </w:r>
    </w:p>
    <w:p>
      <w:pPr>
        <w:spacing w:after="0" w:line="360" w:lineRule="auto"/>
        <w:ind w:firstLine="420" w:firstLineChars="200"/>
        <w:jc w:val="both"/>
        <w:rPr>
          <w:rFonts w:ascii="宋体" w:hAnsi="宋体" w:eastAsia="宋体"/>
          <w:color w:val="auto"/>
          <w:sz w:val="21"/>
          <w:szCs w:val="21"/>
          <w:u w:val="single"/>
        </w:rPr>
      </w:pPr>
      <w:r>
        <w:rPr>
          <w:rFonts w:hint="eastAsia" w:ascii="宋体" w:hAnsi="宋体" w:eastAsia="宋体"/>
          <w:color w:val="auto"/>
          <w:sz w:val="21"/>
          <w:szCs w:val="21"/>
          <w:u w:val="single"/>
        </w:rPr>
        <w:t>5.3资格审查结果及中标结果将在广州公共资源交易中心网站、广东省招标投标监管网公示，公开接受投标人的监督。公示期为3个日历天，公示期间的最后1天应当为工作日，否则将公示期的最后1天顺延至下一个工作日。招标人进行资格评审结果公示时，将对投标人投标文件中的资质、人员、业绩等资料进行公示。</w:t>
      </w:r>
    </w:p>
    <w:p>
      <w:pPr>
        <w:spacing w:line="360" w:lineRule="auto"/>
        <w:outlineLvl w:val="0"/>
        <w:rPr>
          <w:rFonts w:ascii="宋体" w:hAnsi="宋体" w:eastAsia="宋体" w:cs="宋体"/>
          <w:b/>
          <w:color w:val="auto"/>
          <w:sz w:val="24"/>
          <w:szCs w:val="24"/>
        </w:rPr>
      </w:pPr>
      <w:bookmarkStart w:id="43" w:name="_Toc31574_WPSOffice_Level2"/>
      <w:bookmarkStart w:id="44" w:name="_Toc27318_WPSOffice_Level2"/>
      <w:r>
        <w:rPr>
          <w:rFonts w:hint="eastAsia" w:ascii="宋体" w:hAnsi="宋体" w:eastAsia="宋体" w:cs="宋体"/>
          <w:b/>
          <w:color w:val="auto"/>
          <w:sz w:val="24"/>
          <w:szCs w:val="24"/>
        </w:rPr>
        <w:t>6. 招标文件的获取</w:t>
      </w:r>
      <w:bookmarkEnd w:id="31"/>
      <w:bookmarkEnd w:id="32"/>
      <w:bookmarkEnd w:id="33"/>
      <w:bookmarkEnd w:id="34"/>
      <w:bookmarkEnd w:id="35"/>
      <w:bookmarkEnd w:id="36"/>
      <w:bookmarkEnd w:id="37"/>
      <w:bookmarkEnd w:id="38"/>
      <w:bookmarkEnd w:id="39"/>
      <w:bookmarkEnd w:id="40"/>
      <w:bookmarkEnd w:id="43"/>
      <w:bookmarkEnd w:id="44"/>
    </w:p>
    <w:p>
      <w:pPr>
        <w:spacing w:after="0" w:line="360" w:lineRule="auto"/>
        <w:ind w:firstLine="420" w:firstLineChars="200"/>
        <w:jc w:val="both"/>
        <w:rPr>
          <w:rFonts w:ascii="宋体" w:hAnsi="宋体" w:eastAsia="宋体"/>
          <w:color w:val="auto"/>
          <w:sz w:val="21"/>
          <w:szCs w:val="21"/>
          <w:u w:val="single"/>
        </w:rPr>
      </w:pPr>
      <w:bookmarkStart w:id="45" w:name="_Toc221949931"/>
      <w:r>
        <w:rPr>
          <w:rFonts w:hint="eastAsia" w:ascii="宋体" w:hAnsi="宋体" w:eastAsia="宋体"/>
          <w:color w:val="auto"/>
          <w:sz w:val="21"/>
          <w:szCs w:val="21"/>
          <w:u w:val="single"/>
        </w:rPr>
        <w:t>6.1凡有意参加投标者，请在招标公告发布时间内登录广州公共资源交易网（网址：http://www.gzggzy.cn）下载电子招标文件。</w:t>
      </w:r>
    </w:p>
    <w:p>
      <w:pPr>
        <w:spacing w:after="0" w:line="360" w:lineRule="auto"/>
        <w:ind w:firstLine="420" w:firstLineChars="200"/>
        <w:jc w:val="both"/>
        <w:rPr>
          <w:rFonts w:ascii="宋体" w:hAnsi="宋体" w:eastAsia="宋体"/>
          <w:color w:val="auto"/>
          <w:sz w:val="21"/>
          <w:szCs w:val="21"/>
          <w:u w:val="single"/>
        </w:rPr>
      </w:pPr>
      <w:r>
        <w:rPr>
          <w:rFonts w:hint="eastAsia" w:ascii="宋体" w:hAnsi="宋体" w:eastAsia="宋体"/>
          <w:color w:val="auto"/>
          <w:sz w:val="21"/>
          <w:szCs w:val="21"/>
          <w:u w:val="single"/>
        </w:rPr>
        <w:t>本项目招标文件随招标公告一并在广州公共资源交易中心网站发布。招标文件一经在广州公共资源交易中心发布，视为送达给投标人，招标文件由投标人自行在广州公共资源交易中心网站下载。</w:t>
      </w:r>
    </w:p>
    <w:p>
      <w:pPr>
        <w:spacing w:after="0" w:line="360" w:lineRule="auto"/>
        <w:ind w:firstLine="420" w:firstLineChars="200"/>
        <w:jc w:val="both"/>
        <w:rPr>
          <w:rFonts w:ascii="宋体" w:hAnsi="宋体" w:eastAsia="宋体"/>
          <w:color w:val="auto"/>
          <w:sz w:val="21"/>
          <w:szCs w:val="21"/>
          <w:u w:val="single"/>
        </w:rPr>
      </w:pPr>
      <w:r>
        <w:rPr>
          <w:rFonts w:hint="eastAsia" w:ascii="宋体" w:hAnsi="宋体" w:eastAsia="宋体"/>
          <w:color w:val="auto"/>
          <w:sz w:val="21"/>
          <w:szCs w:val="21"/>
        </w:rPr>
        <w:t>6.2</w:t>
      </w:r>
      <w:r>
        <w:rPr>
          <w:rFonts w:ascii="宋体" w:hAnsi="宋体" w:eastAsia="宋体"/>
          <w:color w:val="auto"/>
          <w:sz w:val="21"/>
          <w:szCs w:val="21"/>
        </w:rPr>
        <w:t>如招标人需发布补充公告的，以最后发布的补充公告的时间起计算编制</w:t>
      </w:r>
      <w:r>
        <w:rPr>
          <w:rFonts w:hint="eastAsia" w:ascii="宋体" w:hAnsi="宋体" w:eastAsia="宋体"/>
          <w:color w:val="auto"/>
          <w:sz w:val="21"/>
          <w:szCs w:val="21"/>
        </w:rPr>
        <w:t>投标</w:t>
      </w:r>
      <w:r>
        <w:rPr>
          <w:rFonts w:ascii="宋体" w:hAnsi="宋体" w:eastAsia="宋体"/>
          <w:color w:val="auto"/>
          <w:sz w:val="21"/>
          <w:szCs w:val="21"/>
        </w:rPr>
        <w:t>文件时间，并需在</w:t>
      </w:r>
      <w:r>
        <w:rPr>
          <w:rFonts w:hint="eastAsia" w:ascii="宋体" w:hAnsi="宋体" w:eastAsia="宋体"/>
          <w:color w:val="auto"/>
          <w:sz w:val="21"/>
          <w:szCs w:val="21"/>
        </w:rPr>
        <w:t>补充公告</w:t>
      </w:r>
      <w:r>
        <w:rPr>
          <w:rFonts w:ascii="宋体" w:hAnsi="宋体" w:eastAsia="宋体"/>
          <w:color w:val="auto"/>
          <w:sz w:val="21"/>
          <w:szCs w:val="21"/>
        </w:rPr>
        <w:t>中明确说明</w:t>
      </w:r>
      <w:r>
        <w:rPr>
          <w:rFonts w:hint="eastAsia" w:ascii="宋体" w:hAnsi="宋体" w:eastAsia="宋体"/>
          <w:color w:val="auto"/>
          <w:sz w:val="21"/>
          <w:szCs w:val="21"/>
        </w:rPr>
        <w:t>，</w:t>
      </w:r>
      <w:r>
        <w:rPr>
          <w:rFonts w:ascii="宋体" w:hAnsi="宋体" w:eastAsia="宋体"/>
          <w:color w:val="auto"/>
          <w:sz w:val="21"/>
          <w:szCs w:val="21"/>
        </w:rPr>
        <w:t>如有</w:t>
      </w:r>
      <w:r>
        <w:rPr>
          <w:rFonts w:hint="eastAsia" w:ascii="宋体" w:hAnsi="宋体" w:eastAsia="宋体"/>
          <w:color w:val="auto"/>
          <w:sz w:val="21"/>
          <w:szCs w:val="21"/>
        </w:rPr>
        <w:t>补充</w:t>
      </w:r>
      <w:r>
        <w:rPr>
          <w:rFonts w:ascii="宋体" w:hAnsi="宋体" w:eastAsia="宋体"/>
          <w:color w:val="auto"/>
          <w:sz w:val="21"/>
          <w:szCs w:val="21"/>
        </w:rPr>
        <w:t>资料通过交易中心网站</w:t>
      </w:r>
      <w:r>
        <w:rPr>
          <w:rFonts w:hint="eastAsia" w:ascii="宋体" w:hAnsi="宋体" w:eastAsia="宋体"/>
          <w:color w:val="auto"/>
          <w:sz w:val="21"/>
          <w:szCs w:val="21"/>
        </w:rPr>
        <w:t>同时发布</w:t>
      </w:r>
      <w:r>
        <w:rPr>
          <w:rFonts w:ascii="宋体" w:hAnsi="宋体" w:eastAsia="宋体"/>
          <w:color w:val="auto"/>
          <w:sz w:val="21"/>
          <w:szCs w:val="21"/>
        </w:rPr>
        <w:t>。</w:t>
      </w:r>
    </w:p>
    <w:bookmarkEnd w:id="45"/>
    <w:p>
      <w:pPr>
        <w:spacing w:line="360" w:lineRule="auto"/>
        <w:outlineLvl w:val="0"/>
        <w:rPr>
          <w:rFonts w:ascii="宋体" w:hAnsi="宋体" w:eastAsia="宋体" w:cs="宋体"/>
          <w:b/>
          <w:color w:val="auto"/>
          <w:sz w:val="24"/>
          <w:szCs w:val="24"/>
        </w:rPr>
      </w:pPr>
      <w:bookmarkStart w:id="46" w:name="_Toc229305327"/>
      <w:bookmarkStart w:id="47" w:name="_Toc168476033"/>
      <w:bookmarkStart w:id="48" w:name="_Toc222032636"/>
      <w:bookmarkStart w:id="49" w:name="_Toc20648_WPSOffice_Level2"/>
      <w:bookmarkStart w:id="50" w:name="_Toc221949934"/>
      <w:bookmarkStart w:id="51" w:name="_Toc168475630"/>
      <w:bookmarkStart w:id="52" w:name="_Toc144974484"/>
      <w:bookmarkStart w:id="53" w:name="_Toc222033818"/>
      <w:bookmarkStart w:id="54" w:name="_Toc16416_WPSOffice_Level2"/>
      <w:bookmarkStart w:id="55" w:name="_Toc259524300"/>
      <w:bookmarkStart w:id="56" w:name="_Toc222030969"/>
      <w:bookmarkStart w:id="57" w:name="_Toc222029467"/>
      <w:r>
        <w:rPr>
          <w:rFonts w:hint="eastAsia" w:ascii="宋体" w:hAnsi="宋体" w:eastAsia="宋体" w:cs="宋体"/>
          <w:b/>
          <w:color w:val="auto"/>
          <w:sz w:val="24"/>
          <w:szCs w:val="24"/>
        </w:rPr>
        <w:t>7. 招标公告发布时间及投标文件的递交</w:t>
      </w:r>
      <w:bookmarkEnd w:id="46"/>
      <w:bookmarkEnd w:id="47"/>
      <w:bookmarkEnd w:id="48"/>
      <w:bookmarkEnd w:id="49"/>
      <w:bookmarkEnd w:id="50"/>
      <w:bookmarkEnd w:id="51"/>
      <w:bookmarkEnd w:id="52"/>
      <w:bookmarkEnd w:id="53"/>
      <w:bookmarkEnd w:id="54"/>
      <w:bookmarkEnd w:id="55"/>
      <w:bookmarkEnd w:id="56"/>
      <w:bookmarkEnd w:id="57"/>
    </w:p>
    <w:p>
      <w:pPr>
        <w:spacing w:after="0" w:line="360" w:lineRule="auto"/>
        <w:ind w:left="209" w:leftChars="95" w:firstLine="210" w:firstLineChars="100"/>
        <w:rPr>
          <w:rFonts w:ascii="宋体" w:hAnsi="宋体" w:eastAsia="宋体"/>
          <w:color w:val="auto"/>
          <w:sz w:val="21"/>
          <w:szCs w:val="21"/>
        </w:rPr>
      </w:pPr>
      <w:r>
        <w:rPr>
          <w:rFonts w:hint="eastAsia" w:ascii="宋体" w:hAnsi="宋体" w:eastAsia="宋体"/>
          <w:color w:val="auto"/>
          <w:sz w:val="21"/>
          <w:szCs w:val="21"/>
        </w:rPr>
        <w:t>7.1招标公告发布日期（含本日）：自</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分至</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分（北京时间，下同）。</w:t>
      </w:r>
    </w:p>
    <w:p>
      <w:pPr>
        <w:spacing w:after="0" w:line="360" w:lineRule="auto"/>
        <w:ind w:firstLine="470" w:firstLineChars="224"/>
        <w:rPr>
          <w:rFonts w:ascii="宋体" w:hAnsi="宋体" w:eastAsia="宋体"/>
          <w:color w:val="auto"/>
          <w:sz w:val="21"/>
          <w:szCs w:val="21"/>
        </w:rPr>
      </w:pPr>
      <w:r>
        <w:rPr>
          <w:rFonts w:hint="eastAsia" w:ascii="宋体" w:hAnsi="宋体" w:eastAsia="宋体"/>
          <w:color w:val="auto"/>
          <w:sz w:val="21"/>
          <w:szCs w:val="21"/>
        </w:rPr>
        <w:t>注：发布招标公告的时间为招标公告发出之日起至投标截止时间止。</w:t>
      </w:r>
    </w:p>
    <w:p>
      <w:pPr>
        <w:spacing w:after="0" w:line="360" w:lineRule="auto"/>
        <w:ind w:firstLine="420" w:firstLineChars="200"/>
        <w:jc w:val="both"/>
        <w:rPr>
          <w:rFonts w:ascii="宋体" w:hAnsi="宋体" w:eastAsia="宋体"/>
          <w:color w:val="auto"/>
          <w:sz w:val="21"/>
          <w:szCs w:val="21"/>
        </w:rPr>
      </w:pPr>
      <w:r>
        <w:rPr>
          <w:rFonts w:hint="eastAsia" w:ascii="宋体" w:hAnsi="宋体" w:eastAsia="宋体"/>
          <w:color w:val="auto"/>
          <w:sz w:val="21"/>
          <w:szCs w:val="21"/>
        </w:rPr>
        <w:t>7.2递交电子投标文件的时间为</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分至</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p>
    <w:p>
      <w:pPr>
        <w:spacing w:after="0" w:line="360" w:lineRule="auto"/>
        <w:jc w:val="both"/>
        <w:rPr>
          <w:rFonts w:ascii="宋体" w:hAnsi="宋体" w:eastAsia="宋体" w:cs="仿宋_GB2312"/>
          <w:color w:val="auto"/>
          <w:sz w:val="21"/>
          <w:szCs w:val="21"/>
        </w:rPr>
      </w:pP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w:t>
      </w:r>
      <w:r>
        <w:rPr>
          <w:rFonts w:hint="eastAsia" w:ascii="宋体" w:hAnsi="宋体" w:eastAsia="宋体"/>
          <w:color w:val="auto"/>
          <w:spacing w:val="4"/>
          <w:sz w:val="21"/>
        </w:rPr>
        <w:t>电子投标文件递交截止时间为</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w:t>
      </w:r>
      <w:r>
        <w:rPr>
          <w:rFonts w:hint="eastAsia" w:ascii="宋体" w:hAnsi="宋体" w:eastAsia="宋体"/>
          <w:color w:val="auto"/>
          <w:spacing w:val="4"/>
          <w:sz w:val="21"/>
        </w:rPr>
        <w:t>。</w:t>
      </w:r>
      <w:r>
        <w:rPr>
          <w:rFonts w:hint="eastAsia" w:ascii="宋体" w:hAnsi="宋体" w:eastAsia="宋体" w:cs="仿宋_GB2312"/>
          <w:color w:val="auto"/>
          <w:sz w:val="21"/>
          <w:szCs w:val="21"/>
        </w:rPr>
        <w:t>投标人</w:t>
      </w:r>
      <w:r>
        <w:rPr>
          <w:rFonts w:hint="eastAsia" w:ascii="宋体" w:hAnsi="宋体" w:eastAsia="宋体"/>
          <w:color w:val="auto"/>
          <w:sz w:val="21"/>
          <w:szCs w:val="21"/>
        </w:rPr>
        <w:t>递交电子投标文件通过广州公共资源交易网进行。投标人应在递交投标文件截止时间前，登录广州公共资源交易网投标人服务专区完成投标人的相关信息录入（拟投入本工程的项目负责人可不备案，只要系统显示已报名成功，并且在投标函中体现项目负责人即可）；</w:t>
      </w:r>
      <w:r>
        <w:rPr>
          <w:rFonts w:hint="eastAsia" w:ascii="宋体" w:hAnsi="宋体" w:eastAsia="宋体" w:cs="仿宋_GB2312"/>
          <w:color w:val="auto"/>
          <w:sz w:val="21"/>
          <w:szCs w:val="21"/>
        </w:rPr>
        <w:t>投标人核对并确认投标文件信息无误后，上传带有电子签名及电子签章的加密投标文件。在递交投标文件截止时间前，投标人可以补充、修改或撤回投标文件。投标文件须于递交投标文件截止时间前完整上传并保存到广州公共资源交易中心的电子评标系统且取得回执。操作详见《房屋建筑和市政基础设施工程全流程电子化项目专章》。</w:t>
      </w:r>
    </w:p>
    <w:p>
      <w:pPr>
        <w:spacing w:after="0" w:line="360" w:lineRule="auto"/>
        <w:ind w:firstLine="420" w:firstLineChars="200"/>
        <w:jc w:val="both"/>
        <w:rPr>
          <w:rFonts w:ascii="宋体" w:hAnsi="宋体" w:eastAsia="宋体" w:cs="宋体"/>
          <w:color w:val="auto"/>
          <w:sz w:val="21"/>
          <w:szCs w:val="21"/>
        </w:rPr>
      </w:pPr>
      <w:r>
        <w:rPr>
          <w:rFonts w:hint="eastAsia" w:ascii="宋体" w:hAnsi="宋体" w:eastAsia="宋体" w:cs="仿宋_GB2312"/>
          <w:color w:val="auto"/>
          <w:sz w:val="21"/>
          <w:szCs w:val="21"/>
        </w:rPr>
        <w:t>7.3开标时间为</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w:t>
      </w:r>
      <w:r>
        <w:rPr>
          <w:rFonts w:hint="eastAsia" w:ascii="宋体" w:hAnsi="宋体" w:eastAsia="宋体"/>
          <w:color w:val="auto"/>
          <w:spacing w:val="4"/>
          <w:sz w:val="21"/>
        </w:rPr>
        <w:t>，地点为</w:t>
      </w:r>
      <w:r>
        <w:rPr>
          <w:rFonts w:hint="eastAsia" w:ascii="宋体" w:hAnsi="宋体" w:eastAsia="宋体" w:cs="宋体"/>
          <w:color w:val="auto"/>
          <w:sz w:val="21"/>
          <w:szCs w:val="21"/>
        </w:rPr>
        <w:t>广州公共资源交易中心增城交易部第</w:t>
      </w:r>
    </w:p>
    <w:p>
      <w:pPr>
        <w:spacing w:after="0" w:line="360" w:lineRule="auto"/>
        <w:ind w:firstLine="420" w:firstLineChars="200"/>
        <w:jc w:val="both"/>
        <w:rPr>
          <w:rFonts w:ascii="宋体" w:hAnsi="宋体" w:eastAsia="宋体" w:cs="仿宋_GB2312"/>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开标室。</w:t>
      </w:r>
    </w:p>
    <w:p>
      <w:pPr>
        <w:spacing w:after="0" w:line="360" w:lineRule="auto"/>
        <w:ind w:firstLine="470" w:firstLineChars="224"/>
        <w:rPr>
          <w:rFonts w:ascii="宋体" w:hAnsi="宋体" w:eastAsia="宋体"/>
          <w:color w:val="auto"/>
          <w:sz w:val="21"/>
          <w:szCs w:val="21"/>
        </w:rPr>
      </w:pPr>
      <w:r>
        <w:rPr>
          <w:rFonts w:hint="eastAsia" w:ascii="宋体" w:hAnsi="宋体" w:eastAsia="宋体" w:cs="仿宋_GB2312"/>
          <w:color w:val="auto"/>
          <w:sz w:val="21"/>
          <w:szCs w:val="21"/>
        </w:rPr>
        <w:t>7</w:t>
      </w:r>
      <w:r>
        <w:rPr>
          <w:rFonts w:ascii="宋体" w:hAnsi="宋体" w:eastAsia="宋体" w:cs="仿宋_GB2312"/>
          <w:color w:val="auto"/>
          <w:sz w:val="21"/>
          <w:szCs w:val="21"/>
        </w:rPr>
        <w:t>.</w:t>
      </w:r>
      <w:r>
        <w:rPr>
          <w:rFonts w:hint="eastAsia" w:ascii="宋体" w:hAnsi="宋体" w:eastAsia="宋体" w:cs="仿宋_GB2312"/>
          <w:color w:val="auto"/>
          <w:sz w:val="21"/>
          <w:szCs w:val="21"/>
        </w:rPr>
        <w:t>4</w:t>
      </w:r>
      <w:r>
        <w:rPr>
          <w:rFonts w:ascii="宋体" w:hAnsi="宋体" w:eastAsia="宋体" w:cs="仿宋_GB2312"/>
          <w:color w:val="auto"/>
          <w:sz w:val="21"/>
          <w:szCs w:val="21"/>
        </w:rPr>
        <w:t xml:space="preserve"> </w:t>
      </w:r>
      <w:r>
        <w:rPr>
          <w:rFonts w:hint="eastAsia" w:ascii="宋体" w:hAnsi="宋体" w:eastAsia="宋体" w:cs="仿宋_GB2312"/>
          <w:color w:val="auto"/>
          <w:sz w:val="21"/>
          <w:szCs w:val="21"/>
        </w:rPr>
        <w:t>递交投标</w:t>
      </w:r>
      <w:r>
        <w:rPr>
          <w:rFonts w:ascii="宋体" w:hAnsi="宋体" w:eastAsia="宋体" w:cs="仿宋_GB2312"/>
          <w:color w:val="auto"/>
          <w:sz w:val="21"/>
          <w:szCs w:val="21"/>
        </w:rPr>
        <w:t>文件截止时间</w:t>
      </w:r>
      <w:r>
        <w:rPr>
          <w:rFonts w:hint="eastAsia" w:ascii="宋体" w:hAnsi="宋体" w:eastAsia="宋体" w:cs="仿宋_GB2312"/>
          <w:color w:val="auto"/>
          <w:sz w:val="21"/>
          <w:szCs w:val="21"/>
        </w:rPr>
        <w:t>及开标时间</w:t>
      </w:r>
      <w:r>
        <w:rPr>
          <w:rFonts w:ascii="宋体" w:hAnsi="宋体" w:eastAsia="宋体" w:cs="仿宋_GB2312"/>
          <w:color w:val="auto"/>
          <w:sz w:val="21"/>
          <w:szCs w:val="21"/>
        </w:rPr>
        <w:t>是否有变化，请密切留意</w:t>
      </w:r>
      <w:r>
        <w:rPr>
          <w:rFonts w:hint="eastAsia" w:ascii="宋体" w:hAnsi="宋体" w:eastAsia="宋体" w:cs="仿宋_GB2312"/>
          <w:color w:val="auto"/>
          <w:sz w:val="21"/>
          <w:szCs w:val="21"/>
        </w:rPr>
        <w:t>交易中心</w:t>
      </w:r>
      <w:r>
        <w:rPr>
          <w:rFonts w:ascii="宋体" w:hAnsi="宋体" w:eastAsia="宋体" w:cs="仿宋_GB2312"/>
          <w:color w:val="auto"/>
          <w:sz w:val="21"/>
          <w:szCs w:val="21"/>
        </w:rPr>
        <w:t>网站中的相关信息。递交</w:t>
      </w:r>
      <w:r>
        <w:rPr>
          <w:rFonts w:hint="eastAsia" w:ascii="宋体" w:hAnsi="宋体" w:eastAsia="宋体" w:cs="仿宋_GB2312"/>
          <w:color w:val="auto"/>
          <w:sz w:val="21"/>
          <w:szCs w:val="21"/>
        </w:rPr>
        <w:t>投标</w:t>
      </w:r>
      <w:r>
        <w:rPr>
          <w:rFonts w:ascii="宋体" w:hAnsi="宋体" w:eastAsia="宋体" w:cs="仿宋_GB2312"/>
          <w:color w:val="auto"/>
          <w:sz w:val="21"/>
          <w:szCs w:val="21"/>
        </w:rPr>
        <w:t>文件截止时间后，</w:t>
      </w:r>
      <w:r>
        <w:rPr>
          <w:rFonts w:hint="eastAsia" w:ascii="宋体" w:hAnsi="宋体" w:eastAsia="宋体" w:cs="仿宋_GB2312"/>
          <w:color w:val="auto"/>
          <w:sz w:val="21"/>
          <w:szCs w:val="21"/>
        </w:rPr>
        <w:t>投标文件</w:t>
      </w:r>
      <w:r>
        <w:rPr>
          <w:rFonts w:ascii="宋体" w:hAnsi="宋体" w:eastAsia="宋体" w:cs="仿宋_GB2312"/>
          <w:color w:val="auto"/>
          <w:sz w:val="21"/>
          <w:szCs w:val="21"/>
        </w:rPr>
        <w:t>评审时间因故推迟的，相关</w:t>
      </w:r>
      <w:r>
        <w:rPr>
          <w:rFonts w:hint="eastAsia" w:ascii="宋体" w:hAnsi="宋体" w:eastAsia="宋体" w:cs="仿宋_GB2312"/>
          <w:color w:val="auto"/>
          <w:sz w:val="21"/>
          <w:szCs w:val="21"/>
        </w:rPr>
        <w:t>资审</w:t>
      </w:r>
      <w:r>
        <w:rPr>
          <w:rFonts w:ascii="宋体" w:hAnsi="宋体" w:eastAsia="宋体" w:cs="仿宋_GB2312"/>
          <w:color w:val="auto"/>
          <w:sz w:val="21"/>
          <w:szCs w:val="21"/>
        </w:rPr>
        <w:t>信息仍以原递交</w:t>
      </w:r>
      <w:r>
        <w:rPr>
          <w:rFonts w:hint="eastAsia" w:ascii="宋体" w:hAnsi="宋体" w:eastAsia="宋体" w:cs="仿宋_GB2312"/>
          <w:color w:val="auto"/>
          <w:sz w:val="21"/>
          <w:szCs w:val="21"/>
        </w:rPr>
        <w:t>投标</w:t>
      </w:r>
      <w:r>
        <w:rPr>
          <w:rFonts w:ascii="宋体" w:hAnsi="宋体" w:eastAsia="宋体" w:cs="仿宋_GB2312"/>
          <w:color w:val="auto"/>
          <w:sz w:val="21"/>
          <w:szCs w:val="21"/>
        </w:rPr>
        <w:t>文件截止时间的信息为准。</w:t>
      </w:r>
    </w:p>
    <w:p>
      <w:pPr>
        <w:spacing w:after="0" w:line="360" w:lineRule="auto"/>
        <w:ind w:firstLine="470" w:firstLineChars="224"/>
        <w:rPr>
          <w:rFonts w:ascii="宋体" w:hAnsi="宋体" w:eastAsia="宋体"/>
          <w:color w:val="auto"/>
          <w:sz w:val="21"/>
          <w:szCs w:val="21"/>
        </w:rPr>
      </w:pPr>
      <w:r>
        <w:rPr>
          <w:rFonts w:hint="eastAsia" w:ascii="宋体" w:hAnsi="宋体" w:eastAsia="宋体" w:cs="仿宋_GB2312"/>
          <w:color w:val="auto"/>
          <w:sz w:val="21"/>
          <w:szCs w:val="21"/>
        </w:rPr>
        <w:t>7</w:t>
      </w:r>
      <w:r>
        <w:rPr>
          <w:rFonts w:ascii="宋体" w:hAnsi="宋体" w:eastAsia="宋体" w:cs="仿宋_GB2312"/>
          <w:color w:val="auto"/>
          <w:sz w:val="21"/>
          <w:szCs w:val="21"/>
        </w:rPr>
        <w:t>.</w:t>
      </w:r>
      <w:r>
        <w:rPr>
          <w:rFonts w:hint="eastAsia" w:ascii="宋体" w:hAnsi="宋体" w:eastAsia="宋体" w:cs="仿宋_GB2312"/>
          <w:color w:val="auto"/>
          <w:sz w:val="21"/>
          <w:szCs w:val="21"/>
        </w:rPr>
        <w:t>5</w:t>
      </w:r>
      <w:r>
        <w:rPr>
          <w:rFonts w:ascii="宋体" w:hAnsi="宋体" w:eastAsia="宋体" w:cs="仿宋_GB2312"/>
          <w:color w:val="auto"/>
          <w:sz w:val="21"/>
          <w:szCs w:val="21"/>
        </w:rPr>
        <w:t>逾期</w:t>
      </w:r>
      <w:r>
        <w:rPr>
          <w:rFonts w:ascii="宋体" w:hAnsi="宋体" w:eastAsia="宋体"/>
          <w:color w:val="auto"/>
          <w:sz w:val="21"/>
          <w:szCs w:val="21"/>
        </w:rPr>
        <w:t>送达的或者未送达指定</w:t>
      </w:r>
      <w:r>
        <w:rPr>
          <w:rFonts w:hint="eastAsia" w:ascii="宋体" w:hAnsi="宋体" w:eastAsia="宋体"/>
          <w:color w:val="auto"/>
          <w:sz w:val="21"/>
          <w:szCs w:val="21"/>
        </w:rPr>
        <w:t>网站</w:t>
      </w:r>
      <w:r>
        <w:rPr>
          <w:rFonts w:ascii="宋体" w:hAnsi="宋体" w:eastAsia="宋体"/>
          <w:color w:val="auto"/>
          <w:sz w:val="21"/>
          <w:szCs w:val="21"/>
        </w:rPr>
        <w:t>的</w:t>
      </w:r>
      <w:r>
        <w:rPr>
          <w:rFonts w:hint="eastAsia" w:ascii="宋体" w:hAnsi="宋体" w:eastAsia="宋体" w:cs="仿宋_GB2312"/>
          <w:color w:val="auto"/>
          <w:sz w:val="21"/>
          <w:szCs w:val="21"/>
        </w:rPr>
        <w:t>投标</w:t>
      </w:r>
      <w:r>
        <w:rPr>
          <w:rFonts w:ascii="宋体" w:hAnsi="宋体" w:eastAsia="宋体"/>
          <w:color w:val="auto"/>
          <w:sz w:val="21"/>
          <w:szCs w:val="21"/>
        </w:rPr>
        <w:t>文件，招标人不予受理。</w:t>
      </w:r>
    </w:p>
    <w:p>
      <w:pPr>
        <w:spacing w:after="0" w:line="360" w:lineRule="auto"/>
        <w:ind w:firstLine="470" w:firstLineChars="224"/>
        <w:rPr>
          <w:rFonts w:ascii="宋体" w:hAnsi="宋体" w:eastAsia="宋体"/>
          <w:color w:val="auto"/>
          <w:sz w:val="21"/>
          <w:szCs w:val="21"/>
        </w:rPr>
      </w:pPr>
      <w:r>
        <w:rPr>
          <w:rFonts w:hint="eastAsia" w:ascii="宋体" w:hAnsi="宋体" w:eastAsia="宋体"/>
          <w:color w:val="auto"/>
          <w:sz w:val="21"/>
          <w:szCs w:val="21"/>
        </w:rPr>
        <w:t>7.6投标人在递交</w:t>
      </w:r>
      <w:r>
        <w:rPr>
          <w:rFonts w:hint="eastAsia" w:ascii="宋体" w:hAnsi="宋体" w:eastAsia="宋体" w:cs="仿宋_GB2312"/>
          <w:color w:val="auto"/>
          <w:sz w:val="21"/>
          <w:szCs w:val="21"/>
        </w:rPr>
        <w:t>投标</w:t>
      </w:r>
      <w:r>
        <w:rPr>
          <w:rFonts w:hint="eastAsia" w:ascii="宋体" w:hAnsi="宋体" w:eastAsia="宋体"/>
          <w:color w:val="auto"/>
          <w:sz w:val="21"/>
          <w:szCs w:val="21"/>
        </w:rPr>
        <w:t>文件前，应按广州公共资源交易中心要求办理进场和投标登记手续。若投标人未按要求办理手续，招标人将不承担与此有关的责任。</w:t>
      </w:r>
    </w:p>
    <w:p>
      <w:pPr>
        <w:spacing w:line="360" w:lineRule="auto"/>
        <w:outlineLvl w:val="0"/>
        <w:rPr>
          <w:rFonts w:ascii="宋体" w:hAnsi="宋体" w:eastAsia="宋体" w:cs="宋体"/>
          <w:b/>
          <w:color w:val="auto"/>
          <w:sz w:val="24"/>
          <w:szCs w:val="24"/>
          <w:highlight w:val="none"/>
        </w:rPr>
      </w:pPr>
      <w:bookmarkStart w:id="58" w:name="_Toc30849_WPSOffice_Level2"/>
      <w:bookmarkStart w:id="59" w:name="_Toc19752_WPSOffice_Level2"/>
      <w:bookmarkStart w:id="60" w:name="_Toc222032637"/>
      <w:bookmarkStart w:id="61" w:name="_Toc259524301"/>
      <w:bookmarkStart w:id="62" w:name="_Toc222030970"/>
      <w:bookmarkStart w:id="63" w:name="_Toc222029468"/>
      <w:bookmarkStart w:id="64" w:name="_Toc229305328"/>
      <w:bookmarkStart w:id="65" w:name="_Toc221949937"/>
      <w:bookmarkStart w:id="66" w:name="_Toc222033819"/>
      <w:r>
        <w:rPr>
          <w:rFonts w:hint="eastAsia" w:ascii="宋体" w:hAnsi="宋体" w:eastAsia="宋体" w:cs="宋体"/>
          <w:b/>
          <w:color w:val="auto"/>
          <w:sz w:val="24"/>
          <w:szCs w:val="24"/>
        </w:rPr>
        <w:t>8．投标文件解密</w:t>
      </w:r>
      <w:bookmarkEnd w:id="58"/>
      <w:bookmarkEnd w:id="59"/>
    </w:p>
    <w:p>
      <w:pPr>
        <w:snapToGrid w:val="0"/>
        <w:spacing w:after="0" w:line="360" w:lineRule="auto"/>
        <w:ind w:firstLine="457" w:firstLineChars="218"/>
        <w:rPr>
          <w:rFonts w:ascii="宋体" w:hAnsi="宋体" w:eastAsia="宋体"/>
          <w:color w:val="auto"/>
          <w:sz w:val="21"/>
          <w:szCs w:val="21"/>
          <w:highlight w:val="none"/>
        </w:rPr>
      </w:pPr>
      <w:r>
        <w:rPr>
          <w:rFonts w:hint="eastAsia" w:ascii="宋体" w:hAnsi="宋体" w:eastAsia="宋体"/>
          <w:color w:val="auto"/>
          <w:sz w:val="21"/>
          <w:szCs w:val="21"/>
          <w:highlight w:val="none"/>
        </w:rPr>
        <w:t>8</w:t>
      </w:r>
      <w:r>
        <w:rPr>
          <w:rFonts w:ascii="宋体" w:hAnsi="宋体" w:eastAsia="宋体"/>
          <w:color w:val="auto"/>
          <w:sz w:val="21"/>
          <w:szCs w:val="21"/>
          <w:highlight w:val="none"/>
        </w:rPr>
        <w:t>.1</w:t>
      </w:r>
      <w:r>
        <w:rPr>
          <w:rFonts w:hint="eastAsia" w:ascii="宋体" w:hAnsi="宋体" w:eastAsia="宋体"/>
          <w:color w:val="auto"/>
          <w:sz w:val="21"/>
          <w:szCs w:val="21"/>
          <w:highlight w:val="none"/>
        </w:rPr>
        <w:t>投标人解密：投标人在递交电子投标</w:t>
      </w:r>
      <w:r>
        <w:rPr>
          <w:rFonts w:ascii="宋体" w:hAnsi="宋体" w:eastAsia="宋体"/>
          <w:color w:val="auto"/>
          <w:sz w:val="21"/>
          <w:szCs w:val="21"/>
          <w:highlight w:val="none"/>
        </w:rPr>
        <w:t>文件</w:t>
      </w:r>
      <w:r>
        <w:rPr>
          <w:rFonts w:hint="eastAsia" w:ascii="宋体" w:hAnsi="宋体" w:eastAsia="宋体"/>
          <w:color w:val="auto"/>
          <w:sz w:val="21"/>
          <w:szCs w:val="21"/>
          <w:highlight w:val="none"/>
        </w:rPr>
        <w:t>截止时间到达后的</w:t>
      </w:r>
      <w:r>
        <w:rPr>
          <w:rFonts w:hint="eastAsia" w:ascii="宋体" w:hAnsi="宋体" w:eastAsia="宋体"/>
          <w:b/>
          <w:color w:val="auto"/>
          <w:sz w:val="21"/>
          <w:szCs w:val="21"/>
          <w:highlight w:val="none"/>
          <w:lang w:val="en-US" w:eastAsia="zh-CN"/>
        </w:rPr>
        <w:t>半</w:t>
      </w:r>
      <w:r>
        <w:rPr>
          <w:rFonts w:hint="eastAsia" w:ascii="宋体" w:hAnsi="宋体" w:eastAsia="宋体"/>
          <w:b/>
          <w:color w:val="auto"/>
          <w:sz w:val="21"/>
          <w:szCs w:val="21"/>
          <w:highlight w:val="none"/>
        </w:rPr>
        <w:t>个小时内</w:t>
      </w:r>
      <w:r>
        <w:rPr>
          <w:rFonts w:hint="eastAsia" w:ascii="宋体" w:hAnsi="宋体" w:eastAsia="宋体"/>
          <w:color w:val="auto"/>
          <w:sz w:val="21"/>
          <w:szCs w:val="21"/>
          <w:highlight w:val="none"/>
        </w:rPr>
        <w:t>使用制作该电子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文件的机构业务数字证书对电子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文件进行解密。逾期未解密或因</w:t>
      </w:r>
      <w:r>
        <w:rPr>
          <w:rFonts w:hint="eastAsia" w:ascii="宋体" w:hAnsi="宋体" w:eastAsia="宋体" w:cs="仿宋_GB2312"/>
          <w:color w:val="auto"/>
          <w:sz w:val="21"/>
          <w:szCs w:val="21"/>
          <w:highlight w:val="none"/>
        </w:rPr>
        <w:t>投标人原因造成电子投标文件解密不成功</w:t>
      </w:r>
      <w:r>
        <w:rPr>
          <w:rFonts w:hint="eastAsia" w:ascii="宋体" w:hAnsi="宋体" w:eastAsia="宋体"/>
          <w:color w:val="auto"/>
          <w:sz w:val="21"/>
          <w:szCs w:val="21"/>
          <w:highlight w:val="none"/>
        </w:rPr>
        <w:t>的，视为投标人未递交电子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8</w:t>
      </w:r>
      <w:r>
        <w:rPr>
          <w:rFonts w:ascii="宋体" w:hAnsi="宋体" w:eastAsia="宋体"/>
          <w:color w:val="auto"/>
          <w:sz w:val="21"/>
          <w:szCs w:val="21"/>
        </w:rPr>
        <w:t>.2</w:t>
      </w:r>
      <w:r>
        <w:rPr>
          <w:rFonts w:hint="eastAsia" w:ascii="宋体" w:hAnsi="宋体" w:eastAsia="宋体"/>
          <w:color w:val="auto"/>
          <w:sz w:val="21"/>
          <w:szCs w:val="21"/>
        </w:rPr>
        <w:t>招标人解密：招标人用打包电子招标文件的机构业务数字证书对电子</w:t>
      </w:r>
      <w:r>
        <w:rPr>
          <w:rFonts w:hint="eastAsia" w:ascii="宋体" w:hAnsi="宋体" w:eastAsia="宋体" w:cs="仿宋_GB2312"/>
          <w:color w:val="auto"/>
          <w:sz w:val="21"/>
          <w:szCs w:val="21"/>
        </w:rPr>
        <w:t>投标</w:t>
      </w:r>
      <w:r>
        <w:rPr>
          <w:rFonts w:hint="eastAsia" w:ascii="宋体" w:hAnsi="宋体" w:eastAsia="宋体"/>
          <w:color w:val="auto"/>
          <w:sz w:val="21"/>
          <w:szCs w:val="21"/>
        </w:rPr>
        <w:t>文件进行解密。</w:t>
      </w:r>
    </w:p>
    <w:p>
      <w:pPr>
        <w:spacing w:after="0" w:line="360" w:lineRule="auto"/>
        <w:ind w:firstLine="420" w:firstLineChars="200"/>
        <w:rPr>
          <w:rFonts w:ascii="宋体" w:hAnsi="宋体" w:eastAsia="宋体" w:cs="仿宋_GB2312"/>
          <w:color w:val="auto"/>
          <w:sz w:val="21"/>
          <w:szCs w:val="21"/>
        </w:rPr>
      </w:pPr>
      <w:r>
        <w:rPr>
          <w:rFonts w:hint="eastAsia" w:ascii="宋体" w:hAnsi="宋体" w:eastAsia="宋体"/>
          <w:color w:val="auto"/>
          <w:sz w:val="21"/>
          <w:szCs w:val="21"/>
        </w:rPr>
        <w:t>8</w:t>
      </w:r>
      <w:r>
        <w:rPr>
          <w:rFonts w:ascii="宋体" w:hAnsi="宋体" w:eastAsia="宋体"/>
          <w:color w:val="auto"/>
          <w:sz w:val="21"/>
          <w:szCs w:val="21"/>
        </w:rPr>
        <w:t>.3</w:t>
      </w:r>
      <w:r>
        <w:rPr>
          <w:rFonts w:hint="eastAsia" w:ascii="宋体" w:hAnsi="宋体" w:eastAsia="宋体" w:cs="仿宋_GB2312"/>
          <w:color w:val="auto"/>
          <w:sz w:val="21"/>
          <w:szCs w:val="21"/>
        </w:rPr>
        <w:t>因投标人原因造成电子投标文件未解密的不参与投标文件评审。</w:t>
      </w:r>
    </w:p>
    <w:p>
      <w:pPr>
        <w:snapToGrid w:val="0"/>
        <w:spacing w:after="0" w:line="360" w:lineRule="auto"/>
        <w:ind w:firstLine="457" w:firstLineChars="218"/>
        <w:rPr>
          <w:rFonts w:ascii="宋体" w:hAnsi="宋体" w:eastAsia="宋体"/>
          <w:color w:val="auto"/>
          <w:sz w:val="21"/>
          <w:szCs w:val="21"/>
        </w:rPr>
      </w:pPr>
      <w:r>
        <w:rPr>
          <w:rFonts w:hint="eastAsia" w:ascii="宋体" w:hAnsi="宋体" w:eastAsia="宋体"/>
          <w:color w:val="auto"/>
          <w:sz w:val="21"/>
          <w:szCs w:val="21"/>
        </w:rPr>
        <w:t>注：本项目各项投标活动日程具体可通过广州公共资源交易中心网站查询具体的时间和场地安排。</w:t>
      </w:r>
    </w:p>
    <w:p>
      <w:pPr>
        <w:spacing w:line="360" w:lineRule="auto"/>
        <w:outlineLvl w:val="0"/>
        <w:rPr>
          <w:rFonts w:ascii="宋体" w:hAnsi="宋体" w:eastAsia="宋体" w:cs="宋体"/>
          <w:b/>
          <w:color w:val="auto"/>
          <w:sz w:val="24"/>
          <w:szCs w:val="24"/>
        </w:rPr>
      </w:pPr>
      <w:bookmarkStart w:id="67" w:name="_Toc27277_WPSOffice_Level2"/>
      <w:bookmarkStart w:id="68" w:name="_Toc9942_WPSOffice_Level2"/>
      <w:r>
        <w:rPr>
          <w:rFonts w:hint="eastAsia" w:ascii="宋体" w:hAnsi="宋体" w:eastAsia="宋体" w:cs="宋体"/>
          <w:b/>
          <w:color w:val="auto"/>
          <w:sz w:val="24"/>
          <w:szCs w:val="24"/>
        </w:rPr>
        <w:t>9.异议受理</w:t>
      </w:r>
      <w:bookmarkEnd w:id="67"/>
      <w:bookmarkEnd w:id="68"/>
    </w:p>
    <w:p>
      <w:pPr>
        <w:topLinePunct/>
        <w:spacing w:after="0" w:line="360" w:lineRule="auto"/>
        <w:ind w:firstLine="420" w:firstLineChars="200"/>
        <w:rPr>
          <w:rFonts w:ascii="宋体" w:hAnsi="宋体" w:eastAsia="宋体"/>
          <w:color w:val="auto"/>
          <w:sz w:val="21"/>
          <w:szCs w:val="21"/>
          <w:u w:val="single"/>
        </w:rPr>
      </w:pPr>
      <w:r>
        <w:rPr>
          <w:rFonts w:hint="eastAsia" w:ascii="宋体" w:hAnsi="宋体" w:eastAsia="宋体"/>
          <w:color w:val="auto"/>
          <w:sz w:val="21"/>
          <w:szCs w:val="21"/>
          <w:u w:val="single"/>
        </w:rPr>
        <w:t>潜在投标人或利害关系人对本招标公告及招标文件有异议的，向招标人书面提出。异议受理部门：广州增城外商智造产业园开发管理有限公司，异议受理电话：020-66283969 ，地址：广州市增城区荔城街民乐路20号6楼601</w:t>
      </w:r>
      <w:r>
        <w:rPr>
          <w:rFonts w:hint="eastAsia" w:eastAsia="宋体"/>
        </w:rPr>
        <w:t>。</w:t>
      </w:r>
    </w:p>
    <w:bookmarkEnd w:id="60"/>
    <w:bookmarkEnd w:id="61"/>
    <w:bookmarkEnd w:id="62"/>
    <w:bookmarkEnd w:id="63"/>
    <w:bookmarkEnd w:id="64"/>
    <w:bookmarkEnd w:id="65"/>
    <w:bookmarkEnd w:id="66"/>
    <w:p>
      <w:pPr>
        <w:spacing w:line="360" w:lineRule="auto"/>
        <w:outlineLvl w:val="0"/>
        <w:rPr>
          <w:rFonts w:ascii="宋体" w:hAnsi="宋体" w:eastAsia="宋体" w:cs="宋体"/>
          <w:b/>
          <w:color w:val="auto"/>
          <w:sz w:val="24"/>
          <w:szCs w:val="24"/>
        </w:rPr>
      </w:pPr>
      <w:bookmarkStart w:id="69" w:name="_Toc222029469"/>
      <w:bookmarkStart w:id="70" w:name="_Toc20839_WPSOffice_Level2"/>
      <w:bookmarkStart w:id="71" w:name="_Toc222033820"/>
      <w:bookmarkStart w:id="72" w:name="_Toc221949939"/>
      <w:bookmarkStart w:id="73" w:name="_Toc229305329"/>
      <w:bookmarkStart w:id="74" w:name="_Toc168476034"/>
      <w:bookmarkStart w:id="75" w:name="_Toc210_WPSOffice_Level2"/>
      <w:bookmarkStart w:id="76" w:name="_Toc222030971"/>
      <w:bookmarkStart w:id="77" w:name="_Toc168475631"/>
      <w:bookmarkStart w:id="78" w:name="_Toc259524302"/>
      <w:bookmarkStart w:id="79" w:name="_Toc222032638"/>
      <w:r>
        <w:rPr>
          <w:rFonts w:hint="eastAsia" w:ascii="宋体" w:hAnsi="宋体" w:eastAsia="宋体" w:cs="宋体"/>
          <w:b/>
          <w:color w:val="auto"/>
          <w:sz w:val="24"/>
          <w:szCs w:val="24"/>
        </w:rPr>
        <w:t>10.发布公告的媒介</w:t>
      </w:r>
      <w:bookmarkEnd w:id="69"/>
      <w:bookmarkEnd w:id="70"/>
      <w:bookmarkEnd w:id="71"/>
      <w:bookmarkEnd w:id="72"/>
      <w:bookmarkEnd w:id="73"/>
      <w:bookmarkEnd w:id="74"/>
      <w:bookmarkEnd w:id="75"/>
      <w:bookmarkEnd w:id="76"/>
      <w:bookmarkEnd w:id="77"/>
      <w:bookmarkEnd w:id="78"/>
      <w:bookmarkEnd w:id="79"/>
    </w:p>
    <w:p>
      <w:pPr>
        <w:snapToGrid w:val="0"/>
        <w:spacing w:after="0" w:line="360" w:lineRule="auto"/>
        <w:ind w:firstLine="457" w:firstLineChars="218"/>
        <w:rPr>
          <w:rFonts w:ascii="宋体" w:hAnsi="宋体" w:eastAsia="宋体"/>
          <w:color w:val="auto"/>
          <w:sz w:val="21"/>
          <w:szCs w:val="21"/>
        </w:rPr>
      </w:pPr>
      <w:r>
        <w:rPr>
          <w:rFonts w:hint="eastAsia" w:ascii="宋体" w:hAnsi="宋体" w:eastAsia="宋体"/>
          <w:color w:val="auto"/>
          <w:sz w:val="21"/>
          <w:szCs w:val="21"/>
          <w:u w:val="single"/>
        </w:rPr>
        <w:t>本公告在广州公共资源交易中心网站（网址：http://www.gzggzy.cn）、中国招标投标公共服务平台（网址：http://www.cebpubservice.com/）、广东省招标投标监管网(http://zbtb.gd.gov.cn/login)发布，本公告的修改、补充，在广州公共资源交易中心网站发布。本公告在各媒体发布的文本如有不同之处，以在广州公共资源交易网发布的文本为准。</w:t>
      </w:r>
    </w:p>
    <w:p>
      <w:pPr>
        <w:spacing w:line="360" w:lineRule="auto"/>
        <w:outlineLvl w:val="0"/>
        <w:rPr>
          <w:rFonts w:ascii="宋体" w:hAnsi="宋体" w:eastAsia="宋体" w:cs="宋体"/>
          <w:b/>
          <w:color w:val="auto"/>
          <w:sz w:val="24"/>
          <w:szCs w:val="24"/>
        </w:rPr>
      </w:pPr>
      <w:bookmarkStart w:id="80" w:name="_Toc31605_WPSOffice_Level2"/>
      <w:bookmarkStart w:id="81" w:name="_Toc32469_WPSOffice_Level2"/>
      <w:r>
        <w:rPr>
          <w:rFonts w:hint="eastAsia" w:ascii="宋体" w:hAnsi="宋体" w:eastAsia="宋体" w:cs="宋体"/>
          <w:b/>
          <w:color w:val="auto"/>
          <w:sz w:val="24"/>
          <w:szCs w:val="24"/>
        </w:rPr>
        <w:t>11. 联系方式</w:t>
      </w:r>
      <w:bookmarkEnd w:id="80"/>
      <w:bookmarkEnd w:id="81"/>
    </w:p>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rPr>
        <w:t>广州增城智创产业园开发管理有限公司</w:t>
      </w:r>
      <w:r>
        <w:rPr>
          <w:rFonts w:hint="eastAsia" w:ascii="宋体" w:hAnsi="宋体" w:eastAsia="宋体" w:cs="宋体"/>
          <w:color w:val="auto"/>
          <w:sz w:val="21"/>
          <w:szCs w:val="21"/>
        </w:rPr>
        <w:t xml:space="preserve">   </w:t>
      </w:r>
    </w:p>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谢工</w:t>
      </w:r>
      <w:r>
        <w:rPr>
          <w:rFonts w:hint="eastAsia" w:ascii="宋体" w:hAnsi="宋体" w:eastAsia="宋体" w:cs="宋体"/>
          <w:color w:val="auto"/>
          <w:sz w:val="21"/>
          <w:szCs w:val="21"/>
        </w:rPr>
        <w:t xml:space="preserve">           联系电话：</w:t>
      </w:r>
      <w:r>
        <w:rPr>
          <w:rFonts w:hint="eastAsia" w:ascii="宋体" w:hAnsi="宋体" w:eastAsia="宋体" w:cs="宋体"/>
          <w:color w:val="auto"/>
          <w:sz w:val="21"/>
          <w:szCs w:val="21"/>
          <w:u w:val="single"/>
        </w:rPr>
        <w:t>020-</w:t>
      </w:r>
      <w:r>
        <w:rPr>
          <w:rFonts w:hint="eastAsia" w:ascii="宋体" w:hAnsi="宋体" w:cs="宋体"/>
          <w:color w:val="auto"/>
          <w:szCs w:val="21"/>
          <w:u w:val="single"/>
        </w:rPr>
        <w:t>66289369</w:t>
      </w:r>
    </w:p>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olor w:val="auto"/>
          <w:sz w:val="21"/>
          <w:szCs w:val="21"/>
          <w:u w:val="single"/>
        </w:rPr>
        <w:t>广州市增城区荔城街民乐路20号6楼601</w:t>
      </w:r>
    </w:p>
    <w:p>
      <w:pPr>
        <w:spacing w:after="0" w:line="360" w:lineRule="auto"/>
        <w:rPr>
          <w:rFonts w:ascii="宋体" w:hAnsi="宋体" w:eastAsia="宋体" w:cs="宋体"/>
          <w:color w:val="auto"/>
          <w:sz w:val="21"/>
          <w:szCs w:val="21"/>
        </w:rPr>
      </w:pP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招标代理机构:</w:t>
      </w:r>
      <w:r>
        <w:rPr>
          <w:rFonts w:hint="eastAsia" w:ascii="宋体" w:hAnsi="宋体" w:eastAsia="宋体" w:cs="宋体"/>
          <w:color w:val="auto"/>
          <w:sz w:val="21"/>
          <w:szCs w:val="21"/>
          <w:u w:val="single"/>
        </w:rPr>
        <w:t xml:space="preserve"> 广州永安工程管理有限公司</w:t>
      </w: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 xml:space="preserve">魏工 </w:t>
      </w:r>
      <w:r>
        <w:rPr>
          <w:rFonts w:hint="eastAsia" w:ascii="宋体" w:hAnsi="宋体" w:eastAsia="宋体" w:cs="宋体"/>
          <w:color w:val="auto"/>
          <w:sz w:val="21"/>
          <w:szCs w:val="21"/>
        </w:rPr>
        <w:t xml:space="preserve">           联系电话：</w:t>
      </w:r>
      <w:r>
        <w:rPr>
          <w:rFonts w:hint="eastAsia" w:ascii="宋体" w:hAnsi="宋体" w:eastAsia="宋体" w:cs="宋体"/>
          <w:color w:val="auto"/>
          <w:sz w:val="21"/>
          <w:szCs w:val="21"/>
          <w:u w:val="single"/>
        </w:rPr>
        <w:t>020-82217860转607</w:t>
      </w: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广州市黄埔区观虹路10号1105室</w:t>
      </w:r>
    </w:p>
    <w:p>
      <w:pPr>
        <w:spacing w:after="0" w:line="360" w:lineRule="auto"/>
        <w:rPr>
          <w:rFonts w:ascii="宋体" w:hAnsi="宋体" w:eastAsia="宋体" w:cs="宋体"/>
          <w:color w:val="auto"/>
          <w:sz w:val="21"/>
          <w:szCs w:val="21"/>
        </w:rPr>
      </w:pP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招标监督机构：</w:t>
      </w:r>
      <w:r>
        <w:rPr>
          <w:rFonts w:hint="eastAsia" w:ascii="宋体" w:hAnsi="宋体" w:eastAsia="宋体" w:cs="宋体"/>
          <w:color w:val="auto"/>
          <w:sz w:val="21"/>
          <w:szCs w:val="21"/>
          <w:u w:val="single"/>
        </w:rPr>
        <w:t>广州增城外商智造产业园开发管理有限公司</w:t>
      </w: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监管电话：</w:t>
      </w:r>
      <w:r>
        <w:rPr>
          <w:rFonts w:hint="eastAsia" w:ascii="宋体" w:hAnsi="宋体" w:eastAsia="宋体" w:cs="宋体"/>
          <w:color w:val="auto"/>
          <w:sz w:val="21"/>
          <w:szCs w:val="21"/>
          <w:u w:val="single"/>
        </w:rPr>
        <w:t xml:space="preserve">020-66289369 </w:t>
      </w:r>
    </w:p>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olor w:val="auto"/>
          <w:sz w:val="21"/>
          <w:szCs w:val="21"/>
          <w:u w:val="single"/>
        </w:rPr>
        <w:t>广州市增城区荔城街民乐路20号6楼601</w:t>
      </w:r>
    </w:p>
    <w:p>
      <w:pPr>
        <w:spacing w:after="0" w:line="360" w:lineRule="auto"/>
        <w:ind w:left="5830" w:right="238" w:rightChars="108" w:hanging="5829" w:hangingChars="2776"/>
        <w:rPr>
          <w:rFonts w:ascii="宋体" w:hAnsi="宋体" w:eastAsia="宋体" w:cs="宋体"/>
          <w:color w:val="auto"/>
          <w:sz w:val="21"/>
          <w:szCs w:val="21"/>
        </w:rPr>
      </w:pPr>
      <w:r>
        <w:rPr>
          <w:rFonts w:hint="eastAsia" w:ascii="宋体" w:hAnsi="宋体" w:eastAsia="宋体" w:cs="宋体"/>
          <w:color w:val="auto"/>
          <w:sz w:val="21"/>
          <w:szCs w:val="21"/>
        </w:rPr>
        <w:t xml:space="preserve">                                                             </w:t>
      </w:r>
    </w:p>
    <w:p>
      <w:pPr>
        <w:widowControl w:val="0"/>
        <w:adjustRightInd w:val="0"/>
        <w:snapToGrid w:val="0"/>
        <w:spacing w:line="360" w:lineRule="auto"/>
        <w:ind w:firstLine="420" w:firstLineChars="200"/>
        <w:jc w:val="right"/>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2023</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pageBreakBefore/>
        <w:adjustRightInd w:val="0"/>
        <w:snapToGrid w:val="0"/>
        <w:spacing w:line="360" w:lineRule="auto"/>
        <w:rPr>
          <w:rFonts w:ascii="宋体" w:hAnsi="宋体" w:cs="宋体"/>
          <w:color w:val="auto"/>
          <w:kern w:val="0"/>
          <w:sz w:val="24"/>
        </w:rPr>
      </w:pPr>
      <w:r>
        <w:rPr>
          <w:rFonts w:hint="eastAsia" w:ascii="宋体" w:hAnsi="宋体" w:cs="宋体"/>
          <w:color w:val="auto"/>
          <w:kern w:val="0"/>
          <w:sz w:val="24"/>
        </w:rPr>
        <w:t>附件一：</w:t>
      </w:r>
    </w:p>
    <w:p>
      <w:pPr>
        <w:snapToGrid w:val="0"/>
        <w:spacing w:before="260" w:after="260" w:line="360" w:lineRule="auto"/>
        <w:ind w:right="384"/>
        <w:jc w:val="center"/>
        <w:rPr>
          <w:rFonts w:ascii="宋体" w:hAnsi="宋体" w:cs="宋体"/>
          <w:b/>
          <w:bCs/>
          <w:color w:val="auto"/>
          <w:kern w:val="0"/>
          <w:sz w:val="32"/>
          <w:szCs w:val="32"/>
        </w:rPr>
      </w:pPr>
      <w:r>
        <w:rPr>
          <w:rFonts w:hint="eastAsia" w:ascii="宋体" w:hAnsi="宋体" w:cs="宋体"/>
          <w:b/>
          <w:bCs/>
          <w:color w:val="auto"/>
          <w:kern w:val="0"/>
          <w:sz w:val="32"/>
          <w:szCs w:val="32"/>
        </w:rPr>
        <w:t>投标申请人声明</w:t>
      </w:r>
    </w:p>
    <w:p>
      <w:pPr>
        <w:spacing w:after="0" w:line="400" w:lineRule="exact"/>
        <w:rPr>
          <w:rFonts w:ascii="宋体" w:hAnsi="宋体" w:cs="宋体"/>
          <w:color w:val="auto"/>
          <w:kern w:val="0"/>
          <w:sz w:val="21"/>
          <w:szCs w:val="21"/>
        </w:rPr>
      </w:pPr>
      <w:r>
        <w:rPr>
          <w:rFonts w:hint="eastAsia" w:ascii="宋体" w:hAnsi="宋体" w:cs="宋体"/>
          <w:color w:val="auto"/>
          <w:kern w:val="0"/>
          <w:sz w:val="21"/>
          <w:szCs w:val="21"/>
        </w:rPr>
        <w:t>本招标项目招标人及招标监管机构：</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本公司就参加</w:t>
      </w:r>
      <w:r>
        <w:rPr>
          <w:rFonts w:hint="eastAsia" w:ascii="宋体" w:hAnsi="宋体" w:cs="宋体"/>
          <w:color w:val="auto"/>
          <w:sz w:val="21"/>
          <w:szCs w:val="21"/>
          <w:u w:val="single"/>
        </w:rPr>
        <w:t xml:space="preserve">                              </w:t>
      </w:r>
      <w:r>
        <w:rPr>
          <w:rFonts w:hint="eastAsia" w:ascii="宋体" w:hAnsi="宋体" w:cs="宋体"/>
          <w:color w:val="auto"/>
          <w:sz w:val="21"/>
          <w:szCs w:val="21"/>
        </w:rPr>
        <w:t>投标工作，作出郑重声明：</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一、本公司保证投标资格审查材料及其后提供的一切材料都是真实的，如我司成为本项目中标候选人，我司同意并授权招标人将我司投标文件商务部分文件的所有内容（包括报价清单、人员、业绩、奖项等资料）进行公开。</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二、本公司保证在本项目投标中不与其他单位围标、串标，不出让投标资格，不向招标人或评标委员会成员行贿。</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w:t>
      </w:r>
      <w:r>
        <w:rPr>
          <w:rFonts w:hint="eastAsia" w:ascii="宋体" w:hAnsi="宋体" w:eastAsia="宋体" w:cs="宋体"/>
          <w:color w:val="auto"/>
          <w:sz w:val="21"/>
          <w:szCs w:val="21"/>
        </w:rPr>
        <w:t>；</w:t>
      </w:r>
      <w:r>
        <w:rPr>
          <w:rFonts w:hint="eastAsia" w:ascii="宋体" w:hAnsi="宋体" w:cs="宋体"/>
          <w:color w:val="auto"/>
          <w:sz w:val="21"/>
          <w:szCs w:val="21"/>
        </w:rPr>
        <w:t xml:space="preserve"> 本公司未被纳入联合惩戒范围；</w:t>
      </w:r>
      <w:r>
        <w:rPr>
          <w:rFonts w:hint="eastAsia" w:ascii="宋体" w:hAnsi="宋体" w:cs="宋体"/>
          <w:b/>
          <w:bCs/>
          <w:color w:val="auto"/>
          <w:sz w:val="21"/>
          <w:szCs w:val="21"/>
        </w:rPr>
        <w:t>本公司近二年（从20</w:t>
      </w:r>
      <w:r>
        <w:rPr>
          <w:rFonts w:hint="eastAsia" w:ascii="宋体" w:hAnsi="宋体" w:eastAsia="宋体" w:cs="宋体"/>
          <w:b/>
          <w:bCs/>
          <w:color w:val="auto"/>
          <w:sz w:val="21"/>
          <w:szCs w:val="21"/>
        </w:rPr>
        <w:t>21</w:t>
      </w:r>
      <w:r>
        <w:rPr>
          <w:rFonts w:hint="eastAsia" w:ascii="宋体" w:hAnsi="宋体" w:cs="宋体"/>
          <w:b/>
          <w:bCs/>
          <w:color w:val="auto"/>
          <w:sz w:val="21"/>
          <w:szCs w:val="21"/>
        </w:rPr>
        <w:t>年1月1日起至投标截止时间止）未因以往检测</w:t>
      </w:r>
      <w:r>
        <w:rPr>
          <w:rFonts w:hint="eastAsia" w:ascii="宋体" w:hAnsi="宋体" w:eastAsia="宋体" w:cs="宋体"/>
          <w:b/>
          <w:bCs/>
          <w:color w:val="auto"/>
          <w:sz w:val="21"/>
          <w:szCs w:val="21"/>
        </w:rPr>
        <w:t>和监测</w:t>
      </w:r>
      <w:r>
        <w:rPr>
          <w:rFonts w:hint="eastAsia" w:ascii="宋体" w:hAnsi="宋体" w:cs="宋体"/>
          <w:b/>
          <w:bCs/>
          <w:color w:val="auto"/>
          <w:sz w:val="21"/>
          <w:szCs w:val="21"/>
        </w:rPr>
        <w:t>工作中存在伪造检测</w:t>
      </w:r>
      <w:r>
        <w:rPr>
          <w:rFonts w:hint="eastAsia" w:ascii="宋体" w:hAnsi="宋体" w:eastAsia="宋体" w:cs="宋体"/>
          <w:b/>
          <w:bCs/>
          <w:color w:val="auto"/>
          <w:sz w:val="21"/>
          <w:szCs w:val="21"/>
        </w:rPr>
        <w:t>和监测</w:t>
      </w:r>
      <w:r>
        <w:rPr>
          <w:rFonts w:hint="eastAsia" w:ascii="宋体" w:hAnsi="宋体" w:cs="宋体"/>
          <w:b/>
          <w:bCs/>
          <w:color w:val="auto"/>
          <w:sz w:val="21"/>
          <w:szCs w:val="21"/>
        </w:rPr>
        <w:t>数据、出具虚假检测</w:t>
      </w:r>
      <w:r>
        <w:rPr>
          <w:rFonts w:hint="eastAsia" w:ascii="宋体" w:hAnsi="宋体" w:eastAsia="宋体" w:cs="宋体"/>
          <w:b/>
          <w:bCs/>
          <w:color w:val="auto"/>
          <w:sz w:val="21"/>
          <w:szCs w:val="21"/>
        </w:rPr>
        <w:t>和监测</w:t>
      </w:r>
      <w:r>
        <w:rPr>
          <w:rFonts w:hint="eastAsia" w:ascii="宋体" w:hAnsi="宋体" w:cs="宋体"/>
          <w:b/>
          <w:bCs/>
          <w:color w:val="auto"/>
          <w:sz w:val="21"/>
          <w:szCs w:val="21"/>
        </w:rPr>
        <w:t>报告的行为被各级建设行政主管部门或市场监督管理部门行政处罚或通报的。</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四、</w:t>
      </w:r>
      <w:r>
        <w:rPr>
          <w:rFonts w:hint="eastAsia"/>
          <w:color w:val="auto"/>
          <w:sz w:val="21"/>
          <w:szCs w:val="21"/>
        </w:rPr>
        <w:t>本公司不存在招标文件第二章投标人须知第1.4.3项所规定的任何一种情形。</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六、与本公司单位负责人为同一人或者与本公司存在控股、管理关系的其他单位包括</w:t>
      </w:r>
      <w:r>
        <w:rPr>
          <w:rFonts w:hint="eastAsia" w:ascii="宋体" w:hAnsi="宋体" w:cs="宋体"/>
          <w:color w:val="auto"/>
          <w:sz w:val="21"/>
          <w:szCs w:val="21"/>
          <w:u w:val="single"/>
        </w:rPr>
        <w:t xml:space="preserve">    </w:t>
      </w:r>
      <w:r>
        <w:rPr>
          <w:rFonts w:hint="eastAsia" w:ascii="宋体" w:hAnsi="宋体" w:cs="宋体"/>
          <w:color w:val="auto"/>
          <w:sz w:val="21"/>
          <w:szCs w:val="21"/>
        </w:rPr>
        <w:t>。（注：本条由投标人如实填写， 如有， 应列出全部满足招标公告资质要求的相关单位的名称 ； 如无，则填写“无”。</w:t>
      </w:r>
      <w:r>
        <w:rPr>
          <w:rFonts w:hint="eastAsia" w:ascii="宋体" w:hAnsi="宋体" w:eastAsia="宋体" w:cs="宋体"/>
          <w:color w:val="auto"/>
          <w:sz w:val="21"/>
          <w:szCs w:val="21"/>
        </w:rPr>
        <w:t>）</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七、本公司承诺，中标后严格执行安全生产相关管理规定。 </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本公司违反上述保证，或本声明陈述与事实不符，经查实，本公司愿意接受公开通报，承担由此带来的法律后果，并自愿停止参加广州市行政辖区内的招标投标活动三个月。</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特此声明。</w:t>
      </w:r>
    </w:p>
    <w:p>
      <w:pPr>
        <w:pStyle w:val="27"/>
        <w:wordWrap w:val="0"/>
        <w:spacing w:line="400" w:lineRule="exact"/>
        <w:ind w:firstLine="0"/>
        <w:jc w:val="right"/>
        <w:rPr>
          <w:rFonts w:ascii="宋体" w:hAnsi="宋体" w:eastAsia="宋体" w:cs="宋体"/>
          <w:color w:val="auto"/>
          <w:sz w:val="21"/>
          <w:szCs w:val="21"/>
        </w:rPr>
      </w:pPr>
    </w:p>
    <w:p>
      <w:pPr>
        <w:pStyle w:val="27"/>
        <w:spacing w:line="400" w:lineRule="exact"/>
        <w:ind w:firstLine="0"/>
        <w:jc w:val="right"/>
        <w:rPr>
          <w:rFonts w:ascii="宋体" w:hAnsi="宋体" w:eastAsia="宋体" w:cs="宋体"/>
          <w:color w:val="auto"/>
          <w:sz w:val="21"/>
          <w:szCs w:val="21"/>
        </w:rPr>
      </w:pPr>
    </w:p>
    <w:p>
      <w:pPr>
        <w:pStyle w:val="27"/>
        <w:wordWrap w:val="0"/>
        <w:spacing w:line="400" w:lineRule="exact"/>
        <w:ind w:firstLine="0"/>
        <w:jc w:val="right"/>
        <w:rPr>
          <w:rFonts w:ascii="宋体" w:hAnsi="宋体" w:eastAsia="宋体" w:cs="宋体"/>
          <w:color w:val="auto"/>
          <w:sz w:val="21"/>
          <w:szCs w:val="21"/>
        </w:rPr>
      </w:pPr>
      <w:r>
        <w:rPr>
          <w:rFonts w:hint="eastAsia" w:ascii="宋体" w:hAnsi="宋体" w:eastAsia="宋体" w:cs="宋体"/>
          <w:color w:val="auto"/>
          <w:sz w:val="21"/>
          <w:szCs w:val="21"/>
        </w:rPr>
        <w:t>投标单位（盖公章）：</w:t>
      </w:r>
    </w:p>
    <w:p>
      <w:pPr>
        <w:pStyle w:val="27"/>
        <w:wordWrap w:val="0"/>
        <w:spacing w:line="400" w:lineRule="exact"/>
        <w:ind w:firstLine="0"/>
        <w:jc w:val="right"/>
        <w:rPr>
          <w:rFonts w:ascii="宋体" w:hAnsi="宋体" w:eastAsia="宋体" w:cs="宋体"/>
          <w:color w:val="auto"/>
          <w:sz w:val="21"/>
          <w:szCs w:val="21"/>
        </w:rPr>
      </w:pPr>
      <w:r>
        <w:rPr>
          <w:rFonts w:hint="eastAsia" w:ascii="宋体" w:hAnsi="宋体" w:eastAsia="宋体" w:cs="宋体"/>
          <w:color w:val="auto"/>
          <w:sz w:val="21"/>
          <w:szCs w:val="21"/>
        </w:rPr>
        <w:t>法定代表人或授权委托人（签字或盖章）：</w:t>
      </w:r>
    </w:p>
    <w:p>
      <w:pPr>
        <w:pStyle w:val="27"/>
        <w:wordWrap w:val="0"/>
        <w:spacing w:line="400" w:lineRule="exact"/>
        <w:ind w:firstLine="0"/>
        <w:jc w:val="right"/>
        <w:rPr>
          <w:rFonts w:ascii="宋体" w:hAnsi="宋体" w:eastAsia="宋体" w:cs="宋体"/>
          <w:color w:val="auto"/>
          <w:sz w:val="21"/>
          <w:szCs w:val="21"/>
        </w:rPr>
      </w:pP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rPr>
          <w:color w:val="auto"/>
        </w:rPr>
      </w:pPr>
      <w:r>
        <w:rPr>
          <w:rFonts w:hint="eastAsia" w:ascii="宋体" w:hAnsi="宋体" w:eastAsia="宋体" w:cs="宋体"/>
          <w:color w:val="auto"/>
          <w:sz w:val="21"/>
          <w:szCs w:val="21"/>
        </w:rPr>
        <w:br w:type="page"/>
      </w:r>
      <w:r>
        <w:rPr>
          <w:rFonts w:hint="eastAsia"/>
          <w:color w:val="auto"/>
        </w:rPr>
        <w:t>附件</w:t>
      </w:r>
      <w:r>
        <w:rPr>
          <w:rFonts w:hint="eastAsia" w:eastAsia="宋体"/>
          <w:color w:val="auto"/>
        </w:rPr>
        <w:t>二</w:t>
      </w:r>
      <w:r>
        <w:rPr>
          <w:rFonts w:hint="eastAsia"/>
          <w:color w:val="auto"/>
        </w:rPr>
        <w:t>：</w:t>
      </w:r>
    </w:p>
    <w:p>
      <w:pPr>
        <w:snapToGrid w:val="0"/>
        <w:spacing w:before="260" w:after="260" w:line="360" w:lineRule="auto"/>
        <w:ind w:right="384"/>
        <w:jc w:val="center"/>
        <w:rPr>
          <w:rFonts w:ascii="宋体" w:hAnsi="宋体" w:cs="宋体"/>
          <w:b/>
          <w:bCs/>
          <w:color w:val="auto"/>
          <w:kern w:val="0"/>
          <w:sz w:val="32"/>
          <w:szCs w:val="32"/>
        </w:rPr>
      </w:pPr>
      <w:r>
        <w:rPr>
          <w:rFonts w:hint="eastAsia" w:ascii="宋体" w:hAnsi="宋体" w:cs="宋体"/>
          <w:b/>
          <w:bCs/>
          <w:color w:val="auto"/>
          <w:kern w:val="0"/>
          <w:sz w:val="32"/>
          <w:szCs w:val="32"/>
        </w:rPr>
        <w:t>联合体协议书</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（所有成员单位名称）自愿组成</w:t>
      </w:r>
      <w:r>
        <w:rPr>
          <w:rFonts w:hint="eastAsia" w:ascii="宋体" w:hAnsi="宋体"/>
          <w:color w:val="auto"/>
          <w:sz w:val="21"/>
          <w:szCs w:val="21"/>
          <w:u w:val="single"/>
        </w:rPr>
        <w:t xml:space="preserve">        </w:t>
      </w:r>
      <w:r>
        <w:rPr>
          <w:rFonts w:hint="eastAsia" w:ascii="宋体" w:hAnsi="宋体"/>
          <w:color w:val="auto"/>
          <w:sz w:val="21"/>
          <w:szCs w:val="21"/>
        </w:rPr>
        <w:t>（联合体名称）联合体，共同参加</w:t>
      </w:r>
      <w:r>
        <w:rPr>
          <w:rFonts w:hint="eastAsia" w:ascii="宋体" w:hAnsi="宋体"/>
          <w:color w:val="auto"/>
          <w:sz w:val="21"/>
          <w:szCs w:val="21"/>
          <w:u w:val="single"/>
        </w:rPr>
        <w:t xml:space="preserve">             </w:t>
      </w:r>
      <w:r>
        <w:rPr>
          <w:rFonts w:hint="eastAsia" w:ascii="宋体" w:hAnsi="宋体"/>
          <w:color w:val="auto"/>
          <w:sz w:val="21"/>
          <w:szCs w:val="21"/>
        </w:rPr>
        <w:t>（项目名称）招标项目投标。现就联合体投标事宜订立如下协议。</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 xml:space="preserve">1. </w:t>
      </w:r>
      <w:r>
        <w:rPr>
          <w:rFonts w:hint="eastAsia" w:ascii="宋体" w:hAnsi="宋体"/>
          <w:color w:val="auto"/>
          <w:sz w:val="21"/>
          <w:szCs w:val="21"/>
          <w:u w:val="single"/>
        </w:rPr>
        <w:t xml:space="preserve">             </w:t>
      </w:r>
      <w:r>
        <w:rPr>
          <w:rFonts w:hint="eastAsia" w:ascii="宋体" w:hAnsi="宋体"/>
          <w:color w:val="auto"/>
          <w:sz w:val="21"/>
          <w:szCs w:val="21"/>
        </w:rPr>
        <w:t>（某成员单位名称）为</w:t>
      </w:r>
      <w:r>
        <w:rPr>
          <w:rFonts w:hint="eastAsia" w:ascii="宋体" w:hAnsi="宋体"/>
          <w:color w:val="auto"/>
          <w:sz w:val="21"/>
          <w:szCs w:val="21"/>
          <w:u w:val="single"/>
        </w:rPr>
        <w:t xml:space="preserve">             </w:t>
      </w:r>
      <w:r>
        <w:rPr>
          <w:rFonts w:hint="eastAsia" w:ascii="宋体" w:hAnsi="宋体"/>
          <w:color w:val="auto"/>
          <w:sz w:val="21"/>
          <w:szCs w:val="21"/>
        </w:rPr>
        <w:t>（联合体名称）牵头人。</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3. 联合体牵头人在本项目中签署的一切文件和处理的一切事宜，联合体各成员均予以承认。联合体各成员将严格按照招标文件、投标文件和合同的要求全面履行义务，并向招标人承担连带责任。</w:t>
      </w:r>
    </w:p>
    <w:p>
      <w:pPr>
        <w:snapToGrid w:val="0"/>
        <w:spacing w:after="0" w:line="400" w:lineRule="exact"/>
        <w:ind w:firstLine="420" w:firstLineChars="200"/>
        <w:rPr>
          <w:rFonts w:ascii="宋体" w:hAnsi="宋体"/>
          <w:color w:val="auto"/>
          <w:sz w:val="21"/>
          <w:szCs w:val="21"/>
          <w:u w:val="single"/>
        </w:rPr>
      </w:pPr>
      <w:r>
        <w:rPr>
          <w:rFonts w:hint="eastAsia" w:ascii="宋体" w:hAnsi="宋体"/>
          <w:color w:val="auto"/>
          <w:sz w:val="21"/>
          <w:szCs w:val="21"/>
        </w:rPr>
        <w:t>4. 联合体各成员单位内部的职责分工如下：</w:t>
      </w:r>
    </w:p>
    <w:p>
      <w:pPr>
        <w:topLinePunct/>
        <w:snapToGrid w:val="0"/>
        <w:spacing w:after="0" w:line="400" w:lineRule="exact"/>
        <w:ind w:firstLine="420" w:firstLineChars="200"/>
        <w:rPr>
          <w:rFonts w:ascii="宋体" w:hAnsi="宋体" w:cs="宋体"/>
          <w:color w:val="auto"/>
          <w:sz w:val="21"/>
          <w:szCs w:val="21"/>
          <w:u w:val="single"/>
        </w:rPr>
      </w:pPr>
      <w:r>
        <w:rPr>
          <w:rFonts w:hint="eastAsia" w:ascii="宋体" w:hAnsi="宋体" w:cs="宋体"/>
          <w:color w:val="auto"/>
          <w:sz w:val="21"/>
          <w:szCs w:val="21"/>
          <w:u w:val="single"/>
        </w:rPr>
        <w:t>①             ：</w:t>
      </w:r>
      <w:r>
        <w:rPr>
          <w:rFonts w:hint="eastAsia" w:ascii="宋体" w:hAnsi="宋体" w:cs="宋体"/>
          <w:color w:val="auto"/>
          <w:sz w:val="21"/>
          <w:szCs w:val="21"/>
        </w:rPr>
        <w:t>为整个项目的牵头人（主办方），具体负责</w:t>
      </w:r>
      <w:r>
        <w:rPr>
          <w:rFonts w:hint="eastAsia" w:ascii="宋体" w:hAnsi="宋体" w:cs="宋体"/>
          <w:color w:val="auto"/>
          <w:sz w:val="21"/>
          <w:szCs w:val="21"/>
          <w:u w:val="single"/>
        </w:rPr>
        <w:t xml:space="preserve">   （项目名称）  </w:t>
      </w:r>
      <w:r>
        <w:rPr>
          <w:rFonts w:hint="eastAsia" w:ascii="宋体" w:hAnsi="宋体" w:cs="宋体"/>
          <w:color w:val="auto"/>
          <w:sz w:val="21"/>
          <w:szCs w:val="21"/>
        </w:rPr>
        <w:t>的</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rPr>
        <w:t>，还负责管理的职责。若联合体成员方违约时，牵头人（主办方）应承担连带责任，具体按合同要求。</w:t>
      </w:r>
    </w:p>
    <w:p>
      <w:pPr>
        <w:topLinePunct/>
        <w:snapToGrid w:val="0"/>
        <w:spacing w:after="0" w:line="400" w:lineRule="exact"/>
        <w:ind w:firstLine="420" w:firstLineChars="200"/>
        <w:rPr>
          <w:rFonts w:ascii="宋体" w:hAnsi="宋体" w:cs="宋体"/>
          <w:color w:val="auto"/>
          <w:sz w:val="21"/>
          <w:szCs w:val="21"/>
          <w:u w:val="single"/>
        </w:rPr>
      </w:pPr>
      <w:r>
        <w:rPr>
          <w:rFonts w:hint="eastAsia" w:ascii="宋体" w:hAnsi="宋体" w:cs="宋体"/>
          <w:color w:val="auto"/>
          <w:sz w:val="21"/>
          <w:szCs w:val="21"/>
          <w:u w:val="single"/>
        </w:rPr>
        <w:t>②             ：</w:t>
      </w:r>
      <w:r>
        <w:rPr>
          <w:rFonts w:hint="eastAsia" w:ascii="宋体" w:hAnsi="宋体" w:cs="宋体"/>
          <w:color w:val="auto"/>
          <w:sz w:val="21"/>
          <w:szCs w:val="21"/>
        </w:rPr>
        <w:t>为整个项目的成员方，具体负责</w:t>
      </w:r>
      <w:r>
        <w:rPr>
          <w:rFonts w:hint="eastAsia" w:ascii="宋体" w:hAnsi="宋体" w:cs="宋体"/>
          <w:color w:val="auto"/>
          <w:sz w:val="21"/>
          <w:szCs w:val="21"/>
          <w:u w:val="single"/>
        </w:rPr>
        <w:t xml:space="preserve">   （项目名称）   </w:t>
      </w:r>
      <w:r>
        <w:rPr>
          <w:rFonts w:hint="eastAsia" w:ascii="宋体" w:hAnsi="宋体" w:cs="宋体"/>
          <w:color w:val="auto"/>
          <w:sz w:val="21"/>
          <w:szCs w:val="21"/>
        </w:rPr>
        <w:t>的</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rPr>
        <w:t>，具体按合同要求。</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5. 本协议书自所有成员单位法定代表人签字或盖单位章之日起生效，合同履行完毕后自动失效。</w:t>
      </w:r>
    </w:p>
    <w:p>
      <w:pPr>
        <w:pStyle w:val="15"/>
        <w:snapToGrid w:val="0"/>
        <w:spacing w:after="0" w:line="400" w:lineRule="exact"/>
        <w:ind w:left="440" w:leftChars="0"/>
        <w:rPr>
          <w:color w:val="auto"/>
          <w:sz w:val="21"/>
          <w:szCs w:val="21"/>
        </w:rPr>
      </w:pP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联合体牵头人名称：</w:t>
      </w:r>
      <w:r>
        <w:rPr>
          <w:rFonts w:hint="eastAsia" w:ascii="宋体" w:hAnsi="宋体"/>
          <w:color w:val="auto"/>
          <w:sz w:val="21"/>
          <w:szCs w:val="21"/>
          <w:u w:val="single"/>
        </w:rPr>
        <w:t xml:space="preserve">                  </w:t>
      </w:r>
      <w:r>
        <w:rPr>
          <w:rFonts w:hint="eastAsia" w:ascii="宋体" w:hAnsi="宋体"/>
          <w:color w:val="auto"/>
          <w:sz w:val="21"/>
          <w:szCs w:val="21"/>
        </w:rPr>
        <w:t>（盖单位章）</w:t>
      </w: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（签字或盖章）</w:t>
      </w:r>
    </w:p>
    <w:p>
      <w:pPr>
        <w:snapToGrid w:val="0"/>
        <w:spacing w:after="0" w:line="400" w:lineRule="exact"/>
        <w:rPr>
          <w:rFonts w:ascii="宋体" w:hAnsi="宋体"/>
          <w:color w:val="auto"/>
          <w:sz w:val="21"/>
          <w:szCs w:val="21"/>
        </w:rPr>
      </w:pP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联合体成员名称：</w:t>
      </w:r>
      <w:r>
        <w:rPr>
          <w:rFonts w:hint="eastAsia" w:ascii="宋体" w:hAnsi="宋体"/>
          <w:color w:val="auto"/>
          <w:sz w:val="21"/>
          <w:szCs w:val="21"/>
          <w:u w:val="single"/>
        </w:rPr>
        <w:t xml:space="preserve">                    </w:t>
      </w:r>
      <w:r>
        <w:rPr>
          <w:rFonts w:hint="eastAsia" w:ascii="宋体" w:hAnsi="宋体"/>
          <w:color w:val="auto"/>
          <w:sz w:val="21"/>
          <w:szCs w:val="21"/>
        </w:rPr>
        <w:t>（盖单位章）</w:t>
      </w: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（签字或盖章）</w:t>
      </w:r>
    </w:p>
    <w:p>
      <w:pPr>
        <w:snapToGrid w:val="0"/>
        <w:spacing w:after="0" w:line="400" w:lineRule="exact"/>
        <w:ind w:firstLine="4515" w:firstLineChars="2150"/>
        <w:rPr>
          <w:rFonts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snapToGrid w:val="0"/>
        <w:spacing w:after="0" w:line="400" w:lineRule="exact"/>
        <w:rPr>
          <w:rFonts w:ascii="宋体" w:hAnsi="宋体" w:cs="宋体"/>
          <w:b/>
          <w:bCs/>
          <w:color w:val="auto"/>
          <w:sz w:val="21"/>
          <w:szCs w:val="21"/>
          <w:u w:val="single"/>
          <w:lang w:val="zh-CN"/>
        </w:rPr>
      </w:pPr>
    </w:p>
    <w:p>
      <w:pPr>
        <w:snapToGrid w:val="0"/>
        <w:spacing w:after="0" w:line="400" w:lineRule="exact"/>
        <w:rPr>
          <w:rFonts w:ascii="宋体" w:hAnsi="宋体" w:cs="宋体"/>
          <w:b/>
          <w:bCs/>
          <w:color w:val="auto"/>
          <w:sz w:val="21"/>
          <w:szCs w:val="21"/>
          <w:u w:val="single"/>
          <w:lang w:val="zh-CN"/>
        </w:rPr>
      </w:pPr>
    </w:p>
    <w:p>
      <w:pPr>
        <w:snapToGrid w:val="0"/>
        <w:spacing w:after="0" w:line="400" w:lineRule="exact"/>
        <w:rPr>
          <w:rFonts w:ascii="宋体" w:hAnsi="宋体" w:cs="宋体"/>
          <w:b/>
          <w:bCs/>
          <w:color w:val="auto"/>
          <w:sz w:val="21"/>
          <w:szCs w:val="21"/>
          <w:u w:val="single"/>
          <w:lang w:val="zh-CN"/>
        </w:rPr>
      </w:pPr>
      <w:r>
        <w:rPr>
          <w:rFonts w:hint="eastAsia" w:ascii="宋体" w:hAnsi="宋体" w:cs="宋体"/>
          <w:b/>
          <w:bCs/>
          <w:color w:val="auto"/>
          <w:sz w:val="21"/>
          <w:szCs w:val="21"/>
          <w:u w:val="single"/>
          <w:lang w:val="zh-CN"/>
        </w:rPr>
        <w:t>注：</w:t>
      </w:r>
      <w:r>
        <w:rPr>
          <w:rFonts w:hint="eastAsia" w:ascii="宋体" w:hAnsi="宋体" w:eastAsia="宋体" w:cs="宋体"/>
          <w:b/>
          <w:bCs/>
          <w:color w:val="auto"/>
          <w:sz w:val="21"/>
          <w:szCs w:val="21"/>
          <w:u w:val="single"/>
        </w:rPr>
        <w:t>1、</w:t>
      </w:r>
      <w:r>
        <w:rPr>
          <w:rFonts w:hint="eastAsia" w:ascii="宋体" w:hAnsi="宋体" w:cs="宋体"/>
          <w:b/>
          <w:bCs/>
          <w:color w:val="auto"/>
          <w:sz w:val="21"/>
          <w:szCs w:val="21"/>
          <w:u w:val="single"/>
          <w:lang w:val="zh-CN"/>
        </w:rPr>
        <w:t>非联合体投标的，无需提交本协议书。</w:t>
      </w:r>
    </w:p>
    <w:p>
      <w:pPr>
        <w:widowControl w:val="0"/>
        <w:adjustRightInd w:val="0"/>
        <w:snapToGrid w:val="0"/>
        <w:spacing w:line="400" w:lineRule="exact"/>
        <w:jc w:val="both"/>
        <w:rPr>
          <w:rFonts w:ascii="宋体" w:hAnsi="宋体" w:eastAsia="宋体" w:cs="宋体"/>
          <w:color w:val="auto"/>
          <w:sz w:val="21"/>
          <w:szCs w:val="21"/>
        </w:rPr>
      </w:pPr>
    </w:p>
    <w:sectPr>
      <w:footerReference r:id="rId5" w:type="default"/>
      <w:pgSz w:w="11906" w:h="16838"/>
      <w:pgMar w:top="1440" w:right="1418" w:bottom="1440" w:left="1418"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9</w:t>
    </w:r>
    <w: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1C475B66"/>
    <w:rsid w:val="00004DD5"/>
    <w:rsid w:val="00062451"/>
    <w:rsid w:val="00087A46"/>
    <w:rsid w:val="00090CCF"/>
    <w:rsid w:val="00134FC2"/>
    <w:rsid w:val="0015417E"/>
    <w:rsid w:val="001B1300"/>
    <w:rsid w:val="001B7C8E"/>
    <w:rsid w:val="001D6BC6"/>
    <w:rsid w:val="001F0049"/>
    <w:rsid w:val="00276AFF"/>
    <w:rsid w:val="002B1372"/>
    <w:rsid w:val="003135DD"/>
    <w:rsid w:val="0031619D"/>
    <w:rsid w:val="00370E8E"/>
    <w:rsid w:val="0037137F"/>
    <w:rsid w:val="00376B44"/>
    <w:rsid w:val="00385AEA"/>
    <w:rsid w:val="003F2BA4"/>
    <w:rsid w:val="003F6ADF"/>
    <w:rsid w:val="00477D77"/>
    <w:rsid w:val="004C161A"/>
    <w:rsid w:val="004E0B8A"/>
    <w:rsid w:val="004E1055"/>
    <w:rsid w:val="004F0750"/>
    <w:rsid w:val="00517795"/>
    <w:rsid w:val="0053093A"/>
    <w:rsid w:val="00542CB4"/>
    <w:rsid w:val="005D5255"/>
    <w:rsid w:val="006001BD"/>
    <w:rsid w:val="0061043F"/>
    <w:rsid w:val="006661D4"/>
    <w:rsid w:val="006768EA"/>
    <w:rsid w:val="006F3182"/>
    <w:rsid w:val="00712841"/>
    <w:rsid w:val="00716C46"/>
    <w:rsid w:val="00726B32"/>
    <w:rsid w:val="0074017A"/>
    <w:rsid w:val="00752C92"/>
    <w:rsid w:val="007660F8"/>
    <w:rsid w:val="00794CF7"/>
    <w:rsid w:val="007C2921"/>
    <w:rsid w:val="007C7F47"/>
    <w:rsid w:val="008446CB"/>
    <w:rsid w:val="00863C02"/>
    <w:rsid w:val="00876E37"/>
    <w:rsid w:val="008B2D79"/>
    <w:rsid w:val="008E10FD"/>
    <w:rsid w:val="008F23AC"/>
    <w:rsid w:val="0094681D"/>
    <w:rsid w:val="00975FC0"/>
    <w:rsid w:val="009815EB"/>
    <w:rsid w:val="009863BB"/>
    <w:rsid w:val="009864A8"/>
    <w:rsid w:val="009956D7"/>
    <w:rsid w:val="00A76D2A"/>
    <w:rsid w:val="00AB7307"/>
    <w:rsid w:val="00AE7B68"/>
    <w:rsid w:val="00B30BEC"/>
    <w:rsid w:val="00B34CD0"/>
    <w:rsid w:val="00B62110"/>
    <w:rsid w:val="00B76FEC"/>
    <w:rsid w:val="00B87E79"/>
    <w:rsid w:val="00B93DD2"/>
    <w:rsid w:val="00B97704"/>
    <w:rsid w:val="00BE7F11"/>
    <w:rsid w:val="00C063C0"/>
    <w:rsid w:val="00C3152C"/>
    <w:rsid w:val="00C44906"/>
    <w:rsid w:val="00C67032"/>
    <w:rsid w:val="00C764BD"/>
    <w:rsid w:val="00C818D7"/>
    <w:rsid w:val="00CC1D0D"/>
    <w:rsid w:val="00CE10DD"/>
    <w:rsid w:val="00CF5808"/>
    <w:rsid w:val="00D23071"/>
    <w:rsid w:val="00D26B27"/>
    <w:rsid w:val="00D449E4"/>
    <w:rsid w:val="00DB5699"/>
    <w:rsid w:val="00DC13F6"/>
    <w:rsid w:val="00DE6AA7"/>
    <w:rsid w:val="00E07B2D"/>
    <w:rsid w:val="00E151E2"/>
    <w:rsid w:val="00E36327"/>
    <w:rsid w:val="00E50836"/>
    <w:rsid w:val="00E541FE"/>
    <w:rsid w:val="00E80A52"/>
    <w:rsid w:val="00E97ACA"/>
    <w:rsid w:val="00EA2F1A"/>
    <w:rsid w:val="00F14E83"/>
    <w:rsid w:val="00F201F8"/>
    <w:rsid w:val="00F33978"/>
    <w:rsid w:val="00F456C3"/>
    <w:rsid w:val="00F65466"/>
    <w:rsid w:val="00F720D0"/>
    <w:rsid w:val="00FD0ACB"/>
    <w:rsid w:val="01D2288C"/>
    <w:rsid w:val="01EA4EEE"/>
    <w:rsid w:val="02377801"/>
    <w:rsid w:val="02BF2706"/>
    <w:rsid w:val="03100052"/>
    <w:rsid w:val="03257571"/>
    <w:rsid w:val="03634828"/>
    <w:rsid w:val="036B1A36"/>
    <w:rsid w:val="04B42205"/>
    <w:rsid w:val="05083C26"/>
    <w:rsid w:val="065B0026"/>
    <w:rsid w:val="067D365B"/>
    <w:rsid w:val="08320D39"/>
    <w:rsid w:val="084814A7"/>
    <w:rsid w:val="08B4628F"/>
    <w:rsid w:val="09E355A2"/>
    <w:rsid w:val="09E65669"/>
    <w:rsid w:val="0B8E35CE"/>
    <w:rsid w:val="0B9F36AF"/>
    <w:rsid w:val="0C404519"/>
    <w:rsid w:val="0CF15E12"/>
    <w:rsid w:val="0D1031AB"/>
    <w:rsid w:val="0E172295"/>
    <w:rsid w:val="0E864141"/>
    <w:rsid w:val="0EA347EB"/>
    <w:rsid w:val="10C85432"/>
    <w:rsid w:val="112443F7"/>
    <w:rsid w:val="11442C1E"/>
    <w:rsid w:val="115C4694"/>
    <w:rsid w:val="121F3FF8"/>
    <w:rsid w:val="124631C9"/>
    <w:rsid w:val="15175270"/>
    <w:rsid w:val="161C5653"/>
    <w:rsid w:val="168C6C90"/>
    <w:rsid w:val="176C78FC"/>
    <w:rsid w:val="182A03F4"/>
    <w:rsid w:val="1851498C"/>
    <w:rsid w:val="185760AF"/>
    <w:rsid w:val="19014917"/>
    <w:rsid w:val="1A0C111B"/>
    <w:rsid w:val="1A8F42A9"/>
    <w:rsid w:val="1AB75A02"/>
    <w:rsid w:val="1B7F4848"/>
    <w:rsid w:val="1B8D3B96"/>
    <w:rsid w:val="1C475B66"/>
    <w:rsid w:val="1C907B1F"/>
    <w:rsid w:val="1DE61521"/>
    <w:rsid w:val="1E1D3E1D"/>
    <w:rsid w:val="1F057EE7"/>
    <w:rsid w:val="1F600535"/>
    <w:rsid w:val="1F9029BC"/>
    <w:rsid w:val="1FB30D56"/>
    <w:rsid w:val="20C004F1"/>
    <w:rsid w:val="21274D8A"/>
    <w:rsid w:val="21404B12"/>
    <w:rsid w:val="21585251"/>
    <w:rsid w:val="216D1A27"/>
    <w:rsid w:val="2186768B"/>
    <w:rsid w:val="21BB5E58"/>
    <w:rsid w:val="224D22D1"/>
    <w:rsid w:val="23DA7B95"/>
    <w:rsid w:val="241D5E97"/>
    <w:rsid w:val="24C5681F"/>
    <w:rsid w:val="256121B2"/>
    <w:rsid w:val="25B032A3"/>
    <w:rsid w:val="273C2B54"/>
    <w:rsid w:val="277B4C0F"/>
    <w:rsid w:val="27A603A8"/>
    <w:rsid w:val="2A2909C2"/>
    <w:rsid w:val="2A8820F8"/>
    <w:rsid w:val="2B1F4F68"/>
    <w:rsid w:val="2B4413A5"/>
    <w:rsid w:val="2BBB10D6"/>
    <w:rsid w:val="2D173C1C"/>
    <w:rsid w:val="2E3A6DB9"/>
    <w:rsid w:val="30213383"/>
    <w:rsid w:val="30442093"/>
    <w:rsid w:val="30822A6D"/>
    <w:rsid w:val="32D0288E"/>
    <w:rsid w:val="32FF7742"/>
    <w:rsid w:val="336A2726"/>
    <w:rsid w:val="33F407FF"/>
    <w:rsid w:val="35333459"/>
    <w:rsid w:val="361E1B63"/>
    <w:rsid w:val="36257E5F"/>
    <w:rsid w:val="37142CD6"/>
    <w:rsid w:val="37726037"/>
    <w:rsid w:val="37C64260"/>
    <w:rsid w:val="37CD3840"/>
    <w:rsid w:val="37F76B0F"/>
    <w:rsid w:val="38744319"/>
    <w:rsid w:val="38C71C5C"/>
    <w:rsid w:val="3A4F7BBA"/>
    <w:rsid w:val="3BEA779D"/>
    <w:rsid w:val="3D4526C8"/>
    <w:rsid w:val="3D931C10"/>
    <w:rsid w:val="3DC96858"/>
    <w:rsid w:val="3DDC4D17"/>
    <w:rsid w:val="3F904293"/>
    <w:rsid w:val="405421B7"/>
    <w:rsid w:val="406B584B"/>
    <w:rsid w:val="408847A8"/>
    <w:rsid w:val="41351EE1"/>
    <w:rsid w:val="414E505E"/>
    <w:rsid w:val="4328236E"/>
    <w:rsid w:val="43E425EB"/>
    <w:rsid w:val="444E76B3"/>
    <w:rsid w:val="44B80E87"/>
    <w:rsid w:val="44E82AA0"/>
    <w:rsid w:val="455537F1"/>
    <w:rsid w:val="47B9414E"/>
    <w:rsid w:val="47F078B6"/>
    <w:rsid w:val="481903DC"/>
    <w:rsid w:val="485E2293"/>
    <w:rsid w:val="48A318F4"/>
    <w:rsid w:val="48F549A5"/>
    <w:rsid w:val="49B90905"/>
    <w:rsid w:val="4A455A4A"/>
    <w:rsid w:val="4AA52C20"/>
    <w:rsid w:val="4AAF7198"/>
    <w:rsid w:val="4B553E21"/>
    <w:rsid w:val="4B6E0A3F"/>
    <w:rsid w:val="4CA11FD7"/>
    <w:rsid w:val="4DB141A3"/>
    <w:rsid w:val="4DF85594"/>
    <w:rsid w:val="4ED832D1"/>
    <w:rsid w:val="4EE266CB"/>
    <w:rsid w:val="4F556309"/>
    <w:rsid w:val="4FBF4D5D"/>
    <w:rsid w:val="514D38D5"/>
    <w:rsid w:val="5182116F"/>
    <w:rsid w:val="51A33B2B"/>
    <w:rsid w:val="51DC7622"/>
    <w:rsid w:val="527945E5"/>
    <w:rsid w:val="53130749"/>
    <w:rsid w:val="53AF602C"/>
    <w:rsid w:val="54BB13B6"/>
    <w:rsid w:val="54CB16ED"/>
    <w:rsid w:val="55385B47"/>
    <w:rsid w:val="55770846"/>
    <w:rsid w:val="56876E58"/>
    <w:rsid w:val="56DD5AEA"/>
    <w:rsid w:val="57074CAB"/>
    <w:rsid w:val="5A722590"/>
    <w:rsid w:val="5AB9705D"/>
    <w:rsid w:val="5AEA1577"/>
    <w:rsid w:val="5BC416A9"/>
    <w:rsid w:val="5C53181A"/>
    <w:rsid w:val="5C844636"/>
    <w:rsid w:val="5D230C5E"/>
    <w:rsid w:val="5D40376D"/>
    <w:rsid w:val="5DF4721D"/>
    <w:rsid w:val="5E21165F"/>
    <w:rsid w:val="5E3437D5"/>
    <w:rsid w:val="5F4F0289"/>
    <w:rsid w:val="5F9F50EF"/>
    <w:rsid w:val="606D0FC9"/>
    <w:rsid w:val="61F37C67"/>
    <w:rsid w:val="637F772F"/>
    <w:rsid w:val="63AA230B"/>
    <w:rsid w:val="65036B86"/>
    <w:rsid w:val="670B17E0"/>
    <w:rsid w:val="67862BC3"/>
    <w:rsid w:val="68136976"/>
    <w:rsid w:val="681B394E"/>
    <w:rsid w:val="68950B9A"/>
    <w:rsid w:val="68C857DA"/>
    <w:rsid w:val="692844CB"/>
    <w:rsid w:val="6A8601A3"/>
    <w:rsid w:val="6A8A218E"/>
    <w:rsid w:val="6B080110"/>
    <w:rsid w:val="6B0D29D3"/>
    <w:rsid w:val="6B5B0269"/>
    <w:rsid w:val="6B9503F8"/>
    <w:rsid w:val="6DD02D4C"/>
    <w:rsid w:val="6DD113FB"/>
    <w:rsid w:val="6F1D1938"/>
    <w:rsid w:val="6F2D45E9"/>
    <w:rsid w:val="706C2D6B"/>
    <w:rsid w:val="711E43A4"/>
    <w:rsid w:val="71224AF8"/>
    <w:rsid w:val="713739F4"/>
    <w:rsid w:val="722E0D4B"/>
    <w:rsid w:val="723F278F"/>
    <w:rsid w:val="72CA5346"/>
    <w:rsid w:val="72E06E0D"/>
    <w:rsid w:val="72E14A09"/>
    <w:rsid w:val="72E871A5"/>
    <w:rsid w:val="73223B99"/>
    <w:rsid w:val="73921D64"/>
    <w:rsid w:val="73A15E73"/>
    <w:rsid w:val="74AB0B00"/>
    <w:rsid w:val="75A31F7E"/>
    <w:rsid w:val="7607479C"/>
    <w:rsid w:val="765E32DA"/>
    <w:rsid w:val="782A2047"/>
    <w:rsid w:val="78C62EC1"/>
    <w:rsid w:val="79A436FA"/>
    <w:rsid w:val="79FF1EA6"/>
    <w:rsid w:val="7A254767"/>
    <w:rsid w:val="7AC45B03"/>
    <w:rsid w:val="7AE7163E"/>
    <w:rsid w:val="7B061086"/>
    <w:rsid w:val="7BB052F6"/>
    <w:rsid w:val="7CB01966"/>
    <w:rsid w:val="7CB7520E"/>
    <w:rsid w:val="7DFC5EC1"/>
    <w:rsid w:val="7F3F4ECC"/>
    <w:rsid w:val="7F4A728E"/>
    <w:rsid w:val="7F7C6065"/>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5">
    <w:name w:val="Normal Indent"/>
    <w:basedOn w:val="1"/>
    <w:next w:val="1"/>
    <w:qFormat/>
    <w:uiPriority w:val="0"/>
    <w:pPr>
      <w:ind w:firstLine="420"/>
    </w:pPr>
    <w:rPr>
      <w:kern w:val="0"/>
      <w:sz w:val="20"/>
      <w:szCs w:val="20"/>
    </w:rPr>
  </w:style>
  <w:style w:type="paragraph" w:styleId="6">
    <w:name w:val="Document Map"/>
    <w:basedOn w:val="1"/>
    <w:link w:val="20"/>
    <w:uiPriority w:val="0"/>
    <w:rPr>
      <w:rFonts w:ascii="宋体" w:eastAsia="宋体"/>
      <w:sz w:val="18"/>
      <w:szCs w:val="18"/>
    </w:rPr>
  </w:style>
  <w:style w:type="paragraph" w:styleId="7">
    <w:name w:val="annotation text"/>
    <w:basedOn w:val="1"/>
    <w:uiPriority w:val="0"/>
  </w:style>
  <w:style w:type="paragraph" w:styleId="8">
    <w:name w:val="Body Text"/>
    <w:basedOn w:val="1"/>
    <w:link w:val="21"/>
    <w:unhideWhenUsed/>
    <w:qFormat/>
    <w:uiPriority w:val="99"/>
    <w:pPr>
      <w:spacing w:after="120"/>
    </w:pPr>
    <w:rPr>
      <w:rFonts w:cs="Times New Roman"/>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qFormat/>
    <w:uiPriority w:val="0"/>
    <w:pPr>
      <w:snapToGrid w:val="0"/>
    </w:pPr>
    <w:rPr>
      <w:rFonts w:ascii="Arial" w:hAnsi="Arial" w:cs="Arial"/>
    </w:rPr>
  </w:style>
  <w:style w:type="paragraph" w:styleId="11">
    <w:name w:val="Plain Text"/>
    <w:basedOn w:val="1"/>
    <w:next w:val="1"/>
    <w:qFormat/>
    <w:uiPriority w:val="99"/>
    <w:rPr>
      <w:rFonts w:ascii="宋体"/>
      <w:kern w:val="0"/>
      <w:sz w:val="20"/>
      <w:szCs w:val="20"/>
    </w:rPr>
  </w:style>
  <w:style w:type="paragraph" w:styleId="12">
    <w:name w:val="Balloon Text"/>
    <w:basedOn w:val="1"/>
    <w:link w:val="22"/>
    <w:uiPriority w:val="0"/>
    <w:pPr>
      <w:spacing w:after="0" w:line="240" w:lineRule="auto"/>
    </w:pPr>
    <w:rPr>
      <w:rFonts w:cs="Times New Roman"/>
      <w:sz w:val="18"/>
      <w:szCs w:val="18"/>
    </w:rPr>
  </w:style>
  <w:style w:type="paragraph" w:styleId="13">
    <w:name w:val="footer"/>
    <w:basedOn w:val="1"/>
    <w:link w:val="23"/>
    <w:uiPriority w:val="99"/>
    <w:pPr>
      <w:tabs>
        <w:tab w:val="center" w:pos="4153"/>
        <w:tab w:val="right" w:pos="8306"/>
      </w:tabs>
      <w:snapToGrid w:val="0"/>
      <w:spacing w:line="240" w:lineRule="auto"/>
    </w:pPr>
    <w:rPr>
      <w:rFonts w:cs="Times New Roman"/>
      <w:sz w:val="18"/>
      <w:szCs w:val="18"/>
    </w:rPr>
  </w:style>
  <w:style w:type="paragraph" w:styleId="14">
    <w:name w:val="header"/>
    <w:basedOn w:val="1"/>
    <w:link w:val="24"/>
    <w:uiPriority w:val="0"/>
    <w:pPr>
      <w:pBdr>
        <w:bottom w:val="single" w:color="auto" w:sz="6" w:space="1"/>
      </w:pBdr>
      <w:tabs>
        <w:tab w:val="center" w:pos="4153"/>
        <w:tab w:val="right" w:pos="8306"/>
      </w:tabs>
      <w:snapToGrid w:val="0"/>
      <w:spacing w:line="240" w:lineRule="auto"/>
      <w:jc w:val="center"/>
    </w:pPr>
    <w:rPr>
      <w:rFonts w:cs="Times New Roman"/>
      <w:sz w:val="18"/>
      <w:szCs w:val="18"/>
    </w:rPr>
  </w:style>
  <w:style w:type="paragraph" w:styleId="15">
    <w:name w:val="Body Text First Indent 2"/>
    <w:basedOn w:val="9"/>
    <w:unhideWhenUsed/>
    <w:qFormat/>
    <w:uiPriority w:val="0"/>
    <w:pPr>
      <w:ind w:firstLine="420" w:firstLineChars="200"/>
    </w:pPr>
  </w:style>
  <w:style w:type="character" w:styleId="18">
    <w:name w:val="Hyperlink"/>
    <w:unhideWhenUsed/>
    <w:qFormat/>
    <w:uiPriority w:val="99"/>
    <w:rPr>
      <w:color w:val="0563C1"/>
      <w:u w:val="single"/>
    </w:rPr>
  </w:style>
  <w:style w:type="character" w:styleId="19">
    <w:name w:val="annotation reference"/>
    <w:basedOn w:val="17"/>
    <w:uiPriority w:val="0"/>
    <w:rPr>
      <w:sz w:val="21"/>
      <w:szCs w:val="21"/>
    </w:rPr>
  </w:style>
  <w:style w:type="character" w:customStyle="1" w:styleId="20">
    <w:name w:val="文档结构图 Char"/>
    <w:link w:val="6"/>
    <w:uiPriority w:val="0"/>
    <w:rPr>
      <w:rFonts w:ascii="宋体" w:hAnsi="Calibri" w:cs="Calibri"/>
      <w:color w:val="000000"/>
      <w:kern w:val="2"/>
      <w:sz w:val="18"/>
      <w:szCs w:val="18"/>
    </w:rPr>
  </w:style>
  <w:style w:type="character" w:customStyle="1" w:styleId="21">
    <w:name w:val="正文文本 Char"/>
    <w:link w:val="8"/>
    <w:uiPriority w:val="99"/>
    <w:rPr>
      <w:rFonts w:ascii="Calibri" w:hAnsi="Calibri" w:eastAsia="Calibri"/>
      <w:color w:val="000000"/>
      <w:kern w:val="2"/>
      <w:sz w:val="22"/>
      <w:szCs w:val="22"/>
    </w:rPr>
  </w:style>
  <w:style w:type="character" w:customStyle="1" w:styleId="22">
    <w:name w:val="批注框文本 Char"/>
    <w:link w:val="12"/>
    <w:uiPriority w:val="0"/>
    <w:rPr>
      <w:rFonts w:ascii="Calibri" w:hAnsi="Calibri" w:eastAsia="Calibri" w:cs="Calibri"/>
      <w:color w:val="000000"/>
      <w:kern w:val="2"/>
      <w:sz w:val="18"/>
      <w:szCs w:val="18"/>
    </w:rPr>
  </w:style>
  <w:style w:type="character" w:customStyle="1" w:styleId="23">
    <w:name w:val="页脚 Char"/>
    <w:link w:val="13"/>
    <w:uiPriority w:val="99"/>
    <w:rPr>
      <w:rFonts w:ascii="Calibri" w:hAnsi="Calibri" w:eastAsia="Calibri" w:cs="Calibri"/>
      <w:color w:val="000000"/>
      <w:kern w:val="2"/>
      <w:sz w:val="18"/>
      <w:szCs w:val="18"/>
    </w:rPr>
  </w:style>
  <w:style w:type="character" w:customStyle="1" w:styleId="24">
    <w:name w:val="页眉 Char"/>
    <w:link w:val="14"/>
    <w:uiPriority w:val="0"/>
    <w:rPr>
      <w:rFonts w:ascii="Calibri" w:hAnsi="Calibri" w:eastAsia="Calibri" w:cs="Calibri"/>
      <w:color w:val="000000"/>
      <w:kern w:val="2"/>
      <w:sz w:val="18"/>
      <w:szCs w:val="18"/>
    </w:rPr>
  </w:style>
  <w:style w:type="character" w:customStyle="1" w:styleId="25">
    <w:name w:val="Span_underline"/>
    <w:qFormat/>
    <w:uiPriority w:val="0"/>
    <w:rPr>
      <w:u w:val="single"/>
    </w:rPr>
  </w:style>
  <w:style w:type="paragraph" w:customStyle="1" w:styleId="26">
    <w:name w:val="p0"/>
    <w:basedOn w:val="1"/>
    <w:qFormat/>
    <w:uiPriority w:val="0"/>
    <w:pPr>
      <w:spacing w:before="75" w:after="75"/>
    </w:pPr>
    <w:rPr>
      <w:rFonts w:ascii="宋体" w:hAnsi="宋体" w:cs="宋体"/>
      <w:kern w:val="0"/>
      <w:sz w:val="24"/>
      <w:szCs w:val="24"/>
    </w:rPr>
  </w:style>
  <w:style w:type="paragraph" w:customStyle="1" w:styleId="27">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Revision"/>
    <w:unhideWhenUsed/>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6526</Words>
  <Characters>6939</Characters>
  <Lines>53</Lines>
  <Paragraphs>15</Paragraphs>
  <TotalTime>3</TotalTime>
  <ScaleCrop>false</ScaleCrop>
  <LinksUpToDate>false</LinksUpToDate>
  <CharactersWithSpaces>7392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2023-07-11T11:37:00Z</dcterms:created>
  <dc:creator>Administrator</dc:creator>
  <cp:lastModifiedBy>Administrator</cp:lastModifiedBy>
  <cp:lastPrinted>2023-05-11T07:15:00Z</cp:lastPrinted>
  <dcterms:modified xsi:type="dcterms:W3CDTF">2023-07-12T01:24:09Z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7BE6B3506DF74815B00BE111C87F3BA8</vt:lpwstr>
  </property>
</Properties>
</file>