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right"/>
        <w:rPr>
          <w:rFonts w:ascii="宋体" w:hAnsi="宋体"/>
          <w:sz w:val="36"/>
          <w:szCs w:val="36"/>
        </w:rPr>
      </w:pPr>
      <w:bookmarkStart w:id="0" w:name="_Toc197843635"/>
      <w:bookmarkStart w:id="1" w:name="_Toc251569647"/>
      <w:bookmarkStart w:id="2" w:name="_Toc288578279"/>
    </w:p>
    <w:p>
      <w:pPr>
        <w:widowControl/>
        <w:autoSpaceDE w:val="0"/>
        <w:autoSpaceDN w:val="0"/>
        <w:adjustRightInd w:val="0"/>
        <w:spacing w:after="160" w:line="360" w:lineRule="auto"/>
        <w:jc w:val="center"/>
        <w:rPr>
          <w:rFonts w:ascii="Calibri" w:hAnsi="Calibri" w:eastAsia="楷体_GB2312" w:cs="Calibri"/>
          <w:b/>
          <w:bCs/>
          <w:shadow/>
          <w:color w:val="auto"/>
          <w:spacing w:val="26"/>
          <w:sz w:val="52"/>
          <w:szCs w:val="110"/>
          <w:highlight w:val="none"/>
        </w:rPr>
      </w:pPr>
      <w:r>
        <w:rPr>
          <w:rFonts w:hint="eastAsia" w:ascii="Calibri" w:hAnsi="Calibri" w:eastAsia="楷体_GB2312" w:cs="Calibri"/>
          <w:b/>
          <w:bCs/>
          <w:shadow/>
          <w:color w:val="auto"/>
          <w:spacing w:val="26"/>
          <w:sz w:val="52"/>
          <w:szCs w:val="110"/>
          <w:highlight w:val="none"/>
        </w:rPr>
        <w:t>开发区半导体创新智造园项目</w:t>
      </w:r>
    </w:p>
    <w:p>
      <w:pPr>
        <w:widowControl/>
        <w:autoSpaceDE w:val="0"/>
        <w:autoSpaceDN w:val="0"/>
        <w:adjustRightInd w:val="0"/>
        <w:spacing w:after="160" w:line="360" w:lineRule="auto"/>
        <w:jc w:val="center"/>
        <w:rPr>
          <w:rFonts w:ascii="Calibri" w:hAnsi="Calibri" w:eastAsia="楷体_GB2312" w:cs="Calibri"/>
          <w:b/>
          <w:bCs/>
          <w:shadow/>
          <w:color w:val="auto"/>
          <w:spacing w:val="26"/>
          <w:sz w:val="52"/>
          <w:szCs w:val="110"/>
          <w:highlight w:val="none"/>
        </w:rPr>
      </w:pPr>
      <w:r>
        <w:rPr>
          <w:rFonts w:hint="eastAsia" w:ascii="Calibri" w:hAnsi="Calibri" w:eastAsia="楷体_GB2312" w:cs="Calibri"/>
          <w:b/>
          <w:bCs/>
          <w:shadow/>
          <w:color w:val="auto"/>
          <w:spacing w:val="26"/>
          <w:sz w:val="52"/>
          <w:szCs w:val="110"/>
          <w:highlight w:val="none"/>
        </w:rPr>
        <w:t>第三方检测和监测服务</w:t>
      </w:r>
    </w:p>
    <w:p>
      <w:pPr>
        <w:widowControl/>
        <w:autoSpaceDE w:val="0"/>
        <w:autoSpaceDN w:val="0"/>
        <w:adjustRightInd w:val="0"/>
        <w:spacing w:after="160" w:line="360" w:lineRule="auto"/>
        <w:jc w:val="center"/>
        <w:rPr>
          <w:rFonts w:ascii="Calibri" w:hAnsi="Calibri" w:eastAsia="楷体_GB2312" w:cs="Calibri"/>
          <w:b/>
          <w:bCs/>
          <w:shadow/>
          <w:color w:val="auto"/>
          <w:spacing w:val="26"/>
          <w:sz w:val="52"/>
          <w:szCs w:val="110"/>
          <w:highlight w:val="none"/>
        </w:rPr>
      </w:pPr>
    </w:p>
    <w:p>
      <w:pPr>
        <w:pStyle w:val="4"/>
        <w:rPr>
          <w:color w:val="auto"/>
          <w:highlight w:val="none"/>
        </w:rPr>
      </w:pPr>
    </w:p>
    <w:p>
      <w:pPr>
        <w:spacing w:line="400" w:lineRule="exact"/>
        <w:jc w:val="center"/>
        <w:rPr>
          <w:rFonts w:ascii="宋体" w:hAnsi="宋体"/>
          <w:color w:val="auto"/>
          <w:sz w:val="32"/>
          <w:szCs w:val="32"/>
          <w:highlight w:val="none"/>
        </w:rPr>
      </w:pPr>
    </w:p>
    <w:p>
      <w:pPr>
        <w:jc w:val="center"/>
        <w:rPr>
          <w:rFonts w:ascii="宋体" w:hAnsi="宋体"/>
          <w:color w:val="auto"/>
          <w:sz w:val="32"/>
          <w:szCs w:val="32"/>
          <w:highlight w:val="none"/>
          <w:u w:val="single"/>
        </w:rPr>
      </w:pPr>
    </w:p>
    <w:p>
      <w:pPr>
        <w:widowControl/>
        <w:spacing w:after="160" w:line="360" w:lineRule="auto"/>
        <w:jc w:val="center"/>
        <w:rPr>
          <w:rFonts w:ascii="Calibri" w:hAnsi="Calibri" w:eastAsia="楷体_GB2312" w:cs="Calibri"/>
          <w:b/>
          <w:bCs/>
          <w:shadow/>
          <w:color w:val="auto"/>
          <w:spacing w:val="26"/>
          <w:sz w:val="110"/>
          <w:szCs w:val="110"/>
          <w:highlight w:val="none"/>
        </w:rPr>
      </w:pPr>
      <w:r>
        <w:rPr>
          <w:rFonts w:hint="eastAsia" w:ascii="Calibri" w:hAnsi="Calibri" w:eastAsia="楷体_GB2312" w:cs="Calibri"/>
          <w:b/>
          <w:bCs/>
          <w:shadow/>
          <w:color w:val="auto"/>
          <w:spacing w:val="26"/>
          <w:sz w:val="110"/>
          <w:szCs w:val="110"/>
          <w:highlight w:val="none"/>
        </w:rPr>
        <w:t>招标文件</w:t>
      </w: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jc w:val="center"/>
        <w:rPr>
          <w:rFonts w:ascii="宋体" w:hAnsi="宋体"/>
          <w:color w:val="auto"/>
          <w:sz w:val="32"/>
          <w:szCs w:val="32"/>
          <w:highlight w:val="none"/>
          <w:u w:val="single"/>
        </w:rPr>
      </w:pPr>
    </w:p>
    <w:p>
      <w:pPr>
        <w:rPr>
          <w:rFonts w:ascii="宋体" w:hAnsi="宋体"/>
          <w:color w:val="auto"/>
          <w:sz w:val="32"/>
          <w:szCs w:val="32"/>
          <w:highlight w:val="none"/>
          <w:u w:val="single"/>
        </w:rPr>
      </w:pPr>
    </w:p>
    <w:p>
      <w:pPr>
        <w:snapToGrid w:val="0"/>
        <w:spacing w:line="360" w:lineRule="auto"/>
        <w:ind w:firstLine="562" w:firstLineChars="200"/>
        <w:rPr>
          <w:rFonts w:ascii="宋体" w:hAnsi="宋体"/>
          <w:b/>
          <w:color w:val="auto"/>
          <w:sz w:val="28"/>
          <w:szCs w:val="24"/>
          <w:highlight w:val="none"/>
        </w:rPr>
      </w:pPr>
    </w:p>
    <w:p>
      <w:pPr>
        <w:autoSpaceDE w:val="0"/>
        <w:autoSpaceDN w:val="0"/>
        <w:adjustRightInd w:val="0"/>
        <w:spacing w:line="360" w:lineRule="auto"/>
        <w:ind w:firstLine="1205"/>
        <w:outlineLvl w:val="0"/>
        <w:rPr>
          <w:rFonts w:ascii="宋体" w:hAnsi="宋体" w:cs="宋体"/>
          <w:b/>
          <w:bCs/>
          <w:color w:val="auto"/>
          <w:sz w:val="30"/>
          <w:szCs w:val="30"/>
          <w:highlight w:val="none"/>
          <w:u w:val="single"/>
          <w:lang w:val="zh-CN"/>
        </w:rPr>
      </w:pPr>
      <w:bookmarkStart w:id="3" w:name="_Toc24811"/>
      <w:r>
        <w:rPr>
          <w:rFonts w:hint="eastAsia" w:ascii="宋体" w:hAnsi="宋体" w:cs="宋体"/>
          <w:b/>
          <w:bCs/>
          <w:color w:val="auto"/>
          <w:sz w:val="30"/>
          <w:szCs w:val="30"/>
          <w:highlight w:val="none"/>
          <w:lang w:val="zh-CN"/>
        </w:rPr>
        <w:t>招标人：</w:t>
      </w:r>
      <w:r>
        <w:rPr>
          <w:rFonts w:hint="eastAsia" w:ascii="宋体" w:hAnsi="宋体" w:cs="宋体"/>
          <w:b/>
          <w:bCs/>
          <w:color w:val="auto"/>
          <w:sz w:val="30"/>
          <w:szCs w:val="30"/>
          <w:highlight w:val="none"/>
          <w:u w:val="single"/>
          <w:lang w:val="zh-CN"/>
        </w:rPr>
        <w:t>广州增城智创产业园开发管理有限公司</w:t>
      </w:r>
      <w:bookmarkEnd w:id="3"/>
    </w:p>
    <w:p>
      <w:pPr>
        <w:autoSpaceDE w:val="0"/>
        <w:autoSpaceDN w:val="0"/>
        <w:adjustRightInd w:val="0"/>
        <w:spacing w:line="360" w:lineRule="auto"/>
        <w:ind w:firstLine="1205"/>
        <w:outlineLvl w:val="0"/>
        <w:rPr>
          <w:rFonts w:ascii="宋体" w:hAnsi="宋体" w:cs="宋体"/>
          <w:b/>
          <w:bCs/>
          <w:color w:val="auto"/>
          <w:sz w:val="30"/>
          <w:szCs w:val="30"/>
          <w:highlight w:val="none"/>
          <w:u w:val="single"/>
        </w:rPr>
      </w:pPr>
      <w:bookmarkStart w:id="4" w:name="_Toc13334"/>
      <w:r>
        <w:rPr>
          <w:rFonts w:hint="eastAsia" w:ascii="宋体" w:hAnsi="宋体" w:cs="宋体"/>
          <w:b/>
          <w:bCs/>
          <w:color w:val="auto"/>
          <w:sz w:val="30"/>
          <w:szCs w:val="30"/>
          <w:highlight w:val="none"/>
          <w:lang w:val="zh-CN"/>
        </w:rPr>
        <w:t>招标代理机构：</w:t>
      </w:r>
      <w:r>
        <w:rPr>
          <w:rFonts w:hint="eastAsia" w:ascii="宋体" w:hAnsi="宋体" w:cs="宋体"/>
          <w:b/>
          <w:bCs/>
          <w:color w:val="auto"/>
          <w:sz w:val="30"/>
          <w:szCs w:val="30"/>
          <w:highlight w:val="none"/>
          <w:u w:val="single"/>
          <w:lang w:val="zh-CN"/>
        </w:rPr>
        <w:t>广州永安工程管理有限公司</w:t>
      </w:r>
      <w:bookmarkEnd w:id="4"/>
    </w:p>
    <w:p>
      <w:pPr>
        <w:spacing w:line="360" w:lineRule="auto"/>
        <w:ind w:firstLine="1193" w:firstLineChars="396"/>
        <w:outlineLvl w:val="0"/>
        <w:rPr>
          <w:rFonts w:ascii="宋体" w:hAnsi="宋体" w:cs="宋体"/>
          <w:b/>
          <w:bCs/>
          <w:color w:val="auto"/>
          <w:sz w:val="30"/>
          <w:szCs w:val="30"/>
          <w:highlight w:val="none"/>
          <w:lang w:val="zh-CN"/>
        </w:rPr>
      </w:pPr>
      <w:bookmarkStart w:id="5" w:name="_Toc16641"/>
      <w:r>
        <w:rPr>
          <w:rFonts w:hint="eastAsia" w:ascii="宋体" w:hAnsi="宋体" w:cs="宋体"/>
          <w:b/>
          <w:bCs/>
          <w:color w:val="auto"/>
          <w:sz w:val="30"/>
          <w:szCs w:val="30"/>
          <w:highlight w:val="none"/>
          <w:lang w:val="zh-CN"/>
        </w:rPr>
        <w:t>日</w:t>
      </w:r>
      <w:r>
        <w:rPr>
          <w:rFonts w:hint="eastAsia" w:ascii="宋体" w:hAnsi="宋体" w:cs="宋体"/>
          <w:b/>
          <w:bCs/>
          <w:color w:val="auto"/>
          <w:sz w:val="30"/>
          <w:szCs w:val="30"/>
          <w:highlight w:val="none"/>
        </w:rPr>
        <w:t xml:space="preserve">   </w:t>
      </w:r>
      <w:r>
        <w:rPr>
          <w:rFonts w:hint="eastAsia" w:ascii="宋体" w:hAnsi="宋体" w:cs="宋体"/>
          <w:b/>
          <w:bCs/>
          <w:color w:val="auto"/>
          <w:sz w:val="30"/>
          <w:szCs w:val="30"/>
          <w:highlight w:val="none"/>
          <w:lang w:val="zh-CN"/>
        </w:rPr>
        <w:t>期：</w:t>
      </w:r>
      <w:r>
        <w:rPr>
          <w:rFonts w:hint="eastAsia" w:ascii="宋体" w:hAnsi="宋体" w:cs="宋体"/>
          <w:b/>
          <w:bCs/>
          <w:color w:val="auto"/>
          <w:sz w:val="30"/>
          <w:szCs w:val="30"/>
          <w:highlight w:val="none"/>
          <w:u w:val="single"/>
          <w:lang w:val="zh-CN"/>
        </w:rPr>
        <w:t>20</w:t>
      </w:r>
      <w:r>
        <w:rPr>
          <w:rFonts w:hint="eastAsia" w:ascii="宋体" w:hAnsi="宋体" w:cs="宋体"/>
          <w:b/>
          <w:bCs/>
          <w:color w:val="auto"/>
          <w:sz w:val="30"/>
          <w:szCs w:val="30"/>
          <w:highlight w:val="none"/>
          <w:u w:val="single"/>
        </w:rPr>
        <w:t>23</w:t>
      </w:r>
      <w:r>
        <w:rPr>
          <w:rFonts w:hint="eastAsia" w:ascii="宋体" w:hAnsi="宋体" w:cs="宋体"/>
          <w:b/>
          <w:bCs/>
          <w:color w:val="auto"/>
          <w:sz w:val="30"/>
          <w:szCs w:val="30"/>
          <w:highlight w:val="none"/>
          <w:lang w:val="zh-CN"/>
        </w:rPr>
        <w:t>年</w:t>
      </w:r>
      <w:r>
        <w:rPr>
          <w:rFonts w:hint="eastAsia" w:ascii="宋体" w:hAnsi="宋体" w:cs="宋体"/>
          <w:b/>
          <w:bCs/>
          <w:color w:val="auto"/>
          <w:sz w:val="30"/>
          <w:szCs w:val="30"/>
          <w:highlight w:val="none"/>
          <w:u w:val="single"/>
        </w:rPr>
        <w:t>7</w:t>
      </w:r>
      <w:r>
        <w:rPr>
          <w:rFonts w:hint="eastAsia" w:ascii="宋体" w:hAnsi="宋体" w:cs="宋体"/>
          <w:b/>
          <w:bCs/>
          <w:color w:val="auto"/>
          <w:sz w:val="30"/>
          <w:szCs w:val="30"/>
          <w:highlight w:val="none"/>
          <w:lang w:val="zh-CN"/>
        </w:rPr>
        <w:t>月</w:t>
      </w:r>
      <w:bookmarkEnd w:id="5"/>
    </w:p>
    <w:p>
      <w:pPr>
        <w:jc w:val="center"/>
        <w:rPr>
          <w:rFonts w:ascii="宋体" w:hAnsi="宋体" w:cs="宋体"/>
          <w:color w:val="auto"/>
          <w:sz w:val="36"/>
          <w:szCs w:val="36"/>
          <w:highlight w:val="none"/>
        </w:rPr>
        <w:sectPr>
          <w:pgSz w:w="11906" w:h="16838"/>
          <w:pgMar w:top="1440" w:right="1418" w:bottom="1440" w:left="1418" w:header="851" w:footer="992" w:gutter="0"/>
          <w:cols w:space="720" w:num="1"/>
          <w:docGrid w:type="lines" w:linePitch="312" w:charSpace="0"/>
        </w:sectPr>
      </w:pPr>
    </w:p>
    <w:p>
      <w:pPr>
        <w:spacing w:line="360" w:lineRule="auto"/>
        <w:jc w:val="center"/>
        <w:rPr>
          <w:rFonts w:ascii="宋体" w:hAnsi="宋体"/>
          <w:bCs/>
          <w:color w:val="auto"/>
          <w:sz w:val="52"/>
          <w:highlight w:val="none"/>
        </w:rPr>
      </w:pPr>
      <w:r>
        <w:rPr>
          <w:rFonts w:hint="eastAsia" w:ascii="宋体" w:hAnsi="宋体"/>
          <w:bCs/>
          <w:color w:val="auto"/>
          <w:sz w:val="52"/>
          <w:highlight w:val="none"/>
        </w:rPr>
        <w:t>重要提示</w:t>
      </w:r>
    </w:p>
    <w:p>
      <w:pPr>
        <w:spacing w:line="360" w:lineRule="auto"/>
        <w:ind w:firstLine="537" w:firstLineChars="224"/>
        <w:jc w:val="center"/>
        <w:rPr>
          <w:rFonts w:ascii="宋体" w:hAnsi="宋体"/>
          <w:bCs/>
          <w:color w:val="auto"/>
          <w:sz w:val="24"/>
          <w:highlight w:val="none"/>
        </w:rPr>
      </w:pPr>
    </w:p>
    <w:p>
      <w:pPr>
        <w:spacing w:line="360" w:lineRule="auto"/>
        <w:ind w:firstLine="480" w:firstLineChars="200"/>
        <w:rPr>
          <w:rFonts w:ascii="宋体" w:hAnsi="宋体"/>
          <w:color w:val="auto"/>
          <w:sz w:val="24"/>
          <w:highlight w:val="none"/>
        </w:rPr>
      </w:pPr>
      <w:r>
        <w:rPr>
          <w:rFonts w:hint="eastAsia" w:ascii="宋体" w:hAnsi="宋体"/>
          <w:color w:val="auto"/>
          <w:sz w:val="24"/>
          <w:highlight w:val="none"/>
        </w:rPr>
        <w:t>本项目实施电子招投标，投标人应先认真阅读</w:t>
      </w:r>
      <w:r>
        <w:rPr>
          <w:rFonts w:hint="eastAsia" w:ascii="宋体" w:hAnsi="宋体"/>
          <w:color w:val="auto"/>
          <w:sz w:val="24"/>
          <w:szCs w:val="24"/>
          <w:highlight w:val="none"/>
        </w:rPr>
        <w:t>最新指引</w:t>
      </w:r>
      <w:r>
        <w:rPr>
          <w:rFonts w:hint="eastAsia" w:ascii="宋体" w:hAnsi="宋体"/>
          <w:color w:val="auto"/>
          <w:sz w:val="24"/>
          <w:highlight w:val="none"/>
        </w:rPr>
        <w:t>。</w:t>
      </w:r>
    </w:p>
    <w:p>
      <w:pPr>
        <w:jc w:val="center"/>
        <w:rPr>
          <w:rFonts w:ascii="宋体" w:hAnsi="宋体"/>
          <w:b/>
          <w:color w:val="auto"/>
          <w:sz w:val="28"/>
          <w:szCs w:val="28"/>
          <w:highlight w:val="none"/>
        </w:rPr>
      </w:pPr>
    </w:p>
    <w:p>
      <w:pPr>
        <w:spacing w:line="360" w:lineRule="auto"/>
        <w:ind w:firstLine="1164" w:firstLineChars="224"/>
        <w:jc w:val="center"/>
        <w:rPr>
          <w:rFonts w:ascii="宋体" w:hAnsi="宋体"/>
          <w:bCs/>
          <w:color w:val="auto"/>
          <w:sz w:val="52"/>
          <w:highlight w:val="none"/>
        </w:rPr>
        <w:sectPr>
          <w:footerReference r:id="rId3" w:type="default"/>
          <w:pgSz w:w="11906" w:h="16838"/>
          <w:pgMar w:top="1440" w:right="1080" w:bottom="1440" w:left="1080" w:header="851" w:footer="1020" w:gutter="0"/>
          <w:pgNumType w:start="1"/>
          <w:cols w:space="720" w:num="1"/>
          <w:docGrid w:type="lines" w:linePitch="312" w:charSpace="0"/>
        </w:sectPr>
      </w:pPr>
    </w:p>
    <w:p>
      <w:pPr>
        <w:jc w:val="center"/>
        <w:rPr>
          <w:rFonts w:ascii="宋体" w:hAnsi="宋体"/>
          <w:b/>
          <w:bCs/>
          <w:color w:val="auto"/>
          <w:sz w:val="48"/>
          <w:szCs w:val="48"/>
          <w:highlight w:val="none"/>
        </w:rPr>
      </w:pPr>
      <w:r>
        <w:rPr>
          <w:rFonts w:hint="eastAsia" w:ascii="宋体" w:hAnsi="宋体"/>
          <w:b/>
          <w:bCs/>
          <w:color w:val="auto"/>
          <w:sz w:val="48"/>
          <w:szCs w:val="48"/>
          <w:highlight w:val="none"/>
        </w:rPr>
        <w:t>目录</w:t>
      </w:r>
    </w:p>
    <w:p>
      <w:pPr>
        <w:pStyle w:val="23"/>
        <w:tabs>
          <w:tab w:val="right" w:leader="hyphen" w:pos="9072"/>
        </w:tabs>
        <w:rPr>
          <w:color w:val="auto"/>
          <w:highlight w:val="none"/>
        </w:rPr>
      </w:pPr>
      <w:r>
        <w:rPr>
          <w:rFonts w:ascii="宋体" w:hAnsi="宋体"/>
          <w:color w:val="auto"/>
          <w:sz w:val="28"/>
          <w:szCs w:val="28"/>
          <w:highlight w:val="none"/>
        </w:rPr>
        <w:fldChar w:fldCharType="begin"/>
      </w:r>
      <w:r>
        <w:rPr>
          <w:rFonts w:ascii="宋体" w:hAnsi="宋体"/>
          <w:color w:val="auto"/>
          <w:sz w:val="28"/>
          <w:szCs w:val="28"/>
          <w:highlight w:val="none"/>
        </w:rPr>
        <w:instrText xml:space="preserve">TOC \o "1-3" \h \u </w:instrText>
      </w:r>
      <w:r>
        <w:rPr>
          <w:rFonts w:ascii="宋体" w:hAnsi="宋体"/>
          <w:color w:val="auto"/>
          <w:sz w:val="28"/>
          <w:szCs w:val="28"/>
          <w:highlight w:val="none"/>
        </w:rPr>
        <w:fldChar w:fldCharType="separate"/>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_Toc26151 </w:instrText>
      </w:r>
      <w:r>
        <w:rPr>
          <w:rFonts w:ascii="宋体" w:hAnsi="宋体"/>
          <w:color w:val="auto"/>
          <w:szCs w:val="28"/>
          <w:highlight w:val="none"/>
        </w:rPr>
        <w:fldChar w:fldCharType="separate"/>
      </w:r>
      <w:r>
        <w:rPr>
          <w:rFonts w:hint="eastAsia"/>
          <w:color w:val="auto"/>
          <w:highlight w:val="none"/>
        </w:rPr>
        <w:t>第一卷</w:t>
      </w:r>
      <w:r>
        <w:rPr>
          <w:color w:val="auto"/>
          <w:highlight w:val="none"/>
        </w:rPr>
        <w:tab/>
      </w:r>
      <w:r>
        <w:rPr>
          <w:color w:val="auto"/>
          <w:highlight w:val="none"/>
        </w:rPr>
        <w:fldChar w:fldCharType="begin"/>
      </w:r>
      <w:r>
        <w:rPr>
          <w:color w:val="auto"/>
          <w:highlight w:val="none"/>
        </w:rPr>
        <w:instrText xml:space="preserve"> PAGEREF _Toc26151 \h </w:instrText>
      </w:r>
      <w:r>
        <w:rPr>
          <w:color w:val="auto"/>
          <w:highlight w:val="none"/>
        </w:rPr>
        <w:fldChar w:fldCharType="separate"/>
      </w:r>
      <w:r>
        <w:rPr>
          <w:color w:val="auto"/>
          <w:highlight w:val="none"/>
        </w:rPr>
        <w:t>3</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_Toc13684 </w:instrText>
      </w:r>
      <w:r>
        <w:rPr>
          <w:rFonts w:ascii="宋体" w:hAnsi="宋体"/>
          <w:color w:val="auto"/>
          <w:szCs w:val="28"/>
          <w:highlight w:val="none"/>
        </w:rPr>
        <w:fldChar w:fldCharType="separate"/>
      </w:r>
      <w:r>
        <w:rPr>
          <w:rFonts w:hint="eastAsia"/>
          <w:color w:val="auto"/>
          <w:highlight w:val="none"/>
        </w:rPr>
        <w:t>第一章  招标公告</w:t>
      </w:r>
      <w:r>
        <w:rPr>
          <w:color w:val="auto"/>
          <w:highlight w:val="none"/>
        </w:rPr>
        <w:tab/>
      </w:r>
      <w:r>
        <w:rPr>
          <w:color w:val="auto"/>
          <w:highlight w:val="none"/>
        </w:rPr>
        <w:fldChar w:fldCharType="begin"/>
      </w:r>
      <w:r>
        <w:rPr>
          <w:color w:val="auto"/>
          <w:highlight w:val="none"/>
        </w:rPr>
        <w:instrText xml:space="preserve"> PAGEREF _Toc13684 \h </w:instrText>
      </w:r>
      <w:r>
        <w:rPr>
          <w:color w:val="auto"/>
          <w:highlight w:val="none"/>
        </w:rPr>
        <w:fldChar w:fldCharType="separate"/>
      </w:r>
      <w:r>
        <w:rPr>
          <w:color w:val="auto"/>
          <w:highlight w:val="none"/>
        </w:rPr>
        <w:t>3</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_Toc25602 </w:instrText>
      </w:r>
      <w:r>
        <w:rPr>
          <w:rFonts w:ascii="宋体" w:hAnsi="宋体"/>
          <w:color w:val="auto"/>
          <w:szCs w:val="28"/>
          <w:highlight w:val="none"/>
        </w:rPr>
        <w:fldChar w:fldCharType="separate"/>
      </w:r>
      <w:r>
        <w:rPr>
          <w:rFonts w:hint="eastAsia"/>
          <w:color w:val="auto"/>
          <w:highlight w:val="none"/>
        </w:rPr>
        <w:t>第二章  投标人须知</w:t>
      </w:r>
      <w:r>
        <w:rPr>
          <w:color w:val="auto"/>
          <w:highlight w:val="none"/>
        </w:rPr>
        <w:tab/>
      </w:r>
      <w:r>
        <w:rPr>
          <w:color w:val="auto"/>
          <w:highlight w:val="none"/>
        </w:rPr>
        <w:fldChar w:fldCharType="begin"/>
      </w:r>
      <w:r>
        <w:rPr>
          <w:color w:val="auto"/>
          <w:highlight w:val="none"/>
        </w:rPr>
        <w:instrText xml:space="preserve"> PAGEREF _Toc25602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28"/>
          <w:highlight w:val="none"/>
        </w:rPr>
        <w:fldChar w:fldCharType="end"/>
      </w:r>
    </w:p>
    <w:p>
      <w:pPr>
        <w:pStyle w:val="24"/>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_Toc14568 </w:instrText>
      </w:r>
      <w:r>
        <w:rPr>
          <w:rFonts w:ascii="宋体" w:hAnsi="宋体"/>
          <w:color w:val="auto"/>
          <w:szCs w:val="28"/>
          <w:highlight w:val="none"/>
        </w:rPr>
        <w:fldChar w:fldCharType="separate"/>
      </w:r>
      <w:r>
        <w:rPr>
          <w:rFonts w:hint="eastAsia" w:ascii="宋体" w:hAnsi="宋体"/>
          <w:color w:val="auto"/>
          <w:highlight w:val="none"/>
        </w:rPr>
        <w:t>投标人须知前附</w:t>
      </w:r>
      <w:r>
        <w:rPr>
          <w:color w:val="auto"/>
          <w:highlight w:val="none"/>
        </w:rPr>
        <w:tab/>
      </w:r>
      <w:r>
        <w:rPr>
          <w:color w:val="auto"/>
          <w:highlight w:val="none"/>
        </w:rPr>
        <w:fldChar w:fldCharType="begin"/>
      </w:r>
      <w:r>
        <w:rPr>
          <w:color w:val="auto"/>
          <w:highlight w:val="none"/>
        </w:rPr>
        <w:instrText xml:space="preserve"> PAGEREF _Toc14568 \h </w:instrText>
      </w:r>
      <w:r>
        <w:rPr>
          <w:color w:val="auto"/>
          <w:highlight w:val="none"/>
        </w:rPr>
        <w:fldChar w:fldCharType="separate"/>
      </w:r>
      <w:r>
        <w:rPr>
          <w:color w:val="auto"/>
          <w:highlight w:val="none"/>
        </w:rPr>
        <w:t>4</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_Toc14000 </w:instrText>
      </w:r>
      <w:r>
        <w:rPr>
          <w:rFonts w:ascii="宋体" w:hAnsi="宋体"/>
          <w:color w:val="auto"/>
          <w:szCs w:val="28"/>
          <w:highlight w:val="none"/>
        </w:rPr>
        <w:fldChar w:fldCharType="separate"/>
      </w:r>
      <w:r>
        <w:rPr>
          <w:color w:val="auto"/>
          <w:highlight w:val="none"/>
        </w:rPr>
        <w:t xml:space="preserve">1. </w:t>
      </w:r>
      <w:r>
        <w:rPr>
          <w:rFonts w:hint="eastAsia"/>
          <w:color w:val="auto"/>
          <w:highlight w:val="none"/>
        </w:rPr>
        <w:t>总则</w:t>
      </w:r>
      <w:r>
        <w:rPr>
          <w:color w:val="auto"/>
          <w:highlight w:val="none"/>
        </w:rPr>
        <w:tab/>
      </w:r>
      <w:r>
        <w:rPr>
          <w:color w:val="auto"/>
          <w:highlight w:val="none"/>
        </w:rPr>
        <w:fldChar w:fldCharType="begin"/>
      </w:r>
      <w:r>
        <w:rPr>
          <w:color w:val="auto"/>
          <w:highlight w:val="none"/>
        </w:rPr>
        <w:instrText xml:space="preserve"> PAGEREF _Toc14000 \h </w:instrText>
      </w:r>
      <w:r>
        <w:rPr>
          <w:color w:val="auto"/>
          <w:highlight w:val="none"/>
        </w:rPr>
        <w:fldChar w:fldCharType="separate"/>
      </w:r>
      <w:r>
        <w:rPr>
          <w:color w:val="auto"/>
          <w:highlight w:val="none"/>
        </w:rPr>
        <w:t>11</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_Toc11609 </w:instrText>
      </w:r>
      <w:r>
        <w:rPr>
          <w:rFonts w:ascii="宋体" w:hAnsi="宋体"/>
          <w:color w:val="auto"/>
          <w:szCs w:val="28"/>
          <w:highlight w:val="none"/>
        </w:rPr>
        <w:fldChar w:fldCharType="separate"/>
      </w:r>
      <w:r>
        <w:rPr>
          <w:color w:val="auto"/>
          <w:highlight w:val="none"/>
        </w:rPr>
        <w:t xml:space="preserve">2. </w:t>
      </w:r>
      <w:r>
        <w:rPr>
          <w:rFonts w:hint="eastAsia"/>
          <w:color w:val="auto"/>
          <w:highlight w:val="none"/>
        </w:rPr>
        <w:t>招标文件</w:t>
      </w:r>
      <w:r>
        <w:rPr>
          <w:color w:val="auto"/>
          <w:highlight w:val="none"/>
        </w:rPr>
        <w:tab/>
      </w:r>
      <w:r>
        <w:rPr>
          <w:color w:val="auto"/>
          <w:highlight w:val="none"/>
        </w:rPr>
        <w:fldChar w:fldCharType="begin"/>
      </w:r>
      <w:r>
        <w:rPr>
          <w:color w:val="auto"/>
          <w:highlight w:val="none"/>
        </w:rPr>
        <w:instrText xml:space="preserve"> PAGEREF _Toc11609 \h </w:instrText>
      </w:r>
      <w:r>
        <w:rPr>
          <w:color w:val="auto"/>
          <w:highlight w:val="none"/>
        </w:rPr>
        <w:fldChar w:fldCharType="separate"/>
      </w:r>
      <w:r>
        <w:rPr>
          <w:color w:val="auto"/>
          <w:highlight w:val="none"/>
        </w:rPr>
        <w:t>13</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_Toc2318 </w:instrText>
      </w:r>
      <w:r>
        <w:rPr>
          <w:rFonts w:ascii="宋体" w:hAnsi="宋体"/>
          <w:color w:val="auto"/>
          <w:szCs w:val="28"/>
          <w:highlight w:val="none"/>
        </w:rPr>
        <w:fldChar w:fldCharType="separate"/>
      </w:r>
      <w:r>
        <w:rPr>
          <w:color w:val="auto"/>
          <w:highlight w:val="none"/>
        </w:rPr>
        <w:t xml:space="preserve">3. </w:t>
      </w:r>
      <w:r>
        <w:rPr>
          <w:rFonts w:hint="eastAsia"/>
          <w:color w:val="auto"/>
          <w:highlight w:val="none"/>
        </w:rPr>
        <w:t>投标文件</w:t>
      </w:r>
      <w:r>
        <w:rPr>
          <w:color w:val="auto"/>
          <w:highlight w:val="none"/>
        </w:rPr>
        <w:tab/>
      </w:r>
      <w:r>
        <w:rPr>
          <w:color w:val="auto"/>
          <w:highlight w:val="none"/>
        </w:rPr>
        <w:fldChar w:fldCharType="begin"/>
      </w:r>
      <w:r>
        <w:rPr>
          <w:color w:val="auto"/>
          <w:highlight w:val="none"/>
        </w:rPr>
        <w:instrText xml:space="preserve"> PAGEREF _Toc2318 \h </w:instrText>
      </w:r>
      <w:r>
        <w:rPr>
          <w:color w:val="auto"/>
          <w:highlight w:val="none"/>
        </w:rPr>
        <w:fldChar w:fldCharType="separate"/>
      </w:r>
      <w:r>
        <w:rPr>
          <w:color w:val="auto"/>
          <w:highlight w:val="none"/>
        </w:rPr>
        <w:t>14</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_Toc18384 </w:instrText>
      </w:r>
      <w:r>
        <w:rPr>
          <w:rFonts w:ascii="宋体" w:hAnsi="宋体"/>
          <w:color w:val="auto"/>
          <w:szCs w:val="28"/>
          <w:highlight w:val="none"/>
        </w:rPr>
        <w:fldChar w:fldCharType="separate"/>
      </w:r>
      <w:r>
        <w:rPr>
          <w:rFonts w:hint="eastAsia"/>
          <w:color w:val="auto"/>
          <w:highlight w:val="none"/>
        </w:rPr>
        <w:t>4. 投标</w:t>
      </w:r>
      <w:r>
        <w:rPr>
          <w:color w:val="auto"/>
          <w:highlight w:val="none"/>
        </w:rPr>
        <w:tab/>
      </w:r>
      <w:r>
        <w:rPr>
          <w:color w:val="auto"/>
          <w:highlight w:val="none"/>
        </w:rPr>
        <w:fldChar w:fldCharType="begin"/>
      </w:r>
      <w:r>
        <w:rPr>
          <w:color w:val="auto"/>
          <w:highlight w:val="none"/>
        </w:rPr>
        <w:instrText xml:space="preserve"> PAGEREF _Toc18384 \h </w:instrText>
      </w:r>
      <w:r>
        <w:rPr>
          <w:color w:val="auto"/>
          <w:highlight w:val="none"/>
        </w:rPr>
        <w:fldChar w:fldCharType="separate"/>
      </w:r>
      <w:r>
        <w:rPr>
          <w:color w:val="auto"/>
          <w:highlight w:val="none"/>
        </w:rPr>
        <w:t>16</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_Toc8981 </w:instrText>
      </w:r>
      <w:r>
        <w:rPr>
          <w:rFonts w:ascii="宋体" w:hAnsi="宋体"/>
          <w:color w:val="auto"/>
          <w:szCs w:val="28"/>
          <w:highlight w:val="none"/>
        </w:rPr>
        <w:fldChar w:fldCharType="separate"/>
      </w:r>
      <w:r>
        <w:rPr>
          <w:color w:val="auto"/>
          <w:highlight w:val="none"/>
        </w:rPr>
        <w:t xml:space="preserve">5. </w:t>
      </w:r>
      <w:r>
        <w:rPr>
          <w:rFonts w:hint="eastAsia"/>
          <w:color w:val="auto"/>
          <w:highlight w:val="none"/>
        </w:rPr>
        <w:t>开标</w:t>
      </w:r>
      <w:r>
        <w:rPr>
          <w:color w:val="auto"/>
          <w:highlight w:val="none"/>
        </w:rPr>
        <w:tab/>
      </w:r>
      <w:r>
        <w:rPr>
          <w:color w:val="auto"/>
          <w:highlight w:val="none"/>
        </w:rPr>
        <w:fldChar w:fldCharType="begin"/>
      </w:r>
      <w:r>
        <w:rPr>
          <w:color w:val="auto"/>
          <w:highlight w:val="none"/>
        </w:rPr>
        <w:instrText xml:space="preserve"> PAGEREF _Toc8981 \h </w:instrText>
      </w:r>
      <w:r>
        <w:rPr>
          <w:color w:val="auto"/>
          <w:highlight w:val="none"/>
        </w:rPr>
        <w:fldChar w:fldCharType="separate"/>
      </w:r>
      <w:r>
        <w:rPr>
          <w:color w:val="auto"/>
          <w:highlight w:val="none"/>
        </w:rPr>
        <w:t>17</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_Toc25366 </w:instrText>
      </w:r>
      <w:r>
        <w:rPr>
          <w:rFonts w:ascii="宋体" w:hAnsi="宋体"/>
          <w:color w:val="auto"/>
          <w:szCs w:val="28"/>
          <w:highlight w:val="none"/>
        </w:rPr>
        <w:fldChar w:fldCharType="separate"/>
      </w:r>
      <w:r>
        <w:rPr>
          <w:color w:val="auto"/>
          <w:highlight w:val="none"/>
        </w:rPr>
        <w:t xml:space="preserve">6. </w:t>
      </w:r>
      <w:r>
        <w:rPr>
          <w:rFonts w:hint="eastAsia"/>
          <w:color w:val="auto"/>
          <w:highlight w:val="none"/>
        </w:rPr>
        <w:t>评标</w:t>
      </w:r>
      <w:r>
        <w:rPr>
          <w:color w:val="auto"/>
          <w:highlight w:val="none"/>
        </w:rPr>
        <w:tab/>
      </w:r>
      <w:r>
        <w:rPr>
          <w:color w:val="auto"/>
          <w:highlight w:val="none"/>
        </w:rPr>
        <w:fldChar w:fldCharType="begin"/>
      </w:r>
      <w:r>
        <w:rPr>
          <w:color w:val="auto"/>
          <w:highlight w:val="none"/>
        </w:rPr>
        <w:instrText xml:space="preserve"> PAGEREF _Toc25366 \h </w:instrText>
      </w:r>
      <w:r>
        <w:rPr>
          <w:color w:val="auto"/>
          <w:highlight w:val="none"/>
        </w:rPr>
        <w:fldChar w:fldCharType="separate"/>
      </w:r>
      <w:r>
        <w:rPr>
          <w:color w:val="auto"/>
          <w:highlight w:val="none"/>
        </w:rPr>
        <w:t>18</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_Toc9306 </w:instrText>
      </w:r>
      <w:r>
        <w:rPr>
          <w:rFonts w:ascii="宋体" w:hAnsi="宋体"/>
          <w:color w:val="auto"/>
          <w:szCs w:val="28"/>
          <w:highlight w:val="none"/>
        </w:rPr>
        <w:fldChar w:fldCharType="separate"/>
      </w:r>
      <w:r>
        <w:rPr>
          <w:color w:val="auto"/>
          <w:highlight w:val="none"/>
        </w:rPr>
        <w:t xml:space="preserve">7. </w:t>
      </w:r>
      <w:r>
        <w:rPr>
          <w:rFonts w:hint="eastAsia"/>
          <w:color w:val="auto"/>
          <w:highlight w:val="none"/>
        </w:rPr>
        <w:t>合同授予</w:t>
      </w:r>
      <w:r>
        <w:rPr>
          <w:color w:val="auto"/>
          <w:highlight w:val="none"/>
        </w:rPr>
        <w:tab/>
      </w:r>
      <w:r>
        <w:rPr>
          <w:color w:val="auto"/>
          <w:highlight w:val="none"/>
        </w:rPr>
        <w:fldChar w:fldCharType="begin"/>
      </w:r>
      <w:r>
        <w:rPr>
          <w:color w:val="auto"/>
          <w:highlight w:val="none"/>
        </w:rPr>
        <w:instrText xml:space="preserve"> PAGEREF _Toc9306 \h </w:instrText>
      </w:r>
      <w:r>
        <w:rPr>
          <w:color w:val="auto"/>
          <w:highlight w:val="none"/>
        </w:rPr>
        <w:fldChar w:fldCharType="separate"/>
      </w:r>
      <w:r>
        <w:rPr>
          <w:color w:val="auto"/>
          <w:highlight w:val="none"/>
        </w:rPr>
        <w:t>18</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_Toc14507 </w:instrText>
      </w:r>
      <w:r>
        <w:rPr>
          <w:rFonts w:ascii="宋体" w:hAnsi="宋体"/>
          <w:color w:val="auto"/>
          <w:szCs w:val="28"/>
          <w:highlight w:val="none"/>
        </w:rPr>
        <w:fldChar w:fldCharType="separate"/>
      </w:r>
      <w:r>
        <w:rPr>
          <w:color w:val="auto"/>
          <w:highlight w:val="none"/>
        </w:rPr>
        <w:t xml:space="preserve">8. </w:t>
      </w:r>
      <w:r>
        <w:rPr>
          <w:rFonts w:hint="eastAsia"/>
          <w:color w:val="auto"/>
          <w:highlight w:val="none"/>
        </w:rPr>
        <w:t>纪律和监督</w:t>
      </w:r>
      <w:r>
        <w:rPr>
          <w:color w:val="auto"/>
          <w:highlight w:val="none"/>
        </w:rPr>
        <w:tab/>
      </w:r>
      <w:r>
        <w:rPr>
          <w:color w:val="auto"/>
          <w:highlight w:val="none"/>
        </w:rPr>
        <w:fldChar w:fldCharType="begin"/>
      </w:r>
      <w:r>
        <w:rPr>
          <w:color w:val="auto"/>
          <w:highlight w:val="none"/>
        </w:rPr>
        <w:instrText xml:space="preserve"> PAGEREF _Toc14507 \h </w:instrText>
      </w:r>
      <w:r>
        <w:rPr>
          <w:color w:val="auto"/>
          <w:highlight w:val="none"/>
        </w:rPr>
        <w:fldChar w:fldCharType="separate"/>
      </w:r>
      <w:r>
        <w:rPr>
          <w:color w:val="auto"/>
          <w:highlight w:val="none"/>
        </w:rPr>
        <w:t>19</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_Toc8079 </w:instrText>
      </w:r>
      <w:r>
        <w:rPr>
          <w:rFonts w:ascii="宋体" w:hAnsi="宋体"/>
          <w:color w:val="auto"/>
          <w:szCs w:val="28"/>
          <w:highlight w:val="none"/>
        </w:rPr>
        <w:fldChar w:fldCharType="separate"/>
      </w:r>
      <w:r>
        <w:rPr>
          <w:color w:val="auto"/>
          <w:highlight w:val="none"/>
        </w:rPr>
        <w:t xml:space="preserve">9. </w:t>
      </w:r>
      <w:r>
        <w:rPr>
          <w:rFonts w:hint="eastAsia"/>
          <w:color w:val="auto"/>
          <w:highlight w:val="none"/>
        </w:rPr>
        <w:t>是否采用电子招标投标</w:t>
      </w:r>
      <w:r>
        <w:rPr>
          <w:color w:val="auto"/>
          <w:highlight w:val="none"/>
        </w:rPr>
        <w:tab/>
      </w:r>
      <w:r>
        <w:rPr>
          <w:color w:val="auto"/>
          <w:highlight w:val="none"/>
        </w:rPr>
        <w:fldChar w:fldCharType="begin"/>
      </w:r>
      <w:r>
        <w:rPr>
          <w:color w:val="auto"/>
          <w:highlight w:val="none"/>
        </w:rPr>
        <w:instrText xml:space="preserve"> PAGEREF _Toc8079 \h </w:instrText>
      </w:r>
      <w:r>
        <w:rPr>
          <w:color w:val="auto"/>
          <w:highlight w:val="none"/>
        </w:rPr>
        <w:fldChar w:fldCharType="separate"/>
      </w:r>
      <w:r>
        <w:rPr>
          <w:color w:val="auto"/>
          <w:highlight w:val="none"/>
        </w:rPr>
        <w:t>20</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_Toc15052 </w:instrText>
      </w:r>
      <w:r>
        <w:rPr>
          <w:rFonts w:ascii="宋体" w:hAnsi="宋体"/>
          <w:color w:val="auto"/>
          <w:szCs w:val="28"/>
          <w:highlight w:val="none"/>
        </w:rPr>
        <w:fldChar w:fldCharType="separate"/>
      </w:r>
      <w:r>
        <w:rPr>
          <w:color w:val="auto"/>
          <w:highlight w:val="none"/>
        </w:rPr>
        <w:t xml:space="preserve">10. </w:t>
      </w:r>
      <w:r>
        <w:rPr>
          <w:rFonts w:hint="eastAsia"/>
          <w:color w:val="auto"/>
          <w:highlight w:val="none"/>
        </w:rPr>
        <w:t>需要补充的其他内容</w:t>
      </w:r>
      <w:r>
        <w:rPr>
          <w:color w:val="auto"/>
          <w:highlight w:val="none"/>
        </w:rPr>
        <w:tab/>
      </w:r>
      <w:r>
        <w:rPr>
          <w:color w:val="auto"/>
          <w:highlight w:val="none"/>
        </w:rPr>
        <w:fldChar w:fldCharType="begin"/>
      </w:r>
      <w:r>
        <w:rPr>
          <w:color w:val="auto"/>
          <w:highlight w:val="none"/>
        </w:rPr>
        <w:instrText xml:space="preserve"> PAGEREF _Toc15052 \h </w:instrText>
      </w:r>
      <w:r>
        <w:rPr>
          <w:color w:val="auto"/>
          <w:highlight w:val="none"/>
        </w:rPr>
        <w:fldChar w:fldCharType="separate"/>
      </w:r>
      <w:r>
        <w:rPr>
          <w:color w:val="auto"/>
          <w:highlight w:val="none"/>
        </w:rPr>
        <w:t>20</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_Toc1806 </w:instrText>
      </w:r>
      <w:r>
        <w:rPr>
          <w:rFonts w:ascii="宋体" w:hAnsi="宋体"/>
          <w:color w:val="auto"/>
          <w:szCs w:val="28"/>
          <w:highlight w:val="none"/>
        </w:rPr>
        <w:fldChar w:fldCharType="separate"/>
      </w:r>
      <w:r>
        <w:rPr>
          <w:rFonts w:hint="eastAsia"/>
          <w:color w:val="auto"/>
          <w:highlight w:val="none"/>
        </w:rPr>
        <w:t>第三章  评标办法（综合评估法）</w:t>
      </w:r>
      <w:r>
        <w:rPr>
          <w:color w:val="auto"/>
          <w:highlight w:val="none"/>
        </w:rPr>
        <w:tab/>
      </w:r>
      <w:r>
        <w:rPr>
          <w:color w:val="auto"/>
          <w:highlight w:val="none"/>
        </w:rPr>
        <w:fldChar w:fldCharType="begin"/>
      </w:r>
      <w:r>
        <w:rPr>
          <w:color w:val="auto"/>
          <w:highlight w:val="none"/>
        </w:rPr>
        <w:instrText xml:space="preserve"> PAGEREF _Toc1806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8"/>
          <w:highlight w:val="none"/>
        </w:rPr>
        <w:fldChar w:fldCharType="end"/>
      </w:r>
    </w:p>
    <w:p>
      <w:pPr>
        <w:pStyle w:val="24"/>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_Toc24396 </w:instrText>
      </w:r>
      <w:r>
        <w:rPr>
          <w:rFonts w:ascii="宋体" w:hAnsi="宋体"/>
          <w:color w:val="auto"/>
          <w:szCs w:val="28"/>
          <w:highlight w:val="none"/>
        </w:rPr>
        <w:fldChar w:fldCharType="separate"/>
      </w:r>
      <w:r>
        <w:rPr>
          <w:rFonts w:hint="eastAsia" w:ascii="宋体" w:hAnsi="宋体"/>
          <w:color w:val="auto"/>
          <w:highlight w:val="none"/>
        </w:rPr>
        <w:t>评标办法前附表</w:t>
      </w:r>
      <w:r>
        <w:rPr>
          <w:color w:val="auto"/>
          <w:highlight w:val="none"/>
        </w:rPr>
        <w:tab/>
      </w:r>
      <w:r>
        <w:rPr>
          <w:color w:val="auto"/>
          <w:highlight w:val="none"/>
        </w:rPr>
        <w:fldChar w:fldCharType="begin"/>
      </w:r>
      <w:r>
        <w:rPr>
          <w:color w:val="auto"/>
          <w:highlight w:val="none"/>
        </w:rPr>
        <w:instrText xml:space="preserve"> PAGEREF _Toc24396 \h </w:instrText>
      </w:r>
      <w:r>
        <w:rPr>
          <w:color w:val="auto"/>
          <w:highlight w:val="none"/>
        </w:rPr>
        <w:fldChar w:fldCharType="separate"/>
      </w:r>
      <w:r>
        <w:rPr>
          <w:color w:val="auto"/>
          <w:highlight w:val="none"/>
        </w:rPr>
        <w:t>21</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_Toc6836 </w:instrText>
      </w:r>
      <w:r>
        <w:rPr>
          <w:rFonts w:ascii="宋体" w:hAnsi="宋体"/>
          <w:color w:val="auto"/>
          <w:szCs w:val="28"/>
          <w:highlight w:val="none"/>
        </w:rPr>
        <w:fldChar w:fldCharType="separate"/>
      </w:r>
      <w:r>
        <w:rPr>
          <w:rFonts w:hint="eastAsia"/>
          <w:color w:val="auto"/>
          <w:highlight w:val="none"/>
        </w:rPr>
        <w:t>附表一：形式评审表</w:t>
      </w:r>
      <w:r>
        <w:rPr>
          <w:color w:val="auto"/>
          <w:highlight w:val="none"/>
        </w:rPr>
        <w:tab/>
      </w:r>
      <w:r>
        <w:rPr>
          <w:color w:val="auto"/>
          <w:highlight w:val="none"/>
        </w:rPr>
        <w:fldChar w:fldCharType="begin"/>
      </w:r>
      <w:r>
        <w:rPr>
          <w:color w:val="auto"/>
          <w:highlight w:val="none"/>
        </w:rPr>
        <w:instrText xml:space="preserve"> PAGEREF _Toc6836 \h </w:instrText>
      </w:r>
      <w:r>
        <w:rPr>
          <w:color w:val="auto"/>
          <w:highlight w:val="none"/>
        </w:rPr>
        <w:fldChar w:fldCharType="separate"/>
      </w:r>
      <w:r>
        <w:rPr>
          <w:color w:val="auto"/>
          <w:highlight w:val="none"/>
        </w:rPr>
        <w:t>23</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_Toc27272 </w:instrText>
      </w:r>
      <w:r>
        <w:rPr>
          <w:rFonts w:ascii="宋体" w:hAnsi="宋体"/>
          <w:color w:val="auto"/>
          <w:szCs w:val="28"/>
          <w:highlight w:val="none"/>
        </w:rPr>
        <w:fldChar w:fldCharType="separate"/>
      </w:r>
      <w:r>
        <w:rPr>
          <w:rFonts w:hint="eastAsia"/>
          <w:color w:val="auto"/>
          <w:highlight w:val="none"/>
        </w:rPr>
        <w:t>附表二：资格评审表</w:t>
      </w:r>
      <w:r>
        <w:rPr>
          <w:color w:val="auto"/>
          <w:highlight w:val="none"/>
        </w:rPr>
        <w:tab/>
      </w:r>
      <w:r>
        <w:rPr>
          <w:color w:val="auto"/>
          <w:highlight w:val="none"/>
        </w:rPr>
        <w:fldChar w:fldCharType="begin"/>
      </w:r>
      <w:r>
        <w:rPr>
          <w:color w:val="auto"/>
          <w:highlight w:val="none"/>
        </w:rPr>
        <w:instrText xml:space="preserve"> PAGEREF _Toc27272 \h </w:instrText>
      </w:r>
      <w:r>
        <w:rPr>
          <w:color w:val="auto"/>
          <w:highlight w:val="none"/>
        </w:rPr>
        <w:fldChar w:fldCharType="separate"/>
      </w:r>
      <w:r>
        <w:rPr>
          <w:color w:val="auto"/>
          <w:highlight w:val="none"/>
        </w:rPr>
        <w:t>24</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_Toc18835 </w:instrText>
      </w:r>
      <w:r>
        <w:rPr>
          <w:rFonts w:ascii="宋体" w:hAnsi="宋体"/>
          <w:color w:val="auto"/>
          <w:szCs w:val="28"/>
          <w:highlight w:val="none"/>
        </w:rPr>
        <w:fldChar w:fldCharType="separate"/>
      </w:r>
      <w:r>
        <w:rPr>
          <w:rFonts w:hint="eastAsia"/>
          <w:color w:val="auto"/>
          <w:highlight w:val="none"/>
        </w:rPr>
        <w:t>附表三：响应性评审表</w:t>
      </w:r>
      <w:r>
        <w:rPr>
          <w:color w:val="auto"/>
          <w:highlight w:val="none"/>
        </w:rPr>
        <w:tab/>
      </w:r>
      <w:r>
        <w:rPr>
          <w:color w:val="auto"/>
          <w:highlight w:val="none"/>
        </w:rPr>
        <w:fldChar w:fldCharType="begin"/>
      </w:r>
      <w:r>
        <w:rPr>
          <w:color w:val="auto"/>
          <w:highlight w:val="none"/>
        </w:rPr>
        <w:instrText xml:space="preserve"> PAGEREF _Toc18835 \h </w:instrText>
      </w:r>
      <w:r>
        <w:rPr>
          <w:color w:val="auto"/>
          <w:highlight w:val="none"/>
        </w:rPr>
        <w:fldChar w:fldCharType="separate"/>
      </w:r>
      <w:r>
        <w:rPr>
          <w:color w:val="auto"/>
          <w:highlight w:val="none"/>
        </w:rPr>
        <w:t>25</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_Toc714 </w:instrText>
      </w:r>
      <w:r>
        <w:rPr>
          <w:rFonts w:ascii="宋体" w:hAnsi="宋体"/>
          <w:color w:val="auto"/>
          <w:szCs w:val="28"/>
          <w:highlight w:val="none"/>
        </w:rPr>
        <w:fldChar w:fldCharType="separate"/>
      </w:r>
      <w:r>
        <w:rPr>
          <w:rFonts w:hint="eastAsia"/>
          <w:color w:val="auto"/>
          <w:highlight w:val="none"/>
        </w:rPr>
        <w:t>附表四：综合评分表</w:t>
      </w:r>
      <w:r>
        <w:rPr>
          <w:color w:val="auto"/>
          <w:highlight w:val="none"/>
        </w:rPr>
        <w:tab/>
      </w:r>
      <w:r>
        <w:rPr>
          <w:color w:val="auto"/>
          <w:highlight w:val="none"/>
        </w:rPr>
        <w:fldChar w:fldCharType="begin"/>
      </w:r>
      <w:r>
        <w:rPr>
          <w:color w:val="auto"/>
          <w:highlight w:val="none"/>
        </w:rPr>
        <w:instrText xml:space="preserve"> PAGEREF _Toc714 \h </w:instrText>
      </w:r>
      <w:r>
        <w:rPr>
          <w:color w:val="auto"/>
          <w:highlight w:val="none"/>
        </w:rPr>
        <w:fldChar w:fldCharType="separate"/>
      </w:r>
      <w:r>
        <w:rPr>
          <w:color w:val="auto"/>
          <w:highlight w:val="none"/>
        </w:rPr>
        <w:t>26</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_Toc20043 </w:instrText>
      </w:r>
      <w:r>
        <w:rPr>
          <w:rFonts w:ascii="宋体" w:hAnsi="宋体"/>
          <w:color w:val="auto"/>
          <w:szCs w:val="28"/>
          <w:highlight w:val="none"/>
        </w:rPr>
        <w:fldChar w:fldCharType="separate"/>
      </w:r>
      <w:r>
        <w:rPr>
          <w:rFonts w:hint="eastAsia"/>
          <w:color w:val="auto"/>
          <w:highlight w:val="none"/>
        </w:rPr>
        <w:t>附表五：算术复核表</w:t>
      </w:r>
      <w:r>
        <w:rPr>
          <w:color w:val="auto"/>
          <w:highlight w:val="none"/>
        </w:rPr>
        <w:tab/>
      </w:r>
      <w:r>
        <w:rPr>
          <w:color w:val="auto"/>
          <w:highlight w:val="none"/>
        </w:rPr>
        <w:fldChar w:fldCharType="begin"/>
      </w:r>
      <w:r>
        <w:rPr>
          <w:color w:val="auto"/>
          <w:highlight w:val="none"/>
        </w:rPr>
        <w:instrText xml:space="preserve"> PAGEREF _Toc20043 \h </w:instrText>
      </w:r>
      <w:r>
        <w:rPr>
          <w:color w:val="auto"/>
          <w:highlight w:val="none"/>
        </w:rPr>
        <w:fldChar w:fldCharType="separate"/>
      </w:r>
      <w:r>
        <w:rPr>
          <w:color w:val="auto"/>
          <w:highlight w:val="none"/>
        </w:rPr>
        <w:t>29</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_Toc22472 </w:instrText>
      </w:r>
      <w:r>
        <w:rPr>
          <w:rFonts w:ascii="宋体" w:hAnsi="宋体"/>
          <w:color w:val="auto"/>
          <w:szCs w:val="28"/>
          <w:highlight w:val="none"/>
        </w:rPr>
        <w:fldChar w:fldCharType="separate"/>
      </w:r>
      <w:r>
        <w:rPr>
          <w:rFonts w:hint="eastAsia"/>
          <w:bCs/>
          <w:color w:val="auto"/>
          <w:highlight w:val="none"/>
        </w:rPr>
        <w:t>附表六：</w:t>
      </w:r>
      <w:r>
        <w:rPr>
          <w:rFonts w:hint="eastAsia"/>
          <w:color w:val="auto"/>
          <w:highlight w:val="none"/>
        </w:rPr>
        <w:t>报价得分计算表</w:t>
      </w:r>
      <w:r>
        <w:rPr>
          <w:color w:val="auto"/>
          <w:highlight w:val="none"/>
        </w:rPr>
        <w:tab/>
      </w:r>
      <w:r>
        <w:rPr>
          <w:color w:val="auto"/>
          <w:highlight w:val="none"/>
        </w:rPr>
        <w:fldChar w:fldCharType="begin"/>
      </w:r>
      <w:r>
        <w:rPr>
          <w:color w:val="auto"/>
          <w:highlight w:val="none"/>
        </w:rPr>
        <w:instrText xml:space="preserve"> PAGEREF _Toc22472 \h </w:instrText>
      </w:r>
      <w:r>
        <w:rPr>
          <w:color w:val="auto"/>
          <w:highlight w:val="none"/>
        </w:rPr>
        <w:fldChar w:fldCharType="separate"/>
      </w:r>
      <w:r>
        <w:rPr>
          <w:color w:val="auto"/>
          <w:highlight w:val="none"/>
        </w:rPr>
        <w:t>30</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_Toc17156 </w:instrText>
      </w:r>
      <w:r>
        <w:rPr>
          <w:rFonts w:ascii="宋体" w:hAnsi="宋体"/>
          <w:color w:val="auto"/>
          <w:szCs w:val="28"/>
          <w:highlight w:val="none"/>
        </w:rPr>
        <w:fldChar w:fldCharType="separate"/>
      </w:r>
      <w:r>
        <w:rPr>
          <w:rFonts w:hint="default"/>
          <w:color w:val="auto"/>
          <w:highlight w:val="none"/>
        </w:rPr>
        <w:t xml:space="preserve">1. </w:t>
      </w:r>
      <w:r>
        <w:rPr>
          <w:rFonts w:hint="eastAsia"/>
          <w:color w:val="auto"/>
          <w:highlight w:val="none"/>
        </w:rPr>
        <w:t>评标方法</w:t>
      </w:r>
      <w:r>
        <w:rPr>
          <w:color w:val="auto"/>
          <w:highlight w:val="none"/>
        </w:rPr>
        <w:tab/>
      </w:r>
      <w:r>
        <w:rPr>
          <w:color w:val="auto"/>
          <w:highlight w:val="none"/>
        </w:rPr>
        <w:fldChar w:fldCharType="begin"/>
      </w:r>
      <w:r>
        <w:rPr>
          <w:color w:val="auto"/>
          <w:highlight w:val="none"/>
        </w:rPr>
        <w:instrText xml:space="preserve"> PAGEREF _Toc17156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_Toc18217 </w:instrText>
      </w:r>
      <w:r>
        <w:rPr>
          <w:rFonts w:ascii="宋体" w:hAnsi="宋体"/>
          <w:color w:val="auto"/>
          <w:szCs w:val="28"/>
          <w:highlight w:val="none"/>
        </w:rPr>
        <w:fldChar w:fldCharType="separate"/>
      </w:r>
      <w:r>
        <w:rPr>
          <w:color w:val="auto"/>
          <w:highlight w:val="none"/>
        </w:rPr>
        <w:t xml:space="preserve">2. </w:t>
      </w:r>
      <w:r>
        <w:rPr>
          <w:rFonts w:hint="eastAsia"/>
          <w:color w:val="auto"/>
          <w:highlight w:val="none"/>
        </w:rPr>
        <w:t>评审标准</w:t>
      </w:r>
      <w:r>
        <w:rPr>
          <w:color w:val="auto"/>
          <w:highlight w:val="none"/>
        </w:rPr>
        <w:tab/>
      </w:r>
      <w:r>
        <w:rPr>
          <w:color w:val="auto"/>
          <w:highlight w:val="none"/>
        </w:rPr>
        <w:fldChar w:fldCharType="begin"/>
      </w:r>
      <w:r>
        <w:rPr>
          <w:color w:val="auto"/>
          <w:highlight w:val="none"/>
        </w:rPr>
        <w:instrText xml:space="preserve"> PAGEREF _Toc18217 \h </w:instrText>
      </w:r>
      <w:r>
        <w:rPr>
          <w:color w:val="auto"/>
          <w:highlight w:val="none"/>
        </w:rPr>
        <w:fldChar w:fldCharType="separate"/>
      </w:r>
      <w:r>
        <w:rPr>
          <w:color w:val="auto"/>
          <w:highlight w:val="none"/>
        </w:rPr>
        <w:t>31</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_Toc4703 </w:instrText>
      </w:r>
      <w:r>
        <w:rPr>
          <w:rFonts w:ascii="宋体" w:hAnsi="宋体"/>
          <w:color w:val="auto"/>
          <w:szCs w:val="28"/>
          <w:highlight w:val="none"/>
        </w:rPr>
        <w:fldChar w:fldCharType="separate"/>
      </w:r>
      <w:r>
        <w:rPr>
          <w:color w:val="auto"/>
          <w:highlight w:val="none"/>
        </w:rPr>
        <w:t xml:space="preserve">3. </w:t>
      </w:r>
      <w:r>
        <w:rPr>
          <w:rFonts w:hint="eastAsia"/>
          <w:color w:val="auto"/>
          <w:highlight w:val="none"/>
        </w:rPr>
        <w:t>评标程序</w:t>
      </w:r>
      <w:r>
        <w:rPr>
          <w:color w:val="auto"/>
          <w:highlight w:val="none"/>
        </w:rPr>
        <w:tab/>
      </w:r>
      <w:r>
        <w:rPr>
          <w:color w:val="auto"/>
          <w:highlight w:val="none"/>
        </w:rPr>
        <w:fldChar w:fldCharType="begin"/>
      </w:r>
      <w:r>
        <w:rPr>
          <w:color w:val="auto"/>
          <w:highlight w:val="none"/>
        </w:rPr>
        <w:instrText xml:space="preserve"> PAGEREF _Toc4703 \h </w:instrText>
      </w:r>
      <w:r>
        <w:rPr>
          <w:color w:val="auto"/>
          <w:highlight w:val="none"/>
        </w:rPr>
        <w:fldChar w:fldCharType="separate"/>
      </w:r>
      <w:r>
        <w:rPr>
          <w:color w:val="auto"/>
          <w:highlight w:val="none"/>
        </w:rPr>
        <w:t>32</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_Toc28219 </w:instrText>
      </w:r>
      <w:r>
        <w:rPr>
          <w:rFonts w:ascii="宋体" w:hAnsi="宋体"/>
          <w:color w:val="auto"/>
          <w:szCs w:val="28"/>
          <w:highlight w:val="none"/>
        </w:rPr>
        <w:fldChar w:fldCharType="separate"/>
      </w:r>
      <w:r>
        <w:rPr>
          <w:rFonts w:hint="eastAsia"/>
          <w:color w:val="auto"/>
          <w:highlight w:val="none"/>
        </w:rPr>
        <w:t>第四章  合同条款及格式</w:t>
      </w:r>
      <w:r>
        <w:rPr>
          <w:color w:val="auto"/>
          <w:highlight w:val="none"/>
        </w:rPr>
        <w:tab/>
      </w:r>
      <w:r>
        <w:rPr>
          <w:color w:val="auto"/>
          <w:highlight w:val="none"/>
        </w:rPr>
        <w:fldChar w:fldCharType="begin"/>
      </w:r>
      <w:r>
        <w:rPr>
          <w:color w:val="auto"/>
          <w:highlight w:val="none"/>
        </w:rPr>
        <w:instrText xml:space="preserve"> PAGEREF _Toc28219 \h </w:instrText>
      </w:r>
      <w:r>
        <w:rPr>
          <w:color w:val="auto"/>
          <w:highlight w:val="none"/>
        </w:rPr>
        <w:fldChar w:fldCharType="separate"/>
      </w:r>
      <w:r>
        <w:rPr>
          <w:color w:val="auto"/>
          <w:highlight w:val="none"/>
        </w:rPr>
        <w:t>34</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_Toc5343 </w:instrText>
      </w:r>
      <w:r>
        <w:rPr>
          <w:rFonts w:ascii="宋体" w:hAnsi="宋体"/>
          <w:color w:val="auto"/>
          <w:szCs w:val="28"/>
          <w:highlight w:val="none"/>
        </w:rPr>
        <w:fldChar w:fldCharType="separate"/>
      </w:r>
      <w:r>
        <w:rPr>
          <w:rFonts w:hint="eastAsia"/>
          <w:color w:val="auto"/>
          <w:highlight w:val="none"/>
        </w:rPr>
        <w:t>第二卷</w:t>
      </w:r>
      <w:r>
        <w:rPr>
          <w:color w:val="auto"/>
          <w:highlight w:val="none"/>
        </w:rPr>
        <w:tab/>
      </w:r>
      <w:r>
        <w:rPr>
          <w:color w:val="auto"/>
          <w:highlight w:val="none"/>
        </w:rPr>
        <w:fldChar w:fldCharType="begin"/>
      </w:r>
      <w:r>
        <w:rPr>
          <w:color w:val="auto"/>
          <w:highlight w:val="none"/>
        </w:rPr>
        <w:instrText xml:space="preserve"> PAGEREF _Toc5343 \h </w:instrText>
      </w:r>
      <w:r>
        <w:rPr>
          <w:color w:val="auto"/>
          <w:highlight w:val="none"/>
        </w:rPr>
        <w:fldChar w:fldCharType="separate"/>
      </w:r>
      <w:r>
        <w:rPr>
          <w:color w:val="auto"/>
          <w:highlight w:val="none"/>
        </w:rPr>
        <w:t>35</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_Toc23095 </w:instrText>
      </w:r>
      <w:r>
        <w:rPr>
          <w:rFonts w:ascii="宋体" w:hAnsi="宋体"/>
          <w:color w:val="auto"/>
          <w:szCs w:val="28"/>
          <w:highlight w:val="none"/>
        </w:rPr>
        <w:fldChar w:fldCharType="separate"/>
      </w:r>
      <w:r>
        <w:rPr>
          <w:rFonts w:hint="eastAsia"/>
          <w:color w:val="auto"/>
          <w:highlight w:val="none"/>
        </w:rPr>
        <w:t>第五章 委托人要求</w:t>
      </w:r>
      <w:r>
        <w:rPr>
          <w:color w:val="auto"/>
          <w:highlight w:val="none"/>
        </w:rPr>
        <w:tab/>
      </w:r>
      <w:r>
        <w:rPr>
          <w:color w:val="auto"/>
          <w:highlight w:val="none"/>
        </w:rPr>
        <w:fldChar w:fldCharType="begin"/>
      </w:r>
      <w:r>
        <w:rPr>
          <w:color w:val="auto"/>
          <w:highlight w:val="none"/>
        </w:rPr>
        <w:instrText xml:space="preserve"> PAGEREF _Toc23095 \h </w:instrText>
      </w:r>
      <w:r>
        <w:rPr>
          <w:color w:val="auto"/>
          <w:highlight w:val="none"/>
        </w:rPr>
        <w:fldChar w:fldCharType="separate"/>
      </w:r>
      <w:r>
        <w:rPr>
          <w:color w:val="auto"/>
          <w:highlight w:val="none"/>
        </w:rPr>
        <w:t>35</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_Toc26258 </w:instrText>
      </w:r>
      <w:r>
        <w:rPr>
          <w:rFonts w:ascii="宋体" w:hAnsi="宋体"/>
          <w:color w:val="auto"/>
          <w:szCs w:val="28"/>
          <w:highlight w:val="none"/>
        </w:rPr>
        <w:fldChar w:fldCharType="separate"/>
      </w:r>
      <w:r>
        <w:rPr>
          <w:rFonts w:hint="eastAsia"/>
          <w:color w:val="auto"/>
          <w:highlight w:val="none"/>
        </w:rPr>
        <w:t>第三卷</w:t>
      </w:r>
      <w:r>
        <w:rPr>
          <w:color w:val="auto"/>
          <w:highlight w:val="none"/>
        </w:rPr>
        <w:tab/>
      </w:r>
      <w:r>
        <w:rPr>
          <w:color w:val="auto"/>
          <w:highlight w:val="none"/>
        </w:rPr>
        <w:fldChar w:fldCharType="begin"/>
      </w:r>
      <w:r>
        <w:rPr>
          <w:color w:val="auto"/>
          <w:highlight w:val="none"/>
        </w:rPr>
        <w:instrText xml:space="preserve"> PAGEREF _Toc26258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8"/>
          <w:highlight w:val="none"/>
        </w:rPr>
        <w:fldChar w:fldCharType="end"/>
      </w:r>
    </w:p>
    <w:p>
      <w:pPr>
        <w:pStyle w:val="23"/>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_Toc21449 </w:instrText>
      </w:r>
      <w:r>
        <w:rPr>
          <w:rFonts w:ascii="宋体" w:hAnsi="宋体"/>
          <w:color w:val="auto"/>
          <w:szCs w:val="28"/>
          <w:highlight w:val="none"/>
        </w:rPr>
        <w:fldChar w:fldCharType="separate"/>
      </w:r>
      <w:r>
        <w:rPr>
          <w:rFonts w:hint="eastAsia"/>
          <w:color w:val="auto"/>
          <w:highlight w:val="none"/>
        </w:rPr>
        <w:t>第六章  投标文件格式</w:t>
      </w:r>
      <w:r>
        <w:rPr>
          <w:color w:val="auto"/>
          <w:highlight w:val="none"/>
        </w:rPr>
        <w:tab/>
      </w:r>
      <w:r>
        <w:rPr>
          <w:color w:val="auto"/>
          <w:highlight w:val="none"/>
        </w:rPr>
        <w:fldChar w:fldCharType="begin"/>
      </w:r>
      <w:r>
        <w:rPr>
          <w:color w:val="auto"/>
          <w:highlight w:val="none"/>
        </w:rPr>
        <w:instrText xml:space="preserve"> PAGEREF _Toc21449 \h </w:instrText>
      </w:r>
      <w:r>
        <w:rPr>
          <w:color w:val="auto"/>
          <w:highlight w:val="none"/>
        </w:rPr>
        <w:fldChar w:fldCharType="separate"/>
      </w:r>
      <w:r>
        <w:rPr>
          <w:color w:val="auto"/>
          <w:highlight w:val="none"/>
        </w:rPr>
        <w:t>38</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_Toc7937 </w:instrText>
      </w:r>
      <w:r>
        <w:rPr>
          <w:rFonts w:ascii="宋体" w:hAnsi="宋体"/>
          <w:color w:val="auto"/>
          <w:szCs w:val="28"/>
          <w:highlight w:val="none"/>
        </w:rPr>
        <w:fldChar w:fldCharType="separate"/>
      </w:r>
      <w:r>
        <w:rPr>
          <w:rFonts w:hint="eastAsia"/>
          <w:color w:val="auto"/>
          <w:highlight w:val="none"/>
        </w:rPr>
        <w:t>一、投标函及其附表</w:t>
      </w:r>
      <w:r>
        <w:rPr>
          <w:color w:val="auto"/>
          <w:highlight w:val="none"/>
        </w:rPr>
        <w:tab/>
      </w:r>
      <w:r>
        <w:rPr>
          <w:color w:val="auto"/>
          <w:highlight w:val="none"/>
        </w:rPr>
        <w:fldChar w:fldCharType="begin"/>
      </w:r>
      <w:r>
        <w:rPr>
          <w:color w:val="auto"/>
          <w:highlight w:val="none"/>
        </w:rPr>
        <w:instrText xml:space="preserve"> PAGEREF _Toc7937 \h </w:instrText>
      </w:r>
      <w:r>
        <w:rPr>
          <w:color w:val="auto"/>
          <w:highlight w:val="none"/>
        </w:rPr>
        <w:fldChar w:fldCharType="separate"/>
      </w:r>
      <w:r>
        <w:rPr>
          <w:color w:val="auto"/>
          <w:highlight w:val="none"/>
        </w:rPr>
        <w:t>40</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_Toc26549 </w:instrText>
      </w:r>
      <w:r>
        <w:rPr>
          <w:rFonts w:ascii="宋体" w:hAnsi="宋体"/>
          <w:color w:val="auto"/>
          <w:szCs w:val="28"/>
          <w:highlight w:val="none"/>
        </w:rPr>
        <w:fldChar w:fldCharType="separate"/>
      </w:r>
      <w:r>
        <w:rPr>
          <w:rFonts w:hint="eastAsia"/>
          <w:color w:val="auto"/>
          <w:highlight w:val="none"/>
        </w:rPr>
        <w:t>二、法定代表人证明书及授权委托书</w:t>
      </w:r>
      <w:r>
        <w:rPr>
          <w:color w:val="auto"/>
          <w:highlight w:val="none"/>
        </w:rPr>
        <w:tab/>
      </w:r>
      <w:r>
        <w:rPr>
          <w:color w:val="auto"/>
          <w:highlight w:val="none"/>
        </w:rPr>
        <w:fldChar w:fldCharType="begin"/>
      </w:r>
      <w:r>
        <w:rPr>
          <w:color w:val="auto"/>
          <w:highlight w:val="none"/>
        </w:rPr>
        <w:instrText xml:space="preserve"> PAGEREF _Toc26549 \h </w:instrText>
      </w:r>
      <w:r>
        <w:rPr>
          <w:color w:val="auto"/>
          <w:highlight w:val="none"/>
        </w:rPr>
        <w:fldChar w:fldCharType="separate"/>
      </w:r>
      <w:r>
        <w:rPr>
          <w:color w:val="auto"/>
          <w:highlight w:val="none"/>
        </w:rPr>
        <w:t>42</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_Toc9652 </w:instrText>
      </w:r>
      <w:r>
        <w:rPr>
          <w:rFonts w:ascii="宋体" w:hAnsi="宋体"/>
          <w:color w:val="auto"/>
          <w:szCs w:val="28"/>
          <w:highlight w:val="none"/>
        </w:rPr>
        <w:fldChar w:fldCharType="separate"/>
      </w:r>
      <w:r>
        <w:rPr>
          <w:rFonts w:hint="eastAsia"/>
          <w:color w:val="auto"/>
          <w:highlight w:val="none"/>
        </w:rPr>
        <w:t>三、投标保证金凭证</w:t>
      </w:r>
      <w:r>
        <w:rPr>
          <w:color w:val="auto"/>
          <w:highlight w:val="none"/>
        </w:rPr>
        <w:tab/>
      </w:r>
      <w:r>
        <w:rPr>
          <w:color w:val="auto"/>
          <w:highlight w:val="none"/>
        </w:rPr>
        <w:fldChar w:fldCharType="begin"/>
      </w:r>
      <w:r>
        <w:rPr>
          <w:color w:val="auto"/>
          <w:highlight w:val="none"/>
        </w:rPr>
        <w:instrText xml:space="preserve"> PAGEREF _Toc9652 \h </w:instrText>
      </w:r>
      <w:r>
        <w:rPr>
          <w:color w:val="auto"/>
          <w:highlight w:val="none"/>
        </w:rPr>
        <w:fldChar w:fldCharType="separate"/>
      </w:r>
      <w:r>
        <w:rPr>
          <w:color w:val="auto"/>
          <w:highlight w:val="none"/>
        </w:rPr>
        <w:t>43</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_Toc7635 </w:instrText>
      </w:r>
      <w:r>
        <w:rPr>
          <w:rFonts w:ascii="宋体" w:hAnsi="宋体"/>
          <w:color w:val="auto"/>
          <w:szCs w:val="28"/>
          <w:highlight w:val="none"/>
        </w:rPr>
        <w:fldChar w:fldCharType="separate"/>
      </w:r>
      <w:r>
        <w:rPr>
          <w:rFonts w:hint="eastAsia"/>
          <w:color w:val="auto"/>
          <w:szCs w:val="32"/>
          <w:highlight w:val="none"/>
        </w:rPr>
        <w:t>四、</w:t>
      </w:r>
      <w:r>
        <w:rPr>
          <w:rFonts w:hint="eastAsia"/>
          <w:color w:val="auto"/>
          <w:highlight w:val="none"/>
        </w:rPr>
        <w:t>投</w:t>
      </w:r>
      <w:r>
        <w:rPr>
          <w:rFonts w:hint="eastAsia"/>
          <w:color w:val="auto"/>
          <w:szCs w:val="22"/>
          <w:highlight w:val="none"/>
        </w:rPr>
        <w:t>标</w:t>
      </w:r>
      <w:r>
        <w:rPr>
          <w:rFonts w:hint="eastAsia"/>
          <w:color w:val="auto"/>
          <w:highlight w:val="none"/>
        </w:rPr>
        <w:t>报价书</w:t>
      </w:r>
      <w:r>
        <w:rPr>
          <w:color w:val="auto"/>
          <w:highlight w:val="none"/>
        </w:rPr>
        <w:tab/>
      </w:r>
      <w:r>
        <w:rPr>
          <w:color w:val="auto"/>
          <w:highlight w:val="none"/>
        </w:rPr>
        <w:fldChar w:fldCharType="begin"/>
      </w:r>
      <w:r>
        <w:rPr>
          <w:color w:val="auto"/>
          <w:highlight w:val="none"/>
        </w:rPr>
        <w:instrText xml:space="preserve"> PAGEREF _Toc7635 \h </w:instrText>
      </w:r>
      <w:r>
        <w:rPr>
          <w:color w:val="auto"/>
          <w:highlight w:val="none"/>
        </w:rPr>
        <w:fldChar w:fldCharType="separate"/>
      </w:r>
      <w:r>
        <w:rPr>
          <w:color w:val="auto"/>
          <w:highlight w:val="none"/>
        </w:rPr>
        <w:t>46</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_Toc28625 </w:instrText>
      </w:r>
      <w:r>
        <w:rPr>
          <w:rFonts w:ascii="宋体" w:hAnsi="宋体"/>
          <w:color w:val="auto"/>
          <w:szCs w:val="28"/>
          <w:highlight w:val="none"/>
        </w:rPr>
        <w:fldChar w:fldCharType="separate"/>
      </w:r>
      <w:r>
        <w:rPr>
          <w:rFonts w:hint="eastAsia"/>
          <w:color w:val="auto"/>
          <w:highlight w:val="none"/>
        </w:rPr>
        <w:t>五、资格审查资料</w:t>
      </w:r>
      <w:r>
        <w:rPr>
          <w:color w:val="auto"/>
          <w:highlight w:val="none"/>
        </w:rPr>
        <w:tab/>
      </w:r>
      <w:r>
        <w:rPr>
          <w:color w:val="auto"/>
          <w:highlight w:val="none"/>
        </w:rPr>
        <w:fldChar w:fldCharType="begin"/>
      </w:r>
      <w:r>
        <w:rPr>
          <w:color w:val="auto"/>
          <w:highlight w:val="none"/>
        </w:rPr>
        <w:instrText xml:space="preserve"> PAGEREF _Toc28625 \h </w:instrText>
      </w:r>
      <w:r>
        <w:rPr>
          <w:color w:val="auto"/>
          <w:highlight w:val="none"/>
        </w:rPr>
        <w:fldChar w:fldCharType="separate"/>
      </w:r>
      <w:r>
        <w:rPr>
          <w:color w:val="auto"/>
          <w:highlight w:val="none"/>
        </w:rPr>
        <w:t>48</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_Toc6327 </w:instrText>
      </w:r>
      <w:r>
        <w:rPr>
          <w:rFonts w:ascii="宋体" w:hAnsi="宋体"/>
          <w:color w:val="auto"/>
          <w:szCs w:val="28"/>
          <w:highlight w:val="none"/>
        </w:rPr>
        <w:fldChar w:fldCharType="separate"/>
      </w:r>
      <w:r>
        <w:rPr>
          <w:rFonts w:hint="eastAsia"/>
          <w:color w:val="auto"/>
          <w:highlight w:val="none"/>
        </w:rPr>
        <w:t>六、类似项目业绩表</w:t>
      </w:r>
      <w:r>
        <w:rPr>
          <w:color w:val="auto"/>
          <w:highlight w:val="none"/>
        </w:rPr>
        <w:tab/>
      </w:r>
      <w:r>
        <w:rPr>
          <w:color w:val="auto"/>
          <w:highlight w:val="none"/>
        </w:rPr>
        <w:fldChar w:fldCharType="begin"/>
      </w:r>
      <w:r>
        <w:rPr>
          <w:color w:val="auto"/>
          <w:highlight w:val="none"/>
        </w:rPr>
        <w:instrText xml:space="preserve"> PAGEREF _Toc6327 \h </w:instrText>
      </w:r>
      <w:r>
        <w:rPr>
          <w:color w:val="auto"/>
          <w:highlight w:val="none"/>
        </w:rPr>
        <w:fldChar w:fldCharType="separate"/>
      </w:r>
      <w:r>
        <w:rPr>
          <w:color w:val="auto"/>
          <w:highlight w:val="none"/>
        </w:rPr>
        <w:t>53</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_Toc6036 </w:instrText>
      </w:r>
      <w:r>
        <w:rPr>
          <w:rFonts w:ascii="宋体" w:hAnsi="宋体"/>
          <w:color w:val="auto"/>
          <w:szCs w:val="28"/>
          <w:highlight w:val="none"/>
        </w:rPr>
        <w:fldChar w:fldCharType="separate"/>
      </w:r>
      <w:r>
        <w:rPr>
          <w:rFonts w:hint="eastAsia"/>
          <w:color w:val="auto"/>
          <w:highlight w:val="none"/>
        </w:rPr>
        <w:t>七、拟投入本项目的检测和监测人员一览表</w:t>
      </w:r>
      <w:r>
        <w:rPr>
          <w:color w:val="auto"/>
          <w:highlight w:val="none"/>
        </w:rPr>
        <w:tab/>
      </w:r>
      <w:r>
        <w:rPr>
          <w:color w:val="auto"/>
          <w:highlight w:val="none"/>
        </w:rPr>
        <w:fldChar w:fldCharType="begin"/>
      </w:r>
      <w:r>
        <w:rPr>
          <w:color w:val="auto"/>
          <w:highlight w:val="none"/>
        </w:rPr>
        <w:instrText xml:space="preserve"> PAGEREF _Toc6036 \h </w:instrText>
      </w:r>
      <w:r>
        <w:rPr>
          <w:color w:val="auto"/>
          <w:highlight w:val="none"/>
        </w:rPr>
        <w:fldChar w:fldCharType="separate"/>
      </w:r>
      <w:r>
        <w:rPr>
          <w:color w:val="auto"/>
          <w:highlight w:val="none"/>
        </w:rPr>
        <w:t>54</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_Toc27580 </w:instrText>
      </w:r>
      <w:r>
        <w:rPr>
          <w:rFonts w:ascii="宋体" w:hAnsi="宋体"/>
          <w:color w:val="auto"/>
          <w:szCs w:val="28"/>
          <w:highlight w:val="none"/>
        </w:rPr>
        <w:fldChar w:fldCharType="separate"/>
      </w:r>
      <w:r>
        <w:rPr>
          <w:rFonts w:hint="eastAsia"/>
          <w:color w:val="auto"/>
          <w:highlight w:val="none"/>
        </w:rPr>
        <w:t>八、拟投入本项目的检测和监测人员简历表</w:t>
      </w:r>
      <w:r>
        <w:rPr>
          <w:color w:val="auto"/>
          <w:highlight w:val="none"/>
        </w:rPr>
        <w:tab/>
      </w:r>
      <w:r>
        <w:rPr>
          <w:color w:val="auto"/>
          <w:highlight w:val="none"/>
        </w:rPr>
        <w:fldChar w:fldCharType="begin"/>
      </w:r>
      <w:r>
        <w:rPr>
          <w:color w:val="auto"/>
          <w:highlight w:val="none"/>
        </w:rPr>
        <w:instrText xml:space="preserve"> PAGEREF _Toc27580 \h </w:instrText>
      </w:r>
      <w:r>
        <w:rPr>
          <w:color w:val="auto"/>
          <w:highlight w:val="none"/>
        </w:rPr>
        <w:fldChar w:fldCharType="separate"/>
      </w:r>
      <w:r>
        <w:rPr>
          <w:color w:val="auto"/>
          <w:highlight w:val="none"/>
        </w:rPr>
        <w:t>55</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_Toc1211 </w:instrText>
      </w:r>
      <w:r>
        <w:rPr>
          <w:rFonts w:ascii="宋体" w:hAnsi="宋体"/>
          <w:color w:val="auto"/>
          <w:szCs w:val="28"/>
          <w:highlight w:val="none"/>
        </w:rPr>
        <w:fldChar w:fldCharType="separate"/>
      </w:r>
      <w:r>
        <w:rPr>
          <w:rFonts w:hint="eastAsia"/>
          <w:color w:val="auto"/>
          <w:highlight w:val="none"/>
        </w:rPr>
        <w:t>九、拟投入本项目的主要仪器设备一览表</w:t>
      </w:r>
      <w:r>
        <w:rPr>
          <w:color w:val="auto"/>
          <w:highlight w:val="none"/>
        </w:rPr>
        <w:tab/>
      </w:r>
      <w:r>
        <w:rPr>
          <w:color w:val="auto"/>
          <w:highlight w:val="none"/>
        </w:rPr>
        <w:fldChar w:fldCharType="begin"/>
      </w:r>
      <w:r>
        <w:rPr>
          <w:color w:val="auto"/>
          <w:highlight w:val="none"/>
        </w:rPr>
        <w:instrText xml:space="preserve"> PAGEREF _Toc1211 \h </w:instrText>
      </w:r>
      <w:r>
        <w:rPr>
          <w:color w:val="auto"/>
          <w:highlight w:val="none"/>
        </w:rPr>
        <w:fldChar w:fldCharType="separate"/>
      </w:r>
      <w:r>
        <w:rPr>
          <w:color w:val="auto"/>
          <w:highlight w:val="none"/>
        </w:rPr>
        <w:t>56</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_Toc8782 </w:instrText>
      </w:r>
      <w:r>
        <w:rPr>
          <w:rFonts w:ascii="宋体" w:hAnsi="宋体"/>
          <w:color w:val="auto"/>
          <w:szCs w:val="28"/>
          <w:highlight w:val="none"/>
        </w:rPr>
        <w:fldChar w:fldCharType="separate"/>
      </w:r>
      <w:r>
        <w:rPr>
          <w:rFonts w:hint="eastAsia"/>
          <w:color w:val="auto"/>
          <w:highlight w:val="none"/>
        </w:rPr>
        <w:t>十、检测和监测方案</w:t>
      </w:r>
      <w:r>
        <w:rPr>
          <w:color w:val="auto"/>
          <w:highlight w:val="none"/>
        </w:rPr>
        <w:tab/>
      </w:r>
      <w:r>
        <w:rPr>
          <w:color w:val="auto"/>
          <w:highlight w:val="none"/>
        </w:rPr>
        <w:fldChar w:fldCharType="begin"/>
      </w:r>
      <w:r>
        <w:rPr>
          <w:color w:val="auto"/>
          <w:highlight w:val="none"/>
        </w:rPr>
        <w:instrText xml:space="preserve"> PAGEREF _Toc8782 \h </w:instrText>
      </w:r>
      <w:r>
        <w:rPr>
          <w:color w:val="auto"/>
          <w:highlight w:val="none"/>
        </w:rPr>
        <w:fldChar w:fldCharType="separate"/>
      </w:r>
      <w:r>
        <w:rPr>
          <w:color w:val="auto"/>
          <w:highlight w:val="none"/>
        </w:rPr>
        <w:t>57</w:t>
      </w:r>
      <w:r>
        <w:rPr>
          <w:color w:val="auto"/>
          <w:highlight w:val="none"/>
        </w:rPr>
        <w:fldChar w:fldCharType="end"/>
      </w:r>
      <w:r>
        <w:rPr>
          <w:rFonts w:ascii="宋体" w:hAnsi="宋体"/>
          <w:color w:val="auto"/>
          <w:szCs w:val="28"/>
          <w:highlight w:val="none"/>
        </w:rPr>
        <w:fldChar w:fldCharType="end"/>
      </w:r>
    </w:p>
    <w:p>
      <w:pPr>
        <w:pStyle w:val="16"/>
        <w:tabs>
          <w:tab w:val="right" w:leader="hyphen" w:pos="9072"/>
        </w:tabs>
        <w:rPr>
          <w:color w:val="auto"/>
          <w:highlight w:val="none"/>
        </w:rPr>
      </w:pPr>
      <w:r>
        <w:rPr>
          <w:rFonts w:ascii="宋体" w:hAnsi="宋体"/>
          <w:color w:val="auto"/>
          <w:szCs w:val="28"/>
          <w:highlight w:val="none"/>
        </w:rPr>
        <w:fldChar w:fldCharType="begin"/>
      </w:r>
      <w:r>
        <w:rPr>
          <w:rFonts w:ascii="宋体" w:hAnsi="宋体"/>
          <w:color w:val="auto"/>
          <w:szCs w:val="28"/>
          <w:highlight w:val="none"/>
        </w:rPr>
        <w:instrText xml:space="preserve"> HYPERLINK \l _Toc21782 </w:instrText>
      </w:r>
      <w:r>
        <w:rPr>
          <w:rFonts w:ascii="宋体" w:hAnsi="宋体"/>
          <w:color w:val="auto"/>
          <w:szCs w:val="28"/>
          <w:highlight w:val="none"/>
        </w:rPr>
        <w:fldChar w:fldCharType="separate"/>
      </w:r>
      <w:r>
        <w:rPr>
          <w:rFonts w:hint="eastAsia"/>
          <w:color w:val="auto"/>
          <w:highlight w:val="none"/>
        </w:rPr>
        <w:t>十一、其他资料</w:t>
      </w:r>
      <w:r>
        <w:rPr>
          <w:color w:val="auto"/>
          <w:highlight w:val="none"/>
        </w:rPr>
        <w:tab/>
      </w:r>
      <w:r>
        <w:rPr>
          <w:color w:val="auto"/>
          <w:highlight w:val="none"/>
        </w:rPr>
        <w:fldChar w:fldCharType="begin"/>
      </w:r>
      <w:r>
        <w:rPr>
          <w:color w:val="auto"/>
          <w:highlight w:val="none"/>
        </w:rPr>
        <w:instrText xml:space="preserve"> PAGEREF _Toc21782 \h </w:instrText>
      </w:r>
      <w:r>
        <w:rPr>
          <w:color w:val="auto"/>
          <w:highlight w:val="none"/>
        </w:rPr>
        <w:fldChar w:fldCharType="separate"/>
      </w:r>
      <w:r>
        <w:rPr>
          <w:color w:val="auto"/>
          <w:highlight w:val="none"/>
        </w:rPr>
        <w:t>58</w:t>
      </w:r>
      <w:r>
        <w:rPr>
          <w:color w:val="auto"/>
          <w:highlight w:val="none"/>
        </w:rPr>
        <w:fldChar w:fldCharType="end"/>
      </w:r>
      <w:r>
        <w:rPr>
          <w:rFonts w:ascii="宋体" w:hAnsi="宋体"/>
          <w:color w:val="auto"/>
          <w:szCs w:val="28"/>
          <w:highlight w:val="none"/>
        </w:rPr>
        <w:fldChar w:fldCharType="end"/>
      </w:r>
    </w:p>
    <w:p>
      <w:pPr>
        <w:spacing w:line="360" w:lineRule="auto"/>
        <w:ind w:firstLine="420" w:firstLineChars="200"/>
        <w:rPr>
          <w:rFonts w:ascii="宋体" w:hAnsi="宋体"/>
          <w:color w:val="auto"/>
          <w:highlight w:val="none"/>
        </w:rPr>
      </w:pPr>
      <w:r>
        <w:rPr>
          <w:rFonts w:ascii="宋体" w:hAnsi="宋体"/>
          <w:color w:val="auto"/>
          <w:szCs w:val="28"/>
          <w:highlight w:val="none"/>
        </w:rPr>
        <w:fldChar w:fldCharType="end"/>
      </w:r>
      <w:r>
        <w:rPr>
          <w:rFonts w:ascii="宋体" w:hAnsi="宋体"/>
          <w:color w:val="auto"/>
          <w:highlight w:val="none"/>
        </w:rPr>
        <w:br w:type="page"/>
      </w:r>
    </w:p>
    <w:p>
      <w:pPr>
        <w:pStyle w:val="3"/>
        <w:ind w:firstLine="470"/>
        <w:rPr>
          <w:color w:val="auto"/>
          <w:highlight w:val="none"/>
        </w:rPr>
      </w:pPr>
      <w:bookmarkStart w:id="6" w:name="_Toc31541"/>
      <w:bookmarkStart w:id="7" w:name="_Toc26151"/>
      <w:bookmarkStart w:id="8" w:name="_Toc103592005"/>
      <w:r>
        <w:rPr>
          <w:rFonts w:hint="eastAsia"/>
          <w:color w:val="auto"/>
          <w:highlight w:val="none"/>
        </w:rPr>
        <w:t>第一卷</w:t>
      </w:r>
      <w:bookmarkEnd w:id="6"/>
      <w:bookmarkEnd w:id="7"/>
      <w:bookmarkEnd w:id="8"/>
    </w:p>
    <w:p>
      <w:pPr>
        <w:pStyle w:val="3"/>
        <w:rPr>
          <w:color w:val="auto"/>
          <w:sz w:val="28"/>
          <w:highlight w:val="none"/>
        </w:rPr>
      </w:pPr>
      <w:bookmarkStart w:id="9" w:name="_Toc103592006"/>
      <w:bookmarkStart w:id="10" w:name="_Toc13684"/>
      <w:bookmarkStart w:id="11" w:name="_Toc32025"/>
      <w:bookmarkStart w:id="12" w:name="_Toc533357306"/>
      <w:r>
        <w:rPr>
          <w:rFonts w:hint="eastAsia"/>
          <w:color w:val="auto"/>
          <w:highlight w:val="none"/>
        </w:rPr>
        <w:t>第一章  招标公告</w:t>
      </w:r>
      <w:bookmarkEnd w:id="9"/>
      <w:bookmarkEnd w:id="10"/>
      <w:bookmarkEnd w:id="11"/>
    </w:p>
    <w:p>
      <w:pPr>
        <w:spacing w:line="360" w:lineRule="auto"/>
        <w:jc w:val="center"/>
        <w:rPr>
          <w:rFonts w:ascii="宋体" w:hAnsi="宋体"/>
          <w:color w:val="auto"/>
          <w:sz w:val="24"/>
          <w:szCs w:val="24"/>
          <w:highlight w:val="none"/>
        </w:rPr>
      </w:pPr>
      <w:r>
        <w:rPr>
          <w:rFonts w:hint="eastAsia" w:ascii="宋体" w:hAnsi="宋体"/>
          <w:bCs/>
          <w:color w:val="auto"/>
          <w:sz w:val="24"/>
          <w:szCs w:val="24"/>
          <w:highlight w:val="none"/>
        </w:rPr>
        <w:t>（另册）</w:t>
      </w:r>
    </w:p>
    <w:p>
      <w:pPr>
        <w:spacing w:line="360" w:lineRule="auto"/>
        <w:ind w:left="3986" w:firstLine="421"/>
        <w:rPr>
          <w:rFonts w:ascii="宋体" w:hAnsi="宋体"/>
          <w:color w:val="auto"/>
          <w:highlight w:val="none"/>
        </w:rPr>
      </w:pPr>
    </w:p>
    <w:p>
      <w:pPr>
        <w:pStyle w:val="3"/>
        <w:keepNext/>
        <w:keepLines/>
        <w:pageBreakBefore w:val="0"/>
        <w:widowControl w:val="0"/>
        <w:kinsoku/>
        <w:wordWrap/>
        <w:overflowPunct/>
        <w:topLinePunct w:val="0"/>
        <w:autoSpaceDE/>
        <w:autoSpaceDN/>
        <w:bidi w:val="0"/>
        <w:adjustRightInd/>
        <w:snapToGrid/>
        <w:spacing w:line="480" w:lineRule="auto"/>
        <w:textAlignment w:val="auto"/>
        <w:rPr>
          <w:color w:val="auto"/>
          <w:sz w:val="28"/>
          <w:highlight w:val="none"/>
        </w:rPr>
      </w:pPr>
      <w:bookmarkStart w:id="13" w:name="_Toc514099629"/>
      <w:bookmarkStart w:id="14" w:name="_Toc511557031"/>
      <w:r>
        <w:rPr>
          <w:rFonts w:hint="eastAsia"/>
          <w:color w:val="auto"/>
          <w:highlight w:val="none"/>
        </w:rPr>
        <w:br w:type="page"/>
      </w:r>
      <w:bookmarkEnd w:id="12"/>
      <w:bookmarkEnd w:id="13"/>
      <w:bookmarkEnd w:id="14"/>
      <w:bookmarkStart w:id="15" w:name="_Toc144974481"/>
      <w:bookmarkEnd w:id="15"/>
      <w:bookmarkStart w:id="16" w:name="_Toc152045512"/>
      <w:bookmarkEnd w:id="16"/>
      <w:bookmarkStart w:id="17" w:name="_Toc361508560"/>
      <w:bookmarkEnd w:id="17"/>
      <w:bookmarkStart w:id="18" w:name="_Toc369531498"/>
      <w:bookmarkEnd w:id="18"/>
      <w:bookmarkStart w:id="19" w:name="_Toc10785"/>
      <w:bookmarkEnd w:id="19"/>
      <w:bookmarkStart w:id="20" w:name="_Toc384308188"/>
      <w:bookmarkEnd w:id="20"/>
      <w:bookmarkStart w:id="21" w:name="_Toc369531497"/>
      <w:bookmarkEnd w:id="21"/>
      <w:bookmarkStart w:id="22" w:name="_Toc152042288"/>
      <w:bookmarkEnd w:id="22"/>
      <w:bookmarkStart w:id="23" w:name="_Toc300834929"/>
      <w:bookmarkEnd w:id="23"/>
      <w:bookmarkStart w:id="24" w:name="_Toc369531495"/>
      <w:bookmarkEnd w:id="24"/>
      <w:bookmarkStart w:id="25" w:name="_Toc300834930"/>
      <w:bookmarkEnd w:id="25"/>
      <w:bookmarkStart w:id="26" w:name="_Toc300834927"/>
      <w:bookmarkEnd w:id="26"/>
      <w:bookmarkStart w:id="27" w:name="_Toc144974480"/>
      <w:bookmarkEnd w:id="27"/>
      <w:bookmarkStart w:id="28" w:name="_Toc352691456"/>
      <w:bookmarkEnd w:id="28"/>
      <w:bookmarkStart w:id="29" w:name="_Toc352691455"/>
      <w:bookmarkEnd w:id="29"/>
      <w:bookmarkStart w:id="30" w:name="_Toc152045513"/>
      <w:bookmarkEnd w:id="30"/>
      <w:bookmarkStart w:id="31" w:name="_Toc384308185"/>
      <w:bookmarkEnd w:id="31"/>
      <w:bookmarkStart w:id="32" w:name="_Toc247527535"/>
      <w:bookmarkEnd w:id="32"/>
      <w:bookmarkStart w:id="33" w:name="_Toc247527536"/>
      <w:bookmarkEnd w:id="33"/>
      <w:bookmarkStart w:id="34" w:name="_Toc30817"/>
      <w:bookmarkEnd w:id="34"/>
      <w:bookmarkStart w:id="35" w:name="_Toc152042289"/>
      <w:bookmarkEnd w:id="35"/>
      <w:bookmarkStart w:id="36" w:name="_Toc361508562"/>
      <w:bookmarkEnd w:id="36"/>
      <w:bookmarkStart w:id="37" w:name="_Toc247513934"/>
      <w:bookmarkEnd w:id="37"/>
      <w:bookmarkStart w:id="38" w:name="_Toc384308187"/>
      <w:bookmarkEnd w:id="38"/>
      <w:bookmarkStart w:id="39" w:name="_Toc352691453"/>
      <w:bookmarkEnd w:id="39"/>
      <w:bookmarkStart w:id="40" w:name="_Toc361508563"/>
      <w:bookmarkEnd w:id="40"/>
      <w:bookmarkStart w:id="41" w:name="_Toc17972"/>
      <w:bookmarkEnd w:id="41"/>
      <w:bookmarkStart w:id="42" w:name="_Toc247513935"/>
      <w:bookmarkEnd w:id="42"/>
      <w:bookmarkStart w:id="43" w:name="_Toc103592007"/>
      <w:bookmarkStart w:id="44" w:name="_Toc25602"/>
      <w:bookmarkStart w:id="45" w:name="_Toc1807"/>
      <w:r>
        <w:rPr>
          <w:rFonts w:hint="eastAsia"/>
          <w:color w:val="auto"/>
          <w:highlight w:val="none"/>
        </w:rPr>
        <w:t>第二章  投标人须知</w:t>
      </w:r>
      <w:bookmarkEnd w:id="43"/>
      <w:bookmarkEnd w:id="44"/>
      <w:bookmarkEnd w:id="45"/>
    </w:p>
    <w:p>
      <w:pPr>
        <w:pStyle w:val="4"/>
        <w:rPr>
          <w:rFonts w:ascii="宋体" w:hAnsi="宋体"/>
          <w:color w:val="auto"/>
          <w:highlight w:val="none"/>
        </w:rPr>
      </w:pPr>
      <w:bookmarkStart w:id="46" w:name="_Toc14568"/>
      <w:bookmarkStart w:id="47" w:name="_Toc103592008"/>
      <w:bookmarkStart w:id="48" w:name="_Toc30331"/>
      <w:bookmarkStart w:id="49" w:name="_Toc533357307"/>
      <w:r>
        <w:rPr>
          <w:rFonts w:hint="eastAsia" w:ascii="宋体" w:hAnsi="宋体"/>
          <w:color w:val="auto"/>
          <w:highlight w:val="none"/>
        </w:rPr>
        <w:t>投标人须知前附</w:t>
      </w:r>
      <w:bookmarkEnd w:id="46"/>
      <w:bookmarkEnd w:id="47"/>
      <w:bookmarkEnd w:id="48"/>
      <w:bookmarkEnd w:id="49"/>
    </w:p>
    <w:tbl>
      <w:tblPr>
        <w:tblStyle w:val="28"/>
        <w:tblpPr w:leftFromText="180" w:rightFromText="180" w:vertAnchor="text" w:horzAnchor="page" w:tblpX="1001" w:tblpY="9"/>
        <w:tblOverlap w:val="never"/>
        <w:tblW w:w="10226" w:type="dxa"/>
        <w:tblInd w:w="0" w:type="dxa"/>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Layout w:type="fixed"/>
        <w:tblCellMar>
          <w:top w:w="0" w:type="dxa"/>
          <w:left w:w="108" w:type="dxa"/>
          <w:bottom w:w="0" w:type="dxa"/>
          <w:right w:w="108" w:type="dxa"/>
        </w:tblCellMar>
      </w:tblPr>
      <w:tblGrid>
        <w:gridCol w:w="866"/>
        <w:gridCol w:w="2160"/>
        <w:gridCol w:w="7200"/>
      </w:tblGrid>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blHeader/>
        </w:trPr>
        <w:tc>
          <w:tcPr>
            <w:tcW w:w="866"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条款号</w:t>
            </w:r>
          </w:p>
        </w:tc>
        <w:tc>
          <w:tcPr>
            <w:tcW w:w="2160"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条款名称</w:t>
            </w:r>
          </w:p>
        </w:tc>
        <w:tc>
          <w:tcPr>
            <w:tcW w:w="7200" w:type="dxa"/>
            <w:tcBorders>
              <w:top w:val="single" w:color="auto" w:sz="4" w:space="0"/>
            </w:tcBorders>
            <w:vAlign w:val="center"/>
          </w:tcPr>
          <w:p>
            <w:pPr>
              <w:snapToGrid w:val="0"/>
              <w:spacing w:line="276" w:lineRule="auto"/>
              <w:jc w:val="center"/>
              <w:rPr>
                <w:rFonts w:ascii="宋体" w:hAnsi="宋体"/>
                <w:b/>
                <w:color w:val="auto"/>
                <w:szCs w:val="21"/>
                <w:highlight w:val="none"/>
              </w:rPr>
            </w:pPr>
            <w:r>
              <w:rPr>
                <w:rFonts w:hint="eastAsia" w:ascii="宋体" w:hAnsi="宋体"/>
                <w:b/>
                <w:color w:val="auto"/>
                <w:szCs w:val="21"/>
                <w:highlight w:val="none"/>
              </w:rPr>
              <w:t>编列内容</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招标人</w:t>
            </w:r>
          </w:p>
        </w:tc>
        <w:tc>
          <w:tcPr>
            <w:tcW w:w="7200" w:type="dxa"/>
            <w:vAlign w:val="center"/>
          </w:tcPr>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广州增城智创产业园开发管理有限公司</w:t>
            </w:r>
          </w:p>
          <w:p>
            <w:pPr>
              <w:adjustRightInd w:val="0"/>
              <w:snapToGrid w:val="0"/>
              <w:spacing w:before="48" w:beforeLines="20" w:after="48" w:afterLines="20"/>
              <w:rPr>
                <w:color w:val="auto"/>
                <w:szCs w:val="21"/>
                <w:highlight w:val="none"/>
                <w:u w:val="single"/>
              </w:rPr>
            </w:pPr>
            <w:r>
              <w:rPr>
                <w:rFonts w:hint="eastAsia" w:ascii="宋体" w:hAnsi="宋体" w:cs="宋体"/>
                <w:color w:val="auto"/>
                <w:szCs w:val="21"/>
                <w:highlight w:val="none"/>
              </w:rPr>
              <w:t>地址：</w:t>
            </w:r>
            <w:r>
              <w:rPr>
                <w:rFonts w:hint="eastAsia"/>
                <w:color w:val="auto"/>
                <w:szCs w:val="21"/>
                <w:highlight w:val="none"/>
                <w:u w:val="single"/>
              </w:rPr>
              <w:t>广州市增城区荔城街民乐路20号6楼601</w:t>
            </w:r>
          </w:p>
          <w:p>
            <w:pPr>
              <w:adjustRightInd w:val="0"/>
              <w:snapToGrid w:val="0"/>
              <w:spacing w:before="48" w:beforeLines="20" w:after="48" w:afterLines="2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谢工</w:t>
            </w:r>
          </w:p>
          <w:p>
            <w:pPr>
              <w:adjustRightInd w:val="0"/>
              <w:snapToGrid w:val="0"/>
              <w:spacing w:before="48" w:beforeLines="20" w:after="48" w:afterLines="20"/>
              <w:rPr>
                <w:rFonts w:ascii="宋体" w:hAnsi="宋体" w:cs="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020-66289369</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招标代理机构</w:t>
            </w:r>
          </w:p>
        </w:tc>
        <w:tc>
          <w:tcPr>
            <w:tcW w:w="7200" w:type="dxa"/>
            <w:vAlign w:val="center"/>
          </w:tcPr>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rPr>
              <w:t>名称：</w:t>
            </w:r>
            <w:r>
              <w:rPr>
                <w:rFonts w:hint="eastAsia" w:ascii="宋体" w:hAnsi="宋体" w:cs="宋体"/>
                <w:color w:val="auto"/>
                <w:szCs w:val="21"/>
                <w:highlight w:val="none"/>
                <w:u w:val="single"/>
              </w:rPr>
              <w:t>广州永安工程管理有限公司</w:t>
            </w:r>
          </w:p>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rPr>
              <w:t>地址：</w:t>
            </w:r>
            <w:r>
              <w:rPr>
                <w:rFonts w:hint="eastAsia" w:ascii="宋体" w:hAnsi="宋体" w:cs="宋体"/>
                <w:color w:val="auto"/>
                <w:szCs w:val="21"/>
                <w:highlight w:val="none"/>
                <w:u w:val="single"/>
              </w:rPr>
              <w:t xml:space="preserve">广州市黄埔区观虹路10号1105室 </w:t>
            </w:r>
          </w:p>
          <w:p>
            <w:pPr>
              <w:adjustRightInd w:val="0"/>
              <w:snapToGrid w:val="0"/>
              <w:spacing w:before="48" w:beforeLines="20" w:after="48" w:afterLines="20"/>
              <w:rPr>
                <w:rFonts w:ascii="宋体" w:hAnsi="宋体" w:cs="宋体"/>
                <w:color w:val="auto"/>
                <w:szCs w:val="21"/>
                <w:highlight w:val="none"/>
              </w:rPr>
            </w:pPr>
            <w:r>
              <w:rPr>
                <w:rFonts w:hint="eastAsia" w:ascii="宋体" w:hAnsi="宋体" w:cs="宋体"/>
                <w:color w:val="auto"/>
                <w:szCs w:val="21"/>
                <w:highlight w:val="none"/>
              </w:rPr>
              <w:t>联系人：</w:t>
            </w:r>
            <w:r>
              <w:rPr>
                <w:rFonts w:hint="eastAsia" w:ascii="宋体" w:hAnsi="宋体" w:cs="宋体"/>
                <w:color w:val="auto"/>
                <w:szCs w:val="21"/>
                <w:highlight w:val="none"/>
                <w:u w:val="single"/>
              </w:rPr>
              <w:t>魏工</w:t>
            </w:r>
          </w:p>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rPr>
              <w:t>电话：</w:t>
            </w:r>
            <w:r>
              <w:rPr>
                <w:rFonts w:hint="eastAsia" w:ascii="宋体" w:hAnsi="宋体" w:cs="宋体"/>
                <w:color w:val="auto"/>
                <w:szCs w:val="21"/>
                <w:highlight w:val="none"/>
                <w:u w:val="single"/>
              </w:rPr>
              <w:t>020-82217860转607</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1.1.4</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招标项目名称</w:t>
            </w:r>
          </w:p>
        </w:tc>
        <w:tc>
          <w:tcPr>
            <w:tcW w:w="7200" w:type="dxa"/>
            <w:vAlign w:val="center"/>
          </w:tcPr>
          <w:p>
            <w:pPr>
              <w:adjustRightInd w:val="0"/>
              <w:snapToGrid w:val="0"/>
              <w:spacing w:before="48" w:beforeLines="20" w:after="48" w:afterLines="20"/>
              <w:jc w:val="left"/>
              <w:rPr>
                <w:rFonts w:ascii="宋体" w:hAnsi="宋体"/>
                <w:color w:val="auto"/>
                <w:szCs w:val="21"/>
                <w:highlight w:val="none"/>
                <w:u w:val="single"/>
              </w:rPr>
            </w:pPr>
            <w:r>
              <w:rPr>
                <w:rFonts w:hint="eastAsia" w:ascii="宋体" w:hAnsi="宋体" w:cs="宋体"/>
                <w:color w:val="auto"/>
                <w:szCs w:val="21"/>
                <w:highlight w:val="none"/>
                <w:u w:val="single"/>
              </w:rPr>
              <w:t>开发区半导体创新智造园项目</w:t>
            </w:r>
            <w:r>
              <w:rPr>
                <w:rStyle w:val="64"/>
                <w:rFonts w:hint="eastAsia" w:ascii="宋体" w:hAnsi="宋体" w:cs="宋体"/>
                <w:color w:val="auto"/>
                <w:szCs w:val="21"/>
                <w:highlight w:val="none"/>
              </w:rPr>
              <w:t>第三方检测和监测服务</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1.1.5</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项目建设地点</w:t>
            </w:r>
          </w:p>
        </w:tc>
        <w:tc>
          <w:tcPr>
            <w:tcW w:w="7200" w:type="dxa"/>
            <w:vAlign w:val="center"/>
          </w:tcPr>
          <w:p>
            <w:pPr>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1.1.6</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项目建设规模</w:t>
            </w:r>
          </w:p>
        </w:tc>
        <w:tc>
          <w:tcPr>
            <w:tcW w:w="7200" w:type="dxa"/>
            <w:vAlign w:val="center"/>
          </w:tcPr>
          <w:p>
            <w:pPr>
              <w:adjustRightInd w:val="0"/>
              <w:snapToGrid w:val="0"/>
              <w:spacing w:before="48" w:beforeLines="20" w:after="48" w:afterLines="20"/>
              <w:ind w:right="106"/>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1.1.7</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工程项目施工预计开工日期和建设周期</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1.1.8</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w:t>
            </w:r>
          </w:p>
        </w:tc>
        <w:tc>
          <w:tcPr>
            <w:tcW w:w="7200" w:type="dxa"/>
            <w:vAlign w:val="center"/>
          </w:tcPr>
          <w:p>
            <w:pPr>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1.2.1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资金来源及比例</w:t>
            </w:r>
          </w:p>
        </w:tc>
        <w:tc>
          <w:tcPr>
            <w:tcW w:w="7200" w:type="dxa"/>
            <w:vAlign w:val="center"/>
          </w:tcPr>
          <w:p>
            <w:pPr>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1.2.2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资金落实情况</w:t>
            </w:r>
          </w:p>
        </w:tc>
        <w:tc>
          <w:tcPr>
            <w:tcW w:w="7200" w:type="dxa"/>
            <w:vAlign w:val="center"/>
          </w:tcPr>
          <w:p>
            <w:pPr>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1.3.1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招标范围</w:t>
            </w:r>
          </w:p>
        </w:tc>
        <w:tc>
          <w:tcPr>
            <w:tcW w:w="7200" w:type="dxa"/>
            <w:vAlign w:val="center"/>
          </w:tcPr>
          <w:p>
            <w:pPr>
              <w:adjustRightInd w:val="0"/>
              <w:snapToGrid w:val="0"/>
              <w:spacing w:before="48" w:beforeLines="20" w:after="48" w:afterLines="20"/>
              <w:ind w:right="106"/>
              <w:jc w:val="left"/>
              <w:rPr>
                <w:rFonts w:ascii="宋体" w:hAnsi="宋体"/>
                <w:color w:val="auto"/>
                <w:szCs w:val="21"/>
                <w:highlight w:val="none"/>
              </w:rPr>
            </w:pPr>
            <w:r>
              <w:rPr>
                <w:rFonts w:hint="eastAsia" w:ascii="宋体" w:hAnsi="宋体"/>
                <w:color w:val="auto"/>
                <w:szCs w:val="21"/>
                <w:highlight w:val="none"/>
              </w:rPr>
              <w:t>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1.3.2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服务期</w:t>
            </w:r>
          </w:p>
        </w:tc>
        <w:tc>
          <w:tcPr>
            <w:tcW w:w="7200" w:type="dxa"/>
            <w:vAlign w:val="center"/>
          </w:tcPr>
          <w:p>
            <w:pPr>
              <w:adjustRightInd w:val="0"/>
              <w:snapToGrid w:val="0"/>
              <w:spacing w:before="48" w:beforeLines="20" w:after="48" w:afterLines="20"/>
              <w:ind w:right="106"/>
              <w:jc w:val="left"/>
              <w:rPr>
                <w:rFonts w:ascii="宋体" w:hAnsi="宋体"/>
                <w:color w:val="auto"/>
                <w:szCs w:val="21"/>
                <w:highlight w:val="none"/>
                <w:u w:val="single"/>
              </w:rPr>
            </w:pPr>
            <w:r>
              <w:rPr>
                <w:rFonts w:hint="eastAsia" w:ascii="宋体" w:hAnsi="宋体"/>
                <w:color w:val="auto"/>
                <w:szCs w:val="21"/>
                <w:highlight w:val="none"/>
                <w:u w:val="single"/>
              </w:rPr>
              <w:t>本合同服务期限自本合同签订之日起至所有服务项目完成且结清检测和监测费用之日止。从乙方进场至完成所有检测和监测项目且技术成果通过审批，服务周期必须满足实际施工及验收要求，且甲方有权根据工程实际需要调整工期及验收时间，乙方需配合甲方的调整作出相应的执行计划。</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1.3.3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质量标准</w:t>
            </w:r>
          </w:p>
        </w:tc>
        <w:tc>
          <w:tcPr>
            <w:tcW w:w="7200" w:type="dxa"/>
            <w:vAlign w:val="center"/>
          </w:tcPr>
          <w:p>
            <w:pPr>
              <w:pStyle w:val="26"/>
              <w:adjustRightInd w:val="0"/>
              <w:snapToGrid w:val="0"/>
              <w:spacing w:before="48" w:beforeLines="20" w:after="48" w:afterLines="20" w:line="240" w:lineRule="auto"/>
              <w:ind w:firstLine="0"/>
              <w:rPr>
                <w:rFonts w:ascii="宋体" w:hAnsi="宋体" w:cs="宋体"/>
                <w:color w:val="auto"/>
                <w:szCs w:val="21"/>
                <w:highlight w:val="none"/>
              </w:rPr>
            </w:pPr>
            <w:r>
              <w:rPr>
                <w:rFonts w:hint="eastAsia" w:ascii="宋体" w:hAnsi="宋体"/>
                <w:color w:val="auto"/>
                <w:szCs w:val="21"/>
                <w:highlight w:val="none"/>
              </w:rPr>
              <w:t>符合国家及省、市有关检测和监测标准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1.4.1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投标人资质条件、能力、信誉</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）资质要求：见招标公告投标人资格要求。</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）财务要求：</w:t>
            </w:r>
            <w:r>
              <w:rPr>
                <w:rFonts w:ascii="宋体" w:hAnsi="宋体" w:cs="宋体"/>
                <w:color w:val="auto"/>
                <w:szCs w:val="21"/>
                <w:highlight w:val="none"/>
              </w:rPr>
              <w:t>/</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）业绩要求：</w:t>
            </w:r>
            <w:r>
              <w:rPr>
                <w:rFonts w:ascii="宋体" w:hAnsi="宋体"/>
                <w:color w:val="auto"/>
                <w:szCs w:val="21"/>
                <w:highlight w:val="none"/>
              </w:rPr>
              <w:t>/</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）信誉要求：</w:t>
            </w:r>
            <w:r>
              <w:rPr>
                <w:rFonts w:ascii="宋体" w:hAnsi="宋体" w:cs="宋体"/>
                <w:color w:val="auto"/>
                <w:szCs w:val="21"/>
                <w:highlight w:val="none"/>
              </w:rPr>
              <w:t>/</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）项目负责人的资格要求：见招标公告投标人资格要求。</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）其他主要人员要求：</w:t>
            </w:r>
            <w:r>
              <w:rPr>
                <w:rFonts w:ascii="宋体" w:hAnsi="宋体"/>
                <w:color w:val="auto"/>
                <w:szCs w:val="21"/>
                <w:highlight w:val="none"/>
              </w:rPr>
              <w:t>/</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）试验检测仪器设备要求：</w:t>
            </w:r>
            <w:r>
              <w:rPr>
                <w:rFonts w:ascii="宋体" w:hAnsi="宋体" w:cs="宋体"/>
                <w:color w:val="auto"/>
                <w:szCs w:val="21"/>
                <w:highlight w:val="none"/>
              </w:rPr>
              <w:t>/</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8</w:t>
            </w:r>
            <w:r>
              <w:rPr>
                <w:rFonts w:hint="eastAsia" w:ascii="宋体" w:hAnsi="宋体"/>
                <w:color w:val="auto"/>
                <w:szCs w:val="21"/>
                <w:highlight w:val="none"/>
              </w:rPr>
              <w:t>）其他要求：见招标公告投标人资格要求。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1.4.2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是否接受联合体投标</w:t>
            </w:r>
          </w:p>
        </w:tc>
        <w:tc>
          <w:tcPr>
            <w:tcW w:w="7200" w:type="dxa"/>
            <w:vAlign w:val="center"/>
          </w:tcPr>
          <w:p>
            <w:pPr>
              <w:adjustRightInd w:val="0"/>
              <w:snapToGrid w:val="0"/>
              <w:spacing w:before="48" w:beforeLines="20" w:after="48" w:afterLines="20"/>
              <w:ind w:right="-238"/>
              <w:rPr>
                <w:rFonts w:ascii="宋体" w:hAnsi="宋体"/>
                <w:color w:val="auto"/>
                <w:szCs w:val="21"/>
                <w:highlight w:val="none"/>
              </w:rPr>
            </w:pPr>
            <w:r>
              <w:rPr>
                <w:rFonts w:hint="eastAsia" w:hAnsi="宋体"/>
                <w:color w:val="auto"/>
                <w:szCs w:val="21"/>
                <w:highlight w:val="none"/>
              </w:rPr>
              <w:t>□</w:t>
            </w:r>
            <w:r>
              <w:rPr>
                <w:rFonts w:hint="eastAsia" w:ascii="宋体" w:hAnsi="宋体" w:cs="宋体"/>
                <w:color w:val="auto"/>
                <w:position w:val="3"/>
                <w:szCs w:val="21"/>
                <w:highlight w:val="none"/>
              </w:rPr>
              <w:t>不接受</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接受，应满足下列要求：详见招标公告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1.4.3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投标人不得存在的其他情形</w:t>
            </w:r>
          </w:p>
        </w:tc>
        <w:tc>
          <w:tcPr>
            <w:tcW w:w="7200" w:type="dxa"/>
            <w:vAlign w:val="center"/>
          </w:tcPr>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1.9.1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踏勘现场</w:t>
            </w:r>
          </w:p>
        </w:tc>
        <w:tc>
          <w:tcPr>
            <w:tcW w:w="7200" w:type="dxa"/>
            <w:vAlign w:val="center"/>
          </w:tcPr>
          <w:p>
            <w:pPr>
              <w:pStyle w:val="12"/>
              <w:adjustRightInd w:val="0"/>
              <w:snapToGrid w:val="0"/>
              <w:spacing w:before="48" w:beforeLines="20" w:after="48" w:afterLines="20"/>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不组织，</w:t>
            </w:r>
            <w:r>
              <w:rPr>
                <w:rFonts w:hint="eastAsia" w:hAnsi="宋体"/>
                <w:color w:val="auto"/>
                <w:sz w:val="21"/>
                <w:szCs w:val="21"/>
                <w:highlight w:val="none"/>
                <w:u w:val="single"/>
              </w:rPr>
              <w:t>由投标人自行现场考察。</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□组织，踏勘时间：</w:t>
            </w:r>
            <w:r>
              <w:rPr>
                <w:rFonts w:hAnsi="宋体"/>
                <w:color w:val="auto"/>
                <w:sz w:val="21"/>
                <w:szCs w:val="21"/>
                <w:highlight w:val="none"/>
              </w:rPr>
              <w:t>/</w:t>
            </w:r>
          </w:p>
          <w:p>
            <w:pPr>
              <w:pStyle w:val="12"/>
              <w:adjustRightInd w:val="0"/>
              <w:snapToGrid w:val="0"/>
              <w:spacing w:before="48" w:beforeLines="20" w:after="48" w:afterLines="20"/>
              <w:ind w:firstLine="840" w:firstLineChars="400"/>
              <w:rPr>
                <w:rFonts w:hAnsi="宋体"/>
                <w:color w:val="auto"/>
                <w:sz w:val="21"/>
                <w:szCs w:val="21"/>
                <w:highlight w:val="none"/>
              </w:rPr>
            </w:pPr>
            <w:r>
              <w:rPr>
                <w:rFonts w:hint="eastAsia" w:hAnsi="宋体"/>
                <w:color w:val="auto"/>
                <w:sz w:val="21"/>
                <w:szCs w:val="21"/>
                <w:highlight w:val="none"/>
              </w:rPr>
              <w:t>踏勘集中地点：</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1.10.1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投标预备会</w:t>
            </w:r>
          </w:p>
        </w:tc>
        <w:tc>
          <w:tcPr>
            <w:tcW w:w="7200" w:type="dxa"/>
            <w:vAlign w:val="center"/>
          </w:tcPr>
          <w:p>
            <w:pPr>
              <w:pStyle w:val="12"/>
              <w:adjustRightInd w:val="0"/>
              <w:snapToGrid w:val="0"/>
              <w:spacing w:before="48" w:beforeLines="20" w:after="48" w:afterLines="20"/>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不召开</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□召开，召开时间：</w:t>
            </w:r>
            <w:r>
              <w:rPr>
                <w:rFonts w:ascii="宋体" w:hAnsi="宋体"/>
                <w:color w:val="auto"/>
                <w:szCs w:val="21"/>
                <w:highlight w:val="none"/>
                <w:u w:val="single"/>
              </w:rPr>
              <w:t xml:space="preserve"> / </w:t>
            </w:r>
          </w:p>
          <w:p>
            <w:pPr>
              <w:adjustRightInd w:val="0"/>
              <w:snapToGrid w:val="0"/>
              <w:spacing w:before="48" w:beforeLines="20" w:after="48" w:afterLines="20"/>
              <w:ind w:firstLine="840" w:firstLineChars="400"/>
              <w:rPr>
                <w:rFonts w:ascii="宋体" w:hAnsi="宋体"/>
                <w:color w:val="auto"/>
                <w:szCs w:val="21"/>
                <w:highlight w:val="none"/>
              </w:rPr>
            </w:pPr>
            <w:r>
              <w:rPr>
                <w:rFonts w:hint="eastAsia" w:ascii="宋体" w:hAnsi="宋体"/>
                <w:color w:val="auto"/>
                <w:szCs w:val="21"/>
                <w:highlight w:val="none"/>
              </w:rPr>
              <w:t>召开地点：</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1.10.2</w:t>
            </w:r>
          </w:p>
        </w:tc>
        <w:tc>
          <w:tcPr>
            <w:tcW w:w="2160"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投标人在投标预备会前提出问题</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时间：</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160"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形式：</w:t>
            </w:r>
            <w:r>
              <w:rPr>
                <w:rFonts w:ascii="宋体" w:hAnsi="宋体"/>
                <w:color w:val="auto"/>
                <w:szCs w:val="21"/>
                <w:highlight w:val="none"/>
                <w:u w:val="single"/>
              </w:rPr>
              <w:t xml:space="preserve"> /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1.10.3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u w:val="single"/>
              </w:rPr>
              <w:t>在递交投标文件截止时间15天前；在广州公共资源交易中心网站通过项目答疑专区网上公开发布。</w:t>
            </w:r>
          </w:p>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u w:val="single"/>
              </w:rPr>
              <w:t>查看项目答疑纪要操作指南为：</w:t>
            </w:r>
          </w:p>
          <w:p>
            <w:pPr>
              <w:adjustRightInd w:val="0"/>
              <w:snapToGrid w:val="0"/>
              <w:spacing w:before="48" w:beforeLines="20" w:after="48" w:afterLines="20"/>
              <w:jc w:val="left"/>
              <w:rPr>
                <w:rFonts w:ascii="宋体" w:hAnsi="宋体"/>
                <w:color w:val="auto"/>
                <w:szCs w:val="21"/>
                <w:highlight w:val="none"/>
              </w:rPr>
            </w:pPr>
            <w:r>
              <w:rPr>
                <w:rFonts w:hint="eastAsia" w:ascii="宋体" w:hAnsi="宋体" w:cs="宋体"/>
                <w:color w:val="auto"/>
                <w:szCs w:val="21"/>
                <w:highlight w:val="none"/>
                <w:u w:val="single"/>
              </w:rPr>
              <w:t>投标人可直接从</w:t>
            </w:r>
            <w:r>
              <w:rPr>
                <w:rFonts w:hint="eastAsia" w:ascii="宋体" w:cs="宋体"/>
                <w:color w:val="auto"/>
                <w:szCs w:val="21"/>
                <w:highlight w:val="none"/>
                <w:u w:val="single"/>
              </w:rPr>
              <w:t>广州公共资源交易中心网站</w:t>
            </w:r>
            <w:r>
              <w:rPr>
                <w:rFonts w:hint="eastAsia" w:ascii="宋体" w:hAnsi="宋体" w:cs="宋体"/>
                <w:color w:val="auto"/>
                <w:szCs w:val="21"/>
                <w:highlight w:val="none"/>
                <w:u w:val="single"/>
              </w:rPr>
              <w:t>“建设工程”-&gt;“项目查询（日程安排、答疑纪要）”专区下载本项目的答疑纪要。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1.12.1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实质性要求和条件</w:t>
            </w:r>
          </w:p>
        </w:tc>
        <w:tc>
          <w:tcPr>
            <w:tcW w:w="7200" w:type="dxa"/>
            <w:vAlign w:val="center"/>
          </w:tcPr>
          <w:p>
            <w:pPr>
              <w:adjustRightInd w:val="0"/>
              <w:snapToGrid w:val="0"/>
              <w:spacing w:before="48" w:beforeLines="20" w:after="48" w:afterLines="20"/>
              <w:rPr>
                <w:rFonts w:hAnsi="宋体"/>
                <w:color w:val="auto"/>
                <w:szCs w:val="21"/>
                <w:highlight w:val="none"/>
              </w:rPr>
            </w:pPr>
            <w:r>
              <w:rPr>
                <w:rFonts w:hint="eastAsia" w:ascii="宋体" w:hAnsi="宋体" w:cs="宋体"/>
                <w:color w:val="auto"/>
                <w:szCs w:val="21"/>
                <w:highlight w:val="none"/>
              </w:rPr>
              <w:t>详见评标办法前附表中2.1.1、2.1.2、2.1.3的评审标准。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1.12.3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偏差</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不允许</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□允许，偏差范围：</w:t>
            </w:r>
            <w:r>
              <w:rPr>
                <w:rFonts w:hAnsi="宋体"/>
                <w:color w:val="auto"/>
                <w:sz w:val="21"/>
                <w:szCs w:val="21"/>
                <w:highlight w:val="none"/>
              </w:rPr>
              <w:t>/</w:t>
            </w:r>
          </w:p>
          <w:p>
            <w:pPr>
              <w:pStyle w:val="12"/>
              <w:adjustRightInd w:val="0"/>
              <w:snapToGrid w:val="0"/>
              <w:spacing w:before="48" w:beforeLines="20" w:after="48" w:afterLines="20"/>
              <w:ind w:firstLine="840" w:firstLineChars="400"/>
              <w:rPr>
                <w:rFonts w:hAnsi="宋体"/>
                <w:color w:val="auto"/>
                <w:sz w:val="21"/>
                <w:szCs w:val="21"/>
                <w:highlight w:val="none"/>
              </w:rPr>
            </w:pPr>
            <w:r>
              <w:rPr>
                <w:rFonts w:hint="eastAsia" w:hAnsi="宋体"/>
                <w:color w:val="auto"/>
                <w:sz w:val="21"/>
                <w:szCs w:val="21"/>
                <w:highlight w:val="none"/>
              </w:rPr>
              <w:t>偏差幅度：</w:t>
            </w:r>
            <w:r>
              <w:rPr>
                <w:rFonts w:hAnsi="宋体"/>
                <w:color w:val="auto"/>
                <w:sz w:val="21"/>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构成招标文件的其他资料</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u w:val="single"/>
              </w:rPr>
              <w:t>招标公告、招标文件澄清修改及答疑纪要</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2.2.1</w:t>
            </w:r>
          </w:p>
        </w:tc>
        <w:tc>
          <w:tcPr>
            <w:tcW w:w="2160"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投标人要求澄清招标文件</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时间：投标人在递交投标文件截止时间</w:t>
            </w:r>
            <w:r>
              <w:rPr>
                <w:rFonts w:ascii="宋体" w:hAnsi="宋体"/>
                <w:color w:val="auto"/>
                <w:szCs w:val="21"/>
                <w:highlight w:val="none"/>
              </w:rPr>
              <w:t>18</w:t>
            </w:r>
            <w:r>
              <w:rPr>
                <w:rFonts w:hint="eastAsia" w:ascii="宋体" w:hAnsi="宋体"/>
                <w:color w:val="auto"/>
                <w:szCs w:val="21"/>
                <w:highlight w:val="none"/>
              </w:rPr>
              <w:t>天前提出；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160"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200" w:type="dxa"/>
            <w:vAlign w:val="center"/>
          </w:tcPr>
          <w:p>
            <w:pPr>
              <w:pStyle w:val="26"/>
              <w:adjustRightInd w:val="0"/>
              <w:snapToGrid w:val="0"/>
              <w:spacing w:before="48" w:beforeLines="20" w:after="48" w:afterLines="20" w:line="240" w:lineRule="auto"/>
              <w:ind w:right="174" w:rightChars="83" w:firstLine="0"/>
              <w:rPr>
                <w:rFonts w:ascii="宋体" w:hAnsi="宋体" w:cs="宋体"/>
                <w:color w:val="auto"/>
                <w:szCs w:val="21"/>
                <w:highlight w:val="none"/>
              </w:rPr>
            </w:pPr>
            <w:r>
              <w:rPr>
                <w:rFonts w:hint="eastAsia" w:ascii="宋体" w:hAnsi="宋体"/>
                <w:color w:val="auto"/>
                <w:szCs w:val="21"/>
                <w:highlight w:val="none"/>
              </w:rPr>
              <w:t>形式：</w:t>
            </w:r>
            <w:r>
              <w:rPr>
                <w:rFonts w:hint="eastAsia" w:ascii="宋体" w:hAnsi="宋体" w:cs="宋体"/>
                <w:color w:val="auto"/>
                <w:szCs w:val="21"/>
                <w:highlight w:val="none"/>
              </w:rPr>
              <w:t>招标答疑采用网上答疑方式进行。投标人若对招标文件（包括合同版本、最高投标限价等）有疑问的，可在规定的时间内通过广州公共资源交易中心网站将问题提交给招标人或招标代理人，提交问题一律不得署名。</w:t>
            </w:r>
          </w:p>
          <w:p>
            <w:pPr>
              <w:pStyle w:val="26"/>
              <w:adjustRightInd w:val="0"/>
              <w:snapToGrid w:val="0"/>
              <w:spacing w:before="48" w:beforeLines="20" w:after="48" w:afterLines="20" w:line="240" w:lineRule="auto"/>
              <w:ind w:right="174" w:rightChars="83" w:firstLine="0"/>
              <w:rPr>
                <w:rFonts w:ascii="宋体" w:hAnsi="宋体" w:cs="宋体"/>
                <w:color w:val="auto"/>
                <w:szCs w:val="21"/>
                <w:highlight w:val="none"/>
              </w:rPr>
            </w:pPr>
            <w:r>
              <w:rPr>
                <w:rFonts w:hint="eastAsia" w:ascii="宋体" w:hAnsi="宋体" w:cs="宋体"/>
                <w:color w:val="auto"/>
                <w:szCs w:val="21"/>
                <w:highlight w:val="none"/>
              </w:rPr>
              <w:t>网上答疑的操作指南为：登陆广州公共资源交易中心网站-&gt;进入“我是投标人（供应商）”-&gt;“我的投标”-&gt;“招标答疑提问”查询项目并提问。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2.2.2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招标文件澄清发出的形式</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在递交投标文件截止时间</w:t>
            </w:r>
            <w:r>
              <w:rPr>
                <w:rFonts w:ascii="宋体" w:hAnsi="宋体"/>
                <w:color w:val="auto"/>
                <w:szCs w:val="21"/>
                <w:highlight w:val="none"/>
              </w:rPr>
              <w:t>15</w:t>
            </w:r>
            <w:r>
              <w:rPr>
                <w:rFonts w:hint="eastAsia" w:ascii="宋体" w:hAnsi="宋体"/>
                <w:color w:val="auto"/>
                <w:szCs w:val="21"/>
                <w:highlight w:val="none"/>
              </w:rPr>
              <w:t>天前；在广州公共资源交易中心网站通过项目答疑专区网上公开发布。</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2.2.3</w:t>
            </w:r>
          </w:p>
        </w:tc>
        <w:tc>
          <w:tcPr>
            <w:tcW w:w="2160"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投标人确认收到招标文件澄清</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160"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形式：招标文件澄清（招标答疑纪要）一经在广州公共资源交易中心网站发布，视作已发放给所有投标人。招标文件的澄清内容作为招标文件的组成部分，具有约束作用。</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2.3.1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招标文件修改发出的形式</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以补充公告或项目答疑澄清的方式在广州公共资源交易中心网站发布</w:t>
            </w:r>
            <w:r>
              <w:rPr>
                <w:rFonts w:hint="eastAsia" w:ascii="宋体" w:hAnsi="宋体" w:cs="宋体"/>
                <w:color w:val="auto"/>
                <w:szCs w:val="21"/>
                <w:highlight w:val="none"/>
                <w:u w:val="single"/>
              </w:rPr>
              <w:t>。当招标文件的修改在同一内容的表述不一致时，以广州公共资源交易中心网站最后发布的内容为准。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2.3.2</w:t>
            </w:r>
          </w:p>
        </w:tc>
        <w:tc>
          <w:tcPr>
            <w:tcW w:w="2160" w:type="dxa"/>
            <w:vMerge w:val="restart"/>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投标人确认收到招标文件修改</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时间：发出即视作收到</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2160" w:type="dxa"/>
            <w:vMerge w:val="continue"/>
            <w:vAlign w:val="center"/>
          </w:tcPr>
          <w:p>
            <w:pPr>
              <w:adjustRightInd w:val="0"/>
              <w:snapToGrid w:val="0"/>
              <w:spacing w:before="48" w:beforeLines="20" w:after="48" w:afterLines="20"/>
              <w:jc w:val="center"/>
              <w:rPr>
                <w:rFonts w:ascii="宋体" w:hAnsi="宋体"/>
                <w:color w:val="auto"/>
                <w:szCs w:val="21"/>
                <w:highlight w:val="none"/>
              </w:rPr>
            </w:pP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形式：招标文件修改一经在广州公共资源交易中心网站发布，视作已发放给所有投标人，无需确认。潜在投标人应自行关注招标公告公布的网站公告，招标人不再一一通知。投标人因自身贻误行为导致投标失败的，责任自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3.1.1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构成投标文件的其他资料</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u w:val="single"/>
              </w:rPr>
              <w:t>投标人提交的投标文件应当使用招标文件所提供的投标格式文件的格式，无提供格式的内容投标人自行定义格式（表格可以按同样格式扩展）。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增值税税金的计算方法</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rPr>
              <w:t xml:space="preserve"> 按有关规定。</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报价方式</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rPr>
              <w:t>采用固定下浮率报价方式报价。并依据所报下浮率列明投标报价。（以元为单位，精确到小数点后2位）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3.2.4</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最高投标限价</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□无</w:t>
            </w:r>
          </w:p>
          <w:p>
            <w:pPr>
              <w:adjustRightInd w:val="0"/>
              <w:snapToGrid w:val="0"/>
              <w:spacing w:before="48" w:beforeLines="20" w:after="48" w:afterLines="20"/>
              <w:rPr>
                <w:rFonts w:ascii="宋体" w:hAnsi="宋体" w:cs="宋体"/>
                <w:color w:val="auto"/>
                <w:szCs w:val="21"/>
                <w:highlight w:val="none"/>
              </w:rPr>
            </w:pPr>
            <w:r>
              <w:rPr>
                <w:rFonts w:hint="eastAsia" w:ascii="宋体" w:hAnsi="宋体"/>
                <w:color w:val="auto"/>
                <w:spacing w:val="-1"/>
                <w:szCs w:val="21"/>
                <w:highlight w:val="none"/>
              </w:rPr>
              <w:t>■</w:t>
            </w:r>
            <w:r>
              <w:rPr>
                <w:rFonts w:hint="eastAsia" w:ascii="宋体" w:hAnsi="宋体"/>
                <w:color w:val="auto"/>
                <w:szCs w:val="21"/>
                <w:highlight w:val="none"/>
              </w:rPr>
              <w:t>有，最高投标限价：</w:t>
            </w:r>
            <w:r>
              <w:rPr>
                <w:rFonts w:hint="eastAsia" w:ascii="宋体" w:hAnsi="宋体" w:cs="宋体"/>
                <w:color w:val="auto"/>
                <w:szCs w:val="21"/>
                <w:highlight w:val="none"/>
              </w:rPr>
              <w:t>人民币4,403,360.00元。</w:t>
            </w:r>
          </w:p>
          <w:p>
            <w:pPr>
              <w:tabs>
                <w:tab w:val="left" w:pos="7513"/>
              </w:tabs>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本项目招标控制价只作为招标的依据，投标金额及下浮率（%）作为签订合同的依据。中标价不作为竣工结算的依据。</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3.2.5</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投标报价的其他要求</w:t>
            </w:r>
          </w:p>
        </w:tc>
        <w:tc>
          <w:tcPr>
            <w:tcW w:w="7200" w:type="dxa"/>
            <w:vAlign w:val="center"/>
          </w:tcPr>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投标人必须详细审阅全部招标文件，充分考虑职责和义务，全面地理解招标文件对投标报价的要求，并按招标人提出的条件及内容进行报价。</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一、各投标人自行报价，投标报价超过最高投标限价的，一律视为废标。</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二、投标报价及费用计算方式：</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1.投标项目总报价=最高投标限价*（1-投标下浮率）。</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2.招标不提供检测和监测清单，各投标人应根据工程实际编制检测和监测方案，综合单价包干，本项目检测和监测综合结算单价原则：</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1）参照《关于印发&lt;广东省房屋建筑和市政工程质量安全检测收费指导价（第一批）&gt;和&lt;广东省既有房屋建筑安全性鉴定收费指导价&gt;的通知》（粤建检协[2015]8号）、关于执行省质检中心消防设施委托检验收费标准的通知（粤质检[2008]52号）、关于建筑消防设施检测收费有关问题的批复（粤价[2001]340号）相适应的单价</w:t>
            </w:r>
            <w:r>
              <w:rPr>
                <w:rFonts w:hint="eastAsia" w:ascii="宋体" w:hAnsi="宋体" w:cs="仿宋"/>
                <w:color w:val="auto"/>
                <w:szCs w:val="21"/>
                <w:highlight w:val="none"/>
                <w:u w:val="single"/>
              </w:rPr>
              <w:t>下浮20%后，再</w:t>
            </w:r>
            <w:r>
              <w:rPr>
                <w:rFonts w:hint="eastAsia" w:ascii="宋体" w:hAnsi="宋体"/>
                <w:color w:val="auto"/>
                <w:szCs w:val="21"/>
                <w:highlight w:val="none"/>
                <w:u w:val="single"/>
              </w:rPr>
              <w:t>乘以（1-投标下浮率），以招标人审定为准。</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2）预算价中的综合单价已包括了为完成设计文件及有关规范要求的所有材料设备检测和监测项目所发生的劳务（含技术人员）、材料、机械（含各种车辆、仪器设备、软件等使用费、进出场费）、差旅交通费、临时设施费、检测试验费、报告编写费、各项管理费、就餐费、住宿费、管理费、利润、规费、税金、保险费、相关协调费及其他实物和技术工作收费等全部相关费用，以及合同明示或暗示的所有责任、义务和风险。请投标人自行综合考虑，不予另行计算。工程量按经发包人核定的实际发生量计取（如超出检测和监测规范或相关文件规定的工程量，不予结算）。最终检测和监测综合单价和结算总价以发包人或其授权委托单位审定为准。</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三、成本警戒价为</w:t>
            </w:r>
            <w:r>
              <w:rPr>
                <w:rFonts w:hint="eastAsia" w:ascii="宋体" w:hAnsi="宋体" w:cs="宋体"/>
                <w:color w:val="auto"/>
                <w:szCs w:val="21"/>
                <w:highlight w:val="none"/>
                <w:u w:val="single"/>
              </w:rPr>
              <w:t>3,963,024.00</w:t>
            </w:r>
            <w:r>
              <w:rPr>
                <w:rFonts w:hint="eastAsia" w:ascii="宋体" w:hAnsi="宋体"/>
                <w:color w:val="auto"/>
                <w:szCs w:val="21"/>
                <w:highlight w:val="none"/>
                <w:u w:val="single"/>
              </w:rPr>
              <w:t>元。（按最高投标限价的90%设置）。对低于该警戒价的投标报价，投标人必须提供详细的投标人成本分析供评标委员会评审，由评标委员会判定其是否低于企业自身成本。在评标过程中，评标委员会发现投标人的报价明显低于其他投标报价或者低于成本警戒价，使得其投标报价可能低于其个别成本的，应当要求该投标人作出书面说明并提供相关证明材料。投标人不能合理说明或者不能提供相关证明材料的，由评标委员会认定该投标人以低于成本报价竞标，应当否决其投标。</w:t>
            </w:r>
          </w:p>
          <w:p>
            <w:pPr>
              <w:pStyle w:val="27"/>
              <w:adjustRightInd w:val="0"/>
              <w:snapToGrid w:val="0"/>
              <w:spacing w:before="48" w:beforeLines="20" w:after="48" w:afterLines="20"/>
              <w:ind w:left="0" w:leftChars="0" w:firstLine="375" w:firstLineChars="179"/>
              <w:rPr>
                <w:rFonts w:ascii="宋体" w:hAnsi="宋体"/>
                <w:color w:val="auto"/>
                <w:szCs w:val="21"/>
                <w:highlight w:val="none"/>
                <w:u w:val="single"/>
              </w:rPr>
            </w:pPr>
            <w:r>
              <w:rPr>
                <w:rFonts w:hint="eastAsia" w:ascii="宋体" w:hAnsi="宋体"/>
                <w:color w:val="auto"/>
                <w:szCs w:val="21"/>
                <w:highlight w:val="none"/>
                <w:u w:val="single"/>
              </w:rPr>
              <w:t>四、招标人向投标人提供的资料和数据，是招标人现有的能使投标人利用的资料，招标人对投标人由此而作出的推论、理解和结论概不负责。投标人根据招标文件中的内容进行报价所产生的一切风险，投标人应充分预见并承担风险。投标人应认真审阅招标文件的所有内容，对工程现场和周围环境进行现场踏勘，获取编制投标文件和签署合同所需的所有资料。一旦中标，这种考察即被认为其结果已在投标文件中得到充分的考虑。</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3.3.1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投标有效期</w:t>
            </w:r>
          </w:p>
        </w:tc>
        <w:tc>
          <w:tcPr>
            <w:tcW w:w="7200" w:type="dxa"/>
            <w:vAlign w:val="center"/>
          </w:tcPr>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90</w:t>
            </w:r>
            <w:r>
              <w:rPr>
                <w:rFonts w:hint="eastAsia" w:ascii="宋体" w:hAnsi="宋体"/>
                <w:color w:val="auto"/>
                <w:szCs w:val="21"/>
                <w:highlight w:val="none"/>
                <w:u w:val="single"/>
              </w:rPr>
              <w:t>日历天（从提交投标截止之日起计算。如出现异议或投诉，则投标有效期自动延长至异议或投诉处理结束）。</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3.4.1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投标保证金</w:t>
            </w:r>
          </w:p>
        </w:tc>
        <w:tc>
          <w:tcPr>
            <w:tcW w:w="7200" w:type="dxa"/>
            <w:vAlign w:val="center"/>
          </w:tcPr>
          <w:p>
            <w:pPr>
              <w:pStyle w:val="12"/>
              <w:adjustRightInd w:val="0"/>
              <w:snapToGrid w:val="0"/>
              <w:spacing w:before="48" w:beforeLines="20" w:after="48" w:afterLines="20"/>
              <w:rPr>
                <w:rFonts w:hAnsi="宋体"/>
                <w:color w:val="auto"/>
                <w:sz w:val="21"/>
                <w:szCs w:val="21"/>
                <w:highlight w:val="none"/>
                <w:u w:val="single"/>
              </w:rPr>
            </w:pPr>
            <w:r>
              <w:rPr>
                <w:rFonts w:hint="eastAsia" w:hAnsi="宋体"/>
                <w:color w:val="auto"/>
                <w:sz w:val="21"/>
                <w:szCs w:val="21"/>
                <w:highlight w:val="none"/>
                <w:u w:val="single"/>
              </w:rPr>
              <w:t>是否要求投标人递交投标保证金：</w:t>
            </w:r>
          </w:p>
          <w:p>
            <w:pPr>
              <w:pStyle w:val="12"/>
              <w:adjustRightInd w:val="0"/>
              <w:snapToGrid w:val="0"/>
              <w:spacing w:before="48" w:beforeLines="20" w:after="48" w:afterLines="20"/>
              <w:rPr>
                <w:rFonts w:hAnsi="宋体"/>
                <w:color w:val="auto"/>
                <w:sz w:val="21"/>
                <w:szCs w:val="21"/>
                <w:highlight w:val="none"/>
                <w:u w:val="single"/>
              </w:rPr>
            </w:pPr>
            <w:r>
              <w:rPr>
                <w:rFonts w:hint="eastAsia" w:hAnsi="宋体"/>
                <w:color w:val="auto"/>
                <w:sz w:val="21"/>
                <w:szCs w:val="21"/>
                <w:highlight w:val="none"/>
                <w:u w:val="single"/>
              </w:rPr>
              <w:t>□不要求</w:t>
            </w:r>
          </w:p>
          <w:p>
            <w:pPr>
              <w:pStyle w:val="12"/>
              <w:adjustRightInd w:val="0"/>
              <w:snapToGrid w:val="0"/>
              <w:spacing w:before="48" w:beforeLines="20" w:after="48" w:afterLines="20"/>
              <w:rPr>
                <w:rFonts w:hAnsi="宋体"/>
                <w:color w:val="auto"/>
                <w:sz w:val="21"/>
                <w:szCs w:val="21"/>
                <w:highlight w:val="none"/>
                <w:u w:val="single"/>
              </w:rPr>
            </w:pPr>
            <w:r>
              <w:rPr>
                <w:rFonts w:hint="eastAsia" w:hAnsi="宋体"/>
                <w:color w:val="auto"/>
                <w:sz w:val="21"/>
                <w:szCs w:val="21"/>
                <w:highlight w:val="none"/>
                <w:u w:val="single"/>
              </w:rPr>
              <w:t>■要求，投标保证金的形式：投标保证金可采用现金、支票、投标保证保险、投标保函（银行或专业担保公司出具）的形式，须在递交投标文件截止时间前完成缴纳。</w:t>
            </w:r>
          </w:p>
          <w:p>
            <w:pPr>
              <w:pStyle w:val="12"/>
              <w:adjustRightInd w:val="0"/>
              <w:snapToGrid w:val="0"/>
              <w:spacing w:before="48" w:beforeLines="20" w:after="48" w:afterLines="20"/>
              <w:rPr>
                <w:rFonts w:hAnsi="宋体"/>
                <w:b/>
                <w:color w:val="auto"/>
                <w:sz w:val="21"/>
                <w:szCs w:val="21"/>
                <w:highlight w:val="none"/>
                <w:u w:val="single"/>
              </w:rPr>
            </w:pPr>
            <w:r>
              <w:rPr>
                <w:rFonts w:hint="eastAsia" w:hAnsi="宋体"/>
                <w:b/>
                <w:color w:val="auto"/>
                <w:sz w:val="21"/>
                <w:szCs w:val="21"/>
                <w:highlight w:val="none"/>
                <w:u w:val="single"/>
              </w:rPr>
              <w:t>投标保证金额度：人民币2万元</w:t>
            </w:r>
          </w:p>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b/>
                <w:color w:val="auto"/>
                <w:szCs w:val="21"/>
                <w:highlight w:val="none"/>
                <w:u w:val="single"/>
              </w:rPr>
              <w:t>投标保证金有效期：与投标有效期一致</w:t>
            </w:r>
          </w:p>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u w:val="single"/>
              </w:rPr>
              <w:t>1、如采用现金、支票形式提交的，投标保证金从投标人基本账户递交，由广州公共资源交易中心代收。具体操作要求详见广州公共资源交易中心有关指引，递交事宜请自行咨询交易中心；请各投标人在投标文件递交截止时间前按上述金额递交至广州公共资源交易中心，到账情况以开标时广州公共资源交易中心数据库查询的信息为准。</w:t>
            </w:r>
          </w:p>
          <w:p>
            <w:pPr>
              <w:pStyle w:val="27"/>
              <w:adjustRightInd w:val="0"/>
              <w:snapToGrid w:val="0"/>
              <w:spacing w:before="48" w:beforeLines="20" w:after="48" w:afterLines="20"/>
              <w:ind w:left="0" w:leftChars="0" w:firstLine="0" w:firstLineChars="0"/>
              <w:rPr>
                <w:rFonts w:ascii="宋体" w:hAnsi="宋体" w:cs="宋体"/>
                <w:color w:val="auto"/>
                <w:szCs w:val="21"/>
                <w:highlight w:val="none"/>
                <w:u w:val="single"/>
              </w:rPr>
            </w:pPr>
            <w:r>
              <w:rPr>
                <w:rFonts w:hint="eastAsia" w:ascii="宋体" w:hAnsi="宋体" w:cs="宋体"/>
                <w:color w:val="auto"/>
                <w:szCs w:val="21"/>
                <w:highlight w:val="none"/>
                <w:u w:val="single"/>
              </w:rPr>
              <w:t>2、如采用投标保函、投标保证保险形式提交投标保证金的，投标保函或投标保证保险须开具给招标人（保险受益人须为招标人）。开标前可不提交纸质原件，但投标人应在投标文件中提交投标保函或投标保险的扫描件并加盖投标人电子印章，完成评标后，由中标候选人在中标候选人公示前向招标代理单位提交纸质原件并在网上公示。如投标人选择在开标前提交纸质原件的，可在投标截止时间前单独密封递交至开标室。</w:t>
            </w:r>
          </w:p>
          <w:p>
            <w:pPr>
              <w:pStyle w:val="27"/>
              <w:adjustRightInd w:val="0"/>
              <w:snapToGrid w:val="0"/>
              <w:spacing w:before="48" w:beforeLines="20" w:after="48" w:afterLines="20"/>
              <w:ind w:left="0" w:leftChars="0" w:firstLine="0" w:firstLineChars="0"/>
              <w:rPr>
                <w:rFonts w:ascii="宋体" w:hAnsi="宋体" w:cs="宋体"/>
                <w:color w:val="auto"/>
                <w:szCs w:val="21"/>
                <w:highlight w:val="none"/>
                <w:u w:val="single"/>
              </w:rPr>
            </w:pPr>
            <w:r>
              <w:rPr>
                <w:rFonts w:hint="eastAsia" w:ascii="宋体" w:hAnsi="宋体" w:cs="宋体"/>
                <w:color w:val="auto"/>
                <w:szCs w:val="21"/>
                <w:highlight w:val="none"/>
                <w:u w:val="single"/>
              </w:rPr>
              <w:t>3、如采用电子形式的保函、担保或保证保险提交投标保证金的，详见广州公共资源交易中心相关操作指引。（本条适用于交易中心系统支持采用电子保函方式递交的情形）</w:t>
            </w:r>
          </w:p>
          <w:p>
            <w:pPr>
              <w:adjustRightInd w:val="0"/>
              <w:snapToGrid w:val="0"/>
              <w:spacing w:before="48" w:beforeLines="20" w:after="48" w:afterLines="20"/>
              <w:rPr>
                <w:rFonts w:ascii="宋体" w:hAnsi="宋体"/>
                <w:b/>
                <w:color w:val="auto"/>
                <w:highlight w:val="none"/>
                <w:u w:val="single"/>
              </w:rPr>
            </w:pPr>
            <w:r>
              <w:rPr>
                <w:rFonts w:hint="eastAsia" w:ascii="宋体" w:hAnsi="宋体"/>
                <w:b/>
                <w:color w:val="auto"/>
                <w:highlight w:val="none"/>
                <w:u w:val="single"/>
              </w:rPr>
              <w:t>4、为降低投标人的交易成本，扩大信用承诺制的应用范围，信用良好企业或中小企业在提供相关资料后可无需缴纳投标保证金：</w:t>
            </w:r>
          </w:p>
          <w:p>
            <w:pPr>
              <w:adjustRightInd w:val="0"/>
              <w:snapToGrid w:val="0"/>
              <w:spacing w:before="48" w:beforeLines="20" w:after="48" w:afterLines="20"/>
              <w:ind w:firstLine="422" w:firstLineChars="200"/>
              <w:rPr>
                <w:rFonts w:ascii="宋体" w:hAnsi="宋体"/>
                <w:color w:val="auto"/>
                <w:highlight w:val="none"/>
                <w:u w:val="single"/>
              </w:rPr>
            </w:pPr>
            <w:r>
              <w:rPr>
                <w:rFonts w:hint="eastAsia" w:ascii="宋体" w:hAnsi="宋体"/>
                <w:b/>
                <w:color w:val="auto"/>
                <w:highlight w:val="none"/>
                <w:u w:val="single"/>
              </w:rPr>
              <w:t>（1）信用良好的投标人需提供信用状况良好的相关证明：</w:t>
            </w:r>
            <w:r>
              <w:rPr>
                <w:rFonts w:hint="eastAsia" w:ascii="宋体" w:hAnsi="宋体"/>
                <w:color w:val="auto"/>
                <w:highlight w:val="none"/>
                <w:u w:val="single"/>
              </w:rPr>
              <w:t>证明以“信用中国”网站（https://www.creditchina.gov.cn）下载的、由国家公共信用信息中心出具的有效的《法人和其他组织信用信息概况》（以下简称“信用报告”）为准，信用报告的生成时间需在招标公告发布时间至递交投标文件截止时间段内，超出该时间段出具的信用报告无效。信用状况良好是指投标人信用报告中不存在重点关注信息、行政处罚信息、失信惩戒信息、风险提示信息。</w:t>
            </w:r>
          </w:p>
          <w:p>
            <w:pPr>
              <w:adjustRightInd w:val="0"/>
              <w:snapToGrid w:val="0"/>
              <w:spacing w:before="48" w:beforeLines="20" w:after="48" w:afterLines="20"/>
              <w:ind w:firstLine="422" w:firstLineChars="200"/>
              <w:rPr>
                <w:rFonts w:ascii="宋体" w:hAnsi="宋体"/>
                <w:color w:val="auto"/>
                <w:highlight w:val="none"/>
                <w:u w:val="single"/>
              </w:rPr>
            </w:pPr>
            <w:r>
              <w:rPr>
                <w:rFonts w:hint="eastAsia" w:ascii="宋体" w:hAnsi="宋体"/>
                <w:b/>
                <w:color w:val="auto"/>
                <w:highlight w:val="none"/>
                <w:u w:val="single"/>
              </w:rPr>
              <w:t>（2）属于中小企业（包括中型、小型和微型企业）的投标人需提供属于中小企业的资料：</w:t>
            </w:r>
            <w:r>
              <w:rPr>
                <w:rFonts w:hint="eastAsia" w:ascii="宋体" w:hAnsi="宋体"/>
                <w:color w:val="auto"/>
                <w:highlight w:val="none"/>
                <w:u w:val="single"/>
              </w:rPr>
              <w:t>要求投标人提供自行查询企业划型截图和《中小企业声明函》（详见“第四章  投标文件格式”）。中小企业的划型标准依据《关于印发中小企业划型标准规定的通知》（工信部联企业（2011）300号）执行，投标人提供以http://202.106.120.146/baosong/appweb/orgScale.html网址查询结果为准，网页截图需包含网址信息。没有按上述要求提供证明材料的投标人，不免于交纳投标保证金。</w:t>
            </w:r>
          </w:p>
          <w:p>
            <w:pPr>
              <w:pStyle w:val="12"/>
              <w:adjustRightInd w:val="0"/>
              <w:snapToGrid w:val="0"/>
              <w:spacing w:before="48" w:beforeLines="20" w:after="48" w:afterLines="20"/>
              <w:ind w:firstLine="422" w:firstLineChars="200"/>
              <w:rPr>
                <w:rFonts w:hAnsi="宋体"/>
                <w:color w:val="auto"/>
                <w:sz w:val="21"/>
                <w:szCs w:val="21"/>
                <w:highlight w:val="none"/>
              </w:rPr>
            </w:pPr>
            <w:r>
              <w:rPr>
                <w:rFonts w:hint="eastAsia" w:hAnsi="宋体"/>
                <w:b/>
                <w:color w:val="auto"/>
                <w:sz w:val="21"/>
                <w:highlight w:val="none"/>
                <w:u w:val="single"/>
              </w:rPr>
              <w:t>（3）免交投标保证金的投标人还需同时提供《关于投标保证金的承诺》（详见“第六章  投标文件格式”）。</w:t>
            </w:r>
          </w:p>
          <w:p>
            <w:pPr>
              <w:pStyle w:val="27"/>
              <w:adjustRightInd w:val="0"/>
              <w:snapToGrid w:val="0"/>
              <w:spacing w:before="48" w:beforeLines="20" w:after="48" w:afterLines="20"/>
              <w:ind w:left="0" w:leftChars="0" w:firstLine="0" w:firstLineChars="0"/>
              <w:rPr>
                <w:rFonts w:ascii="宋体" w:hAnsi="宋体"/>
                <w:color w:val="auto"/>
                <w:szCs w:val="21"/>
                <w:highlight w:val="none"/>
                <w:u w:val="single"/>
              </w:rPr>
            </w:pPr>
            <w:r>
              <w:rPr>
                <w:rFonts w:hint="eastAsia" w:ascii="宋体" w:hAnsi="宋体" w:cs="宋体"/>
                <w:color w:val="auto"/>
                <w:szCs w:val="21"/>
                <w:highlight w:val="none"/>
                <w:u w:val="single"/>
              </w:rPr>
              <w:t xml:space="preserve">注：采用联合体投标的，投标保证金由联合体主办方递交。  </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资格审查资料的特殊要求</w:t>
            </w:r>
          </w:p>
        </w:tc>
        <w:tc>
          <w:tcPr>
            <w:tcW w:w="7200" w:type="dxa"/>
            <w:vAlign w:val="center"/>
          </w:tcPr>
          <w:p>
            <w:pPr>
              <w:pStyle w:val="12"/>
              <w:adjustRightInd w:val="0"/>
              <w:snapToGrid w:val="0"/>
              <w:spacing w:before="48" w:beforeLines="20" w:after="48" w:afterLines="20"/>
              <w:rPr>
                <w:rFonts w:hAnsi="宋体"/>
                <w:color w:val="auto"/>
                <w:spacing w:val="-1"/>
                <w:sz w:val="21"/>
                <w:szCs w:val="21"/>
                <w:highlight w:val="none"/>
              </w:rPr>
            </w:pPr>
            <w:r>
              <w:rPr>
                <w:rFonts w:hint="eastAsia" w:hAnsi="宋体"/>
                <w:color w:val="auto"/>
                <w:spacing w:val="-1"/>
                <w:sz w:val="21"/>
                <w:szCs w:val="21"/>
                <w:highlight w:val="none"/>
              </w:rPr>
              <w:t>■无</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pacing w:val="-1"/>
                <w:sz w:val="21"/>
                <w:szCs w:val="21"/>
                <w:highlight w:val="none"/>
              </w:rPr>
              <w:t>□有，具体要求：/</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近年财务状况的年份要求</w:t>
            </w:r>
          </w:p>
        </w:tc>
        <w:tc>
          <w:tcPr>
            <w:tcW w:w="7200" w:type="dxa"/>
            <w:vAlign w:val="center"/>
          </w:tcPr>
          <w:p>
            <w:pPr>
              <w:adjustRightInd w:val="0"/>
              <w:snapToGrid w:val="0"/>
              <w:spacing w:before="48" w:beforeLines="20" w:after="48" w:afterLines="20"/>
              <w:ind w:firstLine="105" w:firstLineChars="50"/>
              <w:rPr>
                <w:rFonts w:ascii="宋体" w:hAnsi="宋体"/>
                <w:color w:val="auto"/>
                <w:szCs w:val="21"/>
                <w:highlight w:val="none"/>
                <w:u w:val="single"/>
              </w:rPr>
            </w:pPr>
            <w:r>
              <w:rPr>
                <w:rFonts w:hint="eastAsia" w:ascii="宋体" w:hAnsi="宋体"/>
                <w:color w:val="auto"/>
                <w:szCs w:val="21"/>
                <w:highlight w:val="none"/>
                <w:u w:val="single"/>
              </w:rPr>
              <w:t>/</w:t>
            </w:r>
            <w:r>
              <w:rPr>
                <w:rFonts w:hint="eastAsia" w:ascii="宋体" w:hAnsi="宋体"/>
                <w:color w:val="auto"/>
                <w:szCs w:val="21"/>
                <w:highlight w:val="none"/>
              </w:rPr>
              <w:t>年至</w:t>
            </w:r>
            <w:r>
              <w:rPr>
                <w:rFonts w:hint="eastAsia" w:ascii="宋体" w:hAnsi="宋体"/>
                <w:color w:val="auto"/>
                <w:szCs w:val="21"/>
                <w:highlight w:val="none"/>
                <w:u w:val="single"/>
              </w:rPr>
              <w:t>/</w:t>
            </w:r>
            <w:r>
              <w:rPr>
                <w:rFonts w:hint="eastAsia" w:ascii="宋体" w:hAnsi="宋体"/>
                <w:color w:val="auto"/>
                <w:szCs w:val="21"/>
                <w:highlight w:val="none"/>
              </w:rPr>
              <w:t>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近年完成的类似项目情况的时间要求</w:t>
            </w:r>
          </w:p>
        </w:tc>
        <w:tc>
          <w:tcPr>
            <w:tcW w:w="7200" w:type="dxa"/>
            <w:vAlign w:val="center"/>
          </w:tcPr>
          <w:p>
            <w:pPr>
              <w:adjustRightInd w:val="0"/>
              <w:snapToGrid w:val="0"/>
              <w:spacing w:before="48" w:beforeLines="20" w:after="48" w:afterLines="20"/>
              <w:ind w:firstLine="105" w:firstLineChars="50"/>
              <w:rPr>
                <w:rFonts w:ascii="宋体" w:hAnsi="宋体"/>
                <w:color w:val="auto"/>
                <w:szCs w:val="21"/>
                <w:highlight w:val="none"/>
              </w:rPr>
            </w:pPr>
            <w:r>
              <w:rPr>
                <w:rFonts w:hint="eastAsia" w:ascii="宋体" w:hAnsi="宋体"/>
                <w:color w:val="auto"/>
                <w:szCs w:val="21"/>
                <w:highlight w:val="none"/>
                <w:u w:val="single"/>
              </w:rPr>
              <w:t>/</w:t>
            </w:r>
            <w:r>
              <w:rPr>
                <w:rFonts w:hint="eastAsia" w:ascii="宋体" w:hAnsi="宋体"/>
                <w:color w:val="auto"/>
                <w:szCs w:val="21"/>
                <w:highlight w:val="none"/>
              </w:rPr>
              <w:t>年</w:t>
            </w:r>
            <w:r>
              <w:rPr>
                <w:rFonts w:hint="eastAsia" w:ascii="宋体" w:hAnsi="宋体"/>
                <w:color w:val="auto"/>
                <w:szCs w:val="21"/>
                <w:highlight w:val="none"/>
                <w:u w:val="single"/>
              </w:rPr>
              <w:t>/</w:t>
            </w:r>
            <w:r>
              <w:rPr>
                <w:rFonts w:hint="eastAsia" w:ascii="宋体" w:hAnsi="宋体"/>
                <w:color w:val="auto"/>
                <w:szCs w:val="21"/>
                <w:highlight w:val="none"/>
              </w:rPr>
              <w:t>月</w:t>
            </w:r>
            <w:r>
              <w:rPr>
                <w:rFonts w:hint="eastAsia" w:ascii="宋体" w:hAnsi="宋体"/>
                <w:color w:val="auto"/>
                <w:szCs w:val="21"/>
                <w:highlight w:val="none"/>
                <w:u w:val="single"/>
              </w:rPr>
              <w:t>/</w:t>
            </w:r>
            <w:r>
              <w:rPr>
                <w:rFonts w:hint="eastAsia" w:ascii="宋体" w:hAnsi="宋体"/>
                <w:color w:val="auto"/>
                <w:szCs w:val="21"/>
                <w:highlight w:val="none"/>
              </w:rPr>
              <w:t>日至今</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3.5.5</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近年发生的诉讼及仲裁情况的时间要求</w:t>
            </w:r>
          </w:p>
        </w:tc>
        <w:tc>
          <w:tcPr>
            <w:tcW w:w="7200" w:type="dxa"/>
            <w:vAlign w:val="center"/>
          </w:tcPr>
          <w:p>
            <w:pPr>
              <w:adjustRightInd w:val="0"/>
              <w:snapToGrid w:val="0"/>
              <w:spacing w:before="48" w:beforeLines="20" w:after="48" w:afterLines="20"/>
              <w:ind w:firstLine="105" w:firstLineChars="50"/>
              <w:rPr>
                <w:rFonts w:ascii="宋体" w:hAnsi="宋体"/>
                <w:color w:val="auto"/>
                <w:szCs w:val="21"/>
                <w:highlight w:val="none"/>
              </w:rPr>
            </w:pP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日至</w:t>
            </w:r>
            <w:r>
              <w:rPr>
                <w:rFonts w:ascii="宋体" w:hAnsi="宋体"/>
                <w:color w:val="auto"/>
                <w:szCs w:val="21"/>
                <w:highlight w:val="none"/>
                <w:u w:val="single"/>
              </w:rPr>
              <w:t>/</w:t>
            </w:r>
            <w:r>
              <w:rPr>
                <w:rFonts w:hint="eastAsia" w:ascii="宋体" w:hAnsi="宋体"/>
                <w:color w:val="auto"/>
                <w:szCs w:val="21"/>
                <w:highlight w:val="none"/>
              </w:rPr>
              <w:t>年</w:t>
            </w:r>
            <w:r>
              <w:rPr>
                <w:rFonts w:ascii="宋体" w:hAnsi="宋体"/>
                <w:color w:val="auto"/>
                <w:szCs w:val="21"/>
                <w:highlight w:val="none"/>
                <w:u w:val="single"/>
              </w:rPr>
              <w:t>/</w:t>
            </w:r>
            <w:r>
              <w:rPr>
                <w:rFonts w:hint="eastAsia" w:ascii="宋体" w:hAnsi="宋体"/>
                <w:color w:val="auto"/>
                <w:szCs w:val="21"/>
                <w:highlight w:val="none"/>
              </w:rPr>
              <w:t>月</w:t>
            </w:r>
            <w:r>
              <w:rPr>
                <w:rFonts w:ascii="宋体" w:hAnsi="宋体"/>
                <w:color w:val="auto"/>
                <w:szCs w:val="21"/>
                <w:highlight w:val="none"/>
                <w:u w:val="single"/>
              </w:rPr>
              <w:t>/</w:t>
            </w:r>
            <w:r>
              <w:rPr>
                <w:rFonts w:hint="eastAsia" w:ascii="宋体" w:hAnsi="宋体"/>
                <w:color w:val="auto"/>
                <w:szCs w:val="21"/>
                <w:highlight w:val="none"/>
              </w:rPr>
              <w:t>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3.6.1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是否允许递交备选投标方案</w:t>
            </w:r>
          </w:p>
        </w:tc>
        <w:tc>
          <w:tcPr>
            <w:tcW w:w="7200" w:type="dxa"/>
            <w:vAlign w:val="center"/>
          </w:tcPr>
          <w:p>
            <w:pPr>
              <w:pStyle w:val="12"/>
              <w:adjustRightInd w:val="0"/>
              <w:snapToGrid w:val="0"/>
              <w:spacing w:before="48" w:beforeLines="20" w:after="48" w:afterLines="20"/>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不允许</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□允许</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投标文件所附证书证件要求</w:t>
            </w:r>
          </w:p>
        </w:tc>
        <w:tc>
          <w:tcPr>
            <w:tcW w:w="7200" w:type="dxa"/>
            <w:vAlign w:val="center"/>
          </w:tcPr>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rPr>
              <w:t>证书证件需为</w:t>
            </w:r>
            <w:r>
              <w:rPr>
                <w:rFonts w:hint="eastAsia" w:ascii="宋体" w:hAnsi="宋体"/>
                <w:b/>
                <w:color w:val="auto"/>
                <w:szCs w:val="21"/>
                <w:highlight w:val="none"/>
              </w:rPr>
              <w:t>原件清晰彩色扫描件</w:t>
            </w:r>
            <w:r>
              <w:rPr>
                <w:rFonts w:hint="eastAsia" w:ascii="宋体" w:hAnsi="宋体"/>
                <w:color w:val="auto"/>
                <w:szCs w:val="21"/>
                <w:highlight w:val="none"/>
              </w:rPr>
              <w:t>，并采用单位数字证书，按照招标文件要求在相应位置加盖电子印章。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3.7.3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投标文件签字或盖章要求</w:t>
            </w:r>
          </w:p>
        </w:tc>
        <w:tc>
          <w:tcPr>
            <w:tcW w:w="7200" w:type="dxa"/>
            <w:vAlign w:val="center"/>
          </w:tcPr>
          <w:p>
            <w:pPr>
              <w:pStyle w:val="12"/>
              <w:adjustRightInd w:val="0"/>
              <w:snapToGrid w:val="0"/>
              <w:spacing w:before="48" w:beforeLines="20" w:after="48" w:afterLines="20"/>
              <w:ind w:right="174" w:rightChars="83"/>
              <w:rPr>
                <w:rFonts w:hAnsi="宋体" w:cs="宋体"/>
                <w:color w:val="auto"/>
                <w:sz w:val="21"/>
                <w:szCs w:val="21"/>
                <w:highlight w:val="none"/>
                <w:u w:val="single"/>
              </w:rPr>
            </w:pPr>
            <w:r>
              <w:rPr>
                <w:rFonts w:hint="eastAsia" w:hAnsi="宋体" w:cs="宋体"/>
                <w:color w:val="auto"/>
                <w:sz w:val="21"/>
                <w:szCs w:val="21"/>
                <w:highlight w:val="none"/>
                <w:u w:val="single"/>
              </w:rPr>
              <w:t>投标文件中需个人签字或盖章的，应加盖个人电子印章或在线下完成后扫描上传。按照交易平台关于全流程电子化项目的相关指南进行操作，联合体投标的，除联合体共同投标协议书需联合体各方同时签字或盖章外，法定代表人证明书及授权委托证明书可由联合体主办方出具，其中“单位”一栏可只填写联合体主办方名称外，其他内容及落款中的“投标人”应填写联合体各方的单位全称【格式示例为：（主）单位全称（成）单位全称】，由联合体主办方签字、盖章即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4.1.1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投标文件加密要求</w:t>
            </w:r>
          </w:p>
        </w:tc>
        <w:tc>
          <w:tcPr>
            <w:tcW w:w="7200" w:type="dxa"/>
            <w:vAlign w:val="center"/>
          </w:tcPr>
          <w:p>
            <w:pPr>
              <w:pStyle w:val="12"/>
              <w:adjustRightInd w:val="0"/>
              <w:snapToGrid w:val="0"/>
              <w:spacing w:before="48" w:beforeLines="20" w:after="48" w:afterLines="20"/>
              <w:rPr>
                <w:rFonts w:hAnsi="宋体"/>
                <w:color w:val="auto"/>
                <w:sz w:val="21"/>
                <w:szCs w:val="21"/>
                <w:highlight w:val="none"/>
                <w:u w:val="single"/>
              </w:rPr>
            </w:pPr>
            <w:r>
              <w:rPr>
                <w:rFonts w:hint="eastAsia" w:hAnsi="宋体"/>
                <w:color w:val="auto"/>
                <w:sz w:val="21"/>
                <w:szCs w:val="21"/>
                <w:highlight w:val="none"/>
              </w:rPr>
              <w:t>网上递交的电子投标文件须进行加密。具体操作</w:t>
            </w:r>
            <w:r>
              <w:rPr>
                <w:rFonts w:hint="eastAsia" w:hAnsi="宋体" w:cs="宋体"/>
                <w:color w:val="auto"/>
                <w:sz w:val="21"/>
                <w:szCs w:val="21"/>
                <w:highlight w:val="none"/>
                <w:u w:val="single"/>
              </w:rPr>
              <w:t>详见广州公共资源交易中心网站最新发布的最新指引。</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4.1.2</w:t>
            </w:r>
          </w:p>
        </w:tc>
        <w:tc>
          <w:tcPr>
            <w:tcW w:w="2160" w:type="dxa"/>
            <w:vAlign w:val="center"/>
          </w:tcPr>
          <w:p>
            <w:pPr>
              <w:adjustRightInd w:val="0"/>
              <w:snapToGrid w:val="0"/>
              <w:spacing w:before="48" w:beforeLines="20" w:after="48" w:afterLines="20"/>
              <w:jc w:val="center"/>
              <w:rPr>
                <w:rFonts w:ascii="宋体" w:hAnsi="宋体"/>
                <w:color w:val="auto"/>
                <w:szCs w:val="21"/>
                <w:highlight w:val="none"/>
                <w:shd w:val="clear" w:color="FFFFFF" w:fill="D9D9D9"/>
              </w:rPr>
            </w:pPr>
            <w:r>
              <w:rPr>
                <w:rFonts w:hint="eastAsia" w:ascii="宋体" w:hAnsi="宋体"/>
                <w:color w:val="auto"/>
                <w:szCs w:val="21"/>
                <w:highlight w:val="none"/>
              </w:rPr>
              <w:t>封套上应载明的信息</w:t>
            </w:r>
          </w:p>
        </w:tc>
        <w:tc>
          <w:tcPr>
            <w:tcW w:w="7200" w:type="dxa"/>
            <w:vAlign w:val="center"/>
          </w:tcPr>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如有提交投标文件光盘备用，封套上应注明如下信息：</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招标人名称：广州增城智创产业园开发管理有限公司</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招标人地址：广州市增城区荔城街民乐路20号6楼601</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u w:val="single"/>
              </w:rPr>
              <w:t>开发区半导体创新智造园项目第三方检测和监测服务</w:t>
            </w:r>
            <w:r>
              <w:rPr>
                <w:rFonts w:hint="eastAsia" w:hAnsi="宋体"/>
                <w:color w:val="auto"/>
                <w:sz w:val="21"/>
                <w:szCs w:val="21"/>
                <w:highlight w:val="none"/>
              </w:rPr>
              <w:t>投标文件</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招标项目编号：</w:t>
            </w:r>
          </w:p>
          <w:p>
            <w:pPr>
              <w:pStyle w:val="12"/>
              <w:adjustRightInd w:val="0"/>
              <w:snapToGrid w:val="0"/>
              <w:spacing w:before="48" w:beforeLines="20" w:after="48" w:afterLines="20"/>
              <w:rPr>
                <w:rFonts w:hAnsi="宋体"/>
                <w:color w:val="auto"/>
                <w:sz w:val="21"/>
                <w:szCs w:val="21"/>
                <w:highlight w:val="none"/>
              </w:rPr>
            </w:pPr>
            <w:r>
              <w:rPr>
                <w:rFonts w:hint="eastAsia" w:hAnsi="宋体" w:cs="宋体"/>
                <w:color w:val="auto"/>
                <w:sz w:val="21"/>
                <w:szCs w:val="21"/>
                <w:highlight w:val="none"/>
              </w:rPr>
              <w:t>在</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年</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月</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日</w:t>
            </w:r>
            <w:r>
              <w:rPr>
                <w:rFonts w:hint="eastAsia" w:hAnsi="宋体" w:cs="宋体"/>
                <w:color w:val="auto"/>
                <w:sz w:val="21"/>
                <w:szCs w:val="21"/>
                <w:highlight w:val="none"/>
                <w:u w:val="single"/>
              </w:rPr>
              <w:t xml:space="preserve">     </w:t>
            </w:r>
            <w:r>
              <w:rPr>
                <w:rFonts w:hint="eastAsia" w:hAnsi="宋体" w:cs="宋体"/>
                <w:color w:val="auto"/>
                <w:sz w:val="21"/>
                <w:szCs w:val="21"/>
                <w:highlight w:val="none"/>
              </w:rPr>
              <w:t>时前不得开启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4.2.1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投标截止时间</w:t>
            </w:r>
          </w:p>
        </w:tc>
        <w:tc>
          <w:tcPr>
            <w:tcW w:w="7200" w:type="dxa"/>
            <w:vAlign w:val="center"/>
          </w:tcPr>
          <w:p>
            <w:pPr>
              <w:adjustRightInd w:val="0"/>
              <w:snapToGrid w:val="0"/>
              <w:spacing w:before="48" w:beforeLines="20" w:after="48" w:afterLines="20"/>
              <w:rPr>
                <w:rFonts w:ascii="宋体" w:hAnsi="宋体" w:cs="宋体"/>
                <w:color w:val="auto"/>
                <w:szCs w:val="21"/>
                <w:highlight w:val="none"/>
                <w:u w:val="single"/>
              </w:rPr>
            </w:pP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年</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月</w:t>
            </w:r>
            <w:r>
              <w:rPr>
                <w:rFonts w:hint="eastAsia" w:ascii="宋体" w:hAnsi="宋体" w:cs="宋体"/>
                <w:color w:val="auto"/>
                <w:szCs w:val="21"/>
                <w:highlight w:val="none"/>
                <w:u w:val="single"/>
              </w:rPr>
              <w:t xml:space="preserve">    </w:t>
            </w:r>
            <w:r>
              <w:rPr>
                <w:rFonts w:hint="eastAsia" w:ascii="宋体" w:hAnsi="宋体" w:cs="宋体"/>
                <w:color w:val="auto"/>
                <w:szCs w:val="21"/>
                <w:highlight w:val="none"/>
              </w:rPr>
              <w:t>日</w:t>
            </w:r>
            <w:r>
              <w:rPr>
                <w:rFonts w:hint="eastAsia" w:ascii="宋体" w:hAnsi="宋体" w:cs="宋体"/>
                <w:color w:val="auto"/>
                <w:szCs w:val="21"/>
                <w:highlight w:val="none"/>
                <w:u w:val="single"/>
              </w:rPr>
              <w:t xml:space="preserve">  时  分（北京时间）</w:t>
            </w:r>
          </w:p>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u w:val="single"/>
              </w:rPr>
              <w:t>（详见广州公共资源交易中心网站信息）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4.2.2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递交电子投标文件交易平台</w:t>
            </w:r>
          </w:p>
        </w:tc>
        <w:tc>
          <w:tcPr>
            <w:tcW w:w="7200" w:type="dxa"/>
            <w:vAlign w:val="center"/>
          </w:tcPr>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1.</w:t>
            </w:r>
            <w:r>
              <w:rPr>
                <w:rFonts w:hint="eastAsia" w:ascii="宋体" w:hAnsi="宋体"/>
                <w:color w:val="auto"/>
                <w:szCs w:val="21"/>
                <w:highlight w:val="none"/>
                <w:u w:val="single"/>
              </w:rPr>
              <w:t>递交方式：网上递交投标文件</w:t>
            </w:r>
            <w:r>
              <w:rPr>
                <w:rFonts w:ascii="宋体" w:hAnsi="宋体"/>
                <w:color w:val="auto"/>
                <w:szCs w:val="21"/>
                <w:highlight w:val="none"/>
                <w:u w:val="single"/>
              </w:rPr>
              <w:t xml:space="preserve"> </w:t>
            </w:r>
          </w:p>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2.</w:t>
            </w:r>
            <w:r>
              <w:rPr>
                <w:rFonts w:hint="eastAsia" w:ascii="宋体" w:hAnsi="宋体"/>
                <w:color w:val="auto"/>
                <w:szCs w:val="21"/>
                <w:highlight w:val="none"/>
                <w:u w:val="single"/>
              </w:rPr>
              <w:t>递交投标文件的起始时间：（详见广州公共资源交易中心网站信息）。</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截止时间：（详见广州公共资源交易中心网站信息）</w:t>
            </w:r>
          </w:p>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地点：广州公共资源交易中心网站。</w:t>
            </w:r>
          </w:p>
          <w:p>
            <w:pPr>
              <w:adjustRightInd w:val="0"/>
              <w:snapToGrid w:val="0"/>
              <w:spacing w:before="48" w:beforeLines="20" w:after="48" w:afterLines="20"/>
              <w:rPr>
                <w:rFonts w:ascii="宋体" w:hAnsi="宋体"/>
                <w:color w:val="auto"/>
                <w:szCs w:val="21"/>
                <w:highlight w:val="none"/>
              </w:rPr>
            </w:pPr>
            <w:r>
              <w:rPr>
                <w:rFonts w:ascii="宋体" w:hAnsi="宋体"/>
                <w:color w:val="auto"/>
                <w:szCs w:val="21"/>
                <w:highlight w:val="none"/>
                <w:u w:val="single"/>
              </w:rPr>
              <w:t>4.</w:t>
            </w:r>
            <w:r>
              <w:rPr>
                <w:rFonts w:hint="eastAsia" w:ascii="宋体" w:hAnsi="宋体"/>
                <w:color w:val="auto"/>
                <w:szCs w:val="21"/>
                <w:highlight w:val="none"/>
                <w:u w:val="single"/>
              </w:rPr>
              <w:t>上述时间及地点是否有改变，</w:t>
            </w:r>
            <w:r>
              <w:rPr>
                <w:rFonts w:ascii="宋体" w:hAnsi="宋体"/>
                <w:color w:val="auto"/>
                <w:szCs w:val="21"/>
                <w:highlight w:val="none"/>
                <w:u w:val="single"/>
              </w:rPr>
              <w:t xml:space="preserve"> </w:t>
            </w:r>
            <w:r>
              <w:rPr>
                <w:rFonts w:hint="eastAsia" w:ascii="宋体" w:hAnsi="宋体"/>
                <w:color w:val="auto"/>
                <w:szCs w:val="21"/>
                <w:highlight w:val="none"/>
                <w:u w:val="single"/>
              </w:rPr>
              <w:t>请密切留意招标答疑纪要的相关信息。</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4.2.3</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投标文件是否退还</w:t>
            </w:r>
          </w:p>
        </w:tc>
        <w:tc>
          <w:tcPr>
            <w:tcW w:w="7200" w:type="dxa"/>
            <w:vAlign w:val="center"/>
          </w:tcPr>
          <w:p>
            <w:pPr>
              <w:pStyle w:val="12"/>
              <w:adjustRightInd w:val="0"/>
              <w:snapToGrid w:val="0"/>
              <w:spacing w:before="48" w:beforeLines="20" w:after="48" w:afterLines="20"/>
              <w:rPr>
                <w:rFonts w:hAnsi="宋体"/>
                <w:color w:val="auto"/>
                <w:sz w:val="21"/>
                <w:szCs w:val="21"/>
                <w:highlight w:val="none"/>
              </w:rPr>
            </w:pPr>
            <w:r>
              <w:rPr>
                <w:rFonts w:hint="eastAsia" w:hAnsi="宋体"/>
                <w:color w:val="auto"/>
                <w:spacing w:val="-1"/>
                <w:sz w:val="21"/>
                <w:szCs w:val="21"/>
                <w:highlight w:val="none"/>
              </w:rPr>
              <w:t>■</w:t>
            </w:r>
            <w:r>
              <w:rPr>
                <w:rFonts w:hint="eastAsia" w:hAnsi="宋体"/>
                <w:color w:val="auto"/>
                <w:sz w:val="21"/>
                <w:szCs w:val="21"/>
                <w:highlight w:val="none"/>
              </w:rPr>
              <w:t>否</w:t>
            </w:r>
          </w:p>
          <w:p>
            <w:pPr>
              <w:pStyle w:val="12"/>
              <w:adjustRightInd w:val="0"/>
              <w:snapToGrid w:val="0"/>
              <w:spacing w:before="48" w:beforeLines="20" w:after="48" w:afterLines="20"/>
              <w:rPr>
                <w:rFonts w:hAnsi="宋体"/>
                <w:color w:val="auto"/>
                <w:sz w:val="21"/>
                <w:szCs w:val="21"/>
                <w:highlight w:val="none"/>
              </w:rPr>
            </w:pPr>
            <w:r>
              <w:rPr>
                <w:rFonts w:hint="eastAsia" w:hAnsi="宋体"/>
                <w:color w:val="auto"/>
                <w:sz w:val="21"/>
                <w:szCs w:val="21"/>
                <w:highlight w:val="none"/>
              </w:rPr>
              <w:t>□是，退还时间：</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5.1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开标时间和地点</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开标时间：同投标截止时间</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开标地点：广州公共资源交易中心增城交易部</w:t>
            </w:r>
            <w:r>
              <w:rPr>
                <w:rFonts w:hint="eastAsia" w:ascii="宋体" w:hAnsi="宋体" w:cs="宋体"/>
                <w:color w:val="auto"/>
                <w:szCs w:val="21"/>
                <w:highlight w:val="none"/>
              </w:rPr>
              <w:t>开标室</w:t>
            </w:r>
            <w:r>
              <w:rPr>
                <w:rFonts w:hint="eastAsia" w:ascii="宋体" w:hAnsi="宋体"/>
                <w:color w:val="auto"/>
                <w:szCs w:val="21"/>
                <w:highlight w:val="none"/>
                <w:u w:val="single"/>
              </w:rPr>
              <w:t>（详见广州公共资源交易中心网站信息），并邀请所有投标人的法定代表人或其委托代理人准时参加。</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5.2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开标程序</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电子招投标项目开标按下列程序进行：</w:t>
            </w:r>
          </w:p>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5.2.1</w:t>
            </w:r>
            <w:r>
              <w:rPr>
                <w:rFonts w:hint="eastAsia" w:ascii="宋体" w:hAnsi="宋体"/>
                <w:color w:val="auto"/>
                <w:szCs w:val="21"/>
                <w:highlight w:val="none"/>
                <w:u w:val="single"/>
              </w:rPr>
              <w:t>主持人按下列程序进行开标：</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）宣布开标纪律；</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）公布在投标截止时间前递交投标文件的投标人名称；</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）宣布开标人、唱标人、记录人、监标人等有关人员姓名；</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4</w:t>
            </w:r>
            <w:r>
              <w:rPr>
                <w:rFonts w:hint="eastAsia" w:ascii="宋体" w:hAnsi="宋体"/>
                <w:color w:val="auto"/>
                <w:szCs w:val="21"/>
                <w:highlight w:val="none"/>
                <w:u w:val="single"/>
              </w:rPr>
              <w:t>）投标人通过电子招标投标交易平台对已递交的电子投标文件进行解密，公布招标项目名称、投标人名称、投标保证金的递交情况、投标报价及其他内容，并记录在案；</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5</w:t>
            </w:r>
            <w:r>
              <w:rPr>
                <w:rFonts w:hint="eastAsia" w:ascii="宋体" w:hAnsi="宋体"/>
                <w:color w:val="auto"/>
                <w:szCs w:val="21"/>
                <w:highlight w:val="none"/>
                <w:u w:val="single"/>
              </w:rPr>
              <w:t>）投标人代表、招标人代表、监标人、记录人等有关人员在开标记录上签字确认；若有关人员不签字的，不影响开标程序；</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6</w:t>
            </w:r>
            <w:r>
              <w:rPr>
                <w:rFonts w:hint="eastAsia" w:ascii="宋体" w:hAnsi="宋体"/>
                <w:color w:val="auto"/>
                <w:szCs w:val="21"/>
                <w:highlight w:val="none"/>
                <w:u w:val="single"/>
              </w:rPr>
              <w:t>）开标结束。</w:t>
            </w:r>
          </w:p>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adjustRightInd w:val="0"/>
              <w:snapToGrid w:val="0"/>
              <w:spacing w:before="48" w:beforeLines="20" w:after="48" w:afterLines="20"/>
              <w:rPr>
                <w:rFonts w:ascii="宋体" w:hAnsi="宋体"/>
                <w:color w:val="auto"/>
                <w:szCs w:val="21"/>
                <w:highlight w:val="none"/>
                <w:u w:val="single"/>
              </w:rPr>
            </w:pPr>
            <w:r>
              <w:rPr>
                <w:rFonts w:ascii="宋体" w:hAnsi="宋体"/>
                <w:color w:val="auto"/>
                <w:szCs w:val="21"/>
                <w:highlight w:val="none"/>
                <w:u w:val="single"/>
              </w:rPr>
              <w:t>5.2.3</w:t>
            </w:r>
            <w:r>
              <w:rPr>
                <w:rFonts w:hint="eastAsia" w:ascii="宋体" w:hAnsi="宋体"/>
                <w:color w:val="auto"/>
                <w:szCs w:val="21"/>
                <w:highlight w:val="none"/>
                <w:u w:val="single"/>
              </w:rPr>
              <w:t>开标时，两个（含两个）以上的投标人加密打包投标文件电脑机器特征码一致的，不参与下一程序，并由评标委员会否决其投标。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6.1.1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评标委员会的组建</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评标委员会构成，由招标人依法组建。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6.3.2</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评标委员会推荐中标候选人的人数</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推荐中标候选人：</w:t>
            </w:r>
            <w:r>
              <w:rPr>
                <w:rFonts w:ascii="宋体" w:hAnsi="宋体"/>
                <w:color w:val="auto"/>
                <w:szCs w:val="21"/>
                <w:highlight w:val="none"/>
                <w:u w:val="single"/>
              </w:rPr>
              <w:t xml:space="preserve"> 3</w:t>
            </w:r>
            <w:r>
              <w:rPr>
                <w:rFonts w:hint="eastAsia" w:ascii="宋体" w:hAnsi="宋体"/>
                <w:color w:val="auto"/>
                <w:szCs w:val="21"/>
                <w:highlight w:val="none"/>
                <w:u w:val="single"/>
              </w:rPr>
              <w:t>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7.1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中标候选人公示媒介及期限</w:t>
            </w:r>
          </w:p>
        </w:tc>
        <w:tc>
          <w:tcPr>
            <w:tcW w:w="7200" w:type="dxa"/>
            <w:vAlign w:val="center"/>
          </w:tcPr>
          <w:p>
            <w:pPr>
              <w:adjustRightInd w:val="0"/>
              <w:snapToGrid w:val="0"/>
              <w:spacing w:before="48" w:beforeLines="20" w:after="48" w:afterLines="20"/>
              <w:ind w:right="106"/>
              <w:rPr>
                <w:rFonts w:ascii="宋体" w:hAnsi="宋体" w:cs="宋体"/>
                <w:color w:val="auto"/>
                <w:szCs w:val="21"/>
                <w:highlight w:val="none"/>
              </w:rPr>
            </w:pPr>
            <w:r>
              <w:rPr>
                <w:rFonts w:hint="eastAsia" w:ascii="宋体" w:hAnsi="宋体" w:cs="宋体"/>
                <w:color w:val="auto"/>
                <w:szCs w:val="21"/>
                <w:highlight w:val="none"/>
              </w:rPr>
              <w:t>公示媒介：广州公共资源交易中心网站（网址：http://www.gzggzy.cn/）、</w:t>
            </w:r>
            <w:r>
              <w:rPr>
                <w:rFonts w:hint="eastAsia" w:ascii="宋体" w:hAnsi="宋体" w:cs="宋体"/>
                <w:color w:val="auto"/>
                <w:szCs w:val="21"/>
                <w:highlight w:val="none"/>
                <w:u w:val="single"/>
              </w:rPr>
              <w:t>中国招标投标公共服务平台（网址：http://www.cebpubservice.com/）</w:t>
            </w:r>
            <w:r>
              <w:rPr>
                <w:rFonts w:hint="eastAsia" w:ascii="宋体" w:hAnsi="宋体" w:cs="宋体"/>
                <w:color w:val="auto"/>
                <w:szCs w:val="21"/>
                <w:highlight w:val="none"/>
              </w:rPr>
              <w:t>、</w:t>
            </w:r>
            <w:r>
              <w:rPr>
                <w:rFonts w:hint="eastAsia" w:ascii="宋体" w:hAnsi="宋体" w:cs="宋体"/>
                <w:color w:val="auto"/>
                <w:szCs w:val="21"/>
                <w:highlight w:val="none"/>
                <w:u w:val="single"/>
              </w:rPr>
              <w:t>广东省招标投标监管网</w:t>
            </w:r>
            <w:r>
              <w:rPr>
                <w:rFonts w:hint="eastAsia" w:ascii="宋体" w:cs="宋体"/>
                <w:color w:val="auto"/>
                <w:szCs w:val="21"/>
                <w:highlight w:val="none"/>
              </w:rPr>
              <w:t>（网址：http://zbtb.gd.gov.cn ）</w:t>
            </w:r>
            <w:r>
              <w:rPr>
                <w:rFonts w:hint="eastAsia" w:ascii="宋体" w:hAnsi="宋体" w:cs="宋体"/>
                <w:color w:val="auto"/>
                <w:szCs w:val="21"/>
                <w:highlight w:val="none"/>
              </w:rPr>
              <w:t>。</w:t>
            </w:r>
          </w:p>
          <w:p>
            <w:pPr>
              <w:adjustRightInd w:val="0"/>
              <w:snapToGrid w:val="0"/>
              <w:spacing w:before="48" w:beforeLines="20" w:after="48" w:afterLines="20"/>
              <w:ind w:right="106"/>
              <w:rPr>
                <w:rFonts w:ascii="宋体" w:hAnsi="宋体"/>
                <w:color w:val="auto"/>
                <w:szCs w:val="21"/>
                <w:highlight w:val="none"/>
              </w:rPr>
            </w:pPr>
            <w:r>
              <w:rPr>
                <w:rFonts w:hint="eastAsia" w:ascii="宋体" w:hAnsi="宋体" w:cs="宋体"/>
                <w:color w:val="auto"/>
                <w:szCs w:val="21"/>
                <w:highlight w:val="none"/>
              </w:rPr>
              <w:t>公示期限：</w:t>
            </w:r>
            <w:r>
              <w:rPr>
                <w:rFonts w:hint="eastAsia" w:ascii="宋体" w:hAnsi="宋体" w:cs="宋体"/>
                <w:color w:val="auto"/>
                <w:szCs w:val="21"/>
                <w:highlight w:val="none"/>
                <w:u w:val="single" w:color="000000"/>
              </w:rPr>
              <w:t xml:space="preserve"> 3  </w:t>
            </w:r>
            <w:r>
              <w:rPr>
                <w:rFonts w:hint="eastAsia" w:ascii="宋体" w:hAnsi="宋体" w:cs="宋体"/>
                <w:color w:val="auto"/>
                <w:szCs w:val="21"/>
                <w:highlight w:val="none"/>
              </w:rPr>
              <w:t xml:space="preserve">日 </w:t>
            </w:r>
            <w:r>
              <w:rPr>
                <w:rFonts w:hint="eastAsia" w:ascii="宋体" w:hAnsi="宋体" w:cs="宋体"/>
                <w:color w:val="auto"/>
                <w:szCs w:val="21"/>
                <w:highlight w:val="none"/>
                <w:u w:val="single"/>
              </w:rPr>
              <w:t>（公示期间的最后1天应当为工作日，否则将公示期的最后1天顺延至下一个工作日）</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7.4</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是否授权评标委员会确定中标人</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□是</w:t>
            </w:r>
          </w:p>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■否</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7.6.1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履约保证金</w:t>
            </w:r>
          </w:p>
        </w:tc>
        <w:tc>
          <w:tcPr>
            <w:tcW w:w="7200" w:type="dxa"/>
            <w:vAlign w:val="center"/>
          </w:tcPr>
          <w:p>
            <w:pPr>
              <w:pStyle w:val="12"/>
              <w:adjustRightInd w:val="0"/>
              <w:snapToGrid w:val="0"/>
              <w:spacing w:before="48" w:beforeLines="20" w:after="48" w:afterLines="20"/>
              <w:rPr>
                <w:rFonts w:hAnsi="宋体"/>
                <w:b/>
                <w:color w:val="auto"/>
                <w:sz w:val="21"/>
                <w:szCs w:val="21"/>
                <w:highlight w:val="none"/>
              </w:rPr>
            </w:pPr>
            <w:r>
              <w:rPr>
                <w:rFonts w:hint="eastAsia" w:hAnsi="宋体"/>
                <w:b/>
                <w:color w:val="auto"/>
                <w:sz w:val="21"/>
                <w:szCs w:val="21"/>
                <w:highlight w:val="none"/>
              </w:rPr>
              <w:t>是否要求中标人提交履约保证金：</w:t>
            </w:r>
          </w:p>
          <w:p>
            <w:pPr>
              <w:pStyle w:val="12"/>
              <w:adjustRightInd w:val="0"/>
              <w:snapToGrid w:val="0"/>
              <w:spacing w:before="48" w:beforeLines="20" w:after="48" w:afterLines="20"/>
              <w:rPr>
                <w:rFonts w:hAnsi="宋体"/>
                <w:color w:val="auto"/>
                <w:sz w:val="21"/>
                <w:szCs w:val="21"/>
                <w:highlight w:val="none"/>
              </w:rPr>
            </w:pPr>
            <w:r>
              <w:rPr>
                <w:rFonts w:hint="eastAsia" w:hAnsi="宋体"/>
                <w:b/>
                <w:color w:val="auto"/>
                <w:sz w:val="21"/>
                <w:szCs w:val="21"/>
                <w:highlight w:val="none"/>
              </w:rPr>
              <w:t>■要求，履约保证金的形式：</w:t>
            </w:r>
            <w:r>
              <w:rPr>
                <w:rFonts w:hint="eastAsia" w:hAnsi="宋体"/>
                <w:color w:val="auto"/>
                <w:sz w:val="21"/>
                <w:szCs w:val="21"/>
                <w:highlight w:val="none"/>
                <w:u w:val="single"/>
              </w:rPr>
              <w:t>《履约银行保函》</w:t>
            </w:r>
          </w:p>
          <w:p>
            <w:pPr>
              <w:adjustRightInd w:val="0"/>
              <w:snapToGrid w:val="0"/>
              <w:spacing w:before="48" w:beforeLines="20" w:after="48" w:afterLines="20"/>
              <w:ind w:firstLine="843" w:firstLineChars="400"/>
              <w:rPr>
                <w:rFonts w:ascii="宋体" w:hAnsi="宋体"/>
                <w:color w:val="auto"/>
                <w:szCs w:val="21"/>
                <w:highlight w:val="none"/>
                <w:u w:val="single"/>
              </w:rPr>
            </w:pPr>
            <w:r>
              <w:rPr>
                <w:rFonts w:hint="eastAsia" w:ascii="宋体" w:hAnsi="宋体"/>
                <w:b/>
                <w:color w:val="auto"/>
                <w:szCs w:val="21"/>
                <w:highlight w:val="none"/>
              </w:rPr>
              <w:t>履约保证金的金额：</w:t>
            </w:r>
            <w:r>
              <w:rPr>
                <w:rFonts w:hint="eastAsia" w:ascii="宋体" w:hAnsi="宋体"/>
                <w:color w:val="auto"/>
                <w:szCs w:val="21"/>
                <w:highlight w:val="none"/>
                <w:u w:val="single"/>
              </w:rPr>
              <w:t>中标价款的</w:t>
            </w:r>
            <w:r>
              <w:rPr>
                <w:rFonts w:ascii="宋体" w:hAnsi="宋体"/>
                <w:color w:val="auto"/>
                <w:szCs w:val="21"/>
                <w:highlight w:val="none"/>
                <w:u w:val="single"/>
              </w:rPr>
              <w:t>10</w:t>
            </w:r>
            <w:r>
              <w:rPr>
                <w:rFonts w:hint="eastAsia" w:ascii="宋体" w:hAnsi="宋体"/>
                <w:color w:val="auto"/>
                <w:szCs w:val="21"/>
                <w:highlight w:val="none"/>
                <w:u w:val="single"/>
              </w:rPr>
              <w:t>％</w:t>
            </w:r>
          </w:p>
          <w:p>
            <w:pPr>
              <w:pStyle w:val="12"/>
              <w:adjustRightInd w:val="0"/>
              <w:snapToGrid w:val="0"/>
              <w:spacing w:before="48" w:beforeLines="20" w:after="48" w:afterLines="20"/>
              <w:rPr>
                <w:rFonts w:hAnsi="宋体"/>
                <w:color w:val="auto"/>
                <w:sz w:val="21"/>
                <w:szCs w:val="21"/>
                <w:highlight w:val="none"/>
              </w:rPr>
            </w:pPr>
            <w:r>
              <w:rPr>
                <w:rFonts w:hint="eastAsia" w:hAnsi="宋体" w:cs="宋体"/>
                <w:color w:val="auto"/>
                <w:sz w:val="21"/>
                <w:szCs w:val="21"/>
                <w:highlight w:val="none"/>
              </w:rPr>
              <w:sym w:font="Wingdings 2" w:char="00A3"/>
            </w:r>
            <w:r>
              <w:rPr>
                <w:rFonts w:hint="eastAsia" w:hAnsi="宋体"/>
                <w:b/>
                <w:color w:val="auto"/>
                <w:sz w:val="21"/>
                <w:szCs w:val="21"/>
                <w:highlight w:val="none"/>
              </w:rPr>
              <w:t>不要求</w:t>
            </w:r>
            <w:bookmarkStart w:id="313" w:name="_GoBack"/>
            <w:bookmarkEnd w:id="313"/>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9</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是否采用电子招标投标</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s="宋体"/>
                <w:color w:val="auto"/>
                <w:szCs w:val="21"/>
                <w:highlight w:val="none"/>
              </w:rPr>
              <w:t>□</w:t>
            </w:r>
            <w:r>
              <w:rPr>
                <w:rFonts w:hint="eastAsia" w:ascii="宋体" w:hAnsi="宋体"/>
                <w:color w:val="auto"/>
                <w:szCs w:val="21"/>
                <w:highlight w:val="none"/>
              </w:rPr>
              <w:t>否</w:t>
            </w:r>
          </w:p>
          <w:p>
            <w:pPr>
              <w:adjustRightInd w:val="0"/>
              <w:snapToGrid w:val="0"/>
              <w:spacing w:before="48" w:beforeLines="20" w:after="48" w:afterLines="20"/>
              <w:ind w:left="2099" w:leftChars="3" w:hanging="2093" w:hangingChars="997"/>
              <w:rPr>
                <w:rFonts w:ascii="宋体" w:hAnsi="宋体"/>
                <w:color w:val="auto"/>
                <w:szCs w:val="21"/>
                <w:highlight w:val="none"/>
              </w:rPr>
            </w:pPr>
            <w:r>
              <w:rPr>
                <w:rFonts w:hint="eastAsia" w:ascii="宋体" w:hAnsi="宋体"/>
                <w:color w:val="auto"/>
                <w:szCs w:val="21"/>
                <w:highlight w:val="none"/>
              </w:rPr>
              <w:t>■是，具体要求：</w:t>
            </w:r>
          </w:p>
          <w:p>
            <w:pPr>
              <w:adjustRightInd w:val="0"/>
              <w:snapToGrid w:val="0"/>
              <w:spacing w:before="48" w:beforeLines="20" w:after="48" w:afterLines="20"/>
              <w:jc w:val="left"/>
              <w:rPr>
                <w:rFonts w:ascii="宋体" w:hAnsi="宋体"/>
                <w:color w:val="auto"/>
                <w:szCs w:val="21"/>
                <w:highlight w:val="none"/>
                <w:u w:val="single"/>
              </w:rPr>
            </w:pPr>
            <w:r>
              <w:rPr>
                <w:rFonts w:hint="eastAsia" w:ascii="宋体" w:hAnsi="宋体" w:cs="Courier New"/>
                <w:color w:val="auto"/>
                <w:szCs w:val="21"/>
                <w:highlight w:val="none"/>
                <w:u w:val="single"/>
              </w:rPr>
              <w:t>1.具体操作详见广州公共资源交易中心网站最新发布的最新指引。</w:t>
            </w:r>
          </w:p>
          <w:p>
            <w:pPr>
              <w:adjustRightInd w:val="0"/>
              <w:snapToGrid w:val="0"/>
              <w:spacing w:before="48" w:beforeLines="20" w:after="48" w:afterLines="20"/>
              <w:rPr>
                <w:rFonts w:ascii="宋体" w:hAnsi="宋体" w:cs="Courier New"/>
                <w:color w:val="auto"/>
                <w:szCs w:val="21"/>
                <w:highlight w:val="none"/>
                <w:u w:val="single"/>
              </w:rPr>
            </w:pPr>
            <w:r>
              <w:rPr>
                <w:rFonts w:hint="eastAsia" w:ascii="宋体" w:hAnsi="宋体" w:cs="Courier New"/>
                <w:color w:val="auto"/>
                <w:szCs w:val="21"/>
                <w:highlight w:val="none"/>
                <w:u w:val="single"/>
              </w:rPr>
              <w:t>2.提交投标文件光盘备用</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投标人将按最新指引的操作方法制作的非加密的电子投标文件刻入光盘（1份），在开标现场（投标截止时间前）提交备用。刻录好的投标文件光盘密封在密封袋中，并在封口处加盖投标人单位公章。密封袋上应写明的内容见投标人须知前附表要求4.1.2。现场递交的投标文件（光盘）不得加密。光盘（投标文件）无法读取或导入的，则视为未提交备用投标文件光盘。如果投标人没有按规定通过交易平台网上递交电子投标文件的，不再接受现场提交的光盘。投标人也可不提交备用光盘。</w:t>
            </w:r>
          </w:p>
          <w:p>
            <w:pPr>
              <w:adjustRightInd w:val="0"/>
              <w:snapToGrid w:val="0"/>
              <w:spacing w:before="48" w:beforeLines="20" w:after="48" w:afterLines="20"/>
              <w:ind w:firstLine="210" w:firstLineChars="100"/>
              <w:rPr>
                <w:rFonts w:ascii="宋体" w:hAnsi="宋体"/>
                <w:color w:val="auto"/>
                <w:szCs w:val="21"/>
                <w:highlight w:val="none"/>
                <w:u w:val="single"/>
              </w:rPr>
            </w:pPr>
            <w:r>
              <w:rPr>
                <w:rFonts w:ascii="宋体" w:hAnsi="宋体"/>
                <w:color w:val="auto"/>
                <w:szCs w:val="21"/>
                <w:highlight w:val="none"/>
                <w:u w:val="single"/>
              </w:rPr>
              <w:t>3.</w:t>
            </w:r>
            <w:r>
              <w:rPr>
                <w:rFonts w:hint="eastAsia" w:ascii="宋体" w:hAnsi="宋体"/>
                <w:color w:val="auto"/>
                <w:szCs w:val="21"/>
                <w:highlight w:val="none"/>
                <w:u w:val="single"/>
              </w:rPr>
              <w:t>补救方案</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1</w:t>
            </w:r>
            <w:r>
              <w:rPr>
                <w:rFonts w:hint="eastAsia" w:ascii="宋体" w:hAnsi="宋体"/>
                <w:color w:val="auto"/>
                <w:szCs w:val="21"/>
                <w:highlight w:val="none"/>
                <w:u w:val="single"/>
              </w:rPr>
              <w:t>）投标文件解密失败的补救方案：</w:t>
            </w:r>
          </w:p>
          <w:p>
            <w:pPr>
              <w:adjustRightInd w:val="0"/>
              <w:snapToGrid w:val="0"/>
              <w:spacing w:before="48" w:beforeLines="20" w:after="48" w:afterLines="20"/>
              <w:ind w:firstLine="315" w:firstLineChars="150"/>
              <w:rPr>
                <w:rFonts w:ascii="宋体" w:hAnsi="宋体"/>
                <w:color w:val="auto"/>
                <w:szCs w:val="21"/>
                <w:highlight w:val="none"/>
                <w:u w:val="single"/>
              </w:rPr>
            </w:pPr>
            <w:r>
              <w:rPr>
                <w:rFonts w:hint="eastAsia" w:ascii="宋体" w:hAnsi="宋体"/>
                <w:color w:val="auto"/>
                <w:szCs w:val="21"/>
                <w:highlight w:val="none"/>
                <w:u w:val="single"/>
              </w:rPr>
              <w:t>在规定时间内，因投标人之外原因（指网络瘫痪、服务器损坏、交易系统故障短期无法恢复等因素）导致的电子投标文件解密失败，在开标现场读取光盘内容，继续开标程序。评标委员会对其投标文件的评审以光盘内容为准。因投标人之外原因解密失败且未递交电子光盘或递交的电子光盘不能读取的，视为撤回投标文件。</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2</w:t>
            </w:r>
            <w:r>
              <w:rPr>
                <w:rFonts w:hint="eastAsia" w:ascii="宋体" w:hAnsi="宋体"/>
                <w:color w:val="auto"/>
                <w:szCs w:val="21"/>
                <w:highlight w:val="none"/>
                <w:u w:val="single"/>
              </w:rPr>
              <w:t>）评标时突发情况的补救方案</w:t>
            </w:r>
          </w:p>
          <w:p>
            <w:pPr>
              <w:adjustRightInd w:val="0"/>
              <w:snapToGrid w:val="0"/>
              <w:spacing w:before="48" w:beforeLines="20" w:after="48" w:afterLines="20"/>
              <w:ind w:firstLine="315" w:firstLineChars="150"/>
              <w:rPr>
                <w:rFonts w:ascii="宋体" w:hAnsi="宋体"/>
                <w:color w:val="auto"/>
                <w:szCs w:val="21"/>
                <w:highlight w:val="none"/>
                <w:u w:val="single"/>
              </w:rPr>
            </w:pPr>
            <w:r>
              <w:rPr>
                <w:rFonts w:hint="eastAsia" w:ascii="宋体" w:hAnsi="宋体"/>
                <w:color w:val="auto"/>
                <w:szCs w:val="21"/>
                <w:highlight w:val="none"/>
                <w:u w:val="single"/>
              </w:rPr>
              <w:t>若遇不可抗力发生（如：网络瘫痪、服务器损坏、交易系统故障短期无法恢复等因素），由评标委员会开启递交的全部投标文件光盘，并按光盘内容进行评审。</w:t>
            </w:r>
          </w:p>
          <w:p>
            <w:pPr>
              <w:adjustRightInd w:val="0"/>
              <w:snapToGrid w:val="0"/>
              <w:spacing w:before="48" w:beforeLines="20" w:after="48" w:afterLines="20"/>
              <w:rPr>
                <w:rFonts w:ascii="宋体" w:hAnsi="宋体"/>
                <w:color w:val="auto"/>
                <w:szCs w:val="21"/>
                <w:highlight w:val="none"/>
                <w:u w:val="single"/>
              </w:rPr>
            </w:pPr>
            <w:r>
              <w:rPr>
                <w:rFonts w:hint="eastAsia" w:ascii="宋体" w:hAnsi="宋体"/>
                <w:color w:val="auto"/>
                <w:szCs w:val="21"/>
                <w:highlight w:val="none"/>
                <w:u w:val="single"/>
              </w:rPr>
              <w:t>（</w:t>
            </w:r>
            <w:r>
              <w:rPr>
                <w:rFonts w:ascii="宋体" w:hAnsi="宋体"/>
                <w:color w:val="auto"/>
                <w:szCs w:val="21"/>
                <w:highlight w:val="none"/>
                <w:u w:val="single"/>
              </w:rPr>
              <w:t>3</w:t>
            </w:r>
            <w:r>
              <w:rPr>
                <w:rFonts w:hint="eastAsia" w:ascii="宋体" w:hAnsi="宋体"/>
                <w:color w:val="auto"/>
                <w:szCs w:val="21"/>
                <w:highlight w:val="none"/>
                <w:u w:val="single"/>
              </w:rPr>
              <w:t>）除发生上述情况外，开标评标均以投标人通过交易平台网上递交的电子投标文件为准。</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需要补充的其他内容</w:t>
            </w:r>
          </w:p>
        </w:tc>
        <w:tc>
          <w:tcPr>
            <w:tcW w:w="7200" w:type="dxa"/>
            <w:vAlign w:val="center"/>
          </w:tcPr>
          <w:p>
            <w:pPr>
              <w:adjustRightInd w:val="0"/>
              <w:snapToGrid w:val="0"/>
              <w:spacing w:before="48" w:beforeLines="20" w:after="48" w:afterLines="20"/>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10.1</w:t>
            </w:r>
          </w:p>
        </w:tc>
        <w:tc>
          <w:tcPr>
            <w:tcW w:w="2160"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特别提示</w:t>
            </w:r>
          </w:p>
        </w:tc>
        <w:tc>
          <w:tcPr>
            <w:tcW w:w="7200" w:type="dxa"/>
            <w:vAlign w:val="center"/>
          </w:tcPr>
          <w:p>
            <w:pPr>
              <w:widowControl/>
              <w:shd w:val="clear" w:color="auto" w:fill="FFFFFF"/>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投标人在本项目招标人的工程项目中存在下列行为的，将被拒绝一年内参与我单位后续工程投标。（注：拒绝投标时限由招标人视严重程度确定，最低三个月起，自招标人发出通知之日起计）：</w:t>
            </w:r>
          </w:p>
          <w:p>
            <w:pPr>
              <w:widowControl/>
              <w:shd w:val="clear" w:color="auto" w:fill="FFFFFF"/>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1.将中标工程转包或者违法分包的；</w:t>
            </w:r>
          </w:p>
          <w:p>
            <w:pPr>
              <w:widowControl/>
              <w:shd w:val="clear" w:color="auto" w:fill="FFFFFF"/>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2.在中标工程中不执行质量、安全生产相关规定的，造成质量或安全事故的；</w:t>
            </w:r>
          </w:p>
          <w:p>
            <w:pPr>
              <w:widowControl/>
              <w:shd w:val="clear" w:color="auto" w:fill="FFFFFF"/>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3.存在围标或串标情形的；</w:t>
            </w:r>
          </w:p>
          <w:p>
            <w:pPr>
              <w:adjustRightInd w:val="0"/>
              <w:snapToGrid w:val="0"/>
              <w:spacing w:before="48" w:beforeLines="20" w:after="48" w:afterLines="20"/>
              <w:jc w:val="left"/>
              <w:rPr>
                <w:rFonts w:ascii="宋体" w:hAnsi="宋体"/>
                <w:color w:val="auto"/>
                <w:szCs w:val="21"/>
                <w:highlight w:val="none"/>
              </w:rPr>
            </w:pPr>
            <w:r>
              <w:rPr>
                <w:rFonts w:hint="eastAsia" w:ascii="宋体" w:hAnsi="宋体"/>
                <w:color w:val="auto"/>
                <w:szCs w:val="21"/>
                <w:highlight w:val="none"/>
              </w:rPr>
              <w:t>4.存在弄虚作假骗取中标情形的；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2</w:t>
            </w:r>
          </w:p>
        </w:tc>
        <w:tc>
          <w:tcPr>
            <w:tcW w:w="2160" w:type="dxa"/>
            <w:vAlign w:val="center"/>
          </w:tcPr>
          <w:p>
            <w:pPr>
              <w:widowControl/>
              <w:shd w:val="clear" w:color="auto" w:fill="FFFFFF"/>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招标失败情形</w:t>
            </w:r>
          </w:p>
        </w:tc>
        <w:tc>
          <w:tcPr>
            <w:tcW w:w="7200" w:type="dxa"/>
            <w:vAlign w:val="center"/>
          </w:tcPr>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本项目采用资格后审方式。若投标登记或递交投标文件或通过初步评审（含形式评审、资格评审、响应性评审）的合格投标人不足3家的，则该项目招标失败。招标人分析招标失败原因，修正招标方案，重新组织招标。</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3</w:t>
            </w:r>
          </w:p>
        </w:tc>
        <w:tc>
          <w:tcPr>
            <w:tcW w:w="2160"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其他费用</w:t>
            </w:r>
          </w:p>
        </w:tc>
        <w:tc>
          <w:tcPr>
            <w:tcW w:w="7200" w:type="dxa"/>
            <w:tcBorders>
              <w:bottom w:val="single" w:color="auto" w:sz="4" w:space="0"/>
            </w:tcBorders>
            <w:vAlign w:val="center"/>
          </w:tcPr>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1、交易服务费：中标人按规定，向广州公共资源交易中心缴纳交易服务费。</w:t>
            </w:r>
          </w:p>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2、招标代理费：按照招标人与招标代理签订的招标代理合同约定的内容执行，由中标人在领取中标通知书后一次性支付。</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4</w:t>
            </w:r>
          </w:p>
        </w:tc>
        <w:tc>
          <w:tcPr>
            <w:tcW w:w="2160"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招标人拒绝接收其投标文件备用光盘情况</w:t>
            </w:r>
          </w:p>
        </w:tc>
        <w:tc>
          <w:tcPr>
            <w:tcW w:w="7200" w:type="dxa"/>
            <w:tcBorders>
              <w:bottom w:val="single" w:color="auto" w:sz="4" w:space="0"/>
            </w:tcBorders>
            <w:vAlign w:val="center"/>
          </w:tcPr>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1、投标人在投标截止期后逾期或未在指定地点递交备用投标文件电子光盘的；</w:t>
            </w:r>
          </w:p>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2、投标人递交的备用投标文件电子光盘未按招标文件要求密封或未在密封处盖章的；</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tcBorders>
              <w:bottom w:val="single" w:color="auto" w:sz="4" w:space="0"/>
            </w:tcBorders>
            <w:vAlign w:val="center"/>
          </w:tcPr>
          <w:p>
            <w:pPr>
              <w:adjustRightInd w:val="0"/>
              <w:snapToGrid w:val="0"/>
              <w:spacing w:before="48" w:beforeLines="20" w:after="48" w:afterLines="20"/>
              <w:jc w:val="center"/>
              <w:rPr>
                <w:rFonts w:ascii="宋体" w:hAnsi="宋体"/>
                <w:color w:val="auto"/>
                <w:szCs w:val="21"/>
                <w:highlight w:val="none"/>
              </w:rPr>
            </w:pPr>
            <w:r>
              <w:rPr>
                <w:rFonts w:ascii="宋体" w:hAnsi="宋体"/>
                <w:color w:val="auto"/>
                <w:szCs w:val="21"/>
                <w:highlight w:val="none"/>
              </w:rPr>
              <w:t>10.</w:t>
            </w:r>
            <w:r>
              <w:rPr>
                <w:rFonts w:hint="eastAsia" w:ascii="宋体" w:hAnsi="宋体"/>
                <w:color w:val="auto"/>
                <w:szCs w:val="21"/>
                <w:highlight w:val="none"/>
              </w:rPr>
              <w:t>5</w:t>
            </w:r>
          </w:p>
        </w:tc>
        <w:tc>
          <w:tcPr>
            <w:tcW w:w="2160" w:type="dxa"/>
            <w:tcBorders>
              <w:bottom w:val="single" w:color="auto" w:sz="4" w:space="0"/>
            </w:tcBorders>
            <w:vAlign w:val="center"/>
          </w:tcPr>
          <w:p>
            <w:pPr>
              <w:widowControl/>
              <w:shd w:val="clear" w:color="auto" w:fill="FFFFFF"/>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其他</w:t>
            </w:r>
          </w:p>
        </w:tc>
        <w:tc>
          <w:tcPr>
            <w:tcW w:w="7200" w:type="dxa"/>
            <w:tcBorders>
              <w:bottom w:val="single" w:color="auto" w:sz="4" w:space="0"/>
            </w:tcBorders>
            <w:vAlign w:val="center"/>
          </w:tcPr>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1.在产生中标候选人后，招标人将中标候选人的投标文件商务部分的电子版（报价清单、检测监测方案等涉及商业秘密的内容除外）在广州公共资源交易中心网站公开。</w:t>
            </w:r>
          </w:p>
          <w:p>
            <w:pPr>
              <w:adjustRightInd w:val="0"/>
              <w:snapToGrid w:val="0"/>
              <w:spacing w:before="48" w:beforeLines="20" w:after="48" w:afterLines="20"/>
              <w:ind w:left="1" w:hanging="1"/>
              <w:rPr>
                <w:rFonts w:ascii="宋体" w:hAnsi="宋体"/>
                <w:color w:val="auto"/>
                <w:szCs w:val="21"/>
                <w:highlight w:val="none"/>
              </w:rPr>
            </w:pPr>
            <w:r>
              <w:rPr>
                <w:rFonts w:hint="eastAsia" w:ascii="宋体" w:hAnsi="宋体"/>
                <w:color w:val="auto"/>
                <w:szCs w:val="21"/>
                <w:highlight w:val="none"/>
              </w:rPr>
              <w:t>2.中标单位在中标通知书发出后3个工作日内，补送一正二副正式书面投标文件（加盖公章）给招标人。</w:t>
            </w:r>
          </w:p>
        </w:tc>
      </w:tr>
      <w:tr>
        <w:tblPrEx>
          <w:tblBorders>
            <w:top w:val="single" w:color="auto" w:sz="4" w:space="0"/>
            <w:left w:val="single" w:color="auto" w:sz="4" w:space="0"/>
            <w:bottom w:val="single" w:color="auto" w:sz="4" w:space="0"/>
            <w:right w:val="single" w:color="auto" w:sz="4" w:space="0"/>
            <w:insideH w:val="single" w:color="auto" w:sz="6" w:space="0"/>
            <w:insideV w:val="single" w:color="auto" w:sz="6" w:space="0"/>
          </w:tblBorders>
          <w:tblCellMar>
            <w:top w:w="0" w:type="dxa"/>
            <w:left w:w="108" w:type="dxa"/>
            <w:bottom w:w="0" w:type="dxa"/>
            <w:right w:w="108" w:type="dxa"/>
          </w:tblCellMar>
        </w:tblPrEx>
        <w:trPr>
          <w:trHeight w:val="20" w:hRule="atLeast"/>
        </w:trPr>
        <w:tc>
          <w:tcPr>
            <w:tcW w:w="866" w:type="dxa"/>
            <w:vAlign w:val="center"/>
          </w:tcPr>
          <w:p>
            <w:pPr>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10.6</w:t>
            </w:r>
          </w:p>
        </w:tc>
        <w:tc>
          <w:tcPr>
            <w:tcW w:w="2160" w:type="dxa"/>
            <w:vAlign w:val="center"/>
          </w:tcPr>
          <w:p>
            <w:pPr>
              <w:widowControl/>
              <w:shd w:val="clear" w:color="auto" w:fill="FFFFFF"/>
              <w:adjustRightInd w:val="0"/>
              <w:snapToGrid w:val="0"/>
              <w:spacing w:before="48" w:beforeLines="20" w:after="48" w:afterLines="20"/>
              <w:jc w:val="center"/>
              <w:rPr>
                <w:rFonts w:ascii="宋体" w:hAnsi="宋体"/>
                <w:color w:val="auto"/>
                <w:szCs w:val="21"/>
                <w:highlight w:val="none"/>
              </w:rPr>
            </w:pPr>
            <w:r>
              <w:rPr>
                <w:rFonts w:hint="eastAsia" w:ascii="宋体" w:hAnsi="宋体"/>
                <w:color w:val="auto"/>
                <w:szCs w:val="21"/>
                <w:highlight w:val="none"/>
              </w:rPr>
              <w:t>投标人是否参加开标</w:t>
            </w:r>
          </w:p>
        </w:tc>
        <w:tc>
          <w:tcPr>
            <w:tcW w:w="7200" w:type="dxa"/>
            <w:vAlign w:val="center"/>
          </w:tcPr>
          <w:p>
            <w:pPr>
              <w:adjustRightInd w:val="0"/>
              <w:snapToGrid w:val="0"/>
              <w:spacing w:before="48" w:beforeLines="20" w:after="48" w:afterLines="20"/>
              <w:rPr>
                <w:rFonts w:ascii="宋体" w:hAnsi="宋体"/>
                <w:color w:val="auto"/>
                <w:szCs w:val="21"/>
                <w:highlight w:val="none"/>
              </w:rPr>
            </w:pPr>
            <w:r>
              <w:rPr>
                <w:rFonts w:hint="eastAsia" w:ascii="宋体" w:hAnsi="宋体"/>
                <w:color w:val="auto"/>
                <w:szCs w:val="21"/>
                <w:highlight w:val="none"/>
              </w:rPr>
              <w:t>开标时，投标人代表有权出席开标会，也可以自主决定不参加开标会，若投标人代表对开标过程提出异议，该投标人代表须同时出示本人身份证原件。</w:t>
            </w:r>
          </w:p>
        </w:tc>
      </w:tr>
    </w:tbl>
    <w:p>
      <w:pPr>
        <w:rPr>
          <w:rFonts w:ascii="宋体" w:hAnsi="宋体"/>
          <w:color w:val="auto"/>
          <w:highlight w:val="none"/>
        </w:rPr>
      </w:pPr>
    </w:p>
    <w:p>
      <w:pPr>
        <w:pStyle w:val="5"/>
        <w:adjustRightInd w:val="0"/>
        <w:snapToGrid w:val="0"/>
        <w:rPr>
          <w:color w:val="auto"/>
          <w:highlight w:val="none"/>
        </w:rPr>
      </w:pPr>
      <w:bookmarkStart w:id="50" w:name="_Toc533357308"/>
      <w:r>
        <w:rPr>
          <w:color w:val="auto"/>
          <w:highlight w:val="none"/>
        </w:rPr>
        <w:br w:type="page"/>
      </w:r>
      <w:bookmarkStart w:id="51" w:name="_Toc103592009"/>
      <w:bookmarkStart w:id="52" w:name="_Toc3010"/>
      <w:bookmarkStart w:id="53" w:name="_Toc14000"/>
      <w:r>
        <w:rPr>
          <w:color w:val="auto"/>
          <w:highlight w:val="none"/>
        </w:rPr>
        <w:t xml:space="preserve">1. </w:t>
      </w:r>
      <w:r>
        <w:rPr>
          <w:rFonts w:hint="eastAsia"/>
          <w:color w:val="auto"/>
          <w:highlight w:val="none"/>
        </w:rPr>
        <w:t>总则</w:t>
      </w:r>
      <w:bookmarkEnd w:id="50"/>
      <w:bookmarkEnd w:id="51"/>
      <w:bookmarkEnd w:id="52"/>
      <w:bookmarkEnd w:id="53"/>
    </w:p>
    <w:p>
      <w:pPr>
        <w:pStyle w:val="7"/>
        <w:adjustRightInd w:val="0"/>
        <w:snapToGrid w:val="0"/>
        <w:spacing w:line="360" w:lineRule="auto"/>
        <w:rPr>
          <w:color w:val="auto"/>
          <w:highlight w:val="none"/>
        </w:rPr>
      </w:pPr>
      <w:r>
        <w:rPr>
          <w:color w:val="auto"/>
          <w:highlight w:val="none"/>
        </w:rPr>
        <w:t xml:space="preserve">1.1 </w:t>
      </w:r>
      <w:r>
        <w:rPr>
          <w:rFonts w:hint="eastAsia"/>
          <w:color w:val="auto"/>
          <w:highlight w:val="none"/>
        </w:rPr>
        <w:t>招标项目概况</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1.1.1</w:t>
      </w:r>
      <w:r>
        <w:rPr>
          <w:rFonts w:hint="eastAsia" w:ascii="宋体" w:hAnsi="宋体"/>
          <w:color w:val="auto"/>
          <w:szCs w:val="21"/>
          <w:highlight w:val="none"/>
        </w:rPr>
        <w:t>根据《中华人民共和国招标投标法》、《中华人民共和国招标投标法实施条例》等有关法律、法规和规章的规定，本招标项目已具备招标条件，现对检测和监测服务进行招标。</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w:t>
      </w:r>
      <w:r>
        <w:rPr>
          <w:rFonts w:hint="eastAsia" w:ascii="宋体" w:hAnsi="宋体"/>
          <w:color w:val="auto"/>
          <w:szCs w:val="21"/>
          <w:highlight w:val="none"/>
        </w:rPr>
        <w:t>招标人：见投标人须知前附表。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1.1.3</w:t>
      </w:r>
      <w:r>
        <w:rPr>
          <w:rFonts w:hint="eastAsia" w:ascii="宋体" w:hAnsi="宋体"/>
          <w:color w:val="auto"/>
          <w:szCs w:val="21"/>
          <w:highlight w:val="none"/>
        </w:rPr>
        <w:t>招标代理机构：见投标人须知前附表。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1.1.4</w:t>
      </w:r>
      <w:r>
        <w:rPr>
          <w:rFonts w:hint="eastAsia" w:ascii="宋体" w:hAnsi="宋体"/>
          <w:color w:val="auto"/>
          <w:szCs w:val="21"/>
          <w:highlight w:val="none"/>
        </w:rPr>
        <w:t>招标项目名称：见投标人须知前附表。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1.1.5</w:t>
      </w:r>
      <w:r>
        <w:rPr>
          <w:rFonts w:hint="eastAsia" w:ascii="宋体" w:hAnsi="宋体"/>
          <w:color w:val="auto"/>
          <w:szCs w:val="21"/>
          <w:highlight w:val="none"/>
        </w:rPr>
        <w:t>项目建设地点：见投标人须知前附表。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1.1.6</w:t>
      </w:r>
      <w:r>
        <w:rPr>
          <w:rFonts w:hint="eastAsia" w:ascii="宋体" w:hAnsi="宋体"/>
          <w:color w:val="auto"/>
          <w:szCs w:val="21"/>
          <w:highlight w:val="none"/>
        </w:rPr>
        <w:t>项目建设规模：见投标人须知前附表。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1.1.7</w:t>
      </w:r>
      <w:r>
        <w:rPr>
          <w:rFonts w:hint="eastAsia" w:ascii="宋体" w:hAnsi="宋体"/>
          <w:color w:val="auto"/>
          <w:szCs w:val="21"/>
          <w:highlight w:val="none"/>
        </w:rPr>
        <w:t>工程项目施工预计开工日期和建设周期：见投标人须知前附表。</w:t>
      </w:r>
    </w:p>
    <w:p>
      <w:pPr>
        <w:pStyle w:val="26"/>
        <w:adjustRightInd w:val="0"/>
        <w:snapToGrid w:val="0"/>
        <w:spacing w:line="360" w:lineRule="auto"/>
        <w:ind w:firstLineChars="200"/>
        <w:rPr>
          <w:rFonts w:ascii="宋体" w:hAnsi="宋体"/>
          <w:color w:val="auto"/>
          <w:szCs w:val="21"/>
          <w:highlight w:val="none"/>
        </w:rPr>
      </w:pPr>
      <w:r>
        <w:rPr>
          <w:rFonts w:ascii="宋体" w:hAnsi="宋体"/>
          <w:color w:val="auto"/>
          <w:szCs w:val="21"/>
          <w:highlight w:val="none"/>
        </w:rPr>
        <w:t>1.1.8</w:t>
      </w:r>
      <w:r>
        <w:rPr>
          <w:rFonts w:hint="eastAsia" w:ascii="宋体" w:hAnsi="宋体"/>
          <w:color w:val="auto"/>
          <w:szCs w:val="21"/>
          <w:highlight w:val="none"/>
        </w:rPr>
        <w:t>建筑安装工程费</w:t>
      </w:r>
      <w:r>
        <w:rPr>
          <w:rFonts w:ascii="宋体" w:hAnsi="宋体"/>
          <w:color w:val="auto"/>
          <w:szCs w:val="21"/>
          <w:highlight w:val="none"/>
        </w:rPr>
        <w:t>/</w:t>
      </w:r>
      <w:r>
        <w:rPr>
          <w:rFonts w:hint="eastAsia" w:ascii="宋体" w:hAnsi="宋体"/>
          <w:color w:val="auto"/>
          <w:szCs w:val="21"/>
          <w:highlight w:val="none"/>
        </w:rPr>
        <w:t>工程概算：见投标人须知前附表。</w:t>
      </w:r>
    </w:p>
    <w:p>
      <w:pPr>
        <w:pStyle w:val="7"/>
        <w:adjustRightInd w:val="0"/>
        <w:snapToGrid w:val="0"/>
        <w:spacing w:line="360" w:lineRule="auto"/>
        <w:rPr>
          <w:color w:val="auto"/>
          <w:highlight w:val="none"/>
        </w:rPr>
      </w:pPr>
      <w:r>
        <w:rPr>
          <w:color w:val="auto"/>
          <w:highlight w:val="none"/>
        </w:rPr>
        <w:t xml:space="preserve">1.2 </w:t>
      </w:r>
      <w:r>
        <w:rPr>
          <w:rFonts w:hint="eastAsia"/>
          <w:color w:val="auto"/>
          <w:highlight w:val="none"/>
        </w:rPr>
        <w:t>招标项目的资金来源和落实情况</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1.2.1</w:t>
      </w:r>
      <w:r>
        <w:rPr>
          <w:rFonts w:hint="eastAsia" w:ascii="宋体" w:hAnsi="宋体"/>
          <w:color w:val="auto"/>
          <w:szCs w:val="21"/>
          <w:highlight w:val="none"/>
        </w:rPr>
        <w:t>资金来源及比例：见投标人须知前附表。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1.2.2</w:t>
      </w:r>
      <w:r>
        <w:rPr>
          <w:rFonts w:hint="eastAsia" w:ascii="宋体" w:hAnsi="宋体"/>
          <w:color w:val="auto"/>
          <w:szCs w:val="21"/>
          <w:highlight w:val="none"/>
        </w:rPr>
        <w:t>资金落实情况：见投标人须知前附表。</w:t>
      </w:r>
    </w:p>
    <w:p>
      <w:pPr>
        <w:pStyle w:val="7"/>
        <w:adjustRightInd w:val="0"/>
        <w:snapToGrid w:val="0"/>
        <w:spacing w:line="360" w:lineRule="auto"/>
        <w:rPr>
          <w:color w:val="auto"/>
          <w:highlight w:val="none"/>
        </w:rPr>
      </w:pPr>
      <w:r>
        <w:rPr>
          <w:color w:val="auto"/>
          <w:highlight w:val="none"/>
        </w:rPr>
        <w:t xml:space="preserve">1.3 </w:t>
      </w:r>
      <w:r>
        <w:rPr>
          <w:rFonts w:hint="eastAsia"/>
          <w:color w:val="auto"/>
          <w:highlight w:val="none"/>
        </w:rPr>
        <w:t>招标范围、服务期限和质量标准</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1.3.1</w:t>
      </w:r>
      <w:r>
        <w:rPr>
          <w:rFonts w:hint="eastAsia" w:ascii="宋体" w:hAnsi="宋体"/>
          <w:color w:val="auto"/>
          <w:szCs w:val="21"/>
          <w:highlight w:val="none"/>
        </w:rPr>
        <w:t>招标范围：见投标人须知前附表。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1.3.2</w:t>
      </w:r>
      <w:r>
        <w:rPr>
          <w:rFonts w:hint="eastAsia" w:ascii="宋体" w:hAnsi="宋体"/>
          <w:color w:val="auto"/>
          <w:szCs w:val="21"/>
          <w:highlight w:val="none"/>
        </w:rPr>
        <w:t>服务期：见投标人须知前附表。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1.3.3</w:t>
      </w:r>
      <w:r>
        <w:rPr>
          <w:rFonts w:hint="eastAsia" w:ascii="宋体" w:hAnsi="宋体"/>
          <w:color w:val="auto"/>
          <w:highlight w:val="none"/>
        </w:rPr>
        <w:t>质量标准</w:t>
      </w:r>
      <w:r>
        <w:rPr>
          <w:rFonts w:hint="eastAsia" w:ascii="宋体" w:hAnsi="宋体"/>
          <w:color w:val="auto"/>
          <w:szCs w:val="21"/>
          <w:highlight w:val="none"/>
        </w:rPr>
        <w:t>：见投标人须知前附表。</w:t>
      </w:r>
    </w:p>
    <w:p>
      <w:pPr>
        <w:pStyle w:val="7"/>
        <w:adjustRightInd w:val="0"/>
        <w:snapToGrid w:val="0"/>
        <w:spacing w:line="360" w:lineRule="auto"/>
        <w:rPr>
          <w:color w:val="auto"/>
          <w:highlight w:val="none"/>
        </w:rPr>
      </w:pPr>
      <w:r>
        <w:rPr>
          <w:color w:val="auto"/>
          <w:highlight w:val="none"/>
        </w:rPr>
        <w:t xml:space="preserve">1.4 </w:t>
      </w:r>
      <w:r>
        <w:rPr>
          <w:rFonts w:hint="eastAsia"/>
          <w:color w:val="auto"/>
          <w:highlight w:val="none"/>
        </w:rPr>
        <w:t>投标人资格要求</w:t>
      </w:r>
    </w:p>
    <w:p>
      <w:pPr>
        <w:pStyle w:val="13"/>
        <w:kinsoku w:val="0"/>
        <w:overflowPunct w:val="0"/>
        <w:adjustRightInd w:val="0"/>
        <w:snapToGrid w:val="0"/>
        <w:spacing w:line="360" w:lineRule="auto"/>
        <w:ind w:firstLine="420" w:firstLineChars="200"/>
        <w:rPr>
          <w:rFonts w:ascii="宋体" w:hAnsi="宋体"/>
          <w:color w:val="auto"/>
          <w:szCs w:val="21"/>
          <w:highlight w:val="none"/>
          <w:u w:val="single"/>
        </w:rPr>
      </w:pPr>
      <w:r>
        <w:rPr>
          <w:rFonts w:ascii="宋体" w:hAnsi="宋体"/>
          <w:color w:val="auto"/>
          <w:szCs w:val="21"/>
          <w:highlight w:val="none"/>
        </w:rPr>
        <w:t>1.4.1</w:t>
      </w:r>
      <w:r>
        <w:rPr>
          <w:rFonts w:hint="eastAsia" w:ascii="宋体" w:hAnsi="宋体"/>
          <w:color w:val="auto"/>
          <w:szCs w:val="21"/>
          <w:highlight w:val="none"/>
        </w:rPr>
        <w:t>投标人应具备承担本招标项目资质条件、能力和信誉：</w:t>
      </w:r>
      <w:r>
        <w:rPr>
          <w:rFonts w:hint="eastAsia" w:ascii="宋体" w:hAnsi="宋体"/>
          <w:color w:val="auto"/>
          <w:szCs w:val="21"/>
          <w:highlight w:val="none"/>
          <w:u w:val="single"/>
        </w:rPr>
        <w:t>详见招标公告。</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1.4.2</w:t>
      </w:r>
      <w:r>
        <w:rPr>
          <w:rFonts w:hint="eastAsia" w:ascii="宋体" w:hAnsi="宋体"/>
          <w:color w:val="auto"/>
          <w:szCs w:val="21"/>
          <w:highlight w:val="none"/>
        </w:rPr>
        <w:t>投标人须知前附表规定接受联合体投标的，联合体除应符合本章第</w:t>
      </w:r>
      <w:r>
        <w:rPr>
          <w:rFonts w:ascii="宋体" w:hAnsi="宋体"/>
          <w:color w:val="auto"/>
          <w:szCs w:val="21"/>
          <w:highlight w:val="none"/>
        </w:rPr>
        <w:t>1.4.</w:t>
      </w:r>
      <w:r>
        <w:rPr>
          <w:rFonts w:hint="eastAsia" w:ascii="宋体" w:hAnsi="宋体"/>
          <w:color w:val="auto"/>
          <w:szCs w:val="21"/>
          <w:highlight w:val="none"/>
        </w:rPr>
        <w:t>2项和投标人须知前附表的要求外，还应遵守以下规定：</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）联合体各方应按招标文件提供的格式签订联合体协议书，明确联合体牵头人和各方权利义务，并承诺就中标项目向招标人承担连带责任；</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）联合体各方不得再以自己名义单独或参加其他联合体在本招标项目中投标，否则各相关投标均无效。</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1.4.3</w:t>
      </w:r>
      <w:r>
        <w:rPr>
          <w:rFonts w:hint="eastAsia" w:ascii="宋体" w:hAnsi="宋体"/>
          <w:color w:val="auto"/>
          <w:szCs w:val="21"/>
          <w:highlight w:val="none"/>
        </w:rPr>
        <w:t>投标人不得存在下列情形之一：</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为招标人不具有独立法人资格的附属机构（单位）；</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为本标段前期准备提供设计或咨询服务或者与本项目设计人或提供咨询服务的机构存在附属关系的；</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为本标段监理人或者与本标段监理人存在隶属关系或者其他利害关系；</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为本标段的代建人；</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为本标段提供招标代理服务的；</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与本标段的监理人或代建人或招标代理机构同为一个法定代表人的；</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与本标段的监理人或代建人或招标代理机构互相控股或参股的；</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与本标段的监理人或代建人或招标代理机构相互任职或工作的；</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 xml:space="preserve">与招标人存在利害关系且可能影响招标公正性； </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被依法暂停或取消投标资格的；（</w:t>
      </w:r>
      <w:r>
        <w:rPr>
          <w:rFonts w:hint="eastAsia" w:ascii="宋体" w:hAnsi="宋体"/>
          <w:color w:val="auto"/>
          <w:szCs w:val="21"/>
          <w:highlight w:val="none"/>
          <w:lang w:val="zh-CN"/>
        </w:rPr>
        <w:t>本项事实应当以根据《中华人民共和国行政处罚法》依法作出并已经生效的行政处罚决定为认定依据。行政处罚决定中已经明确的暂停或取消投标资格的区域范围不包含本标段建设地点的，不受该项规定限制</w:t>
      </w:r>
      <w:r>
        <w:rPr>
          <w:rFonts w:hint="eastAsia" w:ascii="宋体" w:hAnsi="宋体"/>
          <w:color w:val="auto"/>
          <w:szCs w:val="21"/>
          <w:highlight w:val="none"/>
        </w:rPr>
        <w:t xml:space="preserve">） </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被责令停产停业、暂扣或者吊销许可证、暂扣或者吊销执照的（</w:t>
      </w:r>
      <w:r>
        <w:rPr>
          <w:rFonts w:hint="eastAsia" w:ascii="宋体" w:hAnsi="宋体"/>
          <w:color w:val="auto"/>
          <w:szCs w:val="21"/>
          <w:highlight w:val="none"/>
          <w:lang w:val="zh-CN"/>
        </w:rPr>
        <w:t>本项事实应当以根据《中华人民共和国行政处罚法》依法作出并已经生效的行政处罚决定为认定依据。</w:t>
      </w:r>
      <w:r>
        <w:rPr>
          <w:rFonts w:hint="eastAsia" w:ascii="宋体" w:hAnsi="宋体"/>
          <w:color w:val="auto"/>
          <w:szCs w:val="21"/>
          <w:highlight w:val="none"/>
        </w:rPr>
        <w:t>）</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进入清算程序，或被宣布破产，或其他丧失履约能力的情形；</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在最近三年内有严重违约或重大工程质量问题的；（</w:t>
      </w:r>
      <w:r>
        <w:rPr>
          <w:rFonts w:hint="eastAsia" w:ascii="宋体" w:hAnsi="宋体"/>
          <w:color w:val="auto"/>
          <w:szCs w:val="21"/>
          <w:highlight w:val="none"/>
          <w:lang w:val="zh-CN"/>
        </w:rPr>
        <w:t>“严重违约”事实应当以</w:t>
      </w:r>
      <w:r>
        <w:rPr>
          <w:rFonts w:hint="eastAsia" w:ascii="宋体" w:hAnsi="宋体"/>
          <w:color w:val="auto"/>
          <w:szCs w:val="21"/>
          <w:highlight w:val="none"/>
        </w:rPr>
        <w:t>司法机关、仲裁机构出具的认定文件为准。“重大工程质量问题”应当以相关行业主管部门的行政处罚决定或者司法机关出具的有关法律文书为准。“最近三年”是指从投标截止时间之日起逆推三年，以相关行业主管部门、司法机关、仲裁机构出具的生效文件的落款时间起计算）</w:t>
      </w:r>
    </w:p>
    <w:p>
      <w:pPr>
        <w:pStyle w:val="13"/>
        <w:numPr>
          <w:ilvl w:val="0"/>
          <w:numId w:val="1"/>
        </w:numPr>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法律法规规定的其他情形。</w:t>
      </w:r>
    </w:p>
    <w:p>
      <w:pPr>
        <w:pStyle w:val="7"/>
        <w:adjustRightInd w:val="0"/>
        <w:snapToGrid w:val="0"/>
        <w:spacing w:line="360" w:lineRule="auto"/>
        <w:rPr>
          <w:color w:val="auto"/>
          <w:highlight w:val="none"/>
        </w:rPr>
      </w:pPr>
      <w:r>
        <w:rPr>
          <w:color w:val="auto"/>
          <w:highlight w:val="none"/>
        </w:rPr>
        <w:t xml:space="preserve">1.5 </w:t>
      </w:r>
      <w:r>
        <w:rPr>
          <w:rFonts w:hint="eastAsia"/>
          <w:color w:val="auto"/>
          <w:highlight w:val="none"/>
        </w:rPr>
        <w:t>费用承担</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投标人准备和参加投标活动发生的费用自理。</w:t>
      </w:r>
    </w:p>
    <w:p>
      <w:pPr>
        <w:pStyle w:val="7"/>
        <w:adjustRightInd w:val="0"/>
        <w:snapToGrid w:val="0"/>
        <w:spacing w:line="360" w:lineRule="auto"/>
        <w:rPr>
          <w:color w:val="auto"/>
          <w:highlight w:val="none"/>
        </w:rPr>
      </w:pPr>
      <w:bookmarkStart w:id="54" w:name="bookmark26"/>
      <w:bookmarkEnd w:id="54"/>
      <w:r>
        <w:rPr>
          <w:color w:val="auto"/>
          <w:highlight w:val="none"/>
        </w:rPr>
        <w:t xml:space="preserve">1.6 </w:t>
      </w:r>
      <w:r>
        <w:rPr>
          <w:rFonts w:hint="eastAsia"/>
          <w:color w:val="auto"/>
          <w:highlight w:val="none"/>
        </w:rPr>
        <w:t>保密</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参与招标投标活动的各方应对招标文件和投标文件中的商业和技术等秘密保密，否则应承担相应的法律责任。</w:t>
      </w:r>
    </w:p>
    <w:p>
      <w:pPr>
        <w:pStyle w:val="7"/>
        <w:adjustRightInd w:val="0"/>
        <w:snapToGrid w:val="0"/>
        <w:spacing w:line="360" w:lineRule="auto"/>
        <w:rPr>
          <w:color w:val="auto"/>
          <w:highlight w:val="none"/>
        </w:rPr>
      </w:pPr>
      <w:bookmarkStart w:id="55" w:name="bookmark27"/>
      <w:bookmarkEnd w:id="55"/>
      <w:r>
        <w:rPr>
          <w:color w:val="auto"/>
          <w:highlight w:val="none"/>
        </w:rPr>
        <w:t xml:space="preserve">1.7 </w:t>
      </w:r>
      <w:r>
        <w:rPr>
          <w:rFonts w:hint="eastAsia"/>
          <w:color w:val="auto"/>
          <w:highlight w:val="none"/>
        </w:rPr>
        <w:t>语言文字</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招标投标文件使用的语言文字为中文。专用术语使用外文的，应附有中文注释。</w:t>
      </w:r>
    </w:p>
    <w:p>
      <w:pPr>
        <w:pStyle w:val="7"/>
        <w:adjustRightInd w:val="0"/>
        <w:snapToGrid w:val="0"/>
        <w:spacing w:line="360" w:lineRule="auto"/>
        <w:rPr>
          <w:color w:val="auto"/>
          <w:highlight w:val="none"/>
        </w:rPr>
      </w:pPr>
      <w:bookmarkStart w:id="56" w:name="bookmark28"/>
      <w:bookmarkEnd w:id="56"/>
      <w:r>
        <w:rPr>
          <w:color w:val="auto"/>
          <w:highlight w:val="none"/>
        </w:rPr>
        <w:t xml:space="preserve">1.8 </w:t>
      </w:r>
      <w:r>
        <w:rPr>
          <w:rFonts w:hint="eastAsia"/>
          <w:color w:val="auto"/>
          <w:highlight w:val="none"/>
        </w:rPr>
        <w:t>计量单位</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所有计量均采用中华人民共和国法定计量单位。</w:t>
      </w:r>
    </w:p>
    <w:p>
      <w:pPr>
        <w:pStyle w:val="7"/>
        <w:adjustRightInd w:val="0"/>
        <w:snapToGrid w:val="0"/>
        <w:spacing w:line="360" w:lineRule="auto"/>
        <w:rPr>
          <w:color w:val="auto"/>
          <w:highlight w:val="none"/>
        </w:rPr>
      </w:pPr>
      <w:bookmarkStart w:id="57" w:name="bookmark29"/>
      <w:bookmarkEnd w:id="57"/>
      <w:r>
        <w:rPr>
          <w:color w:val="auto"/>
          <w:highlight w:val="none"/>
        </w:rPr>
        <w:t xml:space="preserve">1.9 </w:t>
      </w:r>
      <w:r>
        <w:rPr>
          <w:rFonts w:hint="eastAsia"/>
          <w:color w:val="auto"/>
          <w:highlight w:val="none"/>
        </w:rPr>
        <w:t>踏勘现场</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1.9.1</w:t>
      </w:r>
      <w:r>
        <w:rPr>
          <w:rFonts w:hint="eastAsia" w:ascii="宋体" w:hAnsi="宋体"/>
          <w:color w:val="auto"/>
          <w:szCs w:val="21"/>
          <w:highlight w:val="none"/>
        </w:rPr>
        <w:t>投标人须知前附表规定组织踏勘现场的，招标人按投标人须知前附表规定的时间、地点组织投标人踏勘项目现场。部分投标人未按时参加踏勘现场的，不影响踏勘现场的正常进行。</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1.9.2</w:t>
      </w:r>
      <w:r>
        <w:rPr>
          <w:rFonts w:hint="eastAsia" w:ascii="宋体" w:hAnsi="宋体"/>
          <w:color w:val="auto"/>
          <w:szCs w:val="21"/>
          <w:highlight w:val="none"/>
        </w:rPr>
        <w:t>投标人踏勘现场发生的费用自理。</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1.9.3</w:t>
      </w:r>
      <w:r>
        <w:rPr>
          <w:rFonts w:hint="eastAsia" w:ascii="宋体" w:hAnsi="宋体"/>
          <w:color w:val="auto"/>
          <w:szCs w:val="21"/>
          <w:highlight w:val="none"/>
        </w:rPr>
        <w:t>除招标人的原因外，投标人自行负责在踏勘现场中所发生的人员伤亡和财产损失。</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1.9.4</w:t>
      </w:r>
      <w:r>
        <w:rPr>
          <w:rFonts w:hint="eastAsia" w:ascii="宋体" w:hAnsi="宋体"/>
          <w:color w:val="auto"/>
          <w:szCs w:val="21"/>
          <w:highlight w:val="none"/>
        </w:rPr>
        <w:t>招标人在踏勘现场中介绍的工程场地和相关的周边环境情况，供投标人在编制投标文件时参考，招标人不对投标人据此作出的判断和决策负责。</w:t>
      </w:r>
    </w:p>
    <w:p>
      <w:pPr>
        <w:pStyle w:val="7"/>
        <w:adjustRightInd w:val="0"/>
        <w:snapToGrid w:val="0"/>
        <w:spacing w:line="360" w:lineRule="auto"/>
        <w:rPr>
          <w:color w:val="auto"/>
          <w:highlight w:val="none"/>
        </w:rPr>
      </w:pPr>
      <w:bookmarkStart w:id="58" w:name="bookmark30"/>
      <w:bookmarkEnd w:id="58"/>
      <w:r>
        <w:rPr>
          <w:color w:val="auto"/>
          <w:highlight w:val="none"/>
        </w:rPr>
        <w:t xml:space="preserve">1.10 </w:t>
      </w:r>
      <w:r>
        <w:rPr>
          <w:rFonts w:hint="eastAsia"/>
          <w:color w:val="auto"/>
          <w:highlight w:val="none"/>
        </w:rPr>
        <w:t>投标预备会</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1.10.1</w:t>
      </w:r>
      <w:r>
        <w:rPr>
          <w:rFonts w:hint="eastAsia" w:ascii="宋体" w:hAnsi="宋体"/>
          <w:color w:val="auto"/>
          <w:szCs w:val="21"/>
          <w:highlight w:val="none"/>
        </w:rPr>
        <w:t>投标人须知前附表规定召开投标预备会的，招标人按投标人须知前附表规定的时间和地点召开投标预备会，澄清投标人提出的问题。</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1.10.2</w:t>
      </w:r>
      <w:r>
        <w:rPr>
          <w:rFonts w:hint="eastAsia" w:ascii="宋体" w:hAnsi="宋体"/>
          <w:color w:val="auto"/>
          <w:szCs w:val="21"/>
          <w:highlight w:val="none"/>
        </w:rPr>
        <w:t>投标人应按投标人须知前附表规定的时间和形式将提出的问题送达招标人，以便招标人在会议期间澄清。</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1.10.3</w:t>
      </w:r>
      <w:r>
        <w:rPr>
          <w:rFonts w:hint="eastAsia" w:ascii="宋体" w:hAnsi="宋体"/>
          <w:color w:val="auto"/>
          <w:szCs w:val="21"/>
          <w:highlight w:val="none"/>
        </w:rPr>
        <w:t>投标预备会后，招标人将对投标人所提问题的澄清，以投标人须知前附表规定的形式通知所有潜在投标人。该澄清内容为招标文件的组成部分。</w:t>
      </w:r>
      <w:bookmarkStart w:id="59" w:name="bookmark31"/>
      <w:bookmarkEnd w:id="59"/>
    </w:p>
    <w:p>
      <w:pPr>
        <w:pStyle w:val="7"/>
        <w:adjustRightInd w:val="0"/>
        <w:snapToGrid w:val="0"/>
        <w:spacing w:line="360" w:lineRule="auto"/>
        <w:rPr>
          <w:color w:val="auto"/>
          <w:highlight w:val="none"/>
        </w:rPr>
      </w:pPr>
      <w:r>
        <w:rPr>
          <w:color w:val="auto"/>
          <w:highlight w:val="none"/>
        </w:rPr>
        <w:t xml:space="preserve">1.11 </w:t>
      </w:r>
      <w:r>
        <w:rPr>
          <w:rFonts w:hint="eastAsia"/>
          <w:color w:val="auto"/>
          <w:highlight w:val="none"/>
        </w:rPr>
        <w:t>分包</w:t>
      </w:r>
    </w:p>
    <w:p>
      <w:pPr>
        <w:pStyle w:val="13"/>
        <w:kinsoku w:val="0"/>
        <w:overflowPunct w:val="0"/>
        <w:adjustRightInd w:val="0"/>
        <w:snapToGrid w:val="0"/>
        <w:spacing w:line="360" w:lineRule="auto"/>
        <w:ind w:firstLine="420" w:firstLineChars="200"/>
        <w:rPr>
          <w:rFonts w:ascii="宋体" w:hAnsi="宋体"/>
          <w:color w:val="auto"/>
          <w:szCs w:val="21"/>
          <w:highlight w:val="none"/>
          <w:u w:val="single"/>
        </w:rPr>
      </w:pPr>
      <w:r>
        <w:rPr>
          <w:rFonts w:hint="eastAsia" w:ascii="宋体" w:hAnsi="宋体"/>
          <w:color w:val="auto"/>
          <w:szCs w:val="21"/>
          <w:highlight w:val="none"/>
          <w:u w:val="single"/>
        </w:rPr>
        <w:t>1.11.1</w:t>
      </w:r>
      <w:r>
        <w:rPr>
          <w:rFonts w:ascii="宋体" w:hAnsi="宋体"/>
          <w:color w:val="auto"/>
          <w:szCs w:val="21"/>
          <w:highlight w:val="none"/>
          <w:u w:val="single"/>
        </w:rPr>
        <w:t>对于非主要检测</w:t>
      </w:r>
      <w:r>
        <w:rPr>
          <w:rFonts w:hint="eastAsia" w:ascii="宋体" w:hAnsi="宋体"/>
          <w:color w:val="auto"/>
          <w:szCs w:val="21"/>
          <w:highlight w:val="none"/>
          <w:u w:val="single"/>
        </w:rPr>
        <w:t>和监测</w:t>
      </w:r>
      <w:r>
        <w:rPr>
          <w:rFonts w:ascii="宋体" w:hAnsi="宋体"/>
          <w:color w:val="auto"/>
          <w:szCs w:val="21"/>
          <w:highlight w:val="none"/>
          <w:u w:val="single"/>
        </w:rPr>
        <w:t>工作，中标人不具备资质的，经招标人同意后可依法分包给具备相关资质的检测</w:t>
      </w:r>
      <w:r>
        <w:rPr>
          <w:rFonts w:hint="eastAsia" w:ascii="宋体" w:hAnsi="宋体"/>
          <w:color w:val="auto"/>
          <w:szCs w:val="21"/>
          <w:highlight w:val="none"/>
          <w:u w:val="single"/>
        </w:rPr>
        <w:t>监测</w:t>
      </w:r>
      <w:r>
        <w:rPr>
          <w:rFonts w:ascii="宋体" w:hAnsi="宋体"/>
          <w:color w:val="auto"/>
          <w:szCs w:val="21"/>
          <w:highlight w:val="none"/>
          <w:u w:val="single"/>
        </w:rPr>
        <w:t>单位，分包的检测</w:t>
      </w:r>
      <w:r>
        <w:rPr>
          <w:rFonts w:hint="eastAsia" w:ascii="宋体" w:hAnsi="宋体"/>
          <w:color w:val="auto"/>
          <w:szCs w:val="21"/>
          <w:highlight w:val="none"/>
          <w:u w:val="single"/>
        </w:rPr>
        <w:t>和监测</w:t>
      </w:r>
      <w:r>
        <w:rPr>
          <w:rFonts w:ascii="宋体" w:hAnsi="宋体"/>
          <w:color w:val="auto"/>
          <w:szCs w:val="21"/>
          <w:highlight w:val="none"/>
          <w:u w:val="single"/>
        </w:rPr>
        <w:t>工作不得再次分包。</w:t>
      </w:r>
    </w:p>
    <w:p>
      <w:pPr>
        <w:pStyle w:val="7"/>
        <w:adjustRightInd w:val="0"/>
        <w:snapToGrid w:val="0"/>
        <w:spacing w:line="360" w:lineRule="auto"/>
        <w:rPr>
          <w:color w:val="auto"/>
          <w:highlight w:val="none"/>
        </w:rPr>
      </w:pPr>
      <w:bookmarkStart w:id="60" w:name="bookmark32"/>
      <w:bookmarkEnd w:id="60"/>
      <w:r>
        <w:rPr>
          <w:color w:val="auto"/>
          <w:highlight w:val="none"/>
        </w:rPr>
        <w:t xml:space="preserve">1.12 </w:t>
      </w:r>
      <w:r>
        <w:rPr>
          <w:rFonts w:hint="eastAsia"/>
          <w:color w:val="auto"/>
          <w:highlight w:val="none"/>
        </w:rPr>
        <w:t>响应和偏差</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1.12.1</w:t>
      </w:r>
      <w:r>
        <w:rPr>
          <w:rFonts w:hint="eastAsia" w:ascii="宋体" w:hAnsi="宋体"/>
          <w:color w:val="auto"/>
          <w:szCs w:val="21"/>
          <w:highlight w:val="none"/>
        </w:rPr>
        <w:t>投标文件应当对招标文件的实质性要求和条件作出满足性或更有利于招标人的响应，否则，投标人的投标将被否决。实质性要求和条件见投标人须知前附表。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1.12.2</w:t>
      </w:r>
      <w:r>
        <w:rPr>
          <w:rFonts w:hint="eastAsia" w:ascii="宋体" w:hAnsi="宋体"/>
          <w:color w:val="auto"/>
          <w:szCs w:val="21"/>
          <w:highlight w:val="none"/>
        </w:rPr>
        <w:t>投标人应根据招标文件的要求提供技术方案等内容以对招标文件作出响应。</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1.12.3</w:t>
      </w:r>
      <w:r>
        <w:rPr>
          <w:rFonts w:hint="eastAsia" w:ascii="宋体" w:hAnsi="宋体"/>
          <w:color w:val="auto"/>
          <w:szCs w:val="21"/>
          <w:highlight w:val="none"/>
        </w:rPr>
        <w:t>投标人须知前附表允许投标文件偏离招标文件某些要求的，偏差应当符合招标文件规定的偏差范围和幅度。</w:t>
      </w:r>
    </w:p>
    <w:p>
      <w:pPr>
        <w:pStyle w:val="5"/>
        <w:adjustRightInd w:val="0"/>
        <w:snapToGrid w:val="0"/>
        <w:rPr>
          <w:color w:val="auto"/>
          <w:highlight w:val="none"/>
        </w:rPr>
      </w:pPr>
      <w:bookmarkStart w:id="61" w:name="_Toc16122"/>
      <w:bookmarkStart w:id="62" w:name="_Toc533357309"/>
      <w:bookmarkStart w:id="63" w:name="_Toc11609"/>
      <w:bookmarkStart w:id="64" w:name="_Toc103592010"/>
      <w:r>
        <w:rPr>
          <w:color w:val="auto"/>
          <w:highlight w:val="none"/>
        </w:rPr>
        <w:t xml:space="preserve">2. </w:t>
      </w:r>
      <w:r>
        <w:rPr>
          <w:rFonts w:hint="eastAsia"/>
          <w:color w:val="auto"/>
          <w:highlight w:val="none"/>
        </w:rPr>
        <w:t>招标文件</w:t>
      </w:r>
      <w:bookmarkEnd w:id="61"/>
      <w:bookmarkEnd w:id="62"/>
      <w:bookmarkEnd w:id="63"/>
      <w:bookmarkEnd w:id="64"/>
    </w:p>
    <w:p>
      <w:pPr>
        <w:pStyle w:val="7"/>
        <w:adjustRightInd w:val="0"/>
        <w:snapToGrid w:val="0"/>
        <w:spacing w:line="360" w:lineRule="auto"/>
        <w:rPr>
          <w:color w:val="auto"/>
          <w:highlight w:val="none"/>
        </w:rPr>
      </w:pPr>
      <w:bookmarkStart w:id="65" w:name="bookmark34"/>
      <w:bookmarkEnd w:id="65"/>
      <w:r>
        <w:rPr>
          <w:color w:val="auto"/>
          <w:highlight w:val="none"/>
        </w:rPr>
        <w:t xml:space="preserve">2.1 </w:t>
      </w:r>
      <w:r>
        <w:rPr>
          <w:rFonts w:hint="eastAsia"/>
          <w:color w:val="auto"/>
          <w:highlight w:val="none"/>
        </w:rPr>
        <w:t>招标文件的组成</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本招标文件包括：</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）招标公告；</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）投标人须知；</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）评标办法；</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）合同条款及格式；</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）委托人要求；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）投标文件格式；</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7</w:t>
      </w:r>
      <w:r>
        <w:rPr>
          <w:rFonts w:hint="eastAsia" w:ascii="宋体" w:hAnsi="宋体"/>
          <w:color w:val="auto"/>
          <w:szCs w:val="21"/>
          <w:highlight w:val="none"/>
        </w:rPr>
        <w:t>）投标人须知前附表规定的其他资料。</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根据本章第</w:t>
      </w:r>
      <w:r>
        <w:rPr>
          <w:rFonts w:ascii="宋体" w:hAnsi="宋体"/>
          <w:color w:val="auto"/>
          <w:szCs w:val="21"/>
          <w:highlight w:val="none"/>
        </w:rPr>
        <w:t>1.10</w:t>
      </w:r>
      <w:r>
        <w:rPr>
          <w:rFonts w:hint="eastAsia" w:ascii="宋体" w:hAnsi="宋体"/>
          <w:color w:val="auto"/>
          <w:szCs w:val="21"/>
          <w:highlight w:val="none"/>
        </w:rPr>
        <w:t>款、第</w:t>
      </w:r>
      <w:r>
        <w:rPr>
          <w:rFonts w:ascii="宋体" w:hAnsi="宋体"/>
          <w:color w:val="auto"/>
          <w:szCs w:val="21"/>
          <w:highlight w:val="none"/>
        </w:rPr>
        <w:t>2.2</w:t>
      </w:r>
      <w:r>
        <w:rPr>
          <w:rFonts w:hint="eastAsia" w:ascii="宋体" w:hAnsi="宋体"/>
          <w:color w:val="auto"/>
          <w:szCs w:val="21"/>
          <w:highlight w:val="none"/>
        </w:rPr>
        <w:t>款和第</w:t>
      </w:r>
      <w:r>
        <w:rPr>
          <w:rFonts w:ascii="宋体" w:hAnsi="宋体"/>
          <w:color w:val="auto"/>
          <w:szCs w:val="21"/>
          <w:highlight w:val="none"/>
        </w:rPr>
        <w:t>2.3</w:t>
      </w:r>
      <w:r>
        <w:rPr>
          <w:rFonts w:hint="eastAsia" w:ascii="宋体" w:hAnsi="宋体"/>
          <w:color w:val="auto"/>
          <w:szCs w:val="21"/>
          <w:highlight w:val="none"/>
        </w:rPr>
        <w:t>款对招标文件所作的澄清、修改，构成招标文件的组成部分。</w:t>
      </w:r>
    </w:p>
    <w:p>
      <w:pPr>
        <w:pStyle w:val="7"/>
        <w:adjustRightInd w:val="0"/>
        <w:snapToGrid w:val="0"/>
        <w:spacing w:line="360" w:lineRule="auto"/>
        <w:rPr>
          <w:color w:val="auto"/>
          <w:highlight w:val="none"/>
        </w:rPr>
      </w:pPr>
      <w:bookmarkStart w:id="66" w:name="bookmark35"/>
      <w:bookmarkEnd w:id="66"/>
      <w:r>
        <w:rPr>
          <w:color w:val="auto"/>
          <w:highlight w:val="none"/>
        </w:rPr>
        <w:t xml:space="preserve">2.2 </w:t>
      </w:r>
      <w:r>
        <w:rPr>
          <w:rFonts w:hint="eastAsia"/>
          <w:color w:val="auto"/>
          <w:highlight w:val="none"/>
        </w:rPr>
        <w:t>招标文件的澄清</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2.2.1</w:t>
      </w:r>
      <w:r>
        <w:rPr>
          <w:rFonts w:hint="eastAsia" w:ascii="宋体" w:hAnsi="宋体"/>
          <w:color w:val="auto"/>
          <w:szCs w:val="21"/>
          <w:highlight w:val="none"/>
        </w:rPr>
        <w:t>投标人应仔细阅读和检查招标文件的全部内容。如发现缺页或附件不全，应及时向招标人提出，以便补齐。如有疑问，应按投标人须知前附表规定的时间和形式将提出的问题送达招标人，要求招标人对招标文件予以澄清。</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2.2.2</w:t>
      </w:r>
      <w:r>
        <w:rPr>
          <w:rFonts w:hint="eastAsia" w:ascii="宋体" w:hAnsi="宋体"/>
          <w:color w:val="auto"/>
          <w:szCs w:val="21"/>
          <w:highlight w:val="none"/>
        </w:rPr>
        <w:t>招标文件的澄清以投标人须知前附表规定的形式发给所有潜在投标人，但不指明澄清问题的来源。澄清发出的时间距本章第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日的，并且澄清内容可能影响投标文件编制的，将相应延长投标截止时间。</w:t>
      </w:r>
    </w:p>
    <w:p>
      <w:pPr>
        <w:pStyle w:val="13"/>
        <w:kinsoku w:val="0"/>
        <w:overflowPunct w:val="0"/>
        <w:adjustRightInd w:val="0"/>
        <w:snapToGrid w:val="0"/>
        <w:spacing w:line="360" w:lineRule="auto"/>
        <w:ind w:firstLine="420" w:firstLineChars="200"/>
        <w:rPr>
          <w:color w:val="auto"/>
          <w:highlight w:val="none"/>
        </w:rPr>
      </w:pPr>
      <w:r>
        <w:rPr>
          <w:rFonts w:ascii="宋体" w:hAnsi="宋体"/>
          <w:color w:val="auto"/>
          <w:szCs w:val="21"/>
          <w:highlight w:val="none"/>
        </w:rPr>
        <w:t xml:space="preserve">2.2.3 </w:t>
      </w:r>
      <w:r>
        <w:rPr>
          <w:rFonts w:hint="eastAsia"/>
          <w:color w:val="auto"/>
          <w:highlight w:val="none"/>
          <w:u w:val="single"/>
        </w:rPr>
        <w:t xml:space="preserve">招标文件的澄清在广州公共资源交易中心网站发布。招标文件的澄清一经在广州公共资源交易中心网站发布，视作已发放给所有投标人，招标文件的澄清内容作为招标文件的组成部分，具有约束作用。 </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2.2.4</w:t>
      </w:r>
      <w:r>
        <w:rPr>
          <w:rFonts w:hint="eastAsia" w:ascii="宋体" w:hAnsi="宋体"/>
          <w:color w:val="auto"/>
          <w:szCs w:val="21"/>
          <w:highlight w:val="none"/>
        </w:rPr>
        <w:t>除非招标人认为确有必要答复，否则，招标人有权拒绝回复投标人在本章第</w:t>
      </w:r>
      <w:r>
        <w:rPr>
          <w:rFonts w:ascii="宋体" w:hAnsi="宋体"/>
          <w:color w:val="auto"/>
          <w:szCs w:val="21"/>
          <w:highlight w:val="none"/>
        </w:rPr>
        <w:t>2.2.1</w:t>
      </w:r>
      <w:r>
        <w:rPr>
          <w:rFonts w:hint="eastAsia" w:ascii="宋体" w:hAnsi="宋体"/>
          <w:color w:val="auto"/>
          <w:szCs w:val="21"/>
          <w:highlight w:val="none"/>
        </w:rPr>
        <w:t>项规定的时间后的任何澄清要求。</w:t>
      </w:r>
    </w:p>
    <w:p>
      <w:pPr>
        <w:pStyle w:val="7"/>
        <w:adjustRightInd w:val="0"/>
        <w:snapToGrid w:val="0"/>
        <w:spacing w:line="360" w:lineRule="auto"/>
        <w:rPr>
          <w:color w:val="auto"/>
          <w:highlight w:val="none"/>
        </w:rPr>
      </w:pPr>
      <w:bookmarkStart w:id="67" w:name="bookmark36"/>
      <w:bookmarkEnd w:id="67"/>
      <w:r>
        <w:rPr>
          <w:color w:val="auto"/>
          <w:highlight w:val="none"/>
        </w:rPr>
        <w:t xml:space="preserve">2.3 </w:t>
      </w:r>
      <w:r>
        <w:rPr>
          <w:rFonts w:hint="eastAsia"/>
          <w:color w:val="auto"/>
          <w:highlight w:val="none"/>
        </w:rPr>
        <w:t>招标文件的修改</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2.3.1</w:t>
      </w:r>
      <w:r>
        <w:rPr>
          <w:rFonts w:hint="eastAsia" w:ascii="宋体" w:hAnsi="宋体"/>
          <w:color w:val="auto"/>
          <w:szCs w:val="21"/>
          <w:highlight w:val="none"/>
        </w:rPr>
        <w:t>招标人以投标人须知前附表规定的形式修改招标文件，并通知所有潜在投标人。修改招标文件的时间距本章第</w:t>
      </w:r>
      <w:r>
        <w:rPr>
          <w:rFonts w:ascii="宋体" w:hAnsi="宋体"/>
          <w:color w:val="auto"/>
          <w:szCs w:val="21"/>
          <w:highlight w:val="none"/>
        </w:rPr>
        <w:t>4.2.1</w:t>
      </w:r>
      <w:r>
        <w:rPr>
          <w:rFonts w:hint="eastAsia" w:ascii="宋体" w:hAnsi="宋体"/>
          <w:color w:val="auto"/>
          <w:szCs w:val="21"/>
          <w:highlight w:val="none"/>
        </w:rPr>
        <w:t>项规定的投标截止时间不足</w:t>
      </w:r>
      <w:r>
        <w:rPr>
          <w:rFonts w:ascii="宋体" w:hAnsi="宋体"/>
          <w:color w:val="auto"/>
          <w:szCs w:val="21"/>
          <w:highlight w:val="none"/>
        </w:rPr>
        <w:t>15</w:t>
      </w:r>
      <w:r>
        <w:rPr>
          <w:rFonts w:hint="eastAsia" w:ascii="宋体" w:hAnsi="宋体"/>
          <w:color w:val="auto"/>
          <w:szCs w:val="21"/>
          <w:highlight w:val="none"/>
        </w:rPr>
        <w:t>日的，并且修改内容可能影响投标文件编制的，将相应延长投标截止时间。</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2.3.2</w:t>
      </w:r>
      <w:r>
        <w:rPr>
          <w:rFonts w:hint="eastAsia" w:ascii="宋体" w:hAnsi="宋体"/>
          <w:color w:val="auto"/>
          <w:szCs w:val="21"/>
          <w:highlight w:val="none"/>
        </w:rPr>
        <w:t>投标人收到修改内容后，应按投标人须知前附表规定的时间和形式通知招标人，确认已收到该修改。</w:t>
      </w:r>
    </w:p>
    <w:p>
      <w:pPr>
        <w:pStyle w:val="13"/>
        <w:kinsoku w:val="0"/>
        <w:overflowPunct w:val="0"/>
        <w:adjustRightInd w:val="0"/>
        <w:snapToGrid w:val="0"/>
        <w:spacing w:line="360" w:lineRule="auto"/>
        <w:ind w:firstLine="420" w:firstLineChars="200"/>
        <w:rPr>
          <w:rFonts w:ascii="宋体" w:hAnsi="宋体"/>
          <w:color w:val="auto"/>
          <w:szCs w:val="21"/>
          <w:highlight w:val="none"/>
        </w:rPr>
      </w:pPr>
    </w:p>
    <w:p>
      <w:pPr>
        <w:pStyle w:val="7"/>
        <w:adjustRightInd w:val="0"/>
        <w:snapToGrid w:val="0"/>
        <w:spacing w:line="360" w:lineRule="auto"/>
        <w:rPr>
          <w:color w:val="auto"/>
          <w:highlight w:val="none"/>
        </w:rPr>
      </w:pPr>
      <w:bookmarkStart w:id="68" w:name="bookmark37"/>
      <w:bookmarkEnd w:id="68"/>
      <w:r>
        <w:rPr>
          <w:color w:val="auto"/>
          <w:highlight w:val="none"/>
        </w:rPr>
        <w:t xml:space="preserve">2.4 </w:t>
      </w:r>
      <w:r>
        <w:rPr>
          <w:rFonts w:hint="eastAsia"/>
          <w:color w:val="auto"/>
          <w:highlight w:val="none"/>
        </w:rPr>
        <w:t>招标文件的异议</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投标人或者其他利害关系人对招标文件有异议的，应当在投标截止时间</w:t>
      </w:r>
      <w:r>
        <w:rPr>
          <w:rFonts w:ascii="宋体" w:hAnsi="宋体"/>
          <w:color w:val="auto"/>
          <w:szCs w:val="21"/>
          <w:highlight w:val="none"/>
        </w:rPr>
        <w:t>10</w:t>
      </w:r>
      <w:r>
        <w:rPr>
          <w:rFonts w:hint="eastAsia" w:ascii="宋体" w:hAnsi="宋体"/>
          <w:color w:val="auto"/>
          <w:szCs w:val="21"/>
          <w:highlight w:val="none"/>
        </w:rPr>
        <w:t>日前以书面形式提出。招标人将在收到异议之日起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pPr>
        <w:pStyle w:val="5"/>
        <w:adjustRightInd w:val="0"/>
        <w:snapToGrid w:val="0"/>
        <w:rPr>
          <w:color w:val="auto"/>
          <w:highlight w:val="none"/>
        </w:rPr>
      </w:pPr>
      <w:bookmarkStart w:id="69" w:name="_Toc13083"/>
      <w:bookmarkStart w:id="70" w:name="_Toc2318"/>
      <w:bookmarkStart w:id="71" w:name="_Toc103592011"/>
      <w:bookmarkStart w:id="72" w:name="_Toc533357310"/>
      <w:r>
        <w:rPr>
          <w:color w:val="auto"/>
          <w:highlight w:val="none"/>
        </w:rPr>
        <w:t xml:space="preserve">3. </w:t>
      </w:r>
      <w:r>
        <w:rPr>
          <w:rFonts w:hint="eastAsia"/>
          <w:color w:val="auto"/>
          <w:highlight w:val="none"/>
        </w:rPr>
        <w:t>投标文件</w:t>
      </w:r>
      <w:bookmarkEnd w:id="69"/>
      <w:bookmarkEnd w:id="70"/>
      <w:bookmarkEnd w:id="71"/>
      <w:bookmarkEnd w:id="72"/>
    </w:p>
    <w:p>
      <w:pPr>
        <w:pStyle w:val="7"/>
        <w:adjustRightInd w:val="0"/>
        <w:snapToGrid w:val="0"/>
        <w:spacing w:line="360" w:lineRule="auto"/>
        <w:ind w:firstLine="420"/>
        <w:rPr>
          <w:color w:val="auto"/>
          <w:highlight w:val="none"/>
        </w:rPr>
      </w:pPr>
      <w:bookmarkStart w:id="73" w:name="bookmark39"/>
      <w:bookmarkEnd w:id="73"/>
      <w:r>
        <w:rPr>
          <w:color w:val="auto"/>
          <w:highlight w:val="none"/>
        </w:rPr>
        <w:t xml:space="preserve">3.1 </w:t>
      </w:r>
      <w:r>
        <w:rPr>
          <w:rFonts w:hint="eastAsia"/>
          <w:color w:val="auto"/>
          <w:highlight w:val="none"/>
        </w:rPr>
        <w:t>投标文件的组成</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3.1.1</w:t>
      </w:r>
      <w:r>
        <w:rPr>
          <w:rFonts w:hint="eastAsia" w:ascii="宋体" w:hAnsi="宋体"/>
          <w:color w:val="auto"/>
          <w:szCs w:val="21"/>
          <w:highlight w:val="none"/>
        </w:rPr>
        <w:t>投标文件应包括下列内容：</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（1）投标函及其附表；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（2）法定代表人证明书及授权委托书；</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（3）投标保证金；</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（4）投标报价书；</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（5）资格审查资料；</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（6）类似项目情况表；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（7）拟投入本项目的检测监测人员一览表；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（8）拟投入本项目的检测监测人员简历表；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（9）拟投入本项目的主要仪器设备一览表；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（10）检测和监测方案；</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（11）其他资料。投标人须知前附表规定的其他资料，投标人认为有必要提交的其他资料。投标人在评标过程中作出的符合法律法规和招标文件规定的澄清确认，构成投标文件的组成部分。</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3.1.2</w:t>
      </w:r>
      <w:r>
        <w:rPr>
          <w:rFonts w:hint="eastAsia" w:ascii="宋体" w:hAnsi="宋体"/>
          <w:color w:val="auto"/>
          <w:szCs w:val="21"/>
          <w:highlight w:val="none"/>
        </w:rPr>
        <w:t>投标人须知前附表规定不接受联合体投标的，或投标人没有组成联合体的，投标文件不包括本章第</w:t>
      </w:r>
      <w:r>
        <w:rPr>
          <w:rFonts w:ascii="宋体" w:hAnsi="宋体"/>
          <w:color w:val="auto"/>
          <w:szCs w:val="21"/>
          <w:highlight w:val="none"/>
        </w:rPr>
        <w:t>3.1.1</w:t>
      </w:r>
      <w:r>
        <w:rPr>
          <w:rFonts w:hint="eastAsia" w:ascii="宋体" w:hAnsi="宋体"/>
          <w:color w:val="auto"/>
          <w:szCs w:val="21"/>
          <w:highlight w:val="none"/>
        </w:rPr>
        <w:t>所指的联合体协议书。</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3.1.3</w:t>
      </w:r>
      <w:r>
        <w:rPr>
          <w:rFonts w:hint="eastAsia" w:ascii="宋体" w:hAnsi="宋体"/>
          <w:color w:val="auto"/>
          <w:szCs w:val="21"/>
          <w:highlight w:val="none"/>
        </w:rPr>
        <w:t>投标人须知前附表未要求提交投标保证金的，投标文件不包括本章第</w:t>
      </w:r>
      <w:r>
        <w:rPr>
          <w:rFonts w:ascii="宋体" w:hAnsi="宋体"/>
          <w:color w:val="auto"/>
          <w:szCs w:val="21"/>
          <w:highlight w:val="none"/>
        </w:rPr>
        <w:t>3.1.1</w:t>
      </w: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）所指的投标保证金。</w:t>
      </w:r>
    </w:p>
    <w:p>
      <w:pPr>
        <w:pStyle w:val="7"/>
        <w:adjustRightInd w:val="0"/>
        <w:snapToGrid w:val="0"/>
        <w:spacing w:line="360" w:lineRule="auto"/>
        <w:rPr>
          <w:color w:val="auto"/>
          <w:highlight w:val="none"/>
        </w:rPr>
      </w:pPr>
      <w:bookmarkStart w:id="74" w:name="bookmark40"/>
      <w:bookmarkEnd w:id="74"/>
      <w:r>
        <w:rPr>
          <w:color w:val="auto"/>
          <w:highlight w:val="none"/>
        </w:rPr>
        <w:t xml:space="preserve">3.2 </w:t>
      </w:r>
      <w:r>
        <w:rPr>
          <w:rFonts w:hint="eastAsia"/>
          <w:color w:val="auto"/>
          <w:highlight w:val="none"/>
        </w:rPr>
        <w:t>投标报价</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3.2.1</w:t>
      </w:r>
      <w:r>
        <w:rPr>
          <w:rFonts w:hint="eastAsia" w:ascii="宋体" w:hAnsi="宋体"/>
          <w:color w:val="auto"/>
          <w:szCs w:val="21"/>
          <w:highlight w:val="none"/>
        </w:rPr>
        <w:t>投标报价应包括国家规定的增值税税金，除投标人须知前附表另有规定外，增值税税金按一般计税方法计算。投标人应按第六章“投标文件格式”的要求在投标函中进行报价并填写报价书。</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3.2.2</w:t>
      </w:r>
      <w:r>
        <w:rPr>
          <w:rFonts w:hint="eastAsia" w:ascii="宋体" w:hAnsi="宋体"/>
          <w:color w:val="auto"/>
          <w:szCs w:val="21"/>
          <w:highlight w:val="none"/>
        </w:rPr>
        <w:t>投标人应充分了解该项目的总体情况以及影响投标报价的其他要素。</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3.2.3</w:t>
      </w:r>
      <w:r>
        <w:rPr>
          <w:rFonts w:hint="eastAsia" w:ascii="宋体" w:hAnsi="宋体"/>
          <w:color w:val="auto"/>
          <w:szCs w:val="21"/>
          <w:highlight w:val="none"/>
        </w:rPr>
        <w:t>本项目的报价方式见投标人须知前附表。投标人在投标截止时间前修改投标函中的投标报价总额，应同时修改投标文件“报价书”中的相应报价。此修改须符合本章第</w:t>
      </w:r>
      <w:r>
        <w:rPr>
          <w:rFonts w:ascii="宋体" w:hAnsi="宋体"/>
          <w:color w:val="auto"/>
          <w:szCs w:val="21"/>
          <w:highlight w:val="none"/>
        </w:rPr>
        <w:t>4.3</w:t>
      </w:r>
      <w:r>
        <w:rPr>
          <w:rFonts w:hint="eastAsia" w:ascii="宋体" w:hAnsi="宋体"/>
          <w:color w:val="auto"/>
          <w:szCs w:val="21"/>
          <w:highlight w:val="none"/>
        </w:rPr>
        <w:t>款的有关要求。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3.2.4</w:t>
      </w:r>
      <w:r>
        <w:rPr>
          <w:rFonts w:hint="eastAsia" w:ascii="宋体" w:hAnsi="宋体"/>
          <w:color w:val="auto"/>
          <w:szCs w:val="21"/>
          <w:highlight w:val="none"/>
        </w:rPr>
        <w:t>招标人设有最高投标限价的，投标人的投标报价不得超过最高投标限价，最高投标限价在投标人须知前附表中载明。</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3.2.5</w:t>
      </w:r>
      <w:r>
        <w:rPr>
          <w:rFonts w:hint="eastAsia" w:ascii="宋体" w:hAnsi="宋体"/>
          <w:color w:val="auto"/>
          <w:szCs w:val="21"/>
          <w:highlight w:val="none"/>
        </w:rPr>
        <w:t>投标报价的其他要求见投标人须知前附表。</w:t>
      </w:r>
    </w:p>
    <w:p>
      <w:pPr>
        <w:pStyle w:val="7"/>
        <w:adjustRightInd w:val="0"/>
        <w:snapToGrid w:val="0"/>
        <w:spacing w:line="360" w:lineRule="auto"/>
        <w:rPr>
          <w:color w:val="auto"/>
          <w:highlight w:val="none"/>
        </w:rPr>
      </w:pPr>
      <w:bookmarkStart w:id="75" w:name="bookmark41"/>
      <w:bookmarkEnd w:id="75"/>
      <w:r>
        <w:rPr>
          <w:color w:val="auto"/>
          <w:highlight w:val="none"/>
        </w:rPr>
        <w:t xml:space="preserve">3.3 </w:t>
      </w:r>
      <w:r>
        <w:rPr>
          <w:rFonts w:hint="eastAsia"/>
          <w:color w:val="auto"/>
          <w:highlight w:val="none"/>
        </w:rPr>
        <w:t>投标有效期</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3.3.1</w:t>
      </w:r>
      <w:r>
        <w:rPr>
          <w:rFonts w:hint="eastAsia" w:ascii="宋体" w:hAnsi="宋体"/>
          <w:color w:val="auto"/>
          <w:szCs w:val="21"/>
          <w:highlight w:val="none"/>
        </w:rPr>
        <w:t>除投标人须知前附表另有规定外，投标有效期为</w:t>
      </w:r>
      <w:r>
        <w:rPr>
          <w:rFonts w:ascii="宋体" w:hAnsi="宋体"/>
          <w:color w:val="auto"/>
          <w:szCs w:val="21"/>
          <w:highlight w:val="none"/>
        </w:rPr>
        <w:t>90</w:t>
      </w:r>
      <w:r>
        <w:rPr>
          <w:rFonts w:hint="eastAsia" w:ascii="宋体" w:hAnsi="宋体"/>
          <w:color w:val="auto"/>
          <w:szCs w:val="21"/>
          <w:highlight w:val="none"/>
        </w:rPr>
        <w:t>天。</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3.3.2</w:t>
      </w:r>
      <w:r>
        <w:rPr>
          <w:rFonts w:hint="eastAsia" w:ascii="宋体" w:hAnsi="宋体"/>
          <w:color w:val="auto"/>
          <w:szCs w:val="21"/>
          <w:highlight w:val="none"/>
        </w:rPr>
        <w:t>在投标有效期内，投标人撤销投标文件的，应承担招标文件和法律规定的责任。</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3.3.3</w:t>
      </w:r>
      <w:r>
        <w:rPr>
          <w:rFonts w:hint="eastAsia" w:ascii="宋体" w:hAnsi="宋体"/>
          <w:color w:val="auto"/>
          <w:szCs w:val="21"/>
          <w:highlight w:val="none"/>
        </w:rPr>
        <w:t>出现特殊情况需要延长投标有效期的，招标人以书面形式通知所有投标人延长投标有效期。投标人应予以书面答复，同意延长的，应相应延长其投标保证金的有效期，但不得要求或被允许修改其投标文件；投标人拒绝延长的，其投标失效，但投标人有权收回其投标保证金及以现金或者支票形式递交的投标保证金的银行同期存款利息。</w:t>
      </w:r>
    </w:p>
    <w:p>
      <w:pPr>
        <w:pStyle w:val="7"/>
        <w:adjustRightInd w:val="0"/>
        <w:snapToGrid w:val="0"/>
        <w:spacing w:line="360" w:lineRule="auto"/>
        <w:rPr>
          <w:color w:val="auto"/>
          <w:highlight w:val="none"/>
        </w:rPr>
      </w:pPr>
      <w:bookmarkStart w:id="76" w:name="bookmark42"/>
      <w:bookmarkEnd w:id="76"/>
      <w:r>
        <w:rPr>
          <w:color w:val="auto"/>
          <w:highlight w:val="none"/>
        </w:rPr>
        <w:t xml:space="preserve">3.4 </w:t>
      </w:r>
      <w:r>
        <w:rPr>
          <w:rFonts w:hint="eastAsia"/>
          <w:color w:val="auto"/>
          <w:highlight w:val="none"/>
        </w:rPr>
        <w:t>投标保证金</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3.4.1</w:t>
      </w:r>
      <w:r>
        <w:rPr>
          <w:rFonts w:hint="eastAsia" w:ascii="宋体" w:hAnsi="宋体"/>
          <w:color w:val="auto"/>
          <w:szCs w:val="21"/>
          <w:highlight w:val="none"/>
        </w:rPr>
        <w:t>投标人在递交投标文件的同时，应按投标人须知前附表规定的金额、形式和第六章“投标文件格式”规定的投标保证金格式递交投标保证金，并作为其投标文件的组成部分。境内投标人以现金或者支票形式提交的投标保证金，应当从其基本账户转出并在投标文件中附上基本账户开户证明。联合体投标的，其投标保证金可以由牵头人递交，并应符合投标人须知前附表的规定。</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3.4.2</w:t>
      </w:r>
      <w:r>
        <w:rPr>
          <w:rFonts w:hint="eastAsia" w:ascii="宋体" w:hAnsi="宋体"/>
          <w:color w:val="auto"/>
          <w:szCs w:val="21"/>
          <w:highlight w:val="none"/>
        </w:rPr>
        <w:t>投标人不按本章第</w:t>
      </w:r>
      <w:r>
        <w:rPr>
          <w:rFonts w:ascii="宋体" w:hAnsi="宋体"/>
          <w:color w:val="auto"/>
          <w:szCs w:val="21"/>
          <w:highlight w:val="none"/>
        </w:rPr>
        <w:t>3.4.1</w:t>
      </w:r>
      <w:r>
        <w:rPr>
          <w:rFonts w:hint="eastAsia" w:ascii="宋体" w:hAnsi="宋体"/>
          <w:color w:val="auto"/>
          <w:szCs w:val="21"/>
          <w:highlight w:val="none"/>
        </w:rPr>
        <w:t>项要求提交投标保证金的，评标委员会将否决其投标。</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3.4.3</w:t>
      </w:r>
      <w:r>
        <w:rPr>
          <w:rFonts w:hint="eastAsia" w:ascii="宋体" w:hAnsi="宋体"/>
          <w:color w:val="auto"/>
          <w:szCs w:val="21"/>
          <w:highlight w:val="none"/>
        </w:rPr>
        <w:t>招标人最迟将在与中标人签订合同后</w:t>
      </w:r>
      <w:r>
        <w:rPr>
          <w:rFonts w:ascii="宋体" w:hAnsi="宋体"/>
          <w:color w:val="auto"/>
          <w:szCs w:val="21"/>
          <w:highlight w:val="none"/>
        </w:rPr>
        <w:t>5</w:t>
      </w:r>
      <w:r>
        <w:rPr>
          <w:rFonts w:hint="eastAsia" w:ascii="宋体" w:hAnsi="宋体"/>
          <w:color w:val="auto"/>
          <w:szCs w:val="21"/>
          <w:highlight w:val="none"/>
        </w:rPr>
        <w:t>日内，向未中标的投标人和中标人退还投标保证金。投标保证金以现金或者支票形式递交的，还应退还银行同期存款利息。</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3.4.4</w:t>
      </w:r>
      <w:r>
        <w:rPr>
          <w:rFonts w:hint="eastAsia" w:ascii="宋体" w:hAnsi="宋体"/>
          <w:color w:val="auto"/>
          <w:szCs w:val="21"/>
          <w:highlight w:val="none"/>
        </w:rPr>
        <w:t>有下列情形之一的，投标保证金将不予退还：</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）投标人在投标有效期内撤销投标文件；</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）中标人在收到中标通知书后，无正当理由不与招标人订立合同，在签订合同时向招标人提出附加条件，或者不按照招标文件要求提交履约保证金；</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）发生投标人须知前附表规定的其他可以不予退还投标保证金的情形。</w:t>
      </w:r>
    </w:p>
    <w:p>
      <w:pPr>
        <w:pStyle w:val="7"/>
        <w:adjustRightInd w:val="0"/>
        <w:snapToGrid w:val="0"/>
        <w:spacing w:line="360" w:lineRule="auto"/>
        <w:rPr>
          <w:color w:val="auto"/>
          <w:highlight w:val="none"/>
        </w:rPr>
      </w:pPr>
      <w:bookmarkStart w:id="77" w:name="bookmark44"/>
      <w:bookmarkEnd w:id="77"/>
      <w:bookmarkStart w:id="78" w:name="bookmark43"/>
      <w:bookmarkEnd w:id="78"/>
      <w:r>
        <w:rPr>
          <w:color w:val="auto"/>
          <w:highlight w:val="none"/>
        </w:rPr>
        <w:t xml:space="preserve">3.5 </w:t>
      </w:r>
      <w:r>
        <w:rPr>
          <w:rFonts w:hint="eastAsia"/>
          <w:color w:val="auto"/>
          <w:highlight w:val="none"/>
        </w:rPr>
        <w:t>资格审查资料</w:t>
      </w:r>
    </w:p>
    <w:p>
      <w:pPr>
        <w:pStyle w:val="13"/>
        <w:kinsoku w:val="0"/>
        <w:overflowPunct w:val="0"/>
        <w:adjustRightInd w:val="0"/>
        <w:snapToGrid w:val="0"/>
        <w:spacing w:line="360" w:lineRule="auto"/>
        <w:ind w:firstLine="420" w:firstLineChars="200"/>
        <w:rPr>
          <w:rFonts w:ascii="宋体" w:hAnsi="宋体"/>
          <w:color w:val="auto"/>
          <w:szCs w:val="21"/>
          <w:highlight w:val="none"/>
        </w:rPr>
      </w:pPr>
      <w:bookmarkStart w:id="79" w:name="bookmark45"/>
      <w:bookmarkEnd w:id="79"/>
      <w:r>
        <w:rPr>
          <w:rFonts w:hint="eastAsia" w:ascii="宋体" w:hAnsi="宋体"/>
          <w:color w:val="auto"/>
          <w:szCs w:val="21"/>
          <w:highlight w:val="none"/>
        </w:rPr>
        <w:t>除投标人须知前附表另有规定外，投标人应按下列规定提供资格审查资料，以证明其满足本章第</w:t>
      </w:r>
      <w:r>
        <w:rPr>
          <w:rFonts w:ascii="宋体" w:hAnsi="宋体"/>
          <w:color w:val="auto"/>
          <w:szCs w:val="21"/>
          <w:highlight w:val="none"/>
        </w:rPr>
        <w:t>1.4</w:t>
      </w:r>
      <w:r>
        <w:rPr>
          <w:rFonts w:hint="eastAsia" w:ascii="宋体" w:hAnsi="宋体"/>
          <w:color w:val="auto"/>
          <w:szCs w:val="21"/>
          <w:highlight w:val="none"/>
        </w:rPr>
        <w:t>款规定的资质、财务、业绩、信誉等要求。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3.5.1</w:t>
      </w:r>
      <w:r>
        <w:rPr>
          <w:rFonts w:hint="eastAsia" w:ascii="宋体" w:hAnsi="宋体"/>
          <w:color w:val="auto"/>
          <w:szCs w:val="21"/>
          <w:highlight w:val="none"/>
        </w:rPr>
        <w:t>“投标人基本情况表”应附投标单位的营业执照副本或事业单位法人证书副本、建设行政主管部门颁发的资质证书、检验检测机构资质认定证书（CMA计量认证合格证书）以及其他相关资料。</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3.5.2其他满足本章第</w:t>
      </w:r>
      <w:r>
        <w:rPr>
          <w:rFonts w:ascii="宋体" w:hAnsi="宋体"/>
          <w:color w:val="auto"/>
          <w:szCs w:val="21"/>
          <w:highlight w:val="none"/>
        </w:rPr>
        <w:t>1.4.1</w:t>
      </w:r>
      <w:r>
        <w:rPr>
          <w:rFonts w:hint="eastAsia" w:ascii="宋体" w:hAnsi="宋体"/>
          <w:color w:val="auto"/>
          <w:szCs w:val="21"/>
          <w:highlight w:val="none"/>
        </w:rPr>
        <w:t>项规定的要求的相关资料。</w:t>
      </w:r>
    </w:p>
    <w:p>
      <w:pPr>
        <w:pStyle w:val="7"/>
        <w:adjustRightInd w:val="0"/>
        <w:snapToGrid w:val="0"/>
        <w:spacing w:line="360" w:lineRule="auto"/>
        <w:rPr>
          <w:color w:val="auto"/>
          <w:highlight w:val="none"/>
        </w:rPr>
      </w:pPr>
      <w:r>
        <w:rPr>
          <w:color w:val="auto"/>
          <w:highlight w:val="none"/>
        </w:rPr>
        <w:t xml:space="preserve">3.6 </w:t>
      </w:r>
      <w:r>
        <w:rPr>
          <w:rFonts w:hint="eastAsia"/>
          <w:color w:val="auto"/>
          <w:highlight w:val="none"/>
        </w:rPr>
        <w:t>备选投标方案</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3.6.1</w:t>
      </w:r>
      <w:r>
        <w:rPr>
          <w:rFonts w:hint="eastAsia" w:ascii="宋体" w:hAnsi="宋体"/>
          <w:color w:val="auto"/>
          <w:szCs w:val="21"/>
          <w:highlight w:val="none"/>
        </w:rPr>
        <w:t>除投标人须知前附表规定允许外，投标人不得递交备选投标方案，否则其投标将被否决。</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3.6.2</w:t>
      </w:r>
      <w:r>
        <w:rPr>
          <w:rFonts w:hint="eastAsia" w:ascii="宋体" w:hAnsi="宋体"/>
          <w:color w:val="auto"/>
          <w:szCs w:val="21"/>
          <w:highlight w:val="none"/>
        </w:rPr>
        <w:t>允许投标人递交备选投标方案的，只有中标人所递交的备选投标方案方可予以考虑。评标委员会认为中标人的备选投标方案优于其按照招标文件要求编制的投标方案的，招标人可以接受该备选投标方案。</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3.6.3</w:t>
      </w:r>
      <w:r>
        <w:rPr>
          <w:rFonts w:hint="eastAsia" w:ascii="宋体" w:hAnsi="宋体"/>
          <w:color w:val="auto"/>
          <w:szCs w:val="21"/>
          <w:highlight w:val="none"/>
        </w:rPr>
        <w:t>投标人提供两个或两个以上投标报价，或者在投标文件中提供一个报价，但同时提供两个或两个以上服务方案的，视为提供备选方案。</w:t>
      </w:r>
    </w:p>
    <w:p>
      <w:pPr>
        <w:pStyle w:val="13"/>
        <w:kinsoku w:val="0"/>
        <w:overflowPunct w:val="0"/>
        <w:adjustRightInd w:val="0"/>
        <w:snapToGrid w:val="0"/>
        <w:spacing w:line="360" w:lineRule="auto"/>
        <w:ind w:firstLine="420" w:firstLineChars="200"/>
        <w:rPr>
          <w:rFonts w:ascii="宋体" w:hAnsi="宋体"/>
          <w:color w:val="auto"/>
          <w:szCs w:val="21"/>
          <w:highlight w:val="none"/>
        </w:rPr>
      </w:pPr>
    </w:p>
    <w:p>
      <w:pPr>
        <w:pStyle w:val="7"/>
        <w:adjustRightInd w:val="0"/>
        <w:snapToGrid w:val="0"/>
        <w:spacing w:line="360" w:lineRule="auto"/>
        <w:rPr>
          <w:color w:val="auto"/>
          <w:highlight w:val="none"/>
        </w:rPr>
      </w:pPr>
      <w:bookmarkStart w:id="80" w:name="bookmark46"/>
      <w:bookmarkEnd w:id="80"/>
      <w:r>
        <w:rPr>
          <w:color w:val="auto"/>
          <w:highlight w:val="none"/>
        </w:rPr>
        <w:t xml:space="preserve">3.7 </w:t>
      </w:r>
      <w:r>
        <w:rPr>
          <w:rFonts w:hint="eastAsia"/>
          <w:color w:val="auto"/>
          <w:highlight w:val="none"/>
        </w:rPr>
        <w:t>投标文件的编制</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3.7.1</w:t>
      </w:r>
      <w:r>
        <w:rPr>
          <w:rFonts w:hint="eastAsia" w:ascii="宋体" w:hAnsi="宋体"/>
          <w:color w:val="auto"/>
          <w:szCs w:val="21"/>
          <w:highlight w:val="none"/>
        </w:rPr>
        <w:t>投标文件应按第六章“投标文件格式”进行编写，如有必要，可以增加附页，作为投标文件的组成部分。</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3.7.2</w:t>
      </w:r>
      <w:r>
        <w:rPr>
          <w:rFonts w:hint="eastAsia" w:ascii="宋体" w:hAnsi="宋体"/>
          <w:color w:val="auto"/>
          <w:szCs w:val="21"/>
          <w:highlight w:val="none"/>
        </w:rPr>
        <w:t>投标文件应当对招标文件有关服务期限、投标有效期、委托人要求、招标范围等实质性内容作出响应。</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3.7.3</w:t>
      </w:r>
      <w:r>
        <w:rPr>
          <w:rFonts w:hint="eastAsia" w:ascii="宋体" w:hAnsi="宋体"/>
          <w:color w:val="auto"/>
          <w:szCs w:val="21"/>
          <w:highlight w:val="none"/>
        </w:rPr>
        <w:t>投标文件全部采用电子文档，除投标人须知前附表另有规定外，投标文件所附证书证件均为原件扫描件，并采用单位和个人数字证书，按招标文件要求在相应位置加盖电子印章。由投标人的法定代表人签字或加盖电子印章的，应附法定代表人身份证明，由代理人签字或加盖电子印章的，应附由法定代表人签署的授权委托书。签字或盖章的具体要求见投标人须知前附表。</w:t>
      </w:r>
      <w:bookmarkStart w:id="81" w:name="_Toc14476"/>
      <w:bookmarkStart w:id="82" w:name="_Toc533357311"/>
      <w:bookmarkStart w:id="83" w:name="_Toc103592012"/>
    </w:p>
    <w:p>
      <w:pPr>
        <w:pStyle w:val="5"/>
        <w:adjustRightInd w:val="0"/>
        <w:snapToGrid w:val="0"/>
        <w:rPr>
          <w:color w:val="auto"/>
          <w:highlight w:val="none"/>
        </w:rPr>
      </w:pPr>
      <w:bookmarkStart w:id="84" w:name="_Toc18384"/>
      <w:r>
        <w:rPr>
          <w:rFonts w:hint="eastAsia"/>
          <w:color w:val="auto"/>
          <w:highlight w:val="none"/>
        </w:rPr>
        <w:t>4. 投标</w:t>
      </w:r>
      <w:bookmarkEnd w:id="81"/>
      <w:bookmarkEnd w:id="82"/>
      <w:bookmarkEnd w:id="83"/>
      <w:bookmarkEnd w:id="84"/>
    </w:p>
    <w:p>
      <w:pPr>
        <w:pStyle w:val="7"/>
        <w:adjustRightInd w:val="0"/>
        <w:snapToGrid w:val="0"/>
        <w:spacing w:line="360" w:lineRule="auto"/>
        <w:rPr>
          <w:color w:val="auto"/>
          <w:highlight w:val="none"/>
        </w:rPr>
      </w:pPr>
      <w:bookmarkStart w:id="85" w:name="bookmark48"/>
      <w:bookmarkEnd w:id="85"/>
      <w:r>
        <w:rPr>
          <w:color w:val="auto"/>
          <w:highlight w:val="none"/>
        </w:rPr>
        <w:t xml:space="preserve">4.1 </w:t>
      </w:r>
      <w:r>
        <w:rPr>
          <w:rFonts w:hint="eastAsia"/>
          <w:color w:val="auto"/>
          <w:highlight w:val="none"/>
        </w:rPr>
        <w:t>投标文件的密封和标记</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4.1.1</w:t>
      </w:r>
      <w:r>
        <w:rPr>
          <w:rFonts w:hint="eastAsia" w:ascii="宋体" w:hAnsi="宋体"/>
          <w:color w:val="auto"/>
          <w:szCs w:val="21"/>
          <w:highlight w:val="none"/>
        </w:rPr>
        <w:t>投标人应当按照招标文件和电子招标投标交易平台的要求加密投标文件，具体要求见投标人须知前附表。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4.1.2</w:t>
      </w:r>
      <w:r>
        <w:rPr>
          <w:rFonts w:hint="eastAsia" w:ascii="宋体" w:hAnsi="宋体"/>
          <w:color w:val="auto"/>
          <w:szCs w:val="21"/>
          <w:highlight w:val="none"/>
        </w:rPr>
        <w:t>投标文件封套上应写明的内容见投标人须知前附表。</w:t>
      </w:r>
    </w:p>
    <w:p>
      <w:pPr>
        <w:pStyle w:val="7"/>
        <w:adjustRightInd w:val="0"/>
        <w:snapToGrid w:val="0"/>
        <w:spacing w:line="360" w:lineRule="auto"/>
        <w:rPr>
          <w:color w:val="auto"/>
          <w:highlight w:val="none"/>
        </w:rPr>
      </w:pPr>
      <w:bookmarkStart w:id="86" w:name="bookmark49"/>
      <w:bookmarkEnd w:id="86"/>
      <w:r>
        <w:rPr>
          <w:color w:val="auto"/>
          <w:highlight w:val="none"/>
        </w:rPr>
        <w:t xml:space="preserve">4.2 </w:t>
      </w:r>
      <w:r>
        <w:rPr>
          <w:rFonts w:hint="eastAsia"/>
          <w:color w:val="auto"/>
          <w:highlight w:val="none"/>
        </w:rPr>
        <w:t>投标文件的递交</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4.2.1</w:t>
      </w:r>
      <w:r>
        <w:rPr>
          <w:rFonts w:hint="eastAsia" w:ascii="宋体" w:hAnsi="宋体"/>
          <w:color w:val="auto"/>
          <w:szCs w:val="21"/>
          <w:highlight w:val="none"/>
        </w:rPr>
        <w:t>投标人应在投标人须知前附表规定的投标截止时间前递交投标文件。</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4.2.2</w:t>
      </w:r>
      <w:r>
        <w:rPr>
          <w:rFonts w:hint="eastAsia" w:ascii="宋体" w:hAnsi="宋体"/>
          <w:color w:val="auto"/>
          <w:szCs w:val="21"/>
          <w:highlight w:val="none"/>
        </w:rPr>
        <w:t>投标人通过下载招标文件的电子招标投标交易平台递交电子投标文件。</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4.2.3</w:t>
      </w:r>
      <w:r>
        <w:rPr>
          <w:rFonts w:hint="eastAsia" w:ascii="宋体" w:hAnsi="宋体"/>
          <w:color w:val="auto"/>
          <w:szCs w:val="21"/>
          <w:highlight w:val="none"/>
        </w:rPr>
        <w:t>除投标人须知前附表另有规定外，投标人所递交的投标文件不予退还。</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4.2.4</w:t>
      </w:r>
      <w:r>
        <w:rPr>
          <w:rFonts w:hint="eastAsia" w:ascii="宋体" w:hAnsi="宋体"/>
          <w:color w:val="auto"/>
          <w:szCs w:val="21"/>
          <w:highlight w:val="none"/>
        </w:rPr>
        <w:t>投标人完成电子投标文件上传后，电子招标投标交易平台即时向投标人发出递交回执通知。递交时间以递交回执通知载明的传输完成时间为准。</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4.2.5</w:t>
      </w:r>
      <w:r>
        <w:rPr>
          <w:rFonts w:hint="eastAsia" w:ascii="宋体" w:hAnsi="宋体"/>
          <w:color w:val="auto"/>
          <w:szCs w:val="21"/>
          <w:highlight w:val="none"/>
        </w:rPr>
        <w:t>逾期送达的投标文件，电子招标投标交易平台将予以拒收。</w:t>
      </w:r>
      <w:bookmarkStart w:id="87" w:name="bookmark50"/>
      <w:bookmarkEnd w:id="87"/>
    </w:p>
    <w:p>
      <w:pPr>
        <w:pStyle w:val="7"/>
        <w:adjustRightInd w:val="0"/>
        <w:snapToGrid w:val="0"/>
        <w:spacing w:line="360" w:lineRule="auto"/>
        <w:rPr>
          <w:color w:val="auto"/>
          <w:highlight w:val="none"/>
        </w:rPr>
      </w:pPr>
      <w:r>
        <w:rPr>
          <w:color w:val="auto"/>
          <w:highlight w:val="none"/>
        </w:rPr>
        <w:t xml:space="preserve">4.3 </w:t>
      </w:r>
      <w:r>
        <w:rPr>
          <w:rFonts w:hint="eastAsia"/>
          <w:color w:val="auto"/>
          <w:highlight w:val="none"/>
        </w:rPr>
        <w:t>投标文件的修改与撤回</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4.3.1</w:t>
      </w:r>
      <w:r>
        <w:rPr>
          <w:rFonts w:hint="eastAsia" w:ascii="宋体" w:hAnsi="宋体"/>
          <w:color w:val="auto"/>
          <w:szCs w:val="21"/>
          <w:highlight w:val="none"/>
        </w:rPr>
        <w:t>在本章第</w:t>
      </w:r>
      <w:r>
        <w:rPr>
          <w:rFonts w:ascii="宋体" w:hAnsi="宋体"/>
          <w:color w:val="auto"/>
          <w:szCs w:val="21"/>
          <w:highlight w:val="none"/>
        </w:rPr>
        <w:t>4.2.1</w:t>
      </w:r>
      <w:r>
        <w:rPr>
          <w:rFonts w:hint="eastAsia" w:ascii="宋体" w:hAnsi="宋体"/>
          <w:color w:val="auto"/>
          <w:szCs w:val="21"/>
          <w:highlight w:val="none"/>
        </w:rPr>
        <w:t>项规定的投标截止时间前，投标人可以修改或撤回已递交的投标文件，但应以书面形式通知招标人。</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4.3.2</w:t>
      </w:r>
      <w:r>
        <w:rPr>
          <w:rFonts w:hint="eastAsia" w:ascii="宋体" w:hAnsi="宋体"/>
          <w:color w:val="auto"/>
          <w:szCs w:val="21"/>
          <w:highlight w:val="none"/>
        </w:rPr>
        <w:t>投标人修改或撤回已递交投标文件的通知，应按照本章第</w:t>
      </w:r>
      <w:r>
        <w:rPr>
          <w:rFonts w:ascii="宋体" w:hAnsi="宋体"/>
          <w:color w:val="auto"/>
          <w:szCs w:val="21"/>
          <w:highlight w:val="none"/>
        </w:rPr>
        <w:t>3.7.3</w:t>
      </w:r>
      <w:r>
        <w:rPr>
          <w:rFonts w:hint="eastAsia" w:ascii="宋体" w:hAnsi="宋体"/>
          <w:color w:val="auto"/>
          <w:szCs w:val="21"/>
          <w:highlight w:val="none"/>
        </w:rPr>
        <w:t>项的要求加盖电子印章。电子招标投标交易平台收到通知后，即时向投标人发出确认回执通知。</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4.3.3</w:t>
      </w:r>
      <w:r>
        <w:rPr>
          <w:rFonts w:hint="eastAsia" w:ascii="宋体" w:hAnsi="宋体"/>
          <w:color w:val="auto"/>
          <w:szCs w:val="21"/>
          <w:highlight w:val="none"/>
        </w:rPr>
        <w:t>投标人撤回投标文件的，招标人自收到投标人书面撤回通知之日起</w:t>
      </w:r>
      <w:r>
        <w:rPr>
          <w:rFonts w:ascii="宋体" w:hAnsi="宋体"/>
          <w:color w:val="auto"/>
          <w:szCs w:val="21"/>
          <w:highlight w:val="none"/>
        </w:rPr>
        <w:t>5</w:t>
      </w:r>
      <w:r>
        <w:rPr>
          <w:rFonts w:hint="eastAsia" w:ascii="宋体" w:hAnsi="宋体"/>
          <w:color w:val="auto"/>
          <w:szCs w:val="21"/>
          <w:highlight w:val="none"/>
        </w:rPr>
        <w:t>日内退还已收取的投标保证金。</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4.3.4</w:t>
      </w:r>
      <w:r>
        <w:rPr>
          <w:rFonts w:hint="eastAsia" w:ascii="宋体" w:hAnsi="宋体"/>
          <w:color w:val="auto"/>
          <w:szCs w:val="21"/>
          <w:highlight w:val="none"/>
        </w:rPr>
        <w:t>修改的内容为投标文件的组成部分。修改的投标文件应按照本章第</w:t>
      </w:r>
      <w:r>
        <w:rPr>
          <w:rFonts w:ascii="宋体" w:hAnsi="宋体"/>
          <w:color w:val="auto"/>
          <w:szCs w:val="21"/>
          <w:highlight w:val="none"/>
        </w:rPr>
        <w:t>3</w:t>
      </w:r>
      <w:r>
        <w:rPr>
          <w:rFonts w:hint="eastAsia" w:ascii="宋体" w:hAnsi="宋体"/>
          <w:color w:val="auto"/>
          <w:szCs w:val="21"/>
          <w:highlight w:val="none"/>
        </w:rPr>
        <w:t>条、第</w:t>
      </w:r>
      <w:r>
        <w:rPr>
          <w:rFonts w:ascii="宋体" w:hAnsi="宋体"/>
          <w:color w:val="auto"/>
          <w:szCs w:val="21"/>
          <w:highlight w:val="none"/>
        </w:rPr>
        <w:t>4</w:t>
      </w:r>
      <w:r>
        <w:rPr>
          <w:rFonts w:hint="eastAsia" w:ascii="宋体" w:hAnsi="宋体"/>
          <w:color w:val="auto"/>
          <w:szCs w:val="21"/>
          <w:highlight w:val="none"/>
        </w:rPr>
        <w:t>条的规定进行编制、密封、标记和递交，并标明“修改”字样。</w:t>
      </w:r>
    </w:p>
    <w:p>
      <w:pPr>
        <w:pStyle w:val="5"/>
        <w:adjustRightInd w:val="0"/>
        <w:snapToGrid w:val="0"/>
        <w:rPr>
          <w:color w:val="auto"/>
          <w:highlight w:val="none"/>
        </w:rPr>
      </w:pPr>
      <w:bookmarkStart w:id="88" w:name="_Toc533357312"/>
      <w:bookmarkStart w:id="89" w:name="_Toc8491"/>
      <w:bookmarkStart w:id="90" w:name="_Toc8981"/>
      <w:bookmarkStart w:id="91" w:name="_Toc103592013"/>
      <w:r>
        <w:rPr>
          <w:color w:val="auto"/>
          <w:highlight w:val="none"/>
        </w:rPr>
        <w:t xml:space="preserve">5. </w:t>
      </w:r>
      <w:r>
        <w:rPr>
          <w:rFonts w:hint="eastAsia"/>
          <w:color w:val="auto"/>
          <w:highlight w:val="none"/>
        </w:rPr>
        <w:t>开标</w:t>
      </w:r>
      <w:bookmarkEnd w:id="88"/>
      <w:bookmarkEnd w:id="89"/>
      <w:bookmarkEnd w:id="90"/>
      <w:bookmarkEnd w:id="91"/>
    </w:p>
    <w:p>
      <w:pPr>
        <w:pStyle w:val="7"/>
        <w:adjustRightInd w:val="0"/>
        <w:snapToGrid w:val="0"/>
        <w:spacing w:line="360" w:lineRule="auto"/>
        <w:ind w:firstLine="420"/>
        <w:rPr>
          <w:color w:val="auto"/>
          <w:highlight w:val="none"/>
        </w:rPr>
      </w:pPr>
      <w:bookmarkStart w:id="92" w:name="bookmark52"/>
      <w:bookmarkEnd w:id="92"/>
      <w:bookmarkStart w:id="93" w:name="bookmark53"/>
      <w:bookmarkEnd w:id="93"/>
      <w:r>
        <w:rPr>
          <w:color w:val="auto"/>
          <w:highlight w:val="none"/>
        </w:rPr>
        <w:t xml:space="preserve">5.1 </w:t>
      </w:r>
      <w:r>
        <w:rPr>
          <w:rFonts w:hint="eastAsia"/>
          <w:color w:val="auto"/>
          <w:highlight w:val="none"/>
        </w:rPr>
        <w:t>开标时间和地点</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招标人在本章第</w:t>
      </w:r>
      <w:r>
        <w:rPr>
          <w:rFonts w:ascii="宋体" w:hAnsi="宋体"/>
          <w:color w:val="auto"/>
          <w:szCs w:val="21"/>
          <w:highlight w:val="none"/>
        </w:rPr>
        <w:t>4.2.1</w:t>
      </w:r>
      <w:r>
        <w:rPr>
          <w:rFonts w:hint="eastAsia" w:ascii="宋体" w:hAnsi="宋体"/>
          <w:color w:val="auto"/>
          <w:szCs w:val="21"/>
          <w:highlight w:val="none"/>
        </w:rPr>
        <w:t>项规定的投标截止时间（开标时间），通过电子招标投标交易平台公开开标。开标时，投标人代表有权出席开标会，也可以自主决定不参加开标会。</w:t>
      </w:r>
    </w:p>
    <w:p>
      <w:pPr>
        <w:pStyle w:val="7"/>
        <w:adjustRightInd w:val="0"/>
        <w:snapToGrid w:val="0"/>
        <w:spacing w:line="360" w:lineRule="auto"/>
        <w:rPr>
          <w:color w:val="auto"/>
          <w:highlight w:val="none"/>
        </w:rPr>
      </w:pPr>
      <w:bookmarkStart w:id="94" w:name="bookmark54"/>
      <w:bookmarkEnd w:id="94"/>
      <w:r>
        <w:rPr>
          <w:color w:val="auto"/>
          <w:highlight w:val="none"/>
        </w:rPr>
        <w:t xml:space="preserve">5.2 </w:t>
      </w:r>
      <w:r>
        <w:rPr>
          <w:rFonts w:hint="eastAsia"/>
          <w:color w:val="auto"/>
          <w:highlight w:val="none"/>
        </w:rPr>
        <w:t>开标程序</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5.2.1</w:t>
      </w:r>
      <w:r>
        <w:rPr>
          <w:rFonts w:hint="eastAsia" w:ascii="宋体" w:hAnsi="宋体"/>
          <w:color w:val="auto"/>
          <w:szCs w:val="21"/>
          <w:highlight w:val="none"/>
        </w:rPr>
        <w:t>主持人按下列程序进行开标：</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）宣布开标纪律；</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）公布在投标截止时间前递交投标文件的投标人名称；</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）宣布开标人、唱标人、记录人、监标人等有关人员姓名；</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）投标人通过电子招标投标交易平台对已递交的电子投标文件进行解密，公布招标项目名称、投标人名称、投标保证金的递交情况、投标报价及其他内容，并记录在案；</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）投标人代表、招标人代表、监标人、记录人等有关人员在开标记录上签字确认；若有关人员不签字的，不影响开标程序；</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6</w:t>
      </w:r>
      <w:r>
        <w:rPr>
          <w:rFonts w:hint="eastAsia" w:ascii="宋体" w:hAnsi="宋体"/>
          <w:color w:val="auto"/>
          <w:szCs w:val="21"/>
          <w:highlight w:val="none"/>
        </w:rPr>
        <w:t>）开标结束。</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5.2.2</w:t>
      </w:r>
      <w:r>
        <w:rPr>
          <w:rFonts w:hint="eastAsia" w:ascii="宋体" w:hAnsi="宋体"/>
          <w:color w:val="auto"/>
          <w:szCs w:val="21"/>
          <w:highlight w:val="none"/>
          <w:u w:val="single"/>
        </w:rPr>
        <w:t>投标截止时间前未完成投标文件传输的或因投标人之外的原因造成投标文件未解密且未按要求递交备用光盘的，视为投标人撤回投标文件。因投标人原因造成投标文件未解密或未在规定的时间内解密的，视为撤销其投标文件。</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5.2.3</w:t>
      </w:r>
      <w:r>
        <w:rPr>
          <w:rFonts w:hint="eastAsia" w:ascii="宋体" w:hAnsi="宋体"/>
          <w:color w:val="auto"/>
          <w:szCs w:val="21"/>
          <w:highlight w:val="none"/>
        </w:rPr>
        <w:t>开标时，两个（含两个）以上的投标人加密打包投标文件电脑机器特征码一致的，不参与下一程序，并由评标委员会否决其投标。</w:t>
      </w:r>
    </w:p>
    <w:p>
      <w:pPr>
        <w:pStyle w:val="7"/>
        <w:adjustRightInd w:val="0"/>
        <w:snapToGrid w:val="0"/>
        <w:spacing w:line="360" w:lineRule="auto"/>
        <w:rPr>
          <w:color w:val="auto"/>
          <w:highlight w:val="none"/>
        </w:rPr>
      </w:pPr>
      <w:bookmarkStart w:id="95" w:name="bookmark55"/>
      <w:bookmarkEnd w:id="95"/>
      <w:r>
        <w:rPr>
          <w:color w:val="auto"/>
          <w:highlight w:val="none"/>
        </w:rPr>
        <w:t xml:space="preserve">5.3 </w:t>
      </w:r>
      <w:r>
        <w:rPr>
          <w:rFonts w:hint="eastAsia"/>
          <w:color w:val="auto"/>
          <w:highlight w:val="none"/>
        </w:rPr>
        <w:t>开标异议</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投标人对开标有异议的，应当在开标现场提出，并出示本人身份证，招标人当场作出答复，并制作记录。</w:t>
      </w:r>
    </w:p>
    <w:p>
      <w:pPr>
        <w:pStyle w:val="5"/>
        <w:adjustRightInd w:val="0"/>
        <w:snapToGrid w:val="0"/>
        <w:rPr>
          <w:color w:val="auto"/>
          <w:highlight w:val="none"/>
        </w:rPr>
      </w:pPr>
      <w:bookmarkStart w:id="96" w:name="_Toc24874"/>
      <w:bookmarkStart w:id="97" w:name="_Toc103592014"/>
      <w:bookmarkStart w:id="98" w:name="_Toc25366"/>
      <w:bookmarkStart w:id="99" w:name="_Toc533357313"/>
      <w:r>
        <w:rPr>
          <w:color w:val="auto"/>
          <w:highlight w:val="none"/>
        </w:rPr>
        <w:t xml:space="preserve">6. </w:t>
      </w:r>
      <w:r>
        <w:rPr>
          <w:rFonts w:hint="eastAsia"/>
          <w:color w:val="auto"/>
          <w:highlight w:val="none"/>
        </w:rPr>
        <w:t>评标</w:t>
      </w:r>
      <w:bookmarkEnd w:id="96"/>
      <w:bookmarkEnd w:id="97"/>
      <w:bookmarkEnd w:id="98"/>
      <w:bookmarkEnd w:id="99"/>
    </w:p>
    <w:p>
      <w:pPr>
        <w:pStyle w:val="7"/>
        <w:adjustRightInd w:val="0"/>
        <w:snapToGrid w:val="0"/>
        <w:spacing w:line="360" w:lineRule="auto"/>
        <w:ind w:firstLine="420"/>
        <w:rPr>
          <w:color w:val="auto"/>
          <w:highlight w:val="none"/>
        </w:rPr>
      </w:pPr>
      <w:bookmarkStart w:id="100" w:name="bookmark57"/>
      <w:bookmarkEnd w:id="100"/>
      <w:r>
        <w:rPr>
          <w:color w:val="auto"/>
          <w:highlight w:val="none"/>
        </w:rPr>
        <w:t xml:space="preserve">6.1 </w:t>
      </w:r>
      <w:r>
        <w:rPr>
          <w:rFonts w:hint="eastAsia"/>
          <w:color w:val="auto"/>
          <w:highlight w:val="none"/>
        </w:rPr>
        <w:t>评标委员会</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6.1.1</w:t>
      </w:r>
      <w:r>
        <w:rPr>
          <w:rFonts w:hint="eastAsia" w:ascii="宋体" w:hAnsi="宋体"/>
          <w:color w:val="auto"/>
          <w:szCs w:val="21"/>
          <w:highlight w:val="none"/>
        </w:rPr>
        <w:t>评标由招标人依法组建的评标委员会负责。评标委员会由招标人或其委托的招标代理机构熟悉相关业务的代表，以及有关技术、经济等方面的专家组成。评标委员会成员人数以及技术、经济等方面专家的确定方式见投标人须知前附表。</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6.1.2</w:t>
      </w:r>
      <w:r>
        <w:rPr>
          <w:rFonts w:hint="eastAsia" w:ascii="宋体" w:hAnsi="宋体"/>
          <w:color w:val="auto"/>
          <w:szCs w:val="21"/>
          <w:highlight w:val="none"/>
        </w:rPr>
        <w:t>评标委员会成员有下列情形之一的，应当回避：</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1</w:t>
      </w:r>
      <w:r>
        <w:rPr>
          <w:rFonts w:hint="eastAsia" w:ascii="宋体" w:hAnsi="宋体"/>
          <w:color w:val="auto"/>
          <w:szCs w:val="21"/>
          <w:highlight w:val="none"/>
        </w:rPr>
        <w:t>）投标人或投标人主要负责人的近亲属；</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2</w:t>
      </w:r>
      <w:r>
        <w:rPr>
          <w:rFonts w:hint="eastAsia" w:ascii="宋体" w:hAnsi="宋体"/>
          <w:color w:val="auto"/>
          <w:szCs w:val="21"/>
          <w:highlight w:val="none"/>
        </w:rPr>
        <w:t>）项目主管部门或者行政监督部门的人员；</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）与投标人有经济利益关系，可能影响对投标公正评审的；</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4</w:t>
      </w:r>
      <w:r>
        <w:rPr>
          <w:rFonts w:hint="eastAsia" w:ascii="宋体" w:hAnsi="宋体"/>
          <w:color w:val="auto"/>
          <w:szCs w:val="21"/>
          <w:highlight w:val="none"/>
        </w:rPr>
        <w:t>）曾因在招标、评标以及其他与招标投标有关活动中从事违法行为而受过行政处罚或刑事处罚的</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w:t>
      </w:r>
      <w:r>
        <w:rPr>
          <w:rFonts w:ascii="宋体" w:hAnsi="宋体"/>
          <w:color w:val="auto"/>
          <w:szCs w:val="21"/>
          <w:highlight w:val="none"/>
        </w:rPr>
        <w:t>5</w:t>
      </w:r>
      <w:r>
        <w:rPr>
          <w:rFonts w:hint="eastAsia" w:ascii="宋体" w:hAnsi="宋体"/>
          <w:color w:val="auto"/>
          <w:szCs w:val="21"/>
          <w:highlight w:val="none"/>
        </w:rPr>
        <w:t>）与投标人有其他利害关系。</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6.1.3</w:t>
      </w:r>
      <w:r>
        <w:rPr>
          <w:rFonts w:hint="eastAsia" w:ascii="宋体" w:hAnsi="宋体"/>
          <w:color w:val="auto"/>
          <w:szCs w:val="21"/>
          <w:highlight w:val="none"/>
        </w:rPr>
        <w:t>评标过程中，评标委员会成员有回避事由、擅离职守或者因健康等原因不能继续评标的，招标人有权更换。被更换的评标委员会成员作出的评审结论无效，由更换后的评标委员会成员重新进行评审。</w:t>
      </w:r>
    </w:p>
    <w:p>
      <w:pPr>
        <w:pStyle w:val="7"/>
        <w:adjustRightInd w:val="0"/>
        <w:snapToGrid w:val="0"/>
        <w:spacing w:line="360" w:lineRule="auto"/>
        <w:rPr>
          <w:color w:val="auto"/>
          <w:highlight w:val="none"/>
        </w:rPr>
      </w:pPr>
      <w:bookmarkStart w:id="101" w:name="bookmark58"/>
      <w:bookmarkEnd w:id="101"/>
      <w:r>
        <w:rPr>
          <w:color w:val="auto"/>
          <w:highlight w:val="none"/>
        </w:rPr>
        <w:t xml:space="preserve">6.2 </w:t>
      </w:r>
      <w:r>
        <w:rPr>
          <w:rFonts w:hint="eastAsia"/>
          <w:color w:val="auto"/>
          <w:highlight w:val="none"/>
        </w:rPr>
        <w:t>评标原则</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评标活动遵循公平、公正、科学和择优的原则。</w:t>
      </w:r>
    </w:p>
    <w:p>
      <w:pPr>
        <w:pStyle w:val="7"/>
        <w:adjustRightInd w:val="0"/>
        <w:snapToGrid w:val="0"/>
        <w:spacing w:line="360" w:lineRule="auto"/>
        <w:rPr>
          <w:color w:val="auto"/>
          <w:highlight w:val="none"/>
        </w:rPr>
      </w:pPr>
      <w:bookmarkStart w:id="102" w:name="bookmark59"/>
      <w:bookmarkEnd w:id="102"/>
      <w:r>
        <w:rPr>
          <w:color w:val="auto"/>
          <w:highlight w:val="none"/>
        </w:rPr>
        <w:t xml:space="preserve">6.3 </w:t>
      </w:r>
      <w:r>
        <w:rPr>
          <w:rFonts w:hint="eastAsia"/>
          <w:color w:val="auto"/>
          <w:highlight w:val="none"/>
        </w:rPr>
        <w:t>评标</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6.3.1</w:t>
      </w:r>
      <w:r>
        <w:rPr>
          <w:rFonts w:hint="eastAsia" w:ascii="宋体" w:hAnsi="宋体"/>
          <w:color w:val="auto"/>
          <w:szCs w:val="21"/>
          <w:highlight w:val="none"/>
        </w:rPr>
        <w:t>评标委员会按照第三章“评标办法”规定的方法、评审因素、标准和程序对投标文件进行评审。第三章“评标办法”没有规定的方法、评审因素和标准，不作为评标依据。</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6.3.2</w:t>
      </w:r>
      <w:r>
        <w:rPr>
          <w:rFonts w:hint="eastAsia" w:ascii="宋体" w:hAnsi="宋体"/>
          <w:color w:val="auto"/>
          <w:szCs w:val="21"/>
          <w:highlight w:val="none"/>
        </w:rPr>
        <w:t>评标完成后，评标委员会应当向招标人提交书面评标报告和中标候选人名单。评标委员会推荐中标候选人的人数见投标人须知前附表。</w:t>
      </w:r>
    </w:p>
    <w:p>
      <w:pPr>
        <w:pStyle w:val="5"/>
        <w:adjustRightInd w:val="0"/>
        <w:snapToGrid w:val="0"/>
        <w:rPr>
          <w:color w:val="auto"/>
          <w:highlight w:val="none"/>
        </w:rPr>
      </w:pPr>
      <w:bookmarkStart w:id="103" w:name="bookmark60"/>
      <w:bookmarkEnd w:id="103"/>
      <w:bookmarkStart w:id="104" w:name="_Toc17802"/>
      <w:bookmarkStart w:id="105" w:name="_Toc533357314"/>
      <w:bookmarkStart w:id="106" w:name="_Toc103592015"/>
      <w:bookmarkStart w:id="107" w:name="_Toc9306"/>
      <w:r>
        <w:rPr>
          <w:color w:val="auto"/>
          <w:highlight w:val="none"/>
        </w:rPr>
        <w:t xml:space="preserve">7. </w:t>
      </w:r>
      <w:r>
        <w:rPr>
          <w:rFonts w:hint="eastAsia"/>
          <w:color w:val="auto"/>
          <w:highlight w:val="none"/>
        </w:rPr>
        <w:t>合同授予</w:t>
      </w:r>
      <w:bookmarkEnd w:id="104"/>
      <w:bookmarkEnd w:id="105"/>
      <w:bookmarkEnd w:id="106"/>
      <w:bookmarkEnd w:id="107"/>
    </w:p>
    <w:p>
      <w:pPr>
        <w:pStyle w:val="7"/>
        <w:adjustRightInd w:val="0"/>
        <w:snapToGrid w:val="0"/>
        <w:spacing w:line="360" w:lineRule="auto"/>
        <w:rPr>
          <w:color w:val="auto"/>
          <w:highlight w:val="none"/>
        </w:rPr>
      </w:pPr>
      <w:bookmarkStart w:id="108" w:name="bookmark61"/>
      <w:bookmarkEnd w:id="108"/>
      <w:r>
        <w:rPr>
          <w:color w:val="auto"/>
          <w:highlight w:val="none"/>
        </w:rPr>
        <w:t xml:space="preserve">7.1 </w:t>
      </w:r>
      <w:r>
        <w:rPr>
          <w:rFonts w:hint="eastAsia"/>
          <w:color w:val="auto"/>
          <w:highlight w:val="none"/>
        </w:rPr>
        <w:t>中标候选人公示</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招标人在收到评标报告之日起</w:t>
      </w:r>
      <w:r>
        <w:rPr>
          <w:rFonts w:ascii="宋体" w:hAnsi="宋体"/>
          <w:color w:val="auto"/>
          <w:szCs w:val="21"/>
          <w:highlight w:val="none"/>
        </w:rPr>
        <w:t>3</w:t>
      </w:r>
      <w:r>
        <w:rPr>
          <w:rFonts w:hint="eastAsia" w:ascii="宋体" w:hAnsi="宋体"/>
          <w:color w:val="auto"/>
          <w:szCs w:val="21"/>
          <w:highlight w:val="none"/>
        </w:rPr>
        <w:t>日内，按照投标人须知前附表规定的公示媒介和期限公示中标候选人，公示期不得少于</w:t>
      </w:r>
      <w:r>
        <w:rPr>
          <w:rFonts w:ascii="宋体" w:hAnsi="宋体"/>
          <w:color w:val="auto"/>
          <w:szCs w:val="21"/>
          <w:highlight w:val="none"/>
        </w:rPr>
        <w:t>3</w:t>
      </w:r>
      <w:r>
        <w:rPr>
          <w:rFonts w:hint="eastAsia" w:ascii="宋体" w:hAnsi="宋体"/>
          <w:color w:val="auto"/>
          <w:szCs w:val="21"/>
          <w:highlight w:val="none"/>
        </w:rPr>
        <w:t>天</w:t>
      </w:r>
      <w:r>
        <w:rPr>
          <w:rFonts w:hint="eastAsia" w:ascii="宋体" w:hAnsi="宋体" w:cs="宋体"/>
          <w:color w:val="auto"/>
          <w:szCs w:val="21"/>
          <w:highlight w:val="none"/>
          <w:u w:val="single"/>
        </w:rPr>
        <w:t>（公示期间的最后1天应当为工作日，否则将公示期的最后1天顺延至下一个工作日）。</w:t>
      </w:r>
    </w:p>
    <w:p>
      <w:pPr>
        <w:pStyle w:val="7"/>
        <w:adjustRightInd w:val="0"/>
        <w:snapToGrid w:val="0"/>
        <w:spacing w:line="360" w:lineRule="auto"/>
        <w:rPr>
          <w:color w:val="auto"/>
          <w:highlight w:val="none"/>
        </w:rPr>
      </w:pPr>
      <w:bookmarkStart w:id="109" w:name="bookmark62"/>
      <w:bookmarkEnd w:id="109"/>
      <w:r>
        <w:rPr>
          <w:color w:val="auto"/>
          <w:highlight w:val="none"/>
        </w:rPr>
        <w:t xml:space="preserve">7.2 </w:t>
      </w:r>
      <w:r>
        <w:rPr>
          <w:rFonts w:hint="eastAsia"/>
          <w:color w:val="auto"/>
          <w:highlight w:val="none"/>
        </w:rPr>
        <w:t>评标结果异议</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投标人或者其他利害关系人对评标结果有异议的，应当在中标候选人公示期间提出。招标人将在收到异议之日起</w:t>
      </w:r>
      <w:r>
        <w:rPr>
          <w:rFonts w:ascii="宋体" w:hAnsi="宋体"/>
          <w:color w:val="auto"/>
          <w:szCs w:val="21"/>
          <w:highlight w:val="none"/>
        </w:rPr>
        <w:t>3</w:t>
      </w:r>
      <w:r>
        <w:rPr>
          <w:rFonts w:hint="eastAsia" w:ascii="宋体" w:hAnsi="宋体"/>
          <w:color w:val="auto"/>
          <w:szCs w:val="21"/>
          <w:highlight w:val="none"/>
        </w:rPr>
        <w:t>日内作出答复；作出答复前，将暂停招标投标活动。</w:t>
      </w:r>
    </w:p>
    <w:p>
      <w:pPr>
        <w:pStyle w:val="7"/>
        <w:adjustRightInd w:val="0"/>
        <w:snapToGrid w:val="0"/>
        <w:spacing w:line="360" w:lineRule="auto"/>
        <w:rPr>
          <w:color w:val="auto"/>
          <w:highlight w:val="none"/>
        </w:rPr>
      </w:pPr>
      <w:bookmarkStart w:id="110" w:name="bookmark63"/>
      <w:bookmarkEnd w:id="110"/>
      <w:r>
        <w:rPr>
          <w:color w:val="auto"/>
          <w:highlight w:val="none"/>
        </w:rPr>
        <w:t xml:space="preserve">7.3 </w:t>
      </w:r>
      <w:r>
        <w:rPr>
          <w:rFonts w:hint="eastAsia"/>
          <w:color w:val="auto"/>
          <w:highlight w:val="none"/>
        </w:rPr>
        <w:t>中标候选人履约能力审查</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中标候选人的经营、财务状况发生较大变化或存在违法行为，招标人认为可能影响其履约能力的，将在发出中标通知书前提请原评标委员会按照招标文件规定的标准和方法进行审查确认。</w:t>
      </w:r>
    </w:p>
    <w:p>
      <w:pPr>
        <w:pStyle w:val="7"/>
        <w:adjustRightInd w:val="0"/>
        <w:snapToGrid w:val="0"/>
        <w:spacing w:line="360" w:lineRule="auto"/>
        <w:rPr>
          <w:color w:val="auto"/>
          <w:highlight w:val="none"/>
        </w:rPr>
      </w:pPr>
      <w:bookmarkStart w:id="111" w:name="bookmark64"/>
      <w:bookmarkEnd w:id="111"/>
      <w:r>
        <w:rPr>
          <w:color w:val="auto"/>
          <w:highlight w:val="none"/>
        </w:rPr>
        <w:t xml:space="preserve">7.4 </w:t>
      </w:r>
      <w:r>
        <w:rPr>
          <w:rFonts w:hint="eastAsia"/>
          <w:color w:val="auto"/>
          <w:highlight w:val="none"/>
        </w:rPr>
        <w:t>定标</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按照投标人须知前附表的规定，招标人或招标人授权的评标委员会依法确定中标人。</w:t>
      </w:r>
    </w:p>
    <w:p>
      <w:pPr>
        <w:pStyle w:val="7"/>
        <w:adjustRightInd w:val="0"/>
        <w:snapToGrid w:val="0"/>
        <w:spacing w:line="360" w:lineRule="auto"/>
        <w:rPr>
          <w:color w:val="auto"/>
          <w:highlight w:val="none"/>
        </w:rPr>
      </w:pPr>
      <w:bookmarkStart w:id="112" w:name="bookmark65"/>
      <w:bookmarkEnd w:id="112"/>
      <w:r>
        <w:rPr>
          <w:color w:val="auto"/>
          <w:highlight w:val="none"/>
        </w:rPr>
        <w:t xml:space="preserve">7.5 </w:t>
      </w:r>
      <w:r>
        <w:rPr>
          <w:rFonts w:hint="eastAsia"/>
          <w:color w:val="auto"/>
          <w:highlight w:val="none"/>
        </w:rPr>
        <w:t>中标通知</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在本章第</w:t>
      </w:r>
      <w:r>
        <w:rPr>
          <w:rFonts w:ascii="宋体" w:hAnsi="宋体"/>
          <w:color w:val="auto"/>
          <w:szCs w:val="21"/>
          <w:highlight w:val="none"/>
        </w:rPr>
        <w:t>3.3</w:t>
      </w:r>
      <w:r>
        <w:rPr>
          <w:rFonts w:hint="eastAsia" w:ascii="宋体" w:hAnsi="宋体"/>
          <w:color w:val="auto"/>
          <w:szCs w:val="21"/>
          <w:highlight w:val="none"/>
        </w:rPr>
        <w:t>款规定的投标有效期内，招标人以书面形式向中标人发出中标通知书，同时将中标结果通知未中标的投标人。</w:t>
      </w:r>
    </w:p>
    <w:p>
      <w:pPr>
        <w:pStyle w:val="7"/>
        <w:adjustRightInd w:val="0"/>
        <w:snapToGrid w:val="0"/>
        <w:spacing w:line="360" w:lineRule="auto"/>
        <w:rPr>
          <w:color w:val="auto"/>
          <w:highlight w:val="none"/>
        </w:rPr>
      </w:pPr>
      <w:bookmarkStart w:id="113" w:name="bookmark66"/>
      <w:bookmarkEnd w:id="113"/>
      <w:r>
        <w:rPr>
          <w:color w:val="auto"/>
          <w:highlight w:val="none"/>
        </w:rPr>
        <w:t xml:space="preserve">7.6 </w:t>
      </w:r>
      <w:r>
        <w:rPr>
          <w:rFonts w:hint="eastAsia"/>
          <w:color w:val="auto"/>
          <w:highlight w:val="none"/>
        </w:rPr>
        <w:t>履约保证金</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7.6.1</w:t>
      </w:r>
      <w:r>
        <w:rPr>
          <w:rFonts w:hint="eastAsia" w:ascii="宋体" w:hAnsi="宋体"/>
          <w:color w:val="auto"/>
          <w:szCs w:val="21"/>
          <w:highlight w:val="none"/>
        </w:rPr>
        <w:t>在签订合同前，中标人应按投标人须知前附表规定的形式、金额和招标文件第四章“合同条款及格式”规定的或者事先经过招标人书面认可的履约保证金格式向招标人提交履约保证金。除投标人须知前附表另有规定外，履约保证金为中标合同金额的</w:t>
      </w:r>
      <w:r>
        <w:rPr>
          <w:rFonts w:ascii="宋体" w:hAnsi="宋体"/>
          <w:color w:val="auto"/>
          <w:szCs w:val="21"/>
          <w:highlight w:val="none"/>
        </w:rPr>
        <w:t>10%</w:t>
      </w:r>
      <w:r>
        <w:rPr>
          <w:rFonts w:hint="eastAsia" w:ascii="宋体" w:hAnsi="宋体"/>
          <w:color w:val="auto"/>
          <w:szCs w:val="21"/>
          <w:highlight w:val="none"/>
        </w:rPr>
        <w:t>。联合体中标的，其履约保证金以联合体各方或者联合体中牵头人的名义提交。</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7.6.2</w:t>
      </w:r>
      <w:r>
        <w:rPr>
          <w:rFonts w:hint="eastAsia" w:ascii="宋体" w:hAnsi="宋体"/>
          <w:color w:val="auto"/>
          <w:szCs w:val="21"/>
          <w:highlight w:val="none"/>
        </w:rPr>
        <w:t>中标人不能按本章第</w:t>
      </w:r>
      <w:r>
        <w:rPr>
          <w:rFonts w:ascii="宋体" w:hAnsi="宋体"/>
          <w:color w:val="auto"/>
          <w:szCs w:val="21"/>
          <w:highlight w:val="none"/>
        </w:rPr>
        <w:t>7.6.1</w:t>
      </w:r>
      <w:r>
        <w:rPr>
          <w:rFonts w:hint="eastAsia" w:ascii="宋体" w:hAnsi="宋体"/>
          <w:color w:val="auto"/>
          <w:szCs w:val="21"/>
          <w:highlight w:val="none"/>
        </w:rPr>
        <w:t>项要求提交履约保证金的，视为放弃中标，其投标保证金不予退还，给招标人造成的损失超过投标保证金数额的，中标人还应当对超过部分予以赔偿。</w:t>
      </w:r>
    </w:p>
    <w:p>
      <w:pPr>
        <w:pStyle w:val="7"/>
        <w:adjustRightInd w:val="0"/>
        <w:snapToGrid w:val="0"/>
        <w:spacing w:line="360" w:lineRule="auto"/>
        <w:rPr>
          <w:color w:val="auto"/>
          <w:highlight w:val="none"/>
        </w:rPr>
      </w:pPr>
      <w:bookmarkStart w:id="114" w:name="bookmark67"/>
      <w:bookmarkEnd w:id="114"/>
      <w:r>
        <w:rPr>
          <w:color w:val="auto"/>
          <w:highlight w:val="none"/>
        </w:rPr>
        <w:t xml:space="preserve">7.7 </w:t>
      </w:r>
      <w:r>
        <w:rPr>
          <w:rFonts w:hint="eastAsia"/>
          <w:color w:val="auto"/>
          <w:highlight w:val="none"/>
        </w:rPr>
        <w:t>签订合同</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7.7.1</w:t>
      </w:r>
      <w:r>
        <w:rPr>
          <w:rFonts w:hint="eastAsia" w:ascii="宋体" w:hAnsi="宋体"/>
          <w:color w:val="auto"/>
          <w:szCs w:val="21"/>
          <w:highlight w:val="none"/>
        </w:rPr>
        <w:t>招标人和中标人应当在中标通知书发出之日起</w:t>
      </w:r>
      <w:r>
        <w:rPr>
          <w:rFonts w:ascii="宋体" w:hAnsi="宋体"/>
          <w:color w:val="auto"/>
          <w:szCs w:val="21"/>
          <w:highlight w:val="none"/>
        </w:rPr>
        <w:t>30</w:t>
      </w:r>
      <w:r>
        <w:rPr>
          <w:rFonts w:hint="eastAsia" w:ascii="宋体" w:hAnsi="宋体"/>
          <w:color w:val="auto"/>
          <w:szCs w:val="21"/>
          <w:highlight w:val="none"/>
        </w:rPr>
        <w:t>日内，根据招标文件和中标人的投标文件订立书面合同。中标人无正当理由拒签合同，在签订合同时向招标人提出附加条件，或者不按照招标文件要求提交履约保证金的，招标人有权取消其中标资格，其投标保证金不予退还；给招标人造成的损失超过投标保证金数额的，中标人还应当对超过部分予以赔偿。</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7.7.2</w:t>
      </w:r>
      <w:r>
        <w:rPr>
          <w:rFonts w:hint="eastAsia" w:ascii="宋体" w:hAnsi="宋体"/>
          <w:color w:val="auto"/>
          <w:szCs w:val="21"/>
          <w:highlight w:val="none"/>
        </w:rPr>
        <w:t>发出中标通知书后，招标人无正当理由拒签合同，或者在签订合同时向中标人提出附加条件的，招标人向中标人退还投标保证金；给中标人造成损失的，还应当赔偿损失。</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7.7.3</w:t>
      </w:r>
      <w:r>
        <w:rPr>
          <w:rFonts w:hint="eastAsia" w:ascii="宋体" w:hAnsi="宋体"/>
          <w:color w:val="auto"/>
          <w:szCs w:val="21"/>
          <w:highlight w:val="none"/>
        </w:rPr>
        <w:t>联合体中标的，联合体各方应当共同与招标人签订合同，就中标项目向招标人承担连带责任。</w:t>
      </w:r>
    </w:p>
    <w:p>
      <w:pPr>
        <w:pStyle w:val="5"/>
        <w:adjustRightInd w:val="0"/>
        <w:snapToGrid w:val="0"/>
        <w:rPr>
          <w:color w:val="auto"/>
          <w:highlight w:val="none"/>
        </w:rPr>
      </w:pPr>
      <w:bookmarkStart w:id="115" w:name="bookmark68"/>
      <w:bookmarkEnd w:id="115"/>
      <w:bookmarkStart w:id="116" w:name="_Toc103592016"/>
      <w:bookmarkStart w:id="117" w:name="_Toc14507"/>
      <w:bookmarkStart w:id="118" w:name="_Toc533357315"/>
      <w:bookmarkStart w:id="119" w:name="_Toc13700"/>
      <w:r>
        <w:rPr>
          <w:color w:val="auto"/>
          <w:highlight w:val="none"/>
        </w:rPr>
        <w:t xml:space="preserve">8. </w:t>
      </w:r>
      <w:r>
        <w:rPr>
          <w:rFonts w:hint="eastAsia"/>
          <w:color w:val="auto"/>
          <w:highlight w:val="none"/>
        </w:rPr>
        <w:t>纪律和监督</w:t>
      </w:r>
      <w:bookmarkEnd w:id="116"/>
      <w:bookmarkEnd w:id="117"/>
      <w:bookmarkEnd w:id="118"/>
      <w:bookmarkEnd w:id="119"/>
    </w:p>
    <w:p>
      <w:pPr>
        <w:pStyle w:val="7"/>
        <w:adjustRightInd w:val="0"/>
        <w:snapToGrid w:val="0"/>
        <w:spacing w:line="360" w:lineRule="auto"/>
        <w:rPr>
          <w:color w:val="auto"/>
          <w:highlight w:val="none"/>
        </w:rPr>
      </w:pPr>
      <w:bookmarkStart w:id="120" w:name="bookmark69"/>
      <w:bookmarkEnd w:id="120"/>
      <w:r>
        <w:rPr>
          <w:color w:val="auto"/>
          <w:highlight w:val="none"/>
        </w:rPr>
        <w:t xml:space="preserve">8.1 </w:t>
      </w:r>
      <w:r>
        <w:rPr>
          <w:rFonts w:hint="eastAsia"/>
          <w:color w:val="auto"/>
          <w:highlight w:val="none"/>
        </w:rPr>
        <w:t>对招标人的纪律要求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招标人不得泄露招标投标活动中应当保密的情况和资料，不得与投标人串通损害国家利益、社会公共利益或者他人合法权益。</w:t>
      </w:r>
    </w:p>
    <w:p>
      <w:pPr>
        <w:pStyle w:val="7"/>
        <w:adjustRightInd w:val="0"/>
        <w:snapToGrid w:val="0"/>
        <w:spacing w:line="360" w:lineRule="auto"/>
        <w:rPr>
          <w:color w:val="auto"/>
          <w:highlight w:val="none"/>
        </w:rPr>
      </w:pPr>
      <w:bookmarkStart w:id="121" w:name="bookmark70"/>
      <w:bookmarkEnd w:id="121"/>
      <w:r>
        <w:rPr>
          <w:color w:val="auto"/>
          <w:highlight w:val="none"/>
        </w:rPr>
        <w:t xml:space="preserve">8.2 </w:t>
      </w:r>
      <w:r>
        <w:rPr>
          <w:rFonts w:hint="eastAsia"/>
          <w:color w:val="auto"/>
          <w:highlight w:val="none"/>
        </w:rPr>
        <w:t>对投标人的纪律要求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投标人不得相互串通投标或者与招标人串通投标，不得向招标人或者评标委员会成员行贿谋取中标，不得以他人名义投标或者以其他方式弄虚作假骗取中标；投标人不得以任何方式干扰、影响评标工作。</w:t>
      </w:r>
    </w:p>
    <w:p>
      <w:pPr>
        <w:pStyle w:val="7"/>
        <w:adjustRightInd w:val="0"/>
        <w:snapToGrid w:val="0"/>
        <w:spacing w:line="360" w:lineRule="auto"/>
        <w:rPr>
          <w:color w:val="auto"/>
          <w:highlight w:val="none"/>
        </w:rPr>
      </w:pPr>
      <w:bookmarkStart w:id="122" w:name="bookmark71"/>
      <w:bookmarkEnd w:id="122"/>
      <w:r>
        <w:rPr>
          <w:color w:val="auto"/>
          <w:highlight w:val="none"/>
        </w:rPr>
        <w:t xml:space="preserve">8.3 </w:t>
      </w:r>
      <w:r>
        <w:rPr>
          <w:rFonts w:hint="eastAsia"/>
          <w:color w:val="auto"/>
          <w:highlight w:val="none"/>
        </w:rPr>
        <w:t>对评标委员会成员的纪律要求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评标委员会成员不得收受他人的财物或者其他好处，不得向他人透露对投标文件的评审和比较、中标候选人的推荐情况以及评标有关的其他情况。在评标活动中，评标委员会成员应当客观、公正地履行职责，遵守职业道德，不得擅离职守，影响评标程序正常进行，不得使用第三章“评标办法”没有规定的评审因素和标准进行评标。</w:t>
      </w:r>
    </w:p>
    <w:p>
      <w:pPr>
        <w:pStyle w:val="7"/>
        <w:adjustRightInd w:val="0"/>
        <w:snapToGrid w:val="0"/>
        <w:spacing w:line="360" w:lineRule="auto"/>
        <w:rPr>
          <w:color w:val="auto"/>
          <w:highlight w:val="none"/>
        </w:rPr>
      </w:pPr>
      <w:bookmarkStart w:id="123" w:name="bookmark72"/>
      <w:bookmarkEnd w:id="123"/>
      <w:r>
        <w:rPr>
          <w:color w:val="auto"/>
          <w:highlight w:val="none"/>
        </w:rPr>
        <w:t xml:space="preserve">8.4 </w:t>
      </w:r>
      <w:r>
        <w:rPr>
          <w:rFonts w:hint="eastAsia"/>
          <w:color w:val="auto"/>
          <w:highlight w:val="none"/>
        </w:rPr>
        <w:t>对与评标活动有关的工作人员的纪律要求</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与评标活动有关的工作人员不得收受他人的财物或者其他好处，不得向他人透露对投标文件的评审和比较、中标候选人的推荐情况以及评标有关的其他情况。在评标活动中，与评标活动有关的工作人员不得擅离职守，影响评标程序正常进行。</w:t>
      </w:r>
    </w:p>
    <w:p>
      <w:pPr>
        <w:pStyle w:val="7"/>
        <w:adjustRightInd w:val="0"/>
        <w:snapToGrid w:val="0"/>
        <w:spacing w:line="360" w:lineRule="auto"/>
        <w:rPr>
          <w:color w:val="auto"/>
          <w:highlight w:val="none"/>
        </w:rPr>
      </w:pPr>
      <w:bookmarkStart w:id="124" w:name="bookmark73"/>
      <w:bookmarkEnd w:id="124"/>
      <w:r>
        <w:rPr>
          <w:color w:val="auto"/>
          <w:highlight w:val="none"/>
        </w:rPr>
        <w:t xml:space="preserve">8.5 </w:t>
      </w:r>
      <w:r>
        <w:rPr>
          <w:rFonts w:hint="eastAsia"/>
          <w:color w:val="auto"/>
          <w:highlight w:val="none"/>
        </w:rPr>
        <w:t>投诉</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8.5.1</w:t>
      </w:r>
      <w:r>
        <w:rPr>
          <w:rFonts w:hint="eastAsia" w:ascii="宋体" w:hAnsi="宋体"/>
          <w:color w:val="auto"/>
          <w:szCs w:val="21"/>
          <w:highlight w:val="none"/>
        </w:rPr>
        <w:t>投标人或者其他利害关系人认为招标投标活动不符合法律、行政法规规定的，可以自知道或者应当知道之日起</w:t>
      </w:r>
      <w:r>
        <w:rPr>
          <w:rFonts w:ascii="宋体" w:hAnsi="宋体"/>
          <w:color w:val="auto"/>
          <w:szCs w:val="21"/>
          <w:highlight w:val="none"/>
        </w:rPr>
        <w:t>10</w:t>
      </w:r>
      <w:r>
        <w:rPr>
          <w:rFonts w:hint="eastAsia" w:ascii="宋体" w:hAnsi="宋体"/>
          <w:color w:val="auto"/>
          <w:szCs w:val="21"/>
          <w:highlight w:val="none"/>
        </w:rPr>
        <w:t>日内向有关行政监督部门投诉。投诉应当有明确的请求和必要的证明材料。</w:t>
      </w:r>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ascii="宋体" w:hAnsi="宋体"/>
          <w:color w:val="auto"/>
          <w:szCs w:val="21"/>
          <w:highlight w:val="none"/>
        </w:rPr>
        <w:t>8.5.2</w:t>
      </w:r>
      <w:r>
        <w:rPr>
          <w:rFonts w:hint="eastAsia" w:ascii="宋体" w:hAnsi="宋体"/>
          <w:color w:val="auto"/>
          <w:szCs w:val="21"/>
          <w:highlight w:val="none"/>
        </w:rPr>
        <w:t>投标人或者其他利害关系人对招标文件、开标和评标结果提出投诉的，应当按照投标人须知第</w:t>
      </w:r>
      <w:r>
        <w:rPr>
          <w:rFonts w:ascii="宋体" w:hAnsi="宋体"/>
          <w:color w:val="auto"/>
          <w:szCs w:val="21"/>
          <w:highlight w:val="none"/>
        </w:rPr>
        <w:t>2.4</w:t>
      </w:r>
      <w:r>
        <w:rPr>
          <w:rFonts w:hint="eastAsia" w:ascii="宋体" w:hAnsi="宋体"/>
          <w:color w:val="auto"/>
          <w:szCs w:val="21"/>
          <w:highlight w:val="none"/>
        </w:rPr>
        <w:t>款、第</w:t>
      </w:r>
      <w:r>
        <w:rPr>
          <w:rFonts w:ascii="宋体" w:hAnsi="宋体"/>
          <w:color w:val="auto"/>
          <w:szCs w:val="21"/>
          <w:highlight w:val="none"/>
        </w:rPr>
        <w:t>5.3</w:t>
      </w:r>
      <w:r>
        <w:rPr>
          <w:rFonts w:hint="eastAsia" w:ascii="宋体" w:hAnsi="宋体"/>
          <w:color w:val="auto"/>
          <w:szCs w:val="21"/>
          <w:highlight w:val="none"/>
        </w:rPr>
        <w:t>款和第</w:t>
      </w:r>
      <w:r>
        <w:rPr>
          <w:rFonts w:ascii="宋体" w:hAnsi="宋体"/>
          <w:color w:val="auto"/>
          <w:szCs w:val="21"/>
          <w:highlight w:val="none"/>
        </w:rPr>
        <w:t>7.2</w:t>
      </w:r>
      <w:r>
        <w:rPr>
          <w:rFonts w:hint="eastAsia" w:ascii="宋体" w:hAnsi="宋体"/>
          <w:color w:val="auto"/>
          <w:szCs w:val="21"/>
          <w:highlight w:val="none"/>
        </w:rPr>
        <w:t>款的规定先向招标人提出异议。异议答复期间不计算在第</w:t>
      </w:r>
      <w:r>
        <w:rPr>
          <w:rFonts w:ascii="宋体" w:hAnsi="宋体"/>
          <w:color w:val="auto"/>
          <w:szCs w:val="21"/>
          <w:highlight w:val="none"/>
        </w:rPr>
        <w:t>8.5.1</w:t>
      </w:r>
      <w:r>
        <w:rPr>
          <w:rFonts w:hint="eastAsia" w:ascii="宋体" w:hAnsi="宋体"/>
          <w:color w:val="auto"/>
          <w:szCs w:val="21"/>
          <w:highlight w:val="none"/>
        </w:rPr>
        <w:t>项规定的期限内。</w:t>
      </w:r>
    </w:p>
    <w:p>
      <w:pPr>
        <w:pStyle w:val="5"/>
        <w:adjustRightInd w:val="0"/>
        <w:snapToGrid w:val="0"/>
        <w:rPr>
          <w:color w:val="auto"/>
          <w:highlight w:val="none"/>
        </w:rPr>
      </w:pPr>
      <w:bookmarkStart w:id="125" w:name="bookmark74"/>
      <w:bookmarkEnd w:id="125"/>
      <w:bookmarkStart w:id="126" w:name="_Toc12217"/>
      <w:bookmarkStart w:id="127" w:name="_Toc103592017"/>
      <w:bookmarkStart w:id="128" w:name="_Toc8079"/>
      <w:r>
        <w:rPr>
          <w:color w:val="auto"/>
          <w:highlight w:val="none"/>
        </w:rPr>
        <w:t xml:space="preserve">9. </w:t>
      </w:r>
      <w:r>
        <w:rPr>
          <w:rFonts w:hint="eastAsia"/>
          <w:color w:val="auto"/>
          <w:highlight w:val="none"/>
        </w:rPr>
        <w:t>是否采用电子招标投标</w:t>
      </w:r>
      <w:bookmarkEnd w:id="126"/>
      <w:bookmarkEnd w:id="127"/>
      <w:bookmarkEnd w:id="128"/>
    </w:p>
    <w:p>
      <w:pPr>
        <w:pStyle w:val="13"/>
        <w:kinsoku w:val="0"/>
        <w:overflowPunct w:val="0"/>
        <w:adjustRightInd w:val="0"/>
        <w:snapToGrid w:val="0"/>
        <w:spacing w:line="360" w:lineRule="auto"/>
        <w:ind w:firstLine="420" w:firstLineChars="200"/>
        <w:rPr>
          <w:rFonts w:ascii="宋体" w:hAnsi="宋体"/>
          <w:color w:val="auto"/>
          <w:szCs w:val="21"/>
          <w:highlight w:val="none"/>
        </w:rPr>
      </w:pPr>
      <w:r>
        <w:rPr>
          <w:rFonts w:hint="eastAsia" w:ascii="宋体" w:hAnsi="宋体"/>
          <w:color w:val="auto"/>
          <w:szCs w:val="21"/>
          <w:highlight w:val="none"/>
        </w:rPr>
        <w:t>本招标项目采用电子招标投标方式，具体要求见投标人须知前附表。</w:t>
      </w:r>
    </w:p>
    <w:p>
      <w:pPr>
        <w:pStyle w:val="5"/>
        <w:adjustRightInd w:val="0"/>
        <w:snapToGrid w:val="0"/>
        <w:rPr>
          <w:color w:val="auto"/>
          <w:highlight w:val="none"/>
        </w:rPr>
      </w:pPr>
      <w:bookmarkStart w:id="129" w:name="bookmark75"/>
      <w:bookmarkEnd w:id="129"/>
      <w:bookmarkStart w:id="130" w:name="_Toc15968"/>
      <w:bookmarkStart w:id="131" w:name="_Toc103592018"/>
      <w:bookmarkStart w:id="132" w:name="_Toc15052"/>
      <w:r>
        <w:rPr>
          <w:color w:val="auto"/>
          <w:highlight w:val="none"/>
        </w:rPr>
        <w:t xml:space="preserve">10. </w:t>
      </w:r>
      <w:r>
        <w:rPr>
          <w:rFonts w:hint="eastAsia"/>
          <w:color w:val="auto"/>
          <w:highlight w:val="none"/>
        </w:rPr>
        <w:t>需要补充的其他内容</w:t>
      </w:r>
      <w:bookmarkEnd w:id="130"/>
      <w:bookmarkEnd w:id="131"/>
      <w:bookmarkEnd w:id="132"/>
    </w:p>
    <w:p>
      <w:pPr>
        <w:adjustRightInd w:val="0"/>
        <w:snapToGrid w:val="0"/>
        <w:spacing w:line="360" w:lineRule="auto"/>
        <w:ind w:firstLine="424" w:firstLineChars="202"/>
        <w:rPr>
          <w:rFonts w:ascii="宋体" w:hAnsi="宋体"/>
          <w:color w:val="auto"/>
          <w:highlight w:val="none"/>
        </w:rPr>
      </w:pPr>
      <w:r>
        <w:rPr>
          <w:rFonts w:hint="eastAsia" w:ascii="宋体" w:hAnsi="宋体"/>
          <w:color w:val="auto"/>
          <w:highlight w:val="none"/>
        </w:rPr>
        <w:t>需要补充的其他内容：见投标人须知前附表。</w:t>
      </w:r>
    </w:p>
    <w:p>
      <w:pPr>
        <w:pStyle w:val="3"/>
        <w:rPr>
          <w:color w:val="auto"/>
          <w:highlight w:val="none"/>
        </w:rPr>
      </w:pPr>
      <w:r>
        <w:rPr>
          <w:color w:val="auto"/>
          <w:szCs w:val="24"/>
          <w:highlight w:val="none"/>
        </w:rPr>
        <w:br w:type="page"/>
      </w:r>
      <w:bookmarkStart w:id="133" w:name="_Toc533357317"/>
      <w:bookmarkStart w:id="134" w:name="_Toc103592019"/>
      <w:bookmarkStart w:id="135" w:name="_Toc1806"/>
      <w:bookmarkStart w:id="136" w:name="_Toc18312"/>
      <w:r>
        <w:rPr>
          <w:rFonts w:hint="eastAsia"/>
          <w:color w:val="auto"/>
          <w:highlight w:val="none"/>
        </w:rPr>
        <w:t>第三章  评标办法（综合评估法）</w:t>
      </w:r>
      <w:bookmarkEnd w:id="133"/>
      <w:bookmarkEnd w:id="134"/>
      <w:bookmarkEnd w:id="135"/>
      <w:bookmarkEnd w:id="136"/>
    </w:p>
    <w:p>
      <w:pPr>
        <w:pStyle w:val="4"/>
        <w:rPr>
          <w:rFonts w:hint="eastAsia" w:ascii="宋体" w:hAnsi="宋体"/>
          <w:color w:val="auto"/>
          <w:highlight w:val="none"/>
        </w:rPr>
      </w:pPr>
      <w:bookmarkStart w:id="137" w:name="_Toc17897"/>
      <w:bookmarkStart w:id="138" w:name="_Toc24396"/>
      <w:bookmarkStart w:id="139" w:name="_Toc533357318"/>
      <w:bookmarkStart w:id="140" w:name="_Toc103592020"/>
      <w:r>
        <w:rPr>
          <w:rFonts w:hint="eastAsia" w:ascii="宋体" w:hAnsi="宋体"/>
          <w:color w:val="auto"/>
          <w:highlight w:val="none"/>
        </w:rPr>
        <w:t>评标办法前附表</w:t>
      </w:r>
      <w:bookmarkEnd w:id="137"/>
      <w:bookmarkEnd w:id="138"/>
      <w:bookmarkEnd w:id="139"/>
      <w:bookmarkEnd w:id="140"/>
    </w:p>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67"/>
        <w:gridCol w:w="851"/>
        <w:gridCol w:w="1550"/>
        <w:gridCol w:w="713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b/>
                <w:color w:val="auto"/>
                <w:szCs w:val="21"/>
                <w:highlight w:val="none"/>
              </w:rPr>
            </w:pPr>
            <w:r>
              <w:rPr>
                <w:rFonts w:hint="eastAsia" w:ascii="宋体" w:hAnsi="宋体"/>
                <w:b/>
                <w:color w:val="auto"/>
                <w:szCs w:val="21"/>
                <w:highlight w:val="none"/>
              </w:rPr>
              <w:t>条款号</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b/>
                <w:color w:val="auto"/>
                <w:szCs w:val="21"/>
                <w:highlight w:val="none"/>
              </w:rPr>
            </w:pPr>
            <w:r>
              <w:rPr>
                <w:rFonts w:hint="eastAsia" w:ascii="宋体" w:hAnsi="宋体"/>
                <w:b/>
                <w:color w:val="auto"/>
                <w:szCs w:val="21"/>
                <w:highlight w:val="none"/>
              </w:rPr>
              <w:t>评审因素</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b/>
                <w:color w:val="auto"/>
                <w:szCs w:val="21"/>
                <w:highlight w:val="none"/>
              </w:rPr>
            </w:pPr>
            <w:r>
              <w:rPr>
                <w:rFonts w:hint="eastAsia" w:ascii="宋体" w:hAnsi="宋体"/>
                <w:b/>
                <w:color w:val="auto"/>
                <w:szCs w:val="21"/>
                <w:highlight w:val="none"/>
              </w:rPr>
              <w:t>评审标准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1</w:t>
            </w:r>
          </w:p>
        </w:tc>
        <w:tc>
          <w:tcPr>
            <w:tcW w:w="851"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评标方法</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中标候选人排序方法</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和监测方案得分高的优先；如果检测和监测方案得分也相等，由评标委员会采用记名投票方式，以得票多的优先。</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2.1.1</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形式评审标准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投标人名称</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与营业执照（或事业单位法人证书）、资质证书一致。</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投标函及其附表签字盖章</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投标函及其附表格式及签字盖章符合招标文件要求，由法定代表人签字的，应附法定代表人证明书，由代理人签字的，应附法定代表人证明书及授权委托书。</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投标文件格式</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符合第六章“投标文件格式”的规定。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备选投标方案</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不允许。</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p>
        </w:tc>
        <w:tc>
          <w:tcPr>
            <w:tcW w:w="1550" w:type="dxa"/>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投标人机器码</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不同投标人机器码相同（以广州公共资源交易中心评标系统的检索信息为准），将被否决。</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2.1.2</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资格评审标准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营业执照</w:t>
            </w:r>
            <w:r>
              <w:rPr>
                <w:rFonts w:hint="eastAsia" w:ascii="宋体" w:hAnsi="宋体" w:cs="宋体"/>
                <w:color w:val="auto"/>
                <w:szCs w:val="21"/>
                <w:highlight w:val="none"/>
                <w:u w:val="single"/>
              </w:rPr>
              <w:t>（或事业单位法人证书）</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符合第二章“投标人须知”第3.5.1项规定。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资质要求</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项目负责人</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其他要求</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符合第二章“投标人须知”第1.4.1项规定。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联合体投标人</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ascii="宋体" w:hAnsi="宋体"/>
                <w:color w:val="auto"/>
                <w:szCs w:val="21"/>
                <w:highlight w:val="none"/>
              </w:rPr>
              <w:t xml:space="preserve">符合第二章“投标人须知”第 1.4.2 项规定 </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不存在禁止投标的情形</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不存在第二章“投标人须知”第 1.4.3 项规定的任何一种情形（以《投标申请人声明》为准）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2.1.3</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olor w:val="auto"/>
                <w:szCs w:val="21"/>
                <w:highlight w:val="none"/>
              </w:rPr>
              <w:t>响应性评审标准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投标报价</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投标内容</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符合第二章“投标人须知”第1.3.1规定；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服务期限</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符合第二章“投标人须知”第1.3.2规定；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质量标准</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符合第二章“投标人须知”第1.3.3规定；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投标有效期</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符合第二章“投标人须知”第3.3.1规定；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投标保证金</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符合第二章“投标人须知”第3.4.1规定；</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串通投标情形</w:t>
            </w:r>
          </w:p>
        </w:tc>
        <w:tc>
          <w:tcPr>
            <w:tcW w:w="7136" w:type="dxa"/>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szCs w:val="21"/>
                <w:highlight w:val="none"/>
              </w:rPr>
            </w:pPr>
            <w:r>
              <w:rPr>
                <w:rFonts w:hint="eastAsia" w:ascii="宋体" w:hAnsi="宋体" w:cs="宋体"/>
                <w:color w:val="auto"/>
                <w:szCs w:val="21"/>
                <w:highlight w:val="none"/>
              </w:rPr>
              <w:t>不存在串通投标情形（串通投标情形以《中华人民共和国招标投标法实施条例》的规定为准）；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2.2.1</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分值构成</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（总分</w:t>
            </w:r>
            <w:r>
              <w:rPr>
                <w:rFonts w:ascii="宋体" w:hAnsi="宋体" w:cs="宋体"/>
                <w:color w:val="auto"/>
                <w:szCs w:val="21"/>
                <w:highlight w:val="none"/>
              </w:rPr>
              <w:t>100</w:t>
            </w:r>
            <w:r>
              <w:rPr>
                <w:rFonts w:hint="eastAsia" w:ascii="宋体" w:hAnsi="宋体" w:cs="宋体"/>
                <w:color w:val="auto"/>
                <w:szCs w:val="21"/>
                <w:highlight w:val="none"/>
              </w:rPr>
              <w:t>分）</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b/>
                <w:color w:val="auto"/>
                <w:szCs w:val="21"/>
                <w:highlight w:val="none"/>
              </w:rPr>
              <w:t>A企业综合实力部分：</w:t>
            </w:r>
            <w:r>
              <w:rPr>
                <w:rFonts w:ascii="宋体" w:hAnsi="宋体"/>
                <w:bCs/>
                <w:color w:val="auto"/>
                <w:szCs w:val="21"/>
                <w:highlight w:val="none"/>
                <w:u w:val="single"/>
              </w:rPr>
              <w:t>5</w:t>
            </w:r>
            <w:r>
              <w:rPr>
                <w:rFonts w:hint="eastAsia" w:ascii="宋体" w:hAnsi="宋体"/>
                <w:bCs/>
                <w:color w:val="auto"/>
                <w:szCs w:val="21"/>
                <w:highlight w:val="none"/>
                <w:u w:val="single"/>
              </w:rPr>
              <w:t>0</w:t>
            </w:r>
            <w:r>
              <w:rPr>
                <w:rFonts w:hint="eastAsia" w:ascii="宋体" w:hAnsi="宋体"/>
                <w:bCs/>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b/>
                <w:color w:val="auto"/>
                <w:szCs w:val="21"/>
                <w:highlight w:val="none"/>
              </w:rPr>
            </w:pPr>
            <w:r>
              <w:rPr>
                <w:rFonts w:hint="eastAsia" w:ascii="宋体" w:hAnsi="宋体"/>
                <w:b/>
                <w:color w:val="auto"/>
                <w:szCs w:val="21"/>
                <w:highlight w:val="none"/>
              </w:rPr>
              <w:t>B技术方案部分：</w:t>
            </w:r>
            <w:r>
              <w:rPr>
                <w:rFonts w:ascii="宋体" w:hAnsi="宋体"/>
                <w:bCs/>
                <w:color w:val="auto"/>
                <w:szCs w:val="21"/>
                <w:highlight w:val="none"/>
                <w:u w:val="single"/>
              </w:rPr>
              <w:t>3</w:t>
            </w:r>
            <w:r>
              <w:rPr>
                <w:rFonts w:hint="eastAsia" w:ascii="宋体" w:hAnsi="宋体"/>
                <w:bCs/>
                <w:color w:val="auto"/>
                <w:szCs w:val="21"/>
                <w:highlight w:val="none"/>
                <w:u w:val="single"/>
              </w:rPr>
              <w:t>0</w:t>
            </w:r>
            <w:r>
              <w:rPr>
                <w:rFonts w:hint="eastAsia" w:ascii="宋体" w:hAnsi="宋体"/>
                <w:bCs/>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b/>
                <w:color w:val="auto"/>
                <w:szCs w:val="21"/>
                <w:highlight w:val="none"/>
              </w:rPr>
              <w:t>C投标报价部分：</w:t>
            </w:r>
            <w:r>
              <w:rPr>
                <w:rFonts w:hint="eastAsia" w:ascii="宋体" w:hAnsi="宋体"/>
                <w:bCs/>
                <w:color w:val="auto"/>
                <w:szCs w:val="21"/>
                <w:highlight w:val="none"/>
                <w:u w:val="single"/>
              </w:rPr>
              <w:t>20</w:t>
            </w:r>
            <w:r>
              <w:rPr>
                <w:rFonts w:hint="eastAsia" w:ascii="宋体" w:hAnsi="宋体"/>
                <w:bCs/>
                <w:color w:val="auto"/>
                <w:szCs w:val="21"/>
                <w:highlight w:val="none"/>
              </w:rPr>
              <w:t>分</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right="65" w:rightChars="31"/>
              <w:textAlignment w:val="auto"/>
              <w:rPr>
                <w:rFonts w:ascii="宋体" w:hAnsi="宋体" w:cs="宋体"/>
                <w:color w:val="auto"/>
                <w:szCs w:val="21"/>
                <w:highlight w:val="none"/>
              </w:rPr>
            </w:pPr>
            <w:r>
              <w:rPr>
                <w:rFonts w:hint="eastAsia" w:ascii="宋体" w:hAnsi="宋体"/>
                <w:b/>
                <w:color w:val="auto"/>
                <w:szCs w:val="21"/>
                <w:highlight w:val="none"/>
              </w:rPr>
              <w:t>D其他因素部分：/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2.2.2</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评标参考价计算方法</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right="65" w:rightChars="31"/>
              <w:textAlignment w:val="auto"/>
              <w:rPr>
                <w:rFonts w:ascii="宋体" w:hAnsi="宋体" w:cs="宋体"/>
                <w:color w:val="auto"/>
                <w:szCs w:val="21"/>
                <w:highlight w:val="none"/>
              </w:rPr>
            </w:pPr>
            <w:r>
              <w:rPr>
                <w:rFonts w:hint="eastAsia" w:ascii="宋体" w:hAnsi="宋体" w:cs="宋体"/>
                <w:color w:val="auto"/>
                <w:szCs w:val="21"/>
                <w:highlight w:val="none"/>
              </w:rPr>
              <w:t>1、若当通过形式评审、资格评审、响应性评审且位于[最高限价×90%，最高限价×100%]区间的投标报价中的有效投标人大于5名时，去掉一个最高价和一个最低价，取余下有效投标报价的算术平均值的作为评标参考价。</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right="65" w:rightChars="31"/>
              <w:textAlignment w:val="auto"/>
              <w:rPr>
                <w:rFonts w:ascii="宋体" w:hAnsi="宋体" w:cs="宋体"/>
                <w:color w:val="auto"/>
                <w:szCs w:val="21"/>
                <w:highlight w:val="none"/>
              </w:rPr>
            </w:pPr>
            <w:r>
              <w:rPr>
                <w:rFonts w:hint="eastAsia" w:ascii="宋体" w:hAnsi="宋体" w:cs="宋体"/>
                <w:color w:val="auto"/>
                <w:szCs w:val="21"/>
                <w:highlight w:val="none"/>
              </w:rPr>
              <w:t>2、若当通过形式评审、资格评审、响应性评审且位于[最高限价×90%，最高限价×100%]区间的投标报价中的有效投标人小于或等于5名时，取所有入围的有效投标报价的算术平均值的作为评标参考价。</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right="65" w:rightChars="31"/>
              <w:textAlignment w:val="auto"/>
              <w:rPr>
                <w:rFonts w:ascii="宋体" w:hAnsi="宋体" w:cs="宋体"/>
                <w:color w:val="auto"/>
                <w:szCs w:val="21"/>
                <w:highlight w:val="none"/>
              </w:rPr>
            </w:pPr>
            <w:r>
              <w:rPr>
                <w:rFonts w:hint="eastAsia" w:ascii="宋体" w:hAnsi="宋体" w:cs="宋体"/>
                <w:color w:val="auto"/>
                <w:szCs w:val="21"/>
                <w:highlight w:val="none"/>
              </w:rPr>
              <w:t>3、若当通过形式评审、资格评审、响应性评审但没有投标报价位于[最高限价×90%，最高限价×100%]区间的有效投标人，所有投标人的报价得分为0分。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4" w:hRule="atLeast"/>
          <w:jc w:val="center"/>
        </w:trPr>
        <w:tc>
          <w:tcPr>
            <w:tcW w:w="1618"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ascii="宋体" w:hAnsi="宋体"/>
                <w:color w:val="auto"/>
                <w:szCs w:val="21"/>
                <w:highlight w:val="none"/>
              </w:rPr>
              <w:t>2.2.3</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投标报价的偏差率计算公式</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olor w:val="auto"/>
                <w:szCs w:val="21"/>
                <w:highlight w:val="none"/>
              </w:rPr>
              <w:t>偏差率=100% ×|投标人报价-评标参考价|/评标参考价（偏差率出现小数点时，保留小数点后2位，第三位小数四舍五入；报价偏差率不足1%的，按直线内插法计算投标报价得分。）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2.2.4（1）</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企业综合实力评分标准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highlight w:val="none"/>
              </w:rPr>
              <w:t>投标人业绩</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2"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highlight w:val="none"/>
              </w:rPr>
              <w:t>投标人信誉</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6"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highlight w:val="none"/>
              </w:rPr>
              <w:t>拟投入人员综合水平</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left"/>
              <w:textAlignment w:val="auto"/>
              <w:rPr>
                <w:rFonts w:ascii="宋体" w:hAnsi="宋体" w:cs="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80" w:hRule="atLeast"/>
          <w:jc w:val="center"/>
        </w:trPr>
        <w:tc>
          <w:tcPr>
            <w:tcW w:w="767"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2.2.4（2）</w:t>
            </w:r>
          </w:p>
        </w:tc>
        <w:tc>
          <w:tcPr>
            <w:tcW w:w="851" w:type="dxa"/>
            <w:vMerge w:val="restart"/>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技术方案评分标准</w:t>
            </w: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olor w:val="auto"/>
                <w:szCs w:val="21"/>
                <w:highlight w:val="none"/>
              </w:rPr>
            </w:pPr>
            <w:r>
              <w:rPr>
                <w:rFonts w:hint="eastAsia" w:ascii="宋体" w:hAnsi="宋体" w:cs="宋体"/>
                <w:color w:val="auto"/>
                <w:szCs w:val="21"/>
                <w:highlight w:val="none"/>
              </w:rPr>
              <w:t>拟投入仪器设备计划</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olor w:val="auto"/>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jc w:val="center"/>
        </w:trPr>
        <w:tc>
          <w:tcPr>
            <w:tcW w:w="767"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p>
        </w:tc>
        <w:tc>
          <w:tcPr>
            <w:tcW w:w="851" w:type="dxa"/>
            <w:vMerge w:val="continue"/>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p>
        </w:tc>
        <w:tc>
          <w:tcPr>
            <w:tcW w:w="1550"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Arial Unicode MS"/>
                <w:color w:val="auto"/>
                <w:szCs w:val="21"/>
                <w:highlight w:val="none"/>
              </w:rPr>
            </w:pPr>
            <w:r>
              <w:rPr>
                <w:rFonts w:hint="eastAsia" w:ascii="宋体" w:hAnsi="宋体" w:cs="宋体"/>
                <w:color w:val="auto"/>
                <w:highlight w:val="none"/>
              </w:rPr>
              <w:t>检测和监测方案</w:t>
            </w:r>
          </w:p>
        </w:tc>
        <w:tc>
          <w:tcPr>
            <w:tcW w:w="7136"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left="420" w:hanging="420" w:hangingChars="200"/>
              <w:textAlignment w:val="auto"/>
              <w:rPr>
                <w:rFonts w:ascii="宋体" w:hAnsi="宋体" w:cs="宋体"/>
                <w:color w:val="auto"/>
                <w:kern w:val="0"/>
                <w:szCs w:val="21"/>
                <w:highlight w:val="none"/>
              </w:rPr>
            </w:pPr>
            <w:r>
              <w:rPr>
                <w:rFonts w:hint="eastAsia" w:ascii="宋体" w:hAnsi="宋体" w:cs="宋体"/>
                <w:color w:val="auto"/>
                <w:szCs w:val="21"/>
                <w:highlight w:val="none"/>
              </w:rPr>
              <w:t>详见本章附表：综合评分表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767"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jc w:val="center"/>
              <w:textAlignment w:val="auto"/>
              <w:rPr>
                <w:rFonts w:ascii="宋体" w:hAnsi="宋体" w:cs="宋体"/>
                <w:color w:val="auto"/>
                <w:szCs w:val="21"/>
                <w:highlight w:val="none"/>
              </w:rPr>
            </w:pPr>
            <w:r>
              <w:rPr>
                <w:rFonts w:hint="eastAsia" w:ascii="宋体" w:hAnsi="宋体" w:cs="宋体"/>
                <w:color w:val="auto"/>
                <w:szCs w:val="21"/>
                <w:highlight w:val="none"/>
              </w:rPr>
              <w:t>2.2.4（3）</w:t>
            </w:r>
          </w:p>
        </w:tc>
        <w:tc>
          <w:tcPr>
            <w:tcW w:w="851" w:type="dxa"/>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ind w:left="-107" w:leftChars="-51" w:right="-107" w:rightChars="-51"/>
              <w:jc w:val="center"/>
              <w:textAlignment w:val="auto"/>
              <w:rPr>
                <w:rFonts w:ascii="宋体" w:hAnsi="宋体" w:cs="宋体"/>
                <w:color w:val="auto"/>
                <w:szCs w:val="21"/>
                <w:highlight w:val="none"/>
              </w:rPr>
            </w:pPr>
            <w:r>
              <w:rPr>
                <w:rFonts w:hint="eastAsia" w:ascii="宋体" w:hAnsi="宋体" w:cs="宋体"/>
                <w:color w:val="auto"/>
                <w:szCs w:val="21"/>
                <w:highlight w:val="none"/>
              </w:rPr>
              <w:t>投标报价评分标准</w:t>
            </w:r>
          </w:p>
        </w:tc>
        <w:tc>
          <w:tcPr>
            <w:tcW w:w="8686" w:type="dxa"/>
            <w:gridSpan w:val="2"/>
            <w:vAlign w:val="center"/>
          </w:tcPr>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bCs/>
                <w:color w:val="auto"/>
                <w:szCs w:val="21"/>
                <w:highlight w:val="none"/>
              </w:rPr>
            </w:pPr>
            <w:r>
              <w:rPr>
                <w:rFonts w:hint="eastAsia" w:ascii="宋体" w:hAnsi="宋体"/>
                <w:bCs/>
                <w:color w:val="auto"/>
                <w:szCs w:val="21"/>
                <w:highlight w:val="none"/>
              </w:rPr>
              <w:t>以评标参考价作为计算各有效投标报价得分的基础，当有效投标报价等于评标参考价时得20分；投标有效报价与评标参考价之差，每上偏1%扣0.5分，下偏1%扣0.3分；最多减至0分止。（</w:t>
            </w:r>
            <w:r>
              <w:rPr>
                <w:rFonts w:hint="eastAsia" w:ascii="宋体" w:hAnsi="宋体" w:cs="宋体"/>
                <w:bCs/>
                <w:color w:val="auto"/>
                <w:szCs w:val="21"/>
                <w:highlight w:val="none"/>
              </w:rPr>
              <w:t>中间报价得分按直线内插法计算</w:t>
            </w:r>
            <w:r>
              <w:rPr>
                <w:rFonts w:hint="eastAsia" w:ascii="宋体" w:hAnsi="宋体"/>
                <w:bCs/>
                <w:color w:val="auto"/>
                <w:szCs w:val="21"/>
                <w:highlight w:val="none"/>
              </w:rPr>
              <w:t>）</w:t>
            </w:r>
          </w:p>
          <w:p>
            <w:pPr>
              <w:keepNext w:val="0"/>
              <w:keepLines w:val="0"/>
              <w:pageBreakBefore w:val="0"/>
              <w:widowControl w:val="0"/>
              <w:kinsoku/>
              <w:wordWrap/>
              <w:overflowPunct/>
              <w:topLinePunct w:val="0"/>
              <w:autoSpaceDE/>
              <w:autoSpaceDN/>
              <w:bidi w:val="0"/>
              <w:adjustRightInd w:val="0"/>
              <w:snapToGrid w:val="0"/>
              <w:spacing w:before="0" w:beforeLines="30" w:after="0" w:afterLines="30" w:line="288" w:lineRule="auto"/>
              <w:textAlignment w:val="auto"/>
              <w:rPr>
                <w:rFonts w:ascii="宋体" w:hAnsi="宋体" w:cs="宋体"/>
                <w:color w:val="auto"/>
                <w:kern w:val="0"/>
                <w:szCs w:val="21"/>
                <w:highlight w:val="none"/>
              </w:rPr>
            </w:pPr>
            <w:r>
              <w:rPr>
                <w:rFonts w:hint="eastAsia" w:ascii="宋体" w:hAnsi="宋体"/>
                <w:bCs/>
                <w:color w:val="auto"/>
                <w:szCs w:val="21"/>
                <w:highlight w:val="none"/>
              </w:rPr>
              <w:t>注：本项最高分为20分，最低分为0分。得分精确到小数点后两位。</w:t>
            </w:r>
          </w:p>
        </w:tc>
      </w:tr>
    </w:tbl>
    <w:p>
      <w:pPr>
        <w:pStyle w:val="5"/>
        <w:rPr>
          <w:color w:val="auto"/>
          <w:highlight w:val="none"/>
        </w:rPr>
      </w:pPr>
      <w:r>
        <w:rPr>
          <w:rFonts w:cs="宋体"/>
          <w:color w:val="auto"/>
          <w:szCs w:val="21"/>
          <w:highlight w:val="none"/>
        </w:rPr>
        <w:br w:type="page"/>
      </w:r>
      <w:bookmarkStart w:id="141" w:name="_Toc6836"/>
      <w:bookmarkStart w:id="142" w:name="_Toc103592021"/>
      <w:bookmarkStart w:id="143" w:name="_Toc4520"/>
      <w:r>
        <w:rPr>
          <w:rFonts w:hint="eastAsia"/>
          <w:color w:val="auto"/>
          <w:highlight w:val="none"/>
        </w:rPr>
        <w:t>附表一：形式评审表</w:t>
      </w:r>
      <w:bookmarkEnd w:id="141"/>
      <w:bookmarkEnd w:id="142"/>
      <w:bookmarkEnd w:id="143"/>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形式评审表</w:t>
      </w:r>
    </w:p>
    <w:tbl>
      <w:tblPr>
        <w:tblStyle w:val="28"/>
        <w:tblpPr w:leftFromText="180" w:rightFromText="180" w:vertAnchor="text" w:horzAnchor="margin" w:tblpY="157"/>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34"/>
        <w:gridCol w:w="4258"/>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编号</w:t>
            </w:r>
          </w:p>
        </w:tc>
        <w:tc>
          <w:tcPr>
            <w:tcW w:w="4258" w:type="dxa"/>
            <w:tcBorders>
              <w:tl2br w:val="single" w:color="auto" w:sz="4" w:space="0"/>
            </w:tcBorders>
            <w:vAlign w:val="center"/>
          </w:tcPr>
          <w:p>
            <w:pPr>
              <w:tabs>
                <w:tab w:val="left" w:pos="720"/>
              </w:tabs>
              <w:snapToGrid w:val="0"/>
              <w:spacing w:line="276" w:lineRule="auto"/>
              <w:ind w:firstLine="2070" w:firstLineChars="1150"/>
              <w:rPr>
                <w:rFonts w:ascii="宋体" w:hAnsi="宋体"/>
                <w:color w:val="auto"/>
                <w:sz w:val="18"/>
                <w:szCs w:val="18"/>
                <w:highlight w:val="none"/>
              </w:rPr>
            </w:pPr>
            <w:r>
              <w:rPr>
                <w:rFonts w:hint="eastAsia" w:ascii="宋体" w:hAnsi="宋体"/>
                <w:color w:val="auto"/>
                <w:sz w:val="18"/>
                <w:szCs w:val="18"/>
                <w:highlight w:val="none"/>
              </w:rPr>
              <w:t>投标人名称</w:t>
            </w:r>
          </w:p>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评审项目</w:t>
            </w:r>
          </w:p>
        </w:tc>
        <w:tc>
          <w:tcPr>
            <w:tcW w:w="761" w:type="dxa"/>
            <w:vAlign w:val="center"/>
          </w:tcPr>
          <w:p>
            <w:pPr>
              <w:tabs>
                <w:tab w:val="left" w:pos="720"/>
              </w:tabs>
              <w:snapToGrid w:val="0"/>
              <w:spacing w:line="276" w:lineRule="auto"/>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投标人名称：与营业执照（或事业单位法人证书）、资质证书一致。</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投标函及其附表签字盖章：投标函及其附表格式及签字盖章符合招标文件要求，由法定代表人签字的，应附法定代表人证明书，由代理人签字的，应附法定代表人证明书及授权委托书。</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投标文件格式：符合第六章“投标文件格式”的规定。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备选投标方案：不允许。</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投标人机器码：不同投标人机器码相同（以广州公共资源交易中心评标系统的检索信息为准），将被否决。</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53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结论</w:t>
            </w:r>
          </w:p>
        </w:tc>
        <w:tc>
          <w:tcPr>
            <w:tcW w:w="4258"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bl>
    <w:p>
      <w:pPr>
        <w:rPr>
          <w:rFonts w:ascii="宋体" w:hAnsi="宋体"/>
          <w:color w:val="auto"/>
          <w:sz w:val="18"/>
          <w:szCs w:val="18"/>
          <w:highlight w:val="none"/>
        </w:rPr>
      </w:pPr>
    </w:p>
    <w:p>
      <w:pPr>
        <w:pStyle w:val="5"/>
        <w:rPr>
          <w:color w:val="auto"/>
          <w:highlight w:val="none"/>
        </w:rPr>
      </w:pPr>
    </w:p>
    <w:p>
      <w:pPr>
        <w:pStyle w:val="5"/>
        <w:rPr>
          <w:color w:val="auto"/>
          <w:highlight w:val="none"/>
        </w:rPr>
      </w:pPr>
      <w:r>
        <w:rPr>
          <w:color w:val="auto"/>
          <w:highlight w:val="none"/>
        </w:rPr>
        <w:br w:type="page"/>
      </w:r>
      <w:bookmarkStart w:id="144" w:name="_Toc103592022"/>
      <w:bookmarkStart w:id="145" w:name="_Toc23671"/>
      <w:bookmarkStart w:id="146" w:name="_Toc27272"/>
      <w:r>
        <w:rPr>
          <w:rFonts w:hint="eastAsia"/>
          <w:color w:val="auto"/>
          <w:highlight w:val="none"/>
        </w:rPr>
        <w:t>附表二：资格评审表</w:t>
      </w:r>
      <w:bookmarkEnd w:id="144"/>
      <w:bookmarkEnd w:id="145"/>
      <w:bookmarkEnd w:id="146"/>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资格评审表</w:t>
      </w:r>
    </w:p>
    <w:tbl>
      <w:tblPr>
        <w:tblStyle w:val="28"/>
        <w:tblpPr w:leftFromText="180" w:rightFromText="180" w:vertAnchor="text" w:horzAnchor="margin" w:tblpX="-289" w:tblpY="121"/>
        <w:tblOverlap w:val="never"/>
        <w:tblW w:w="9748"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04"/>
        <w:gridCol w:w="6630"/>
        <w:gridCol w:w="800"/>
        <w:gridCol w:w="734"/>
        <w:gridCol w:w="8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0"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编号</w:t>
            </w:r>
          </w:p>
        </w:tc>
        <w:tc>
          <w:tcPr>
            <w:tcW w:w="6630" w:type="dxa"/>
            <w:tcBorders>
              <w:tl2br w:val="single" w:color="auto" w:sz="4" w:space="0"/>
            </w:tcBorders>
            <w:vAlign w:val="center"/>
          </w:tcPr>
          <w:p>
            <w:pPr>
              <w:tabs>
                <w:tab w:val="left" w:pos="720"/>
              </w:tabs>
              <w:snapToGrid w:val="0"/>
              <w:spacing w:line="276" w:lineRule="auto"/>
              <w:ind w:firstLine="5490" w:firstLineChars="3050"/>
              <w:rPr>
                <w:rFonts w:ascii="宋体" w:hAnsi="宋体"/>
                <w:color w:val="auto"/>
                <w:sz w:val="18"/>
                <w:szCs w:val="18"/>
                <w:highlight w:val="none"/>
              </w:rPr>
            </w:pPr>
            <w:r>
              <w:rPr>
                <w:rFonts w:hint="eastAsia" w:ascii="宋体" w:hAnsi="宋体"/>
                <w:color w:val="auto"/>
                <w:sz w:val="18"/>
                <w:szCs w:val="18"/>
                <w:highlight w:val="none"/>
              </w:rPr>
              <w:t>投标人名称</w:t>
            </w:r>
          </w:p>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审查项目</w:t>
            </w:r>
          </w:p>
        </w:tc>
        <w:tc>
          <w:tcPr>
            <w:tcW w:w="800" w:type="dxa"/>
            <w:vAlign w:val="center"/>
          </w:tcPr>
          <w:p>
            <w:pPr>
              <w:tabs>
                <w:tab w:val="left" w:pos="720"/>
              </w:tabs>
              <w:snapToGrid w:val="0"/>
              <w:spacing w:line="276" w:lineRule="auto"/>
              <w:jc w:val="center"/>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1"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营业执照（或事业单位法人证书）：符合第二章“投标人须知”第3.5.1项规定。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1"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资质要求：符合第二章“投标人须知”第1.4.1项规定。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项目负责人：符合第二章“投标人须知”第1.4.1项规定。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其他要求：符合第二章“投标人须知”第1.4.1项规定。</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9"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 xml:space="preserve">联合体投标人：符合第二章“投标人须知”第 1.4.2 项规定。 </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0"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6</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不存在禁止投标的情形：不存在第二章“投标人须知”第 1.4.3 项规定的任何一种情形（以《投标申请人声明》为准）。</w:t>
            </w:r>
          </w:p>
        </w:tc>
        <w:tc>
          <w:tcPr>
            <w:tcW w:w="800" w:type="dxa"/>
            <w:vAlign w:val="center"/>
          </w:tcPr>
          <w:p>
            <w:pPr>
              <w:spacing w:line="276" w:lineRule="auto"/>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trPr>
        <w:tc>
          <w:tcPr>
            <w:tcW w:w="704"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结论</w:t>
            </w:r>
          </w:p>
        </w:tc>
        <w:tc>
          <w:tcPr>
            <w:tcW w:w="6630"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800" w:type="dxa"/>
            <w:vAlign w:val="center"/>
          </w:tcPr>
          <w:p>
            <w:pPr>
              <w:tabs>
                <w:tab w:val="left" w:pos="720"/>
              </w:tabs>
              <w:snapToGrid w:val="0"/>
              <w:spacing w:line="276" w:lineRule="auto"/>
              <w:jc w:val="center"/>
              <w:rPr>
                <w:rFonts w:ascii="宋体" w:hAnsi="宋体"/>
                <w:color w:val="auto"/>
                <w:sz w:val="18"/>
                <w:szCs w:val="18"/>
                <w:highlight w:val="none"/>
              </w:rPr>
            </w:pPr>
          </w:p>
        </w:tc>
        <w:tc>
          <w:tcPr>
            <w:tcW w:w="734" w:type="dxa"/>
            <w:vAlign w:val="center"/>
          </w:tcPr>
          <w:p>
            <w:pPr>
              <w:tabs>
                <w:tab w:val="left" w:pos="720"/>
              </w:tabs>
              <w:snapToGrid w:val="0"/>
              <w:spacing w:line="276" w:lineRule="auto"/>
              <w:jc w:val="center"/>
              <w:rPr>
                <w:rFonts w:ascii="宋体" w:hAnsi="宋体"/>
                <w:color w:val="auto"/>
                <w:sz w:val="18"/>
                <w:szCs w:val="18"/>
                <w:highlight w:val="none"/>
              </w:rPr>
            </w:pPr>
          </w:p>
        </w:tc>
        <w:tc>
          <w:tcPr>
            <w:tcW w:w="880" w:type="dxa"/>
            <w:vAlign w:val="center"/>
          </w:tcPr>
          <w:p>
            <w:pPr>
              <w:tabs>
                <w:tab w:val="left" w:pos="720"/>
              </w:tabs>
              <w:snapToGrid w:val="0"/>
              <w:spacing w:line="276" w:lineRule="auto"/>
              <w:jc w:val="center"/>
              <w:rPr>
                <w:rFonts w:ascii="宋体" w:hAnsi="宋体"/>
                <w:color w:val="auto"/>
                <w:sz w:val="18"/>
                <w:szCs w:val="18"/>
                <w:highlight w:val="none"/>
              </w:rPr>
            </w:pPr>
          </w:p>
        </w:tc>
      </w:tr>
    </w:tbl>
    <w:p>
      <w:pPr>
        <w:pStyle w:val="5"/>
        <w:rPr>
          <w:rFonts w:cs="宋体"/>
          <w:color w:val="auto"/>
          <w:szCs w:val="21"/>
          <w:highlight w:val="none"/>
        </w:rPr>
      </w:pPr>
      <w:r>
        <w:rPr>
          <w:color w:val="auto"/>
          <w:highlight w:val="none"/>
        </w:rPr>
        <w:br w:type="page"/>
      </w:r>
      <w:bookmarkStart w:id="147" w:name="_Toc103592023"/>
      <w:bookmarkStart w:id="148" w:name="_Toc18835"/>
      <w:bookmarkStart w:id="149" w:name="_Toc10706"/>
      <w:r>
        <w:rPr>
          <w:rFonts w:hint="eastAsia"/>
          <w:color w:val="auto"/>
          <w:highlight w:val="none"/>
        </w:rPr>
        <w:t>附表三：响应性评审表</w:t>
      </w:r>
      <w:bookmarkEnd w:id="147"/>
      <w:bookmarkEnd w:id="148"/>
      <w:bookmarkEnd w:id="149"/>
    </w:p>
    <w:p>
      <w:pPr>
        <w:spacing w:line="360" w:lineRule="auto"/>
        <w:jc w:val="center"/>
        <w:rPr>
          <w:rFonts w:ascii="宋体" w:hAnsi="宋体" w:cs="宋体"/>
          <w:color w:val="auto"/>
          <w:sz w:val="28"/>
          <w:szCs w:val="28"/>
          <w:highlight w:val="none"/>
        </w:rPr>
      </w:pPr>
      <w:r>
        <w:rPr>
          <w:rFonts w:hint="eastAsia" w:ascii="宋体" w:hAnsi="宋体" w:cs="宋体"/>
          <w:color w:val="auto"/>
          <w:sz w:val="28"/>
          <w:szCs w:val="28"/>
          <w:highlight w:val="none"/>
        </w:rPr>
        <w:t>响应性评审表</w:t>
      </w:r>
    </w:p>
    <w:p>
      <w:pPr>
        <w:rPr>
          <w:rFonts w:ascii="宋体" w:hAnsi="宋体"/>
          <w:color w:val="auto"/>
          <w:sz w:val="18"/>
          <w:szCs w:val="18"/>
          <w:highlight w:val="none"/>
        </w:rPr>
      </w:pPr>
    </w:p>
    <w:tbl>
      <w:tblPr>
        <w:tblStyle w:val="28"/>
        <w:tblpPr w:leftFromText="180" w:rightFromText="180" w:vertAnchor="text" w:horzAnchor="margin" w:tblpY="-55"/>
        <w:tblOverlap w:val="never"/>
        <w:tblW w:w="0" w:type="auto"/>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26"/>
        <w:gridCol w:w="4927"/>
        <w:gridCol w:w="761"/>
        <w:gridCol w:w="762"/>
        <w:gridCol w:w="762"/>
        <w:gridCol w:w="762"/>
        <w:gridCol w:w="762"/>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编号</w:t>
            </w:r>
          </w:p>
        </w:tc>
        <w:tc>
          <w:tcPr>
            <w:tcW w:w="4927" w:type="dxa"/>
            <w:tcBorders>
              <w:tl2br w:val="single" w:color="auto" w:sz="4" w:space="0"/>
            </w:tcBorders>
            <w:vAlign w:val="center"/>
          </w:tcPr>
          <w:p>
            <w:pPr>
              <w:tabs>
                <w:tab w:val="left" w:pos="720"/>
              </w:tabs>
              <w:snapToGrid w:val="0"/>
              <w:spacing w:line="276" w:lineRule="auto"/>
              <w:ind w:firstLine="3240" w:firstLineChars="1800"/>
              <w:rPr>
                <w:rFonts w:ascii="宋体" w:hAnsi="宋体"/>
                <w:color w:val="auto"/>
                <w:sz w:val="18"/>
                <w:szCs w:val="18"/>
                <w:highlight w:val="none"/>
              </w:rPr>
            </w:pPr>
            <w:r>
              <w:rPr>
                <w:rFonts w:hint="eastAsia" w:ascii="宋体" w:hAnsi="宋体"/>
                <w:color w:val="auto"/>
                <w:sz w:val="18"/>
                <w:szCs w:val="18"/>
                <w:highlight w:val="none"/>
              </w:rPr>
              <w:t>投标人名称</w:t>
            </w:r>
          </w:p>
          <w:p>
            <w:pPr>
              <w:tabs>
                <w:tab w:val="left" w:pos="720"/>
              </w:tabs>
              <w:snapToGrid w:val="0"/>
              <w:spacing w:line="276" w:lineRule="auto"/>
              <w:rPr>
                <w:rFonts w:ascii="宋体" w:hAnsi="宋体"/>
                <w:color w:val="auto"/>
                <w:sz w:val="18"/>
                <w:szCs w:val="18"/>
                <w:highlight w:val="none"/>
              </w:rPr>
            </w:pPr>
          </w:p>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评审项目</w:t>
            </w:r>
          </w:p>
        </w:tc>
        <w:tc>
          <w:tcPr>
            <w:tcW w:w="761" w:type="dxa"/>
            <w:vAlign w:val="center"/>
          </w:tcPr>
          <w:p>
            <w:pPr>
              <w:tabs>
                <w:tab w:val="left" w:pos="720"/>
              </w:tabs>
              <w:snapToGrid w:val="0"/>
              <w:spacing w:line="276" w:lineRule="auto"/>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1</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投标报价：符合第二章“投标人须知”第3.2款规定；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6"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2</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投标内容：符合第二章“投标人须知”第1.3.1规定；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2"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3</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服务期限：符合第二章“投标人须知”第1.3.2规定；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0"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4</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质量标准：符合第二章“投标人须知”第1.3.3规定；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7"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5</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投标有效期：符合第二章“投标人须知”第3.3.1规定；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9"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6</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投标保证金：符合第二章“投标人须知”第3.4.1规定；</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0"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7</w:t>
            </w:r>
          </w:p>
        </w:tc>
        <w:tc>
          <w:tcPr>
            <w:tcW w:w="4927" w:type="dxa"/>
            <w:vAlign w:val="center"/>
          </w:tcPr>
          <w:p>
            <w:pPr>
              <w:tabs>
                <w:tab w:val="left" w:pos="720"/>
              </w:tabs>
              <w:snapToGrid w:val="0"/>
              <w:spacing w:line="276" w:lineRule="auto"/>
              <w:rPr>
                <w:rFonts w:ascii="宋体" w:hAnsi="宋体" w:cs="宋体"/>
                <w:color w:val="auto"/>
                <w:sz w:val="18"/>
                <w:szCs w:val="18"/>
                <w:highlight w:val="none"/>
              </w:rPr>
            </w:pPr>
            <w:r>
              <w:rPr>
                <w:rFonts w:hint="eastAsia" w:ascii="宋体" w:hAnsi="宋体" w:cs="宋体"/>
                <w:color w:val="auto"/>
                <w:sz w:val="18"/>
                <w:szCs w:val="18"/>
                <w:highlight w:val="none"/>
              </w:rPr>
              <w:t>串通投标情形：不存在串通投标情形（串通投标情形以《中华人民共和国招标投标法实施条例》的规定为准）；</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4" w:hRule="atLeast"/>
        </w:trPr>
        <w:tc>
          <w:tcPr>
            <w:tcW w:w="426" w:type="dxa"/>
            <w:vAlign w:val="center"/>
          </w:tcPr>
          <w:p>
            <w:pPr>
              <w:tabs>
                <w:tab w:val="left" w:pos="720"/>
              </w:tabs>
              <w:snapToGrid w:val="0"/>
              <w:spacing w:line="276" w:lineRule="auto"/>
              <w:jc w:val="center"/>
              <w:rPr>
                <w:rFonts w:ascii="宋体" w:hAnsi="宋体"/>
                <w:color w:val="auto"/>
                <w:sz w:val="18"/>
                <w:szCs w:val="18"/>
                <w:highlight w:val="none"/>
              </w:rPr>
            </w:pPr>
            <w:r>
              <w:rPr>
                <w:rFonts w:hint="eastAsia" w:ascii="宋体" w:hAnsi="宋体"/>
                <w:color w:val="auto"/>
                <w:sz w:val="18"/>
                <w:szCs w:val="18"/>
                <w:highlight w:val="none"/>
              </w:rPr>
              <w:t>结论</w:t>
            </w:r>
          </w:p>
        </w:tc>
        <w:tc>
          <w:tcPr>
            <w:tcW w:w="4927" w:type="dxa"/>
            <w:vAlign w:val="center"/>
          </w:tcPr>
          <w:p>
            <w:pPr>
              <w:tabs>
                <w:tab w:val="left" w:pos="720"/>
              </w:tabs>
              <w:snapToGrid w:val="0"/>
              <w:spacing w:line="276" w:lineRule="auto"/>
              <w:rPr>
                <w:rFonts w:ascii="宋体" w:hAnsi="宋体"/>
                <w:color w:val="auto"/>
                <w:sz w:val="18"/>
                <w:szCs w:val="18"/>
                <w:highlight w:val="none"/>
              </w:rPr>
            </w:pPr>
            <w:r>
              <w:rPr>
                <w:rFonts w:hint="eastAsia" w:ascii="宋体" w:hAnsi="宋体"/>
                <w:color w:val="auto"/>
                <w:sz w:val="18"/>
                <w:szCs w:val="18"/>
                <w:highlight w:val="none"/>
              </w:rPr>
              <w:t>是否通过并进入下一阶段评审</w:t>
            </w:r>
          </w:p>
        </w:tc>
        <w:tc>
          <w:tcPr>
            <w:tcW w:w="761"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c>
          <w:tcPr>
            <w:tcW w:w="762" w:type="dxa"/>
            <w:vAlign w:val="center"/>
          </w:tcPr>
          <w:p>
            <w:pPr>
              <w:tabs>
                <w:tab w:val="left" w:pos="720"/>
              </w:tabs>
              <w:snapToGrid w:val="0"/>
              <w:spacing w:line="276" w:lineRule="auto"/>
              <w:jc w:val="center"/>
              <w:rPr>
                <w:rFonts w:ascii="宋体" w:hAnsi="宋体"/>
                <w:color w:val="auto"/>
                <w:sz w:val="18"/>
                <w:szCs w:val="18"/>
                <w:highlight w:val="none"/>
              </w:rPr>
            </w:pPr>
          </w:p>
        </w:tc>
      </w:tr>
    </w:tbl>
    <w:p>
      <w:pPr>
        <w:pStyle w:val="5"/>
        <w:rPr>
          <w:color w:val="auto"/>
          <w:highlight w:val="none"/>
        </w:rPr>
      </w:pPr>
      <w:r>
        <w:rPr>
          <w:rFonts w:hint="eastAsia"/>
          <w:color w:val="auto"/>
          <w:highlight w:val="none"/>
        </w:rPr>
        <w:br w:type="page"/>
      </w:r>
    </w:p>
    <w:p>
      <w:pPr>
        <w:pStyle w:val="5"/>
        <w:ind w:firstLine="281" w:firstLineChars="100"/>
        <w:rPr>
          <w:color w:val="auto"/>
          <w:highlight w:val="none"/>
        </w:rPr>
      </w:pPr>
      <w:bookmarkStart w:id="150" w:name="_Toc103592024"/>
      <w:bookmarkStart w:id="151" w:name="_Toc2105"/>
      <w:bookmarkStart w:id="152" w:name="_Toc714"/>
      <w:bookmarkStart w:id="153" w:name="_Toc20634"/>
      <w:bookmarkStart w:id="154" w:name="_Toc19098"/>
      <w:r>
        <w:rPr>
          <w:rFonts w:hint="eastAsia"/>
          <w:color w:val="auto"/>
          <w:highlight w:val="none"/>
        </w:rPr>
        <w:t>附表四：综合评分表</w:t>
      </w:r>
      <w:bookmarkEnd w:id="150"/>
      <w:bookmarkEnd w:id="151"/>
      <w:bookmarkEnd w:id="152"/>
      <w:bookmarkEnd w:id="153"/>
      <w:bookmarkEnd w:id="154"/>
    </w:p>
    <w:tbl>
      <w:tblPr>
        <w:tblStyle w:val="28"/>
        <w:tblW w:w="10304"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83"/>
        <w:gridCol w:w="1028"/>
        <w:gridCol w:w="982"/>
        <w:gridCol w:w="761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 w:hRule="atLeast"/>
          <w:jc w:val="center"/>
        </w:trPr>
        <w:tc>
          <w:tcPr>
            <w:tcW w:w="683" w:type="dxa"/>
            <w:vMerge w:val="restart"/>
            <w:vAlign w:val="center"/>
          </w:tcPr>
          <w:p>
            <w:pPr>
              <w:adjustRightInd w:val="0"/>
              <w:snapToGrid w:val="0"/>
              <w:spacing w:line="360" w:lineRule="auto"/>
              <w:jc w:val="center"/>
              <w:rPr>
                <w:color w:val="auto"/>
                <w:highlight w:val="none"/>
              </w:rPr>
            </w:pPr>
            <w:r>
              <w:rPr>
                <w:rFonts w:hint="eastAsia"/>
                <w:color w:val="auto"/>
                <w:highlight w:val="none"/>
              </w:rPr>
              <w:t>2.2.4</w:t>
            </w:r>
          </w:p>
          <w:p>
            <w:pPr>
              <w:pStyle w:val="9"/>
              <w:adjustRightInd w:val="0"/>
              <w:snapToGrid w:val="0"/>
              <w:spacing w:line="360" w:lineRule="auto"/>
              <w:ind w:firstLine="0"/>
              <w:rPr>
                <w:color w:val="auto"/>
                <w:highlight w:val="none"/>
              </w:rPr>
            </w:pPr>
            <w:r>
              <w:rPr>
                <w:rFonts w:hint="eastAsia" w:ascii="宋体" w:hAnsi="宋体" w:cs="宋体"/>
                <w:color w:val="auto"/>
                <w:highlight w:val="none"/>
              </w:rPr>
              <w:t>（1）</w:t>
            </w:r>
          </w:p>
        </w:tc>
        <w:tc>
          <w:tcPr>
            <w:tcW w:w="1028" w:type="dxa"/>
            <w:vMerge w:val="restart"/>
            <w:vAlign w:val="center"/>
          </w:tcPr>
          <w:p>
            <w:pPr>
              <w:adjustRightInd w:val="0"/>
              <w:snapToGrid w:val="0"/>
              <w:spacing w:line="360" w:lineRule="auto"/>
              <w:jc w:val="center"/>
              <w:rPr>
                <w:rFonts w:ascii="宋体" w:hAnsi="宋体" w:cs="宋体"/>
                <w:color w:val="auto"/>
                <w:highlight w:val="none"/>
              </w:rPr>
            </w:pPr>
            <w:r>
              <w:rPr>
                <w:rFonts w:hint="eastAsia" w:ascii="宋体" w:hAnsi="宋体"/>
                <w:color w:val="auto"/>
                <w:szCs w:val="21"/>
                <w:highlight w:val="none"/>
              </w:rPr>
              <w:t>企业综合实力评分</w:t>
            </w:r>
            <w:r>
              <w:rPr>
                <w:rFonts w:hint="eastAsia" w:ascii="宋体" w:hAnsi="宋体" w:cs="宋体"/>
                <w:color w:val="auto"/>
                <w:highlight w:val="none"/>
              </w:rPr>
              <w:t>标准</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w:t>
            </w:r>
            <w:r>
              <w:rPr>
                <w:rFonts w:ascii="宋体" w:hAnsi="宋体" w:cs="宋体"/>
                <w:color w:val="auto"/>
                <w:highlight w:val="none"/>
              </w:rPr>
              <w:t>5</w:t>
            </w:r>
            <w:r>
              <w:rPr>
                <w:rFonts w:hint="eastAsia" w:ascii="宋体" w:hAnsi="宋体" w:cs="宋体"/>
                <w:color w:val="auto"/>
                <w:highlight w:val="none"/>
              </w:rPr>
              <w:t>0分）</w:t>
            </w:r>
          </w:p>
        </w:tc>
        <w:tc>
          <w:tcPr>
            <w:tcW w:w="982" w:type="dxa"/>
            <w:vAlign w:val="center"/>
          </w:tcPr>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投标人业绩</w:t>
            </w:r>
          </w:p>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（10分）</w:t>
            </w:r>
          </w:p>
        </w:tc>
        <w:tc>
          <w:tcPr>
            <w:tcW w:w="7611" w:type="dxa"/>
            <w:vAlign w:val="center"/>
          </w:tcPr>
          <w:p>
            <w:pPr>
              <w:pStyle w:val="59"/>
              <w:adjustRightInd w:val="0"/>
              <w:snapToGrid w:val="0"/>
              <w:spacing w:line="360" w:lineRule="auto"/>
              <w:jc w:val="left"/>
              <w:rPr>
                <w:rFonts w:ascii="宋体" w:hAnsi="宋体" w:cs="宋体"/>
                <w:color w:val="auto"/>
                <w:szCs w:val="21"/>
                <w:highlight w:val="none"/>
              </w:rPr>
            </w:pPr>
            <w:r>
              <w:rPr>
                <w:rFonts w:hint="eastAsia" w:ascii="宋体" w:hAnsi="宋体" w:cs="宋体"/>
                <w:color w:val="auto"/>
                <w:szCs w:val="21"/>
                <w:highlight w:val="none"/>
              </w:rPr>
              <w:t>投标人（如为联合体，指联合体主办方）自201</w:t>
            </w:r>
            <w:r>
              <w:rPr>
                <w:rFonts w:ascii="宋体" w:hAnsi="宋体" w:cs="宋体"/>
                <w:color w:val="auto"/>
                <w:szCs w:val="21"/>
                <w:highlight w:val="none"/>
              </w:rPr>
              <w:t>9</w:t>
            </w:r>
            <w:r>
              <w:rPr>
                <w:rFonts w:hint="eastAsia" w:ascii="宋体" w:hAnsi="宋体" w:cs="宋体"/>
                <w:color w:val="auto"/>
                <w:szCs w:val="21"/>
                <w:highlight w:val="none"/>
              </w:rPr>
              <w:t>年1月1日至</w:t>
            </w:r>
            <w:r>
              <w:rPr>
                <w:rFonts w:hint="eastAsia" w:ascii="宋体" w:hAnsi="宋体"/>
                <w:bCs/>
                <w:color w:val="auto"/>
                <w:szCs w:val="21"/>
                <w:highlight w:val="none"/>
              </w:rPr>
              <w:t>投标截止时间</w:t>
            </w:r>
            <w:r>
              <w:rPr>
                <w:rFonts w:hint="eastAsia" w:ascii="宋体" w:hAnsi="宋体" w:cs="宋体"/>
                <w:color w:val="auto"/>
                <w:szCs w:val="21"/>
                <w:highlight w:val="none"/>
              </w:rPr>
              <w:t>承担过单个合同额</w:t>
            </w:r>
            <w:r>
              <w:rPr>
                <w:rFonts w:ascii="宋体" w:hAnsi="宋体" w:cs="宋体"/>
                <w:color w:val="auto"/>
                <w:szCs w:val="21"/>
                <w:highlight w:val="none"/>
              </w:rPr>
              <w:t>3</w:t>
            </w:r>
            <w:r>
              <w:rPr>
                <w:rFonts w:hint="eastAsia" w:ascii="宋体" w:hAnsi="宋体" w:cs="宋体"/>
                <w:color w:val="auto"/>
                <w:szCs w:val="21"/>
                <w:highlight w:val="none"/>
              </w:rPr>
              <w:t>00万元或以上的类似业绩，每项得2分，本项最多得10分。</w:t>
            </w:r>
          </w:p>
          <w:p>
            <w:pPr>
              <w:adjustRightInd w:val="0"/>
              <w:snapToGrid w:val="0"/>
              <w:spacing w:line="360" w:lineRule="auto"/>
              <w:rPr>
                <w:rFonts w:ascii="宋体" w:hAnsi="宋体" w:cs="宋体"/>
                <w:color w:val="auto"/>
                <w:szCs w:val="21"/>
                <w:highlight w:val="none"/>
              </w:rPr>
            </w:pPr>
            <w:r>
              <w:rPr>
                <w:rFonts w:ascii="宋体" w:hAnsi="宋体"/>
                <w:b/>
                <w:bCs/>
                <w:color w:val="auto"/>
                <w:szCs w:val="21"/>
                <w:highlight w:val="none"/>
              </w:rPr>
              <w:t>注：类似业绩指包含本项目检测</w:t>
            </w:r>
            <w:r>
              <w:rPr>
                <w:rFonts w:hint="eastAsia" w:ascii="宋体" w:hAnsi="宋体"/>
                <w:b/>
                <w:bCs/>
                <w:color w:val="auto"/>
                <w:szCs w:val="21"/>
                <w:highlight w:val="none"/>
              </w:rPr>
              <w:t>和监测</w:t>
            </w:r>
            <w:r>
              <w:rPr>
                <w:rFonts w:ascii="宋体" w:hAnsi="宋体"/>
                <w:b/>
                <w:bCs/>
                <w:color w:val="auto"/>
                <w:szCs w:val="21"/>
                <w:highlight w:val="none"/>
              </w:rPr>
              <w:t>内容的一项或多项的建设工程质量检测业绩，需提供中标通知书（或免招标证明）、服务合同证明材料清晰扫描件，业绩时间以合同签订时间为准、金额以中标通知书为准（免招标的项目以服务合同为准）。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1" w:hRule="atLeast"/>
          <w:jc w:val="center"/>
        </w:trPr>
        <w:tc>
          <w:tcPr>
            <w:tcW w:w="683" w:type="dxa"/>
            <w:vMerge w:val="continue"/>
            <w:vAlign w:val="center"/>
          </w:tcPr>
          <w:p>
            <w:pPr>
              <w:adjustRightInd w:val="0"/>
              <w:snapToGrid w:val="0"/>
              <w:spacing w:line="360" w:lineRule="auto"/>
              <w:jc w:val="center"/>
              <w:rPr>
                <w:rFonts w:ascii="宋体" w:hAnsi="宋体"/>
                <w:color w:val="auto"/>
                <w:highlight w:val="none"/>
              </w:rPr>
            </w:pPr>
          </w:p>
        </w:tc>
        <w:tc>
          <w:tcPr>
            <w:tcW w:w="1028" w:type="dxa"/>
            <w:vMerge w:val="continue"/>
            <w:vAlign w:val="center"/>
          </w:tcPr>
          <w:p>
            <w:pPr>
              <w:adjustRightInd w:val="0"/>
              <w:snapToGrid w:val="0"/>
              <w:spacing w:line="360" w:lineRule="auto"/>
              <w:jc w:val="center"/>
              <w:rPr>
                <w:rFonts w:ascii="宋体" w:hAnsi="宋体"/>
                <w:color w:val="auto"/>
                <w:highlight w:val="none"/>
              </w:rPr>
            </w:pPr>
          </w:p>
        </w:tc>
        <w:tc>
          <w:tcPr>
            <w:tcW w:w="982" w:type="dxa"/>
            <w:vAlign w:val="center"/>
          </w:tcPr>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投标人信誉</w:t>
            </w:r>
          </w:p>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（20分）</w:t>
            </w:r>
          </w:p>
        </w:tc>
        <w:tc>
          <w:tcPr>
            <w:tcW w:w="7611" w:type="dxa"/>
            <w:vAlign w:val="center"/>
          </w:tcPr>
          <w:p>
            <w:pPr>
              <w:pStyle w:val="59"/>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1、投标人</w:t>
            </w:r>
            <w:r>
              <w:rPr>
                <w:rFonts w:hint="eastAsia" w:ascii="宋体" w:hAnsi="宋体" w:cs="宋体"/>
                <w:color w:val="auto"/>
                <w:szCs w:val="21"/>
                <w:highlight w:val="none"/>
              </w:rPr>
              <w:t>（如为联合体，指联合体主办方）</w:t>
            </w:r>
            <w:r>
              <w:rPr>
                <w:rFonts w:hint="eastAsia" w:ascii="宋体" w:hAnsi="宋体"/>
                <w:bCs/>
                <w:color w:val="auto"/>
                <w:szCs w:val="21"/>
                <w:highlight w:val="none"/>
              </w:rPr>
              <w:t>具备中国合格评定国家认可委员会检验机构证书或实验室认可证书（CNAS）且在有效期内的得</w:t>
            </w:r>
            <w:r>
              <w:rPr>
                <w:rFonts w:ascii="宋体" w:hAnsi="宋体"/>
                <w:bCs/>
                <w:color w:val="auto"/>
                <w:szCs w:val="21"/>
                <w:highlight w:val="none"/>
              </w:rPr>
              <w:t>3</w:t>
            </w:r>
            <w:r>
              <w:rPr>
                <w:rFonts w:hint="eastAsia" w:ascii="宋体" w:hAnsi="宋体"/>
                <w:bCs/>
                <w:color w:val="auto"/>
                <w:szCs w:val="21"/>
                <w:highlight w:val="none"/>
              </w:rPr>
              <w:t>分，无则不得分</w:t>
            </w:r>
            <w:r>
              <w:rPr>
                <w:rFonts w:hint="eastAsia" w:ascii="宋体" w:hAnsi="宋体" w:cs="宋体"/>
                <w:color w:val="auto"/>
                <w:highlight w:val="none"/>
              </w:rPr>
              <w:t>。</w:t>
            </w:r>
          </w:p>
          <w:p>
            <w:pPr>
              <w:pStyle w:val="59"/>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注：须提供相关证明材料扫描件，否则不予得分。</w:t>
            </w:r>
          </w:p>
          <w:p>
            <w:pPr>
              <w:pStyle w:val="59"/>
              <w:adjustRightInd w:val="0"/>
              <w:snapToGrid w:val="0"/>
              <w:jc w:val="left"/>
              <w:rPr>
                <w:rFonts w:ascii="宋体" w:hAnsi="宋体"/>
                <w:bCs/>
                <w:color w:val="auto"/>
                <w:szCs w:val="21"/>
                <w:highlight w:val="none"/>
              </w:rPr>
            </w:pPr>
          </w:p>
          <w:p>
            <w:pPr>
              <w:spacing w:line="360" w:lineRule="auto"/>
              <w:rPr>
                <w:rFonts w:ascii="宋体" w:hAnsi="宋体" w:cs="宋体"/>
                <w:color w:val="auto"/>
                <w:szCs w:val="21"/>
                <w:highlight w:val="none"/>
              </w:rPr>
            </w:pPr>
            <w:r>
              <w:rPr>
                <w:rFonts w:hint="eastAsia" w:ascii="宋体" w:hAnsi="宋体"/>
                <w:bCs/>
                <w:color w:val="auto"/>
                <w:szCs w:val="21"/>
                <w:highlight w:val="none"/>
              </w:rPr>
              <w:t>2、</w:t>
            </w:r>
            <w:r>
              <w:rPr>
                <w:rFonts w:hint="eastAsia" w:ascii="宋体" w:hAnsi="宋体" w:cs="宋体"/>
                <w:color w:val="auto"/>
                <w:szCs w:val="21"/>
                <w:highlight w:val="none"/>
              </w:rPr>
              <w:t>投标人（如为联合体，指联合体主办方）获得过国家级建筑业协会企业信用等级为AAA级</w:t>
            </w:r>
            <w:r>
              <w:rPr>
                <w:rFonts w:hint="eastAsia" w:ascii="宋体" w:hAnsi="宋体" w:cs="宋体"/>
                <w:bCs/>
                <w:color w:val="auto"/>
                <w:spacing w:val="-6"/>
                <w:szCs w:val="21"/>
                <w:highlight w:val="none"/>
              </w:rPr>
              <w:t>且在有效期内</w:t>
            </w:r>
            <w:r>
              <w:rPr>
                <w:rFonts w:hint="eastAsia" w:ascii="宋体" w:hAnsi="宋体" w:cs="宋体"/>
                <w:color w:val="auto"/>
                <w:szCs w:val="21"/>
                <w:highlight w:val="none"/>
              </w:rPr>
              <w:t>的，得</w:t>
            </w:r>
            <w:r>
              <w:rPr>
                <w:rFonts w:ascii="宋体" w:hAnsi="宋体" w:cs="宋体"/>
                <w:color w:val="auto"/>
                <w:szCs w:val="21"/>
                <w:highlight w:val="none"/>
              </w:rPr>
              <w:t>6</w:t>
            </w:r>
            <w:r>
              <w:rPr>
                <w:rFonts w:hint="eastAsia" w:ascii="宋体" w:hAnsi="宋体" w:cs="宋体"/>
                <w:color w:val="auto"/>
                <w:szCs w:val="21"/>
                <w:highlight w:val="none"/>
              </w:rPr>
              <w:t>分；企业信用等级为AA级</w:t>
            </w:r>
            <w:r>
              <w:rPr>
                <w:rFonts w:hint="eastAsia" w:ascii="宋体" w:hAnsi="宋体" w:cs="宋体"/>
                <w:bCs/>
                <w:color w:val="auto"/>
                <w:spacing w:val="-6"/>
                <w:szCs w:val="21"/>
                <w:highlight w:val="none"/>
              </w:rPr>
              <w:t>且在有效期内</w:t>
            </w:r>
            <w:r>
              <w:rPr>
                <w:rFonts w:hint="eastAsia" w:ascii="宋体" w:hAnsi="宋体" w:cs="宋体"/>
                <w:color w:val="auto"/>
                <w:szCs w:val="21"/>
                <w:highlight w:val="none"/>
              </w:rPr>
              <w:t>的，得3分；企业信用等级为A级</w:t>
            </w:r>
            <w:r>
              <w:rPr>
                <w:rFonts w:hint="eastAsia" w:ascii="宋体" w:hAnsi="宋体" w:cs="宋体"/>
                <w:bCs/>
                <w:color w:val="auto"/>
                <w:spacing w:val="-6"/>
                <w:szCs w:val="21"/>
                <w:highlight w:val="none"/>
              </w:rPr>
              <w:t>且在有效期内</w:t>
            </w:r>
            <w:r>
              <w:rPr>
                <w:rFonts w:hint="eastAsia" w:ascii="宋体" w:hAnsi="宋体" w:cs="宋体"/>
                <w:color w:val="auto"/>
                <w:szCs w:val="21"/>
                <w:highlight w:val="none"/>
              </w:rPr>
              <w:t>的，得1分；</w:t>
            </w:r>
            <w:r>
              <w:rPr>
                <w:rFonts w:hint="eastAsia" w:ascii="宋体" w:hAnsi="宋体" w:cs="宋体"/>
                <w:bCs/>
                <w:color w:val="auto"/>
                <w:szCs w:val="21"/>
                <w:highlight w:val="none"/>
              </w:rPr>
              <w:t>没有或不在有效期内的不得分。</w:t>
            </w:r>
          </w:p>
          <w:p>
            <w:pPr>
              <w:pStyle w:val="59"/>
              <w:adjustRightInd w:val="0"/>
              <w:snapToGrid w:val="0"/>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注：提供证书扫描件</w:t>
            </w:r>
            <w:r>
              <w:rPr>
                <w:rFonts w:hint="eastAsia" w:ascii="宋体" w:hAnsi="宋体" w:cs="宋体"/>
                <w:b/>
                <w:bCs/>
                <w:color w:val="auto"/>
                <w:spacing w:val="-6"/>
                <w:szCs w:val="21"/>
                <w:highlight w:val="none"/>
              </w:rPr>
              <w:t>。多次获得</w:t>
            </w:r>
            <w:r>
              <w:rPr>
                <w:rFonts w:hint="eastAsia" w:ascii="宋体" w:hAnsi="宋体" w:cs="宋体"/>
                <w:b/>
                <w:bCs/>
                <w:color w:val="auto"/>
                <w:szCs w:val="21"/>
                <w:highlight w:val="none"/>
              </w:rPr>
              <w:t>不重复累加得分，按获得的最高奖项得分。</w:t>
            </w:r>
          </w:p>
          <w:p>
            <w:pPr>
              <w:pStyle w:val="59"/>
              <w:adjustRightInd w:val="0"/>
              <w:snapToGrid w:val="0"/>
              <w:jc w:val="left"/>
              <w:rPr>
                <w:rFonts w:ascii="宋体" w:hAnsi="宋体"/>
                <w:bCs/>
                <w:color w:val="auto"/>
                <w:szCs w:val="21"/>
                <w:highlight w:val="none"/>
              </w:rPr>
            </w:pPr>
          </w:p>
          <w:p>
            <w:pPr>
              <w:spacing w:line="360" w:lineRule="auto"/>
              <w:jc w:val="left"/>
              <w:rPr>
                <w:rFonts w:ascii="宋体" w:hAnsi="宋体"/>
                <w:color w:val="auto"/>
                <w:szCs w:val="21"/>
                <w:highlight w:val="none"/>
              </w:rPr>
            </w:pPr>
            <w:r>
              <w:rPr>
                <w:rFonts w:hint="eastAsia" w:ascii="宋体" w:hAnsi="宋体" w:cs="宋体"/>
                <w:color w:val="auto"/>
                <w:highlight w:val="none"/>
              </w:rPr>
              <w:t>3、投标人（如为联合体，指联合体主办方）</w:t>
            </w:r>
            <w:r>
              <w:rPr>
                <w:rFonts w:hint="eastAsia" w:ascii="宋体" w:hAnsi="宋体" w:cs="宋体"/>
                <w:color w:val="auto"/>
                <w:szCs w:val="21"/>
                <w:highlight w:val="none"/>
              </w:rPr>
              <w:t>同时通过质量管理体系、环境管理体系、职业健康安全管理体系认证的，且在有效期内的得</w:t>
            </w:r>
            <w:r>
              <w:rPr>
                <w:rFonts w:ascii="宋体" w:hAnsi="宋体" w:cs="宋体"/>
                <w:color w:val="auto"/>
                <w:szCs w:val="21"/>
                <w:highlight w:val="none"/>
              </w:rPr>
              <w:t>5</w:t>
            </w:r>
            <w:r>
              <w:rPr>
                <w:rFonts w:hint="eastAsia" w:ascii="宋体" w:hAnsi="宋体" w:cs="宋体"/>
                <w:color w:val="auto"/>
                <w:szCs w:val="21"/>
                <w:highlight w:val="none"/>
              </w:rPr>
              <w:t>分；</w:t>
            </w:r>
            <w:r>
              <w:rPr>
                <w:rFonts w:ascii="宋体" w:hAnsi="宋体"/>
                <w:color w:val="auto"/>
                <w:szCs w:val="21"/>
                <w:highlight w:val="none"/>
              </w:rPr>
              <w:t>每少一个扣2分，扣完为止。</w:t>
            </w:r>
            <w:r>
              <w:rPr>
                <w:rFonts w:hint="eastAsia" w:ascii="宋体" w:hAnsi="宋体"/>
                <w:color w:val="auto"/>
                <w:szCs w:val="21"/>
                <w:highlight w:val="none"/>
              </w:rPr>
              <w:t>本项最多得</w:t>
            </w:r>
            <w:r>
              <w:rPr>
                <w:rFonts w:ascii="宋体" w:hAnsi="宋体"/>
                <w:color w:val="auto"/>
                <w:szCs w:val="21"/>
                <w:highlight w:val="none"/>
              </w:rPr>
              <w:t>5</w:t>
            </w:r>
            <w:r>
              <w:rPr>
                <w:rFonts w:hint="eastAsia" w:ascii="宋体" w:hAnsi="宋体"/>
                <w:color w:val="auto"/>
                <w:szCs w:val="21"/>
                <w:highlight w:val="none"/>
              </w:rPr>
              <w:t>分</w:t>
            </w:r>
          </w:p>
          <w:p>
            <w:pPr>
              <w:pStyle w:val="59"/>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注：须提供相关证明材料扫描件，否则不予得分。</w:t>
            </w:r>
          </w:p>
          <w:p>
            <w:pPr>
              <w:pStyle w:val="59"/>
              <w:adjustRightInd w:val="0"/>
              <w:snapToGrid w:val="0"/>
              <w:jc w:val="left"/>
              <w:rPr>
                <w:rFonts w:ascii="宋体" w:hAnsi="宋体"/>
                <w:bCs/>
                <w:color w:val="auto"/>
                <w:szCs w:val="21"/>
                <w:highlight w:val="none"/>
              </w:rPr>
            </w:pPr>
          </w:p>
          <w:p>
            <w:pPr>
              <w:pStyle w:val="59"/>
              <w:numPr>
                <w:ilvl w:val="0"/>
                <w:numId w:val="2"/>
              </w:numPr>
              <w:adjustRightInd w:val="0"/>
              <w:snapToGrid w:val="0"/>
              <w:spacing w:line="360" w:lineRule="auto"/>
              <w:jc w:val="left"/>
              <w:rPr>
                <w:rFonts w:ascii="宋体" w:hAnsi="宋体" w:cs="宋体"/>
                <w:bCs/>
                <w:color w:val="auto"/>
                <w:spacing w:val="-6"/>
                <w:szCs w:val="21"/>
                <w:highlight w:val="none"/>
              </w:rPr>
            </w:pPr>
            <w:r>
              <w:rPr>
                <w:rFonts w:hint="eastAsia" w:ascii="宋体" w:hAnsi="宋体" w:cs="宋体"/>
                <w:bCs/>
                <w:color w:val="auto"/>
                <w:spacing w:val="-6"/>
                <w:szCs w:val="21"/>
                <w:highlight w:val="none"/>
              </w:rPr>
              <w:t>投标人</w:t>
            </w:r>
            <w:r>
              <w:rPr>
                <w:rFonts w:hint="eastAsia" w:ascii="宋体" w:hAnsi="宋体" w:cs="宋体"/>
                <w:color w:val="auto"/>
                <w:szCs w:val="21"/>
                <w:highlight w:val="none"/>
              </w:rPr>
              <w:t>（如为联合体，指联合体主办方）</w:t>
            </w:r>
            <w:r>
              <w:rPr>
                <w:rFonts w:hint="eastAsia" w:ascii="宋体" w:hAnsi="宋体" w:cs="宋体"/>
                <w:bCs/>
                <w:color w:val="auto"/>
                <w:spacing w:val="-6"/>
                <w:szCs w:val="21"/>
                <w:highlight w:val="none"/>
              </w:rPr>
              <w:t>自2019年至今连续四年获得纳税信用A级荣誉证书的，得</w:t>
            </w:r>
            <w:r>
              <w:rPr>
                <w:rFonts w:ascii="宋体" w:hAnsi="宋体" w:cs="宋体"/>
                <w:bCs/>
                <w:color w:val="auto"/>
                <w:spacing w:val="-6"/>
                <w:szCs w:val="21"/>
                <w:highlight w:val="none"/>
              </w:rPr>
              <w:t>3</w:t>
            </w:r>
            <w:r>
              <w:rPr>
                <w:rFonts w:hint="eastAsia" w:ascii="宋体" w:hAnsi="宋体" w:cs="宋体"/>
                <w:bCs/>
                <w:color w:val="auto"/>
                <w:spacing w:val="-6"/>
                <w:szCs w:val="21"/>
                <w:highlight w:val="none"/>
              </w:rPr>
              <w:t>分；连续三年获得纳税信用A级荣誉证书的，得</w:t>
            </w:r>
            <w:r>
              <w:rPr>
                <w:rFonts w:ascii="宋体" w:hAnsi="宋体" w:cs="宋体"/>
                <w:bCs/>
                <w:color w:val="auto"/>
                <w:spacing w:val="-6"/>
                <w:szCs w:val="21"/>
                <w:highlight w:val="none"/>
              </w:rPr>
              <w:t>2</w:t>
            </w:r>
            <w:r>
              <w:rPr>
                <w:rFonts w:hint="eastAsia" w:ascii="宋体" w:hAnsi="宋体" w:cs="宋体"/>
                <w:bCs/>
                <w:color w:val="auto"/>
                <w:spacing w:val="-6"/>
                <w:szCs w:val="21"/>
                <w:highlight w:val="none"/>
              </w:rPr>
              <w:t>分；连续</w:t>
            </w:r>
            <w:r>
              <w:rPr>
                <w:rFonts w:hint="eastAsia" w:ascii="宋体" w:hAnsi="宋体" w:cs="宋体"/>
                <w:bCs/>
                <w:color w:val="auto"/>
                <w:spacing w:val="-6"/>
                <w:szCs w:val="21"/>
                <w:highlight w:val="none"/>
                <w:lang w:val="en-US" w:eastAsia="zh-CN"/>
              </w:rPr>
              <w:t>二</w:t>
            </w:r>
            <w:r>
              <w:rPr>
                <w:rFonts w:hint="eastAsia" w:ascii="宋体" w:hAnsi="宋体" w:cs="宋体"/>
                <w:bCs/>
                <w:color w:val="auto"/>
                <w:spacing w:val="-6"/>
                <w:szCs w:val="21"/>
                <w:highlight w:val="none"/>
              </w:rPr>
              <w:t>年获得纳税信用A级荣誉证书的，得</w:t>
            </w:r>
            <w:r>
              <w:rPr>
                <w:rFonts w:ascii="宋体" w:hAnsi="宋体" w:cs="宋体"/>
                <w:bCs/>
                <w:color w:val="auto"/>
                <w:spacing w:val="-6"/>
                <w:szCs w:val="21"/>
                <w:highlight w:val="none"/>
              </w:rPr>
              <w:t>1</w:t>
            </w:r>
            <w:r>
              <w:rPr>
                <w:rFonts w:hint="eastAsia" w:ascii="宋体" w:hAnsi="宋体" w:cs="宋体"/>
                <w:bCs/>
                <w:color w:val="auto"/>
                <w:spacing w:val="-6"/>
                <w:szCs w:val="21"/>
                <w:highlight w:val="none"/>
              </w:rPr>
              <w:t>分；其余不得分；</w:t>
            </w:r>
          </w:p>
          <w:p>
            <w:pPr>
              <w:adjustRightInd w:val="0"/>
              <w:snapToGrid w:val="0"/>
              <w:spacing w:line="360" w:lineRule="auto"/>
              <w:jc w:val="left"/>
              <w:rPr>
                <w:rFonts w:ascii="宋体" w:hAnsi="宋体" w:cs="宋体"/>
                <w:b/>
                <w:bCs/>
                <w:color w:val="auto"/>
                <w:highlight w:val="none"/>
              </w:rPr>
            </w:pPr>
            <w:r>
              <w:rPr>
                <w:rFonts w:hint="eastAsia" w:ascii="宋体" w:hAnsi="宋体" w:cs="宋体"/>
                <w:b/>
                <w:color w:val="auto"/>
                <w:szCs w:val="21"/>
                <w:highlight w:val="none"/>
              </w:rPr>
              <w:t>【注：连续年度须包含最近202</w:t>
            </w:r>
            <w:r>
              <w:rPr>
                <w:rFonts w:ascii="宋体" w:hAnsi="宋体" w:cs="宋体"/>
                <w:b/>
                <w:color w:val="auto"/>
                <w:szCs w:val="21"/>
                <w:highlight w:val="none"/>
              </w:rPr>
              <w:t>2</w:t>
            </w:r>
            <w:r>
              <w:rPr>
                <w:rFonts w:hint="eastAsia" w:ascii="宋体" w:hAnsi="宋体" w:cs="宋体"/>
                <w:b/>
                <w:color w:val="auto"/>
                <w:szCs w:val="21"/>
                <w:highlight w:val="none"/>
              </w:rPr>
              <w:t>年度；提供荣誉证书及 “国家税务总局”官网（http://www.chinatax.gov.cn/index.html）查询结果，投标人（如为联合体，指联合体主办方）须提供网站查询结果网页截图。只计算投标人自身（不计算投标人的分公司或子公司）。不符合条件或未提交截图的不计分。】</w:t>
            </w:r>
          </w:p>
          <w:p>
            <w:pPr>
              <w:adjustRightInd w:val="0"/>
              <w:snapToGrid w:val="0"/>
              <w:spacing w:line="360" w:lineRule="auto"/>
              <w:jc w:val="left"/>
              <w:rPr>
                <w:rFonts w:ascii="宋体" w:hAnsi="宋体" w:cs="宋体"/>
                <w:b/>
                <w:bCs/>
                <w:color w:val="auto"/>
                <w:highlight w:val="none"/>
              </w:rPr>
            </w:pPr>
            <w:r>
              <w:rPr>
                <w:rFonts w:hint="eastAsia" w:ascii="宋体" w:hAnsi="宋体" w:cs="宋体"/>
                <w:b/>
                <w:bCs/>
                <w:color w:val="auto"/>
                <w:highlight w:val="none"/>
              </w:rPr>
              <w:t>注：须提供相关证明材料扫描件，否则不予得分。</w:t>
            </w:r>
          </w:p>
          <w:p>
            <w:pPr>
              <w:pStyle w:val="59"/>
              <w:adjustRightInd w:val="0"/>
              <w:snapToGrid w:val="0"/>
              <w:jc w:val="left"/>
              <w:rPr>
                <w:rFonts w:ascii="宋体" w:hAnsi="宋体"/>
                <w:bCs/>
                <w:color w:val="auto"/>
                <w:szCs w:val="21"/>
                <w:highlight w:val="none"/>
              </w:rPr>
            </w:pPr>
          </w:p>
          <w:p>
            <w:pPr>
              <w:adjustRightInd w:val="0"/>
              <w:snapToGrid w:val="0"/>
              <w:spacing w:line="360" w:lineRule="auto"/>
              <w:rPr>
                <w:color w:val="auto"/>
                <w:highlight w:val="none"/>
              </w:rPr>
            </w:pPr>
            <w:r>
              <w:rPr>
                <w:rFonts w:hint="eastAsia"/>
                <w:color w:val="auto"/>
                <w:highlight w:val="none"/>
              </w:rPr>
              <w:t>5、</w:t>
            </w:r>
            <w:r>
              <w:rPr>
                <w:rFonts w:hint="eastAsia" w:ascii="宋体" w:hAnsi="宋体" w:cs="宋体"/>
                <w:color w:val="auto"/>
                <w:szCs w:val="21"/>
                <w:highlight w:val="none"/>
              </w:rPr>
              <w:t>投标人（如为联合体，指联合体主办方）获得省级或以上行业协会颁发的（检测机构）诚信评价AAAAA级证书并在有效期内的，且连续四年或以上获得省级或以上行业协会颁发的行业协会先进单位称号的得</w:t>
            </w:r>
            <w:r>
              <w:rPr>
                <w:rFonts w:ascii="宋体" w:hAnsi="宋体" w:cs="宋体"/>
                <w:color w:val="auto"/>
                <w:szCs w:val="21"/>
                <w:highlight w:val="none"/>
              </w:rPr>
              <w:t>3</w:t>
            </w:r>
            <w:r>
              <w:rPr>
                <w:rFonts w:hint="eastAsia" w:ascii="宋体" w:hAnsi="宋体" w:cs="宋体"/>
                <w:color w:val="auto"/>
                <w:szCs w:val="21"/>
                <w:highlight w:val="none"/>
              </w:rPr>
              <w:t>分，其它不得分。本项最高得</w:t>
            </w:r>
            <w:r>
              <w:rPr>
                <w:rFonts w:ascii="宋体" w:hAnsi="宋体" w:cs="宋体"/>
                <w:color w:val="auto"/>
                <w:szCs w:val="21"/>
                <w:highlight w:val="none"/>
              </w:rPr>
              <w:t>3</w:t>
            </w:r>
            <w:r>
              <w:rPr>
                <w:rFonts w:hint="eastAsia" w:ascii="宋体" w:hAnsi="宋体" w:cs="宋体"/>
                <w:color w:val="auto"/>
                <w:szCs w:val="21"/>
                <w:highlight w:val="none"/>
              </w:rPr>
              <w:t>分。须提供证书扫描件。</w:t>
            </w:r>
          </w:p>
          <w:p>
            <w:pPr>
              <w:adjustRightInd w:val="0"/>
              <w:snapToGrid w:val="0"/>
              <w:spacing w:line="360" w:lineRule="auto"/>
              <w:jc w:val="left"/>
              <w:rPr>
                <w:b/>
                <w:color w:val="auto"/>
                <w:highlight w:val="none"/>
              </w:rPr>
            </w:pPr>
            <w:r>
              <w:rPr>
                <w:rFonts w:hint="eastAsia"/>
                <w:b/>
                <w:color w:val="auto"/>
                <w:highlight w:val="none"/>
              </w:rPr>
              <w:t>注：需提供证书或相关证明资料扫描件，否则不予得分。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96" w:hRule="atLeast"/>
          <w:jc w:val="center"/>
        </w:trPr>
        <w:tc>
          <w:tcPr>
            <w:tcW w:w="683" w:type="dxa"/>
            <w:vMerge w:val="continue"/>
            <w:vAlign w:val="center"/>
          </w:tcPr>
          <w:p>
            <w:pPr>
              <w:adjustRightInd w:val="0"/>
              <w:snapToGrid w:val="0"/>
              <w:spacing w:line="360" w:lineRule="auto"/>
              <w:jc w:val="left"/>
              <w:rPr>
                <w:rFonts w:ascii="宋体" w:hAnsi="宋体" w:cs="宋体"/>
                <w:color w:val="auto"/>
                <w:highlight w:val="none"/>
              </w:rPr>
            </w:pPr>
          </w:p>
        </w:tc>
        <w:tc>
          <w:tcPr>
            <w:tcW w:w="1028" w:type="dxa"/>
            <w:vMerge w:val="continue"/>
            <w:vAlign w:val="center"/>
          </w:tcPr>
          <w:p>
            <w:pPr>
              <w:adjustRightInd w:val="0"/>
              <w:snapToGrid w:val="0"/>
              <w:spacing w:line="360" w:lineRule="auto"/>
              <w:jc w:val="left"/>
              <w:rPr>
                <w:rFonts w:ascii="宋体" w:hAnsi="宋体" w:cs="宋体"/>
                <w:color w:val="auto"/>
                <w:highlight w:val="none"/>
              </w:rPr>
            </w:pPr>
          </w:p>
        </w:tc>
        <w:tc>
          <w:tcPr>
            <w:tcW w:w="982" w:type="dxa"/>
            <w:vAlign w:val="center"/>
          </w:tcPr>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拟投入人员综合水平</w:t>
            </w:r>
          </w:p>
          <w:p>
            <w:pPr>
              <w:adjustRightInd w:val="0"/>
              <w:snapToGrid w:val="0"/>
              <w:spacing w:line="360" w:lineRule="auto"/>
              <w:jc w:val="left"/>
              <w:rPr>
                <w:rFonts w:ascii="宋体" w:hAnsi="宋体" w:cs="宋体"/>
                <w:color w:val="auto"/>
                <w:highlight w:val="none"/>
              </w:rPr>
            </w:pPr>
            <w:r>
              <w:rPr>
                <w:rFonts w:hint="eastAsia" w:ascii="宋体" w:hAnsi="宋体" w:cs="宋体"/>
                <w:color w:val="auto"/>
                <w:highlight w:val="none"/>
              </w:rPr>
              <w:t>（20分）</w:t>
            </w:r>
          </w:p>
        </w:tc>
        <w:tc>
          <w:tcPr>
            <w:tcW w:w="7611" w:type="dxa"/>
            <w:vAlign w:val="center"/>
          </w:tcPr>
          <w:p>
            <w:pPr>
              <w:adjustRightInd w:val="0"/>
              <w:snapToGrid w:val="0"/>
              <w:spacing w:line="360" w:lineRule="auto"/>
              <w:jc w:val="left"/>
              <w:rPr>
                <w:rFonts w:ascii="宋体" w:hAnsi="宋体"/>
                <w:b/>
                <w:bCs/>
                <w:color w:val="auto"/>
                <w:szCs w:val="21"/>
                <w:highlight w:val="none"/>
              </w:rPr>
            </w:pPr>
            <w:r>
              <w:rPr>
                <w:rFonts w:hint="eastAsia" w:ascii="宋体" w:hAnsi="宋体" w:cs="宋体"/>
                <w:b/>
                <w:bCs/>
                <w:color w:val="auto"/>
                <w:szCs w:val="21"/>
                <w:highlight w:val="none"/>
              </w:rPr>
              <w:t>1、项目负</w:t>
            </w:r>
            <w:r>
              <w:rPr>
                <w:rFonts w:hint="eastAsia" w:ascii="宋体" w:hAnsi="宋体"/>
                <w:b/>
                <w:bCs/>
                <w:color w:val="auto"/>
                <w:szCs w:val="21"/>
                <w:highlight w:val="none"/>
              </w:rPr>
              <w:t>责人</w:t>
            </w:r>
            <w:r>
              <w:rPr>
                <w:rFonts w:hint="eastAsia" w:ascii="宋体" w:hAnsi="宋体" w:cs="宋体"/>
                <w:color w:val="auto"/>
                <w:szCs w:val="21"/>
                <w:highlight w:val="none"/>
              </w:rPr>
              <w:t>（如为联合体，指联合体主办方）</w:t>
            </w:r>
            <w:r>
              <w:rPr>
                <w:rFonts w:hint="eastAsia" w:ascii="宋体" w:hAnsi="宋体"/>
                <w:b/>
                <w:bCs/>
                <w:color w:val="auto"/>
                <w:szCs w:val="21"/>
                <w:highlight w:val="none"/>
              </w:rPr>
              <w:t>：</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（1）具有工程类高级工程师或以上职称的得3分；具有工程类工程师的得1分（按最高职称计算一次，不累计计分）；本项最多得3分。</w:t>
            </w:r>
          </w:p>
          <w:p>
            <w:pPr>
              <w:pStyle w:val="59"/>
              <w:adjustRightInd w:val="0"/>
              <w:snapToGrid w:val="0"/>
              <w:spacing w:line="360" w:lineRule="auto"/>
              <w:jc w:val="left"/>
              <w:rPr>
                <w:rFonts w:hint="eastAsia" w:ascii="宋体" w:hAnsi="宋体" w:cs="宋体"/>
                <w:color w:val="auto"/>
                <w:kern w:val="0"/>
                <w:szCs w:val="21"/>
                <w:highlight w:val="none"/>
                <w:lang w:bidi="ar"/>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w:t>
            </w:r>
            <w:r>
              <w:rPr>
                <w:rFonts w:hint="eastAsia" w:ascii="宋体" w:hAnsi="宋体" w:cs="宋体"/>
                <w:color w:val="auto"/>
                <w:kern w:val="0"/>
                <w:szCs w:val="21"/>
                <w:highlight w:val="none"/>
                <w:lang w:bidi="ar"/>
              </w:rPr>
              <w:t>具有国家注册</w:t>
            </w:r>
            <w:r>
              <w:rPr>
                <w:rFonts w:hint="eastAsia" w:ascii="宋体" w:hAnsi="宋体" w:cs="宋体"/>
                <w:color w:val="auto"/>
                <w:szCs w:val="21"/>
                <w:highlight w:val="none"/>
              </w:rPr>
              <w:t>土木工程</w:t>
            </w:r>
            <w:r>
              <w:rPr>
                <w:rFonts w:hint="eastAsia" w:ascii="宋体" w:hAnsi="宋体" w:cs="宋体"/>
                <w:color w:val="auto"/>
                <w:kern w:val="0"/>
                <w:szCs w:val="21"/>
                <w:highlight w:val="none"/>
                <w:lang w:bidi="ar"/>
              </w:rPr>
              <w:t>师（岩土）注册执业证书</w:t>
            </w:r>
            <w:r>
              <w:rPr>
                <w:rFonts w:hint="eastAsia" w:ascii="宋体" w:hAnsi="宋体" w:cs="宋体"/>
                <w:color w:val="auto"/>
                <w:szCs w:val="21"/>
                <w:highlight w:val="none"/>
              </w:rPr>
              <w:t>及</w:t>
            </w:r>
            <w:r>
              <w:rPr>
                <w:rFonts w:hint="eastAsia" w:ascii="宋体" w:hAnsi="宋体" w:cs="宋体"/>
                <w:color w:val="auto"/>
                <w:kern w:val="0"/>
                <w:szCs w:val="21"/>
                <w:highlight w:val="none"/>
                <w:lang w:bidi="ar"/>
              </w:rPr>
              <w:t>一级注册结构工程师注册执业证书，得</w:t>
            </w:r>
            <w:r>
              <w:rPr>
                <w:rFonts w:ascii="宋体" w:hAnsi="宋体" w:cs="宋体"/>
                <w:color w:val="auto"/>
                <w:kern w:val="0"/>
                <w:szCs w:val="21"/>
                <w:highlight w:val="none"/>
                <w:lang w:bidi="ar"/>
              </w:rPr>
              <w:t>4</w:t>
            </w:r>
            <w:r>
              <w:rPr>
                <w:rFonts w:hint="eastAsia" w:ascii="宋体" w:hAnsi="宋体" w:cs="宋体"/>
                <w:color w:val="auto"/>
                <w:kern w:val="0"/>
                <w:szCs w:val="21"/>
                <w:highlight w:val="none"/>
                <w:lang w:bidi="ar"/>
              </w:rPr>
              <w:t>分。</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w:t>
            </w:r>
            <w:r>
              <w:rPr>
                <w:rFonts w:ascii="宋体" w:hAnsi="宋体"/>
                <w:bCs/>
                <w:color w:val="auto"/>
                <w:szCs w:val="21"/>
                <w:highlight w:val="none"/>
              </w:rPr>
              <w:t>3</w:t>
            </w:r>
            <w:r>
              <w:rPr>
                <w:rFonts w:hint="eastAsia" w:ascii="宋体" w:hAnsi="宋体"/>
                <w:bCs/>
                <w:color w:val="auto"/>
                <w:szCs w:val="21"/>
                <w:highlight w:val="none"/>
              </w:rPr>
              <w:t>）具</w:t>
            </w:r>
            <w:r>
              <w:rPr>
                <w:rFonts w:ascii="宋体" w:hAnsi="宋体"/>
                <w:bCs/>
                <w:color w:val="auto"/>
                <w:szCs w:val="21"/>
                <w:highlight w:val="none"/>
              </w:rPr>
              <w:t>有</w:t>
            </w:r>
            <w:r>
              <w:rPr>
                <w:rFonts w:hint="eastAsia" w:ascii="宋体" w:hAnsi="宋体"/>
                <w:bCs/>
                <w:color w:val="auto"/>
                <w:szCs w:val="21"/>
                <w:highlight w:val="none"/>
              </w:rPr>
              <w:t>建设行政主管部门或其委托的机构、行业协会颁发的检测员证或检测鉴定培训合格证得</w:t>
            </w:r>
            <w:r>
              <w:rPr>
                <w:rFonts w:ascii="宋体" w:hAnsi="宋体"/>
                <w:bCs/>
                <w:color w:val="auto"/>
                <w:szCs w:val="21"/>
                <w:highlight w:val="none"/>
              </w:rPr>
              <w:t>1</w:t>
            </w:r>
            <w:r>
              <w:rPr>
                <w:rFonts w:hint="eastAsia" w:ascii="宋体" w:hAnsi="宋体"/>
                <w:bCs/>
                <w:color w:val="auto"/>
                <w:szCs w:val="21"/>
                <w:highlight w:val="none"/>
              </w:rPr>
              <w:t>分，没有不得分。</w:t>
            </w:r>
          </w:p>
          <w:p>
            <w:pPr>
              <w:adjustRightInd w:val="0"/>
              <w:snapToGrid w:val="0"/>
              <w:spacing w:line="360" w:lineRule="auto"/>
              <w:jc w:val="left"/>
              <w:rPr>
                <w:rFonts w:ascii="宋体" w:hAnsi="宋体" w:cs="宋体"/>
                <w:b/>
                <w:color w:val="auto"/>
                <w:szCs w:val="21"/>
                <w:highlight w:val="none"/>
              </w:rPr>
            </w:pPr>
            <w:r>
              <w:rPr>
                <w:rFonts w:hint="eastAsia" w:ascii="宋体" w:hAnsi="宋体" w:cs="宋体"/>
                <w:b/>
                <w:color w:val="auto"/>
                <w:szCs w:val="21"/>
                <w:highlight w:val="none"/>
              </w:rPr>
              <w:t>注：需提供</w:t>
            </w:r>
            <w:r>
              <w:rPr>
                <w:rFonts w:ascii="宋体" w:hAnsi="宋体" w:cs="宋体"/>
                <w:b/>
                <w:color w:val="auto"/>
                <w:szCs w:val="21"/>
                <w:highlight w:val="none"/>
              </w:rPr>
              <w:t>身份证、职称证、</w:t>
            </w:r>
            <w:r>
              <w:rPr>
                <w:rFonts w:hint="eastAsia" w:ascii="宋体" w:hAnsi="宋体" w:cs="宋体"/>
                <w:b/>
                <w:color w:val="auto"/>
                <w:szCs w:val="21"/>
                <w:highlight w:val="none"/>
              </w:rPr>
              <w:t>检测员证或检测鉴定培训合格证、投标截止前1个月</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2022年7月</w:t>
            </w:r>
            <w:r>
              <w:rPr>
                <w:rFonts w:hint="eastAsia" w:ascii="宋体" w:hAnsi="宋体" w:cs="宋体"/>
                <w:b/>
                <w:color w:val="auto"/>
                <w:szCs w:val="21"/>
                <w:highlight w:val="none"/>
                <w:lang w:eastAsia="zh-CN"/>
              </w:rPr>
              <w:t>）</w:t>
            </w:r>
            <w:r>
              <w:rPr>
                <w:rFonts w:ascii="宋体" w:hAnsi="宋体" w:cs="宋体"/>
                <w:b/>
                <w:color w:val="auto"/>
                <w:szCs w:val="21"/>
                <w:highlight w:val="none"/>
              </w:rPr>
              <w:t>社保证明等</w:t>
            </w:r>
            <w:r>
              <w:rPr>
                <w:rFonts w:hint="eastAsia" w:ascii="宋体" w:hAnsi="宋体" w:cs="宋体"/>
                <w:b/>
                <w:color w:val="auto"/>
                <w:szCs w:val="21"/>
                <w:highlight w:val="none"/>
              </w:rPr>
              <w:t>清晰扫描件。</w:t>
            </w:r>
          </w:p>
          <w:p>
            <w:pPr>
              <w:pStyle w:val="59"/>
              <w:adjustRightInd w:val="0"/>
              <w:snapToGrid w:val="0"/>
              <w:jc w:val="left"/>
              <w:rPr>
                <w:rFonts w:ascii="宋体" w:hAnsi="宋体"/>
                <w:bCs/>
                <w:color w:val="auto"/>
                <w:szCs w:val="21"/>
                <w:highlight w:val="none"/>
              </w:rPr>
            </w:pPr>
          </w:p>
          <w:p>
            <w:pPr>
              <w:pStyle w:val="59"/>
              <w:adjustRightInd w:val="0"/>
              <w:snapToGrid w:val="0"/>
              <w:spacing w:line="360" w:lineRule="auto"/>
              <w:jc w:val="left"/>
              <w:rPr>
                <w:rFonts w:ascii="宋体" w:hAnsi="宋体"/>
                <w:bCs/>
                <w:color w:val="auto"/>
                <w:szCs w:val="21"/>
                <w:highlight w:val="none"/>
              </w:rPr>
            </w:pPr>
            <w:r>
              <w:rPr>
                <w:rFonts w:hint="eastAsia" w:ascii="宋体" w:hAnsi="宋体"/>
                <w:b/>
                <w:bCs/>
                <w:color w:val="auto"/>
                <w:szCs w:val="21"/>
                <w:highlight w:val="none"/>
                <w:lang w:val="en-US" w:eastAsia="zh-CN"/>
              </w:rPr>
              <w:t>2</w:t>
            </w:r>
            <w:r>
              <w:rPr>
                <w:rFonts w:hint="eastAsia" w:ascii="宋体" w:hAnsi="宋体"/>
                <w:b/>
                <w:bCs/>
                <w:color w:val="auto"/>
                <w:szCs w:val="21"/>
                <w:highlight w:val="none"/>
              </w:rPr>
              <w:t>、</w:t>
            </w:r>
            <w:r>
              <w:rPr>
                <w:rFonts w:hint="eastAsia" w:ascii="宋体" w:hAnsi="宋体" w:cs="宋体"/>
                <w:b/>
                <w:bCs/>
                <w:color w:val="auto"/>
                <w:szCs w:val="21"/>
                <w:highlight w:val="none"/>
              </w:rPr>
              <w:t>拟投入本项目主要技术人员</w:t>
            </w:r>
            <w:r>
              <w:rPr>
                <w:rFonts w:hint="eastAsia" w:ascii="宋体" w:hAnsi="宋体"/>
                <w:bCs/>
                <w:color w:val="auto"/>
                <w:szCs w:val="21"/>
                <w:highlight w:val="none"/>
              </w:rPr>
              <w:t>（除项目负责人、技术负责人外）：</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（1）持有建设行政主管部门或其委托的机构、行业协会颁发的检测员证或检测鉴定培训合格证，每一人得</w:t>
            </w:r>
            <w:r>
              <w:rPr>
                <w:rFonts w:ascii="宋体" w:hAnsi="宋体"/>
                <w:bCs/>
                <w:color w:val="auto"/>
                <w:szCs w:val="21"/>
                <w:highlight w:val="none"/>
              </w:rPr>
              <w:t>1</w:t>
            </w:r>
            <w:r>
              <w:rPr>
                <w:rFonts w:hint="eastAsia" w:ascii="宋体" w:hAnsi="宋体"/>
                <w:bCs/>
                <w:color w:val="auto"/>
                <w:szCs w:val="21"/>
                <w:highlight w:val="none"/>
              </w:rPr>
              <w:t>分，本项最多得</w:t>
            </w:r>
            <w:r>
              <w:rPr>
                <w:rFonts w:ascii="宋体" w:hAnsi="宋体"/>
                <w:bCs/>
                <w:color w:val="auto"/>
                <w:szCs w:val="21"/>
                <w:highlight w:val="none"/>
              </w:rPr>
              <w:t>7</w:t>
            </w:r>
            <w:r>
              <w:rPr>
                <w:rFonts w:hint="eastAsia" w:ascii="宋体" w:hAnsi="宋体"/>
                <w:bCs/>
                <w:color w:val="auto"/>
                <w:szCs w:val="21"/>
                <w:highlight w:val="none"/>
              </w:rPr>
              <w:t>分；</w:t>
            </w:r>
          </w:p>
          <w:p>
            <w:pPr>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（2）具有工程师或以上职称，每一人得1分，本项最多得5分；</w:t>
            </w:r>
          </w:p>
          <w:p>
            <w:pPr>
              <w:adjustRightInd w:val="0"/>
              <w:snapToGrid w:val="0"/>
              <w:spacing w:line="360" w:lineRule="auto"/>
              <w:jc w:val="left"/>
              <w:rPr>
                <w:rFonts w:ascii="宋体" w:hAnsi="宋体" w:cs="宋体"/>
                <w:color w:val="auto"/>
                <w:highlight w:val="none"/>
              </w:rPr>
            </w:pPr>
            <w:r>
              <w:rPr>
                <w:rFonts w:hint="eastAsia" w:ascii="宋体" w:hAnsi="宋体"/>
                <w:b/>
                <w:color w:val="auto"/>
                <w:szCs w:val="21"/>
                <w:highlight w:val="none"/>
              </w:rPr>
              <w:t>注：需提供身份证、职称证、检测员证或检测鉴定培训合格证、</w:t>
            </w:r>
            <w:r>
              <w:rPr>
                <w:rFonts w:hint="eastAsia" w:ascii="宋体" w:hAnsi="宋体" w:cs="宋体"/>
                <w:b/>
                <w:color w:val="auto"/>
                <w:szCs w:val="21"/>
                <w:highlight w:val="none"/>
              </w:rPr>
              <w:t>投标截止前1个月</w:t>
            </w:r>
            <w:r>
              <w:rPr>
                <w:rFonts w:hint="eastAsia" w:ascii="宋体" w:hAnsi="宋体" w:cs="宋体"/>
                <w:b/>
                <w:color w:val="auto"/>
                <w:szCs w:val="21"/>
                <w:highlight w:val="none"/>
                <w:lang w:eastAsia="zh-CN"/>
              </w:rPr>
              <w:t>（</w:t>
            </w:r>
            <w:r>
              <w:rPr>
                <w:rFonts w:hint="eastAsia" w:ascii="宋体" w:hAnsi="宋体" w:cs="宋体"/>
                <w:b/>
                <w:color w:val="auto"/>
                <w:szCs w:val="21"/>
                <w:highlight w:val="none"/>
                <w:lang w:val="en-US" w:eastAsia="zh-CN"/>
              </w:rPr>
              <w:t>2022年7月</w:t>
            </w:r>
            <w:r>
              <w:rPr>
                <w:rFonts w:hint="eastAsia" w:ascii="宋体" w:hAnsi="宋体" w:cs="宋体"/>
                <w:b/>
                <w:color w:val="auto"/>
                <w:szCs w:val="21"/>
                <w:highlight w:val="none"/>
                <w:lang w:eastAsia="zh-CN"/>
              </w:rPr>
              <w:t>）</w:t>
            </w:r>
            <w:r>
              <w:rPr>
                <w:rFonts w:ascii="宋体" w:hAnsi="宋体" w:cs="宋体"/>
                <w:b/>
                <w:color w:val="auto"/>
                <w:szCs w:val="21"/>
                <w:highlight w:val="none"/>
              </w:rPr>
              <w:t>社保证明等</w:t>
            </w:r>
            <w:r>
              <w:rPr>
                <w:rFonts w:hint="eastAsia" w:ascii="宋体" w:hAnsi="宋体" w:cs="宋体"/>
                <w:b/>
                <w:color w:val="auto"/>
                <w:szCs w:val="21"/>
                <w:highlight w:val="none"/>
              </w:rPr>
              <w:t>清晰扫描件</w:t>
            </w:r>
            <w:r>
              <w:rPr>
                <w:rFonts w:hint="eastAsia" w:ascii="宋体" w:hAnsi="宋体"/>
                <w:b/>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3" w:type="dxa"/>
            <w:vMerge w:val="restart"/>
            <w:vAlign w:val="center"/>
          </w:tcPr>
          <w:p>
            <w:pPr>
              <w:adjustRightInd w:val="0"/>
              <w:snapToGrid w:val="0"/>
              <w:spacing w:line="360" w:lineRule="auto"/>
              <w:jc w:val="center"/>
              <w:rPr>
                <w:color w:val="auto"/>
                <w:highlight w:val="none"/>
              </w:rPr>
            </w:pPr>
            <w:r>
              <w:rPr>
                <w:rFonts w:hint="eastAsia"/>
                <w:color w:val="auto"/>
                <w:highlight w:val="none"/>
              </w:rPr>
              <w:t>2.2.4（2）</w:t>
            </w:r>
          </w:p>
        </w:tc>
        <w:tc>
          <w:tcPr>
            <w:tcW w:w="1028" w:type="dxa"/>
            <w:vMerge w:val="restart"/>
            <w:vAlign w:val="center"/>
          </w:tcPr>
          <w:p>
            <w:pPr>
              <w:adjustRightInd w:val="0"/>
              <w:snapToGrid w:val="0"/>
              <w:spacing w:line="360" w:lineRule="auto"/>
              <w:jc w:val="left"/>
              <w:rPr>
                <w:rFonts w:ascii="宋体" w:hAnsi="宋体"/>
                <w:color w:val="auto"/>
                <w:szCs w:val="21"/>
                <w:highlight w:val="none"/>
              </w:rPr>
            </w:pPr>
            <w:r>
              <w:rPr>
                <w:rFonts w:hint="eastAsia" w:ascii="宋体" w:hAnsi="宋体"/>
                <w:color w:val="auto"/>
                <w:szCs w:val="21"/>
                <w:highlight w:val="none"/>
              </w:rPr>
              <w:t>技术方案评分标准</w:t>
            </w:r>
          </w:p>
          <w:p>
            <w:pPr>
              <w:adjustRightInd w:val="0"/>
              <w:snapToGrid w:val="0"/>
              <w:spacing w:line="360" w:lineRule="auto"/>
              <w:jc w:val="left"/>
              <w:rPr>
                <w:rFonts w:ascii="宋体" w:hAnsi="宋体" w:cs="宋体"/>
                <w:color w:val="auto"/>
                <w:highlight w:val="none"/>
              </w:rPr>
            </w:pPr>
            <w:r>
              <w:rPr>
                <w:rFonts w:hint="eastAsia" w:ascii="宋体" w:hAnsi="宋体"/>
                <w:color w:val="auto"/>
                <w:szCs w:val="21"/>
                <w:highlight w:val="none"/>
              </w:rPr>
              <w:t>（</w:t>
            </w:r>
            <w:r>
              <w:rPr>
                <w:rFonts w:ascii="宋体" w:hAnsi="宋体"/>
                <w:color w:val="auto"/>
                <w:szCs w:val="21"/>
                <w:highlight w:val="none"/>
              </w:rPr>
              <w:t>3</w:t>
            </w:r>
            <w:r>
              <w:rPr>
                <w:rFonts w:hint="eastAsia" w:ascii="宋体" w:hAnsi="宋体"/>
                <w:color w:val="auto"/>
                <w:szCs w:val="21"/>
                <w:highlight w:val="none"/>
              </w:rPr>
              <w:t>0分）</w:t>
            </w:r>
          </w:p>
        </w:tc>
        <w:tc>
          <w:tcPr>
            <w:tcW w:w="982" w:type="dxa"/>
            <w:vAlign w:val="center"/>
          </w:tcPr>
          <w:p>
            <w:pPr>
              <w:adjustRightInd w:val="0"/>
              <w:snapToGrid w:val="0"/>
              <w:spacing w:line="360" w:lineRule="auto"/>
              <w:jc w:val="center"/>
              <w:rPr>
                <w:rFonts w:ascii="宋体" w:hAnsi="宋体"/>
                <w:color w:val="auto"/>
                <w:szCs w:val="21"/>
                <w:highlight w:val="none"/>
              </w:rPr>
            </w:pPr>
            <w:r>
              <w:rPr>
                <w:rFonts w:hint="eastAsia" w:ascii="宋体" w:hAnsi="宋体"/>
                <w:color w:val="auto"/>
                <w:szCs w:val="21"/>
                <w:highlight w:val="none"/>
              </w:rPr>
              <w:t>检测和监测方案</w:t>
            </w:r>
          </w:p>
          <w:p>
            <w:pPr>
              <w:adjustRightInd w:val="0"/>
              <w:snapToGrid w:val="0"/>
              <w:spacing w:line="360" w:lineRule="auto"/>
              <w:jc w:val="center"/>
              <w:rPr>
                <w:rFonts w:ascii="宋体" w:hAnsi="宋体" w:cs="宋体"/>
                <w:color w:val="auto"/>
                <w:highlight w:val="none"/>
              </w:rPr>
            </w:pPr>
            <w:r>
              <w:rPr>
                <w:rFonts w:hint="eastAsia" w:ascii="宋体" w:hAnsi="宋体"/>
                <w:color w:val="auto"/>
                <w:szCs w:val="21"/>
                <w:highlight w:val="none"/>
              </w:rPr>
              <w:t>（10分）</w:t>
            </w:r>
          </w:p>
        </w:tc>
        <w:tc>
          <w:tcPr>
            <w:tcW w:w="7611" w:type="dxa"/>
            <w:vAlign w:val="center"/>
          </w:tcPr>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【优】检测和监测工作的程序与方案详细、具体，内容齐全，能满足用户需求，有合理可行的保证通过相关验收、满足工程进度确保措施，得[9,10]分。</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【良】检测和监测工作的程序与方案内容齐全，基本满足要求，检测和监测方法符合检测和监测要求，得[6,8]分；</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【中】检测和监测工作的程序与方案不够全面具体，可行性低，得[3,5]分。</w:t>
            </w:r>
          </w:p>
          <w:p>
            <w:pPr>
              <w:pStyle w:val="59"/>
              <w:adjustRightInd w:val="0"/>
              <w:snapToGrid w:val="0"/>
              <w:spacing w:line="360" w:lineRule="auto"/>
              <w:jc w:val="left"/>
              <w:rPr>
                <w:rFonts w:ascii="宋体" w:hAnsi="宋体" w:cs="宋体"/>
                <w:color w:val="auto"/>
                <w:szCs w:val="21"/>
                <w:highlight w:val="none"/>
              </w:rPr>
            </w:pPr>
            <w:r>
              <w:rPr>
                <w:rFonts w:hint="eastAsia" w:ascii="宋体" w:hAnsi="宋体"/>
                <w:bCs/>
                <w:color w:val="auto"/>
                <w:szCs w:val="21"/>
                <w:highlight w:val="none"/>
              </w:rPr>
              <w:t>【差】检测和监测方案内容阐述缺项，检测和监测程序不满足要求，得[1,2]分。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64" w:hRule="atLeast"/>
          <w:jc w:val="center"/>
        </w:trPr>
        <w:tc>
          <w:tcPr>
            <w:tcW w:w="683" w:type="dxa"/>
            <w:vMerge w:val="continue"/>
            <w:vAlign w:val="center"/>
          </w:tcPr>
          <w:p>
            <w:pPr>
              <w:adjustRightInd w:val="0"/>
              <w:snapToGrid w:val="0"/>
              <w:spacing w:line="360" w:lineRule="auto"/>
              <w:jc w:val="center"/>
              <w:rPr>
                <w:color w:val="auto"/>
                <w:highlight w:val="none"/>
              </w:rPr>
            </w:pPr>
          </w:p>
        </w:tc>
        <w:tc>
          <w:tcPr>
            <w:tcW w:w="1028" w:type="dxa"/>
            <w:vMerge w:val="continue"/>
            <w:vAlign w:val="center"/>
          </w:tcPr>
          <w:p>
            <w:pPr>
              <w:adjustRightInd w:val="0"/>
              <w:snapToGrid w:val="0"/>
              <w:spacing w:line="360" w:lineRule="auto"/>
              <w:jc w:val="left"/>
              <w:rPr>
                <w:rFonts w:ascii="宋体" w:hAnsi="宋体"/>
                <w:color w:val="auto"/>
                <w:szCs w:val="21"/>
                <w:highlight w:val="none"/>
              </w:rPr>
            </w:pPr>
          </w:p>
        </w:tc>
        <w:tc>
          <w:tcPr>
            <w:tcW w:w="982" w:type="dxa"/>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拟投入的仪器设备</w:t>
            </w:r>
          </w:p>
          <w:p>
            <w:pPr>
              <w:adjustRightInd w:val="0"/>
              <w:snapToGrid w:val="0"/>
              <w:spacing w:line="360" w:lineRule="auto"/>
              <w:jc w:val="center"/>
              <w:rPr>
                <w:rFonts w:ascii="宋体" w:hAnsi="宋体" w:cs="宋体"/>
                <w:color w:val="auto"/>
                <w:sz w:val="18"/>
                <w:szCs w:val="18"/>
                <w:highlight w:val="none"/>
              </w:rPr>
            </w:pPr>
            <w:r>
              <w:rPr>
                <w:rFonts w:hint="eastAsia" w:ascii="宋体" w:hAnsi="宋体" w:cs="宋体"/>
                <w:color w:val="auto"/>
                <w:szCs w:val="21"/>
                <w:highlight w:val="none"/>
              </w:rPr>
              <w:t>（</w:t>
            </w:r>
            <w:r>
              <w:rPr>
                <w:rFonts w:ascii="宋体" w:hAnsi="宋体" w:cs="宋体"/>
                <w:color w:val="auto"/>
                <w:szCs w:val="21"/>
                <w:highlight w:val="none"/>
              </w:rPr>
              <w:t>2</w:t>
            </w:r>
            <w:r>
              <w:rPr>
                <w:rFonts w:hint="eastAsia" w:ascii="宋体" w:hAnsi="宋体" w:cs="宋体"/>
                <w:color w:val="auto"/>
                <w:szCs w:val="21"/>
                <w:highlight w:val="none"/>
              </w:rPr>
              <w:t xml:space="preserve">0分）  </w:t>
            </w:r>
          </w:p>
        </w:tc>
        <w:tc>
          <w:tcPr>
            <w:tcW w:w="7611" w:type="dxa"/>
            <w:vAlign w:val="center"/>
          </w:tcPr>
          <w:p>
            <w:pPr>
              <w:spacing w:line="360" w:lineRule="auto"/>
              <w:rPr>
                <w:rFonts w:ascii="宋体" w:hAnsi="宋体" w:cs="宋体"/>
                <w:b/>
                <w:bCs/>
                <w:color w:val="auto"/>
                <w:szCs w:val="21"/>
                <w:highlight w:val="none"/>
              </w:rPr>
            </w:pPr>
            <w:r>
              <w:rPr>
                <w:rFonts w:hint="eastAsia" w:ascii="宋体" w:hAnsi="宋体" w:cs="宋体"/>
                <w:b/>
                <w:color w:val="auto"/>
                <w:szCs w:val="21"/>
                <w:highlight w:val="none"/>
              </w:rPr>
              <w:t>（1）</w:t>
            </w:r>
            <w:r>
              <w:rPr>
                <w:rFonts w:ascii="宋体" w:hAnsi="宋体" w:cs="宋体"/>
                <w:b/>
                <w:color w:val="auto"/>
                <w:szCs w:val="21"/>
                <w:highlight w:val="none"/>
              </w:rPr>
              <w:t>拟投入本</w:t>
            </w:r>
            <w:r>
              <w:rPr>
                <w:rFonts w:hint="eastAsia" w:ascii="宋体" w:hAnsi="宋体" w:cs="宋体"/>
                <w:b/>
                <w:color w:val="auto"/>
                <w:szCs w:val="21"/>
                <w:highlight w:val="none"/>
              </w:rPr>
              <w:t>项目</w:t>
            </w:r>
            <w:r>
              <w:rPr>
                <w:rFonts w:ascii="宋体" w:hAnsi="宋体" w:cs="宋体"/>
                <w:b/>
                <w:color w:val="auto"/>
                <w:szCs w:val="21"/>
                <w:highlight w:val="none"/>
              </w:rPr>
              <w:t>检测</w:t>
            </w:r>
            <w:r>
              <w:rPr>
                <w:rFonts w:hint="eastAsia" w:ascii="宋体" w:hAnsi="宋体" w:cs="宋体"/>
                <w:b/>
                <w:color w:val="auto"/>
                <w:szCs w:val="21"/>
                <w:highlight w:val="none"/>
              </w:rPr>
              <w:t>、检测</w:t>
            </w:r>
            <w:r>
              <w:rPr>
                <w:rFonts w:ascii="宋体" w:hAnsi="宋体" w:cs="宋体"/>
                <w:b/>
                <w:color w:val="auto"/>
                <w:szCs w:val="21"/>
                <w:highlight w:val="none"/>
              </w:rPr>
              <w:t>设备（</w:t>
            </w:r>
            <w:r>
              <w:rPr>
                <w:rFonts w:hint="eastAsia" w:ascii="宋体" w:hAnsi="宋体" w:cs="宋体"/>
                <w:b/>
                <w:color w:val="auto"/>
                <w:szCs w:val="21"/>
                <w:highlight w:val="none"/>
              </w:rPr>
              <w:t>满分</w:t>
            </w:r>
            <w:r>
              <w:rPr>
                <w:rFonts w:ascii="宋体" w:hAnsi="宋体" w:cs="宋体"/>
                <w:b/>
                <w:color w:val="auto"/>
                <w:szCs w:val="21"/>
                <w:highlight w:val="none"/>
              </w:rPr>
              <w:t>10</w:t>
            </w:r>
            <w:r>
              <w:rPr>
                <w:rFonts w:hint="eastAsia" w:ascii="宋体" w:hAnsi="宋体" w:cs="宋体"/>
                <w:b/>
                <w:color w:val="auto"/>
                <w:szCs w:val="21"/>
                <w:highlight w:val="none"/>
              </w:rPr>
              <w:t>分</w:t>
            </w:r>
            <w:r>
              <w:rPr>
                <w:rFonts w:ascii="宋体" w:hAnsi="宋体" w:cs="宋体"/>
                <w:b/>
                <w:color w:val="auto"/>
                <w:szCs w:val="21"/>
                <w:highlight w:val="none"/>
              </w:rPr>
              <w:t>）</w:t>
            </w:r>
            <w:r>
              <w:rPr>
                <w:rFonts w:hint="eastAsia" w:ascii="宋体" w:hAnsi="宋体" w:cs="宋体"/>
                <w:b/>
                <w:color w:val="auto"/>
                <w:szCs w:val="21"/>
                <w:highlight w:val="none"/>
              </w:rPr>
              <w:t>：</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【优】拟投入</w:t>
            </w:r>
            <w:r>
              <w:rPr>
                <w:rFonts w:hint="eastAsia" w:ascii="宋体" w:hAnsi="宋体" w:cs="宋体"/>
                <w:color w:val="auto"/>
                <w:szCs w:val="21"/>
                <w:highlight w:val="none"/>
              </w:rPr>
              <w:t>仪器</w:t>
            </w:r>
            <w:r>
              <w:rPr>
                <w:rFonts w:hint="eastAsia" w:ascii="宋体" w:hAnsi="宋体"/>
                <w:bCs/>
                <w:color w:val="auto"/>
                <w:szCs w:val="21"/>
                <w:highlight w:val="none"/>
              </w:rPr>
              <w:t>设备先进、配备合理，完全满足检测监测和服务期要求，得[9,10]分；</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【良】拟投入</w:t>
            </w:r>
            <w:r>
              <w:rPr>
                <w:rFonts w:hint="eastAsia" w:ascii="宋体" w:hAnsi="宋体" w:cs="宋体"/>
                <w:color w:val="auto"/>
                <w:szCs w:val="21"/>
                <w:highlight w:val="none"/>
              </w:rPr>
              <w:t>仪器</w:t>
            </w:r>
            <w:r>
              <w:rPr>
                <w:rFonts w:hint="eastAsia" w:ascii="宋体" w:hAnsi="宋体"/>
                <w:bCs/>
                <w:color w:val="auto"/>
                <w:szCs w:val="21"/>
                <w:highlight w:val="none"/>
              </w:rPr>
              <w:t>设备先进、配备合理，能较好满足检测监测和服务期要求，得[6,8]分；</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【中】拟</w:t>
            </w:r>
            <w:r>
              <w:rPr>
                <w:rFonts w:hint="eastAsia" w:ascii="宋体" w:hAnsi="宋体" w:cs="宋体"/>
                <w:color w:val="auto"/>
                <w:szCs w:val="21"/>
                <w:highlight w:val="none"/>
              </w:rPr>
              <w:t>投入仪器</w:t>
            </w:r>
            <w:r>
              <w:rPr>
                <w:rFonts w:hint="eastAsia" w:ascii="宋体" w:hAnsi="宋体"/>
                <w:bCs/>
                <w:color w:val="auto"/>
                <w:szCs w:val="21"/>
                <w:highlight w:val="none"/>
              </w:rPr>
              <w:t>设备先进、配备基本合理，能基本满足检测监测和服务期要求，得[3,5]分；</w:t>
            </w:r>
          </w:p>
          <w:p>
            <w:pPr>
              <w:pStyle w:val="59"/>
              <w:adjustRightInd w:val="0"/>
              <w:snapToGrid w:val="0"/>
              <w:spacing w:line="360" w:lineRule="auto"/>
              <w:jc w:val="left"/>
              <w:rPr>
                <w:rFonts w:ascii="宋体" w:hAnsi="宋体"/>
                <w:bCs/>
                <w:color w:val="auto"/>
                <w:szCs w:val="21"/>
                <w:highlight w:val="none"/>
              </w:rPr>
            </w:pPr>
            <w:r>
              <w:rPr>
                <w:rFonts w:hint="eastAsia" w:ascii="宋体" w:hAnsi="宋体"/>
                <w:bCs/>
                <w:color w:val="auto"/>
                <w:szCs w:val="21"/>
                <w:highlight w:val="none"/>
              </w:rPr>
              <w:t>【差】</w:t>
            </w:r>
            <w:r>
              <w:rPr>
                <w:rFonts w:hint="eastAsia" w:ascii="宋体" w:hAnsi="宋体" w:cs="宋体"/>
                <w:color w:val="auto"/>
                <w:szCs w:val="21"/>
                <w:highlight w:val="none"/>
              </w:rPr>
              <w:t>设备</w:t>
            </w:r>
            <w:r>
              <w:rPr>
                <w:rFonts w:hint="eastAsia" w:ascii="宋体" w:hAnsi="宋体"/>
                <w:bCs/>
                <w:color w:val="auto"/>
                <w:szCs w:val="21"/>
                <w:highlight w:val="none"/>
              </w:rPr>
              <w:t>不能满足检测监测需要和服务期要求，得[1,2]分。</w:t>
            </w:r>
          </w:p>
          <w:p>
            <w:pPr>
              <w:adjustRightInd w:val="0"/>
              <w:snapToGrid w:val="0"/>
              <w:spacing w:line="360" w:lineRule="auto"/>
              <w:rPr>
                <w:rFonts w:ascii="宋体" w:hAnsi="宋体"/>
                <w:b/>
                <w:color w:val="auto"/>
                <w:szCs w:val="21"/>
                <w:highlight w:val="none"/>
              </w:rPr>
            </w:pPr>
            <w:r>
              <w:rPr>
                <w:rFonts w:hint="eastAsia" w:ascii="宋体" w:hAnsi="宋体"/>
                <w:b/>
                <w:color w:val="auto"/>
                <w:szCs w:val="21"/>
                <w:highlight w:val="none"/>
              </w:rPr>
              <w:t>注：需提交设备购置发票、仪器检定证书或其他证明材料的清晰扫描件。</w:t>
            </w:r>
          </w:p>
          <w:p>
            <w:pPr>
              <w:spacing w:line="360" w:lineRule="auto"/>
              <w:rPr>
                <w:rFonts w:ascii="宋体" w:hAnsi="宋体" w:cs="宋体"/>
                <w:b/>
                <w:color w:val="auto"/>
                <w:szCs w:val="21"/>
                <w:highlight w:val="none"/>
              </w:rPr>
            </w:pPr>
            <w:r>
              <w:rPr>
                <w:rFonts w:hint="eastAsia" w:ascii="宋体" w:hAnsi="宋体" w:cs="宋体"/>
                <w:b/>
                <w:color w:val="auto"/>
                <w:szCs w:val="21"/>
                <w:highlight w:val="none"/>
              </w:rPr>
              <w:t>（2）</w:t>
            </w:r>
            <w:r>
              <w:rPr>
                <w:rFonts w:ascii="宋体" w:hAnsi="宋体" w:cs="宋体"/>
                <w:b/>
                <w:color w:val="auto"/>
                <w:szCs w:val="21"/>
                <w:highlight w:val="none"/>
              </w:rPr>
              <w:t>拟投入本项目配合车辆（</w:t>
            </w:r>
            <w:r>
              <w:rPr>
                <w:rFonts w:hint="eastAsia" w:ascii="宋体" w:hAnsi="宋体" w:cs="宋体"/>
                <w:b/>
                <w:color w:val="auto"/>
                <w:szCs w:val="21"/>
                <w:highlight w:val="none"/>
              </w:rPr>
              <w:t>满分</w:t>
            </w:r>
            <w:r>
              <w:rPr>
                <w:rFonts w:ascii="宋体" w:hAnsi="宋体" w:cs="宋体"/>
                <w:b/>
                <w:color w:val="auto"/>
                <w:szCs w:val="21"/>
                <w:highlight w:val="none"/>
              </w:rPr>
              <w:t>10</w:t>
            </w:r>
            <w:r>
              <w:rPr>
                <w:rFonts w:hint="eastAsia" w:ascii="宋体" w:hAnsi="宋体" w:cs="宋体"/>
                <w:b/>
                <w:color w:val="auto"/>
                <w:szCs w:val="21"/>
                <w:highlight w:val="none"/>
              </w:rPr>
              <w:t>分</w:t>
            </w:r>
            <w:r>
              <w:rPr>
                <w:rFonts w:ascii="宋体" w:hAnsi="宋体" w:cs="宋体"/>
                <w:b/>
                <w:color w:val="auto"/>
                <w:szCs w:val="21"/>
                <w:highlight w:val="none"/>
              </w:rPr>
              <w:t>）</w:t>
            </w:r>
          </w:p>
          <w:p>
            <w:pPr>
              <w:spacing w:line="360" w:lineRule="auto"/>
              <w:jc w:val="left"/>
              <w:rPr>
                <w:rFonts w:ascii="宋体" w:hAnsi="宋体" w:cs="宋体"/>
                <w:color w:val="auto"/>
                <w:kern w:val="0"/>
                <w:szCs w:val="21"/>
                <w:highlight w:val="none"/>
                <w:lang w:bidi="ar"/>
              </w:rPr>
            </w:pPr>
            <w:r>
              <w:rPr>
                <w:rFonts w:hint="eastAsia" w:ascii="宋体" w:hAnsi="宋体" w:cs="宋体"/>
                <w:color w:val="auto"/>
                <w:kern w:val="0"/>
                <w:szCs w:val="21"/>
                <w:highlight w:val="none"/>
                <w:lang w:bidi="ar"/>
              </w:rPr>
              <w:t>自有用于静载试验检测试块运输（重型普通货车）</w:t>
            </w:r>
            <w:r>
              <w:rPr>
                <w:rFonts w:hint="eastAsia" w:ascii="宋体" w:hAnsi="宋体"/>
                <w:color w:val="auto"/>
                <w:szCs w:val="21"/>
                <w:highlight w:val="none"/>
              </w:rPr>
              <w:t>或</w:t>
            </w:r>
            <w:r>
              <w:rPr>
                <w:rFonts w:hint="eastAsia" w:ascii="宋体" w:hAnsi="宋体" w:cs="宋体"/>
                <w:color w:val="auto"/>
                <w:kern w:val="0"/>
                <w:szCs w:val="21"/>
                <w:highlight w:val="none"/>
                <w:lang w:bidi="ar"/>
              </w:rPr>
              <w:t>静载吊装车辆（重型非载货专项作业车）的，每台得</w:t>
            </w:r>
            <w:r>
              <w:rPr>
                <w:rFonts w:ascii="宋体" w:hAnsi="宋体" w:cs="宋体"/>
                <w:color w:val="auto"/>
                <w:kern w:val="0"/>
                <w:szCs w:val="21"/>
                <w:highlight w:val="none"/>
                <w:lang w:bidi="ar"/>
              </w:rPr>
              <w:t>2</w:t>
            </w:r>
            <w:r>
              <w:rPr>
                <w:rFonts w:hint="eastAsia" w:ascii="宋体" w:hAnsi="宋体" w:cs="宋体"/>
                <w:color w:val="auto"/>
                <w:kern w:val="0"/>
                <w:szCs w:val="21"/>
                <w:highlight w:val="none"/>
                <w:lang w:bidi="ar"/>
              </w:rPr>
              <w:t>分，最多得</w:t>
            </w:r>
            <w:r>
              <w:rPr>
                <w:rFonts w:ascii="宋体" w:hAnsi="宋体" w:cs="宋体"/>
                <w:color w:val="auto"/>
                <w:kern w:val="0"/>
                <w:szCs w:val="21"/>
                <w:highlight w:val="none"/>
                <w:lang w:bidi="ar"/>
              </w:rPr>
              <w:t>10</w:t>
            </w:r>
            <w:r>
              <w:rPr>
                <w:rFonts w:hint="eastAsia" w:ascii="宋体" w:hAnsi="宋体" w:cs="宋体"/>
                <w:color w:val="auto"/>
                <w:kern w:val="0"/>
                <w:szCs w:val="21"/>
                <w:highlight w:val="none"/>
                <w:lang w:bidi="ar"/>
              </w:rPr>
              <w:t>分。</w:t>
            </w:r>
          </w:p>
          <w:p>
            <w:pPr>
              <w:pStyle w:val="2"/>
              <w:spacing w:line="360" w:lineRule="auto"/>
              <w:rPr>
                <w:rFonts w:ascii="宋体" w:hAnsi="宋体" w:cs="宋体"/>
                <w:color w:val="auto"/>
                <w:szCs w:val="21"/>
                <w:highlight w:val="none"/>
              </w:rPr>
            </w:pPr>
            <w:r>
              <w:rPr>
                <w:rFonts w:hint="eastAsia" w:ascii="宋体" w:hAnsi="宋体" w:cs="宋体"/>
                <w:color w:val="auto"/>
                <w:szCs w:val="21"/>
                <w:highlight w:val="none"/>
              </w:rPr>
              <w:t>【</w:t>
            </w:r>
            <w:r>
              <w:rPr>
                <w:rFonts w:hint="eastAsia" w:ascii="宋体" w:hAnsi="宋体" w:cs="宋体"/>
                <w:color w:val="auto"/>
                <w:kern w:val="0"/>
                <w:szCs w:val="21"/>
                <w:highlight w:val="none"/>
                <w:lang w:bidi="ar"/>
              </w:rPr>
              <w:t>注：</w:t>
            </w:r>
            <w:r>
              <w:rPr>
                <w:rFonts w:hint="eastAsia" w:ascii="宋体" w:hAnsi="宋体" w:cs="宋体"/>
                <w:color w:val="auto"/>
                <w:szCs w:val="21"/>
                <w:highlight w:val="none"/>
              </w:rPr>
              <w:t>检测设备需提交权属证明，如仪器检定证书或仪器设备购置发票等，且检定证书在有效期内；车辆需提供行驶证及登记证等权属证明材料。检测设备及车辆的权属应在投标人名下（不含子公司或分公司），否则不计算得分。</w:t>
            </w:r>
            <w:r>
              <w:rPr>
                <w:rFonts w:hint="eastAsia" w:ascii="宋体" w:hAnsi="宋体"/>
                <w:color w:val="auto"/>
                <w:szCs w:val="21"/>
                <w:highlight w:val="none"/>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0" w:hRule="atLeast"/>
          <w:jc w:val="center"/>
        </w:trPr>
        <w:tc>
          <w:tcPr>
            <w:tcW w:w="683" w:type="dxa"/>
            <w:vMerge w:val="restart"/>
            <w:vAlign w:val="center"/>
          </w:tcPr>
          <w:p>
            <w:pPr>
              <w:adjustRightInd w:val="0"/>
              <w:snapToGrid w:val="0"/>
              <w:spacing w:line="360" w:lineRule="auto"/>
              <w:jc w:val="center"/>
              <w:rPr>
                <w:color w:val="auto"/>
                <w:highlight w:val="none"/>
              </w:rPr>
            </w:pPr>
            <w:r>
              <w:rPr>
                <w:rFonts w:hint="eastAsia"/>
                <w:color w:val="auto"/>
                <w:highlight w:val="none"/>
              </w:rPr>
              <w:t>2.2.4（3）</w:t>
            </w:r>
          </w:p>
        </w:tc>
        <w:tc>
          <w:tcPr>
            <w:tcW w:w="1028" w:type="dxa"/>
            <w:vMerge w:val="restart"/>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highlight w:val="none"/>
              </w:rPr>
              <w:t>投标报价评分标准（20分）</w:t>
            </w:r>
          </w:p>
        </w:tc>
        <w:tc>
          <w:tcPr>
            <w:tcW w:w="982" w:type="dxa"/>
            <w:vAlign w:val="center"/>
          </w:tcPr>
          <w:p>
            <w:pPr>
              <w:adjustRightInd w:val="0"/>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偏差率</w:t>
            </w:r>
          </w:p>
        </w:tc>
        <w:tc>
          <w:tcPr>
            <w:tcW w:w="7611" w:type="dxa"/>
            <w:vAlign w:val="center"/>
          </w:tcPr>
          <w:p>
            <w:pPr>
              <w:adjustRightInd w:val="0"/>
              <w:snapToGrid w:val="0"/>
              <w:spacing w:line="360" w:lineRule="auto"/>
              <w:ind w:right="65" w:rightChars="31"/>
              <w:rPr>
                <w:rFonts w:ascii="宋体" w:hAnsi="宋体" w:cs="宋体"/>
                <w:color w:val="auto"/>
                <w:szCs w:val="21"/>
                <w:highlight w:val="none"/>
              </w:rPr>
            </w:pPr>
            <w:r>
              <w:rPr>
                <w:rFonts w:hint="eastAsia" w:ascii="宋体" w:hAnsi="宋体"/>
                <w:color w:val="auto"/>
                <w:szCs w:val="21"/>
                <w:highlight w:val="none"/>
              </w:rPr>
              <w:t>偏差率=100% ×|投标人报价-评标参考价|/评标参考价（偏差率出现小数点时，保留小数点后2位，第三位小数四舍五入；报价偏差率不足1%的，按直线内插法计算投标报价得分。）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9" w:hRule="atLeast"/>
          <w:jc w:val="center"/>
        </w:trPr>
        <w:tc>
          <w:tcPr>
            <w:tcW w:w="683" w:type="dxa"/>
            <w:vMerge w:val="continue"/>
            <w:vAlign w:val="center"/>
          </w:tcPr>
          <w:p>
            <w:pPr>
              <w:adjustRightInd w:val="0"/>
              <w:snapToGrid w:val="0"/>
              <w:spacing w:line="360" w:lineRule="auto"/>
              <w:jc w:val="center"/>
              <w:rPr>
                <w:color w:val="auto"/>
                <w:highlight w:val="none"/>
              </w:rPr>
            </w:pPr>
          </w:p>
        </w:tc>
        <w:tc>
          <w:tcPr>
            <w:tcW w:w="1028" w:type="dxa"/>
            <w:vMerge w:val="continue"/>
            <w:vAlign w:val="center"/>
          </w:tcPr>
          <w:p>
            <w:pPr>
              <w:adjustRightInd w:val="0"/>
              <w:snapToGrid w:val="0"/>
              <w:spacing w:line="360" w:lineRule="auto"/>
              <w:jc w:val="center"/>
              <w:rPr>
                <w:rFonts w:ascii="宋体" w:hAnsi="宋体" w:cs="宋体"/>
                <w:color w:val="auto"/>
                <w:highlight w:val="none"/>
              </w:rPr>
            </w:pPr>
          </w:p>
        </w:tc>
        <w:tc>
          <w:tcPr>
            <w:tcW w:w="982" w:type="dxa"/>
            <w:vAlign w:val="center"/>
          </w:tcPr>
          <w:p>
            <w:pPr>
              <w:adjustRightInd w:val="0"/>
              <w:snapToGrid w:val="0"/>
              <w:spacing w:line="360" w:lineRule="auto"/>
              <w:jc w:val="center"/>
              <w:rPr>
                <w:rFonts w:ascii="宋体" w:hAnsi="宋体" w:cs="宋体"/>
                <w:color w:val="auto"/>
                <w:szCs w:val="21"/>
                <w:highlight w:val="none"/>
              </w:rPr>
            </w:pPr>
            <w:r>
              <w:rPr>
                <w:rFonts w:hint="eastAsia" w:ascii="宋体" w:hAnsi="宋体" w:cs="宋体"/>
                <w:color w:val="auto"/>
                <w:szCs w:val="21"/>
                <w:highlight w:val="none"/>
              </w:rPr>
              <w:t>计算</w:t>
            </w:r>
          </w:p>
          <w:p>
            <w:pPr>
              <w:adjustRightInd w:val="0"/>
              <w:snapToGrid w:val="0"/>
              <w:spacing w:line="360" w:lineRule="auto"/>
              <w:jc w:val="center"/>
              <w:rPr>
                <w:rFonts w:ascii="宋体" w:hAnsi="宋体" w:cs="宋体"/>
                <w:color w:val="auto"/>
                <w:highlight w:val="none"/>
              </w:rPr>
            </w:pPr>
            <w:r>
              <w:rPr>
                <w:rFonts w:hint="eastAsia" w:ascii="宋体" w:hAnsi="宋体" w:cs="宋体"/>
                <w:color w:val="auto"/>
                <w:szCs w:val="21"/>
                <w:highlight w:val="none"/>
              </w:rPr>
              <w:t>方法</w:t>
            </w:r>
          </w:p>
        </w:tc>
        <w:tc>
          <w:tcPr>
            <w:tcW w:w="7611" w:type="dxa"/>
            <w:vAlign w:val="center"/>
          </w:tcPr>
          <w:p>
            <w:pPr>
              <w:adjustRightInd w:val="0"/>
              <w:snapToGrid w:val="0"/>
              <w:spacing w:line="360" w:lineRule="auto"/>
              <w:rPr>
                <w:rFonts w:ascii="宋体" w:hAnsi="宋体"/>
                <w:color w:val="auto"/>
                <w:szCs w:val="21"/>
                <w:highlight w:val="none"/>
              </w:rPr>
            </w:pPr>
            <w:r>
              <w:rPr>
                <w:rFonts w:hint="eastAsia" w:ascii="宋体" w:hAnsi="宋体" w:cs="宋体"/>
                <w:color w:val="auto"/>
                <w:szCs w:val="21"/>
                <w:highlight w:val="none"/>
              </w:rPr>
              <w:t>以评标参考价作为计算各有效投标报价得分的基础，当有效投标报价等于评标参考价时得</w:t>
            </w:r>
            <w:r>
              <w:rPr>
                <w:rFonts w:hint="eastAsia" w:ascii="宋体" w:hAnsi="宋体"/>
                <w:color w:val="auto"/>
                <w:szCs w:val="21"/>
                <w:highlight w:val="none"/>
              </w:rPr>
              <w:t>20</w:t>
            </w:r>
            <w:r>
              <w:rPr>
                <w:rFonts w:hint="eastAsia" w:ascii="宋体" w:hAnsi="宋体" w:cs="宋体"/>
                <w:color w:val="auto"/>
                <w:szCs w:val="21"/>
                <w:highlight w:val="none"/>
              </w:rPr>
              <w:t>分；投标有效报价与评标参考价之差，每上偏</w:t>
            </w:r>
            <w:r>
              <w:rPr>
                <w:rFonts w:hint="eastAsia" w:ascii="宋体" w:hAnsi="宋体"/>
                <w:color w:val="auto"/>
                <w:szCs w:val="21"/>
                <w:highlight w:val="none"/>
              </w:rPr>
              <w:t>1%</w:t>
            </w:r>
            <w:r>
              <w:rPr>
                <w:rFonts w:hint="eastAsia" w:ascii="宋体" w:hAnsi="宋体" w:cs="宋体"/>
                <w:color w:val="auto"/>
                <w:szCs w:val="21"/>
                <w:highlight w:val="none"/>
              </w:rPr>
              <w:t>扣</w:t>
            </w:r>
            <w:r>
              <w:rPr>
                <w:rFonts w:hint="eastAsia" w:ascii="宋体" w:hAnsi="宋体"/>
                <w:color w:val="auto"/>
                <w:szCs w:val="21"/>
                <w:highlight w:val="none"/>
              </w:rPr>
              <w:t>0.5</w:t>
            </w:r>
            <w:r>
              <w:rPr>
                <w:rFonts w:hint="eastAsia" w:ascii="宋体" w:hAnsi="宋体" w:cs="宋体"/>
                <w:color w:val="auto"/>
                <w:szCs w:val="21"/>
                <w:highlight w:val="none"/>
              </w:rPr>
              <w:t>分，下偏</w:t>
            </w:r>
            <w:r>
              <w:rPr>
                <w:rFonts w:hint="eastAsia" w:ascii="宋体" w:hAnsi="宋体"/>
                <w:color w:val="auto"/>
                <w:szCs w:val="21"/>
                <w:highlight w:val="none"/>
              </w:rPr>
              <w:t>1%</w:t>
            </w:r>
            <w:r>
              <w:rPr>
                <w:rFonts w:hint="eastAsia" w:ascii="宋体" w:hAnsi="宋体" w:cs="宋体"/>
                <w:color w:val="auto"/>
                <w:szCs w:val="21"/>
                <w:highlight w:val="none"/>
              </w:rPr>
              <w:t>扣</w:t>
            </w:r>
            <w:r>
              <w:rPr>
                <w:rFonts w:hint="eastAsia" w:ascii="宋体" w:hAnsi="宋体"/>
                <w:color w:val="auto"/>
                <w:szCs w:val="21"/>
                <w:highlight w:val="none"/>
              </w:rPr>
              <w:t>0.3</w:t>
            </w:r>
            <w:r>
              <w:rPr>
                <w:rFonts w:hint="eastAsia" w:ascii="宋体" w:hAnsi="宋体" w:cs="宋体"/>
                <w:color w:val="auto"/>
                <w:szCs w:val="21"/>
                <w:highlight w:val="none"/>
              </w:rPr>
              <w:t>分；最多减至</w:t>
            </w:r>
            <w:r>
              <w:rPr>
                <w:rFonts w:hint="eastAsia" w:ascii="宋体" w:hAnsi="宋体"/>
                <w:color w:val="auto"/>
                <w:szCs w:val="21"/>
                <w:highlight w:val="none"/>
              </w:rPr>
              <w:t>0</w:t>
            </w:r>
            <w:r>
              <w:rPr>
                <w:rFonts w:hint="eastAsia" w:ascii="宋体" w:hAnsi="宋体" w:cs="宋体"/>
                <w:color w:val="auto"/>
                <w:szCs w:val="21"/>
                <w:highlight w:val="none"/>
              </w:rPr>
              <w:t>分止。</w:t>
            </w:r>
            <w:r>
              <w:rPr>
                <w:rFonts w:hint="eastAsia" w:ascii="宋体" w:hAnsi="宋体"/>
                <w:bCs/>
                <w:color w:val="auto"/>
                <w:szCs w:val="21"/>
                <w:highlight w:val="none"/>
              </w:rPr>
              <w:t>（</w:t>
            </w:r>
            <w:r>
              <w:rPr>
                <w:rFonts w:hint="eastAsia" w:ascii="宋体" w:hAnsi="宋体" w:cs="宋体"/>
                <w:bCs/>
                <w:color w:val="auto"/>
                <w:szCs w:val="21"/>
                <w:highlight w:val="none"/>
              </w:rPr>
              <w:t>中间报价得分按直线内插法计算</w:t>
            </w:r>
            <w:r>
              <w:rPr>
                <w:rFonts w:hint="eastAsia" w:ascii="宋体" w:hAnsi="宋体"/>
                <w:bCs/>
                <w:color w:val="auto"/>
                <w:szCs w:val="21"/>
                <w:highlight w:val="none"/>
              </w:rPr>
              <w:t>）</w:t>
            </w:r>
          </w:p>
          <w:p>
            <w:pPr>
              <w:adjustRightInd w:val="0"/>
              <w:snapToGrid w:val="0"/>
              <w:spacing w:line="360" w:lineRule="auto"/>
              <w:jc w:val="left"/>
              <w:rPr>
                <w:rFonts w:ascii="宋体" w:hAnsi="宋体" w:cs="宋体"/>
                <w:color w:val="auto"/>
                <w:szCs w:val="21"/>
                <w:highlight w:val="none"/>
              </w:rPr>
            </w:pPr>
            <w:r>
              <w:rPr>
                <w:rFonts w:hint="eastAsia" w:ascii="宋体" w:hAnsi="宋体"/>
                <w:b/>
                <w:color w:val="auto"/>
                <w:szCs w:val="21"/>
                <w:highlight w:val="none"/>
              </w:rPr>
              <w:t>注：</w:t>
            </w:r>
            <w:r>
              <w:rPr>
                <w:rFonts w:hint="eastAsia" w:ascii="宋体" w:hAnsi="宋体" w:cs="宋体"/>
                <w:b/>
                <w:color w:val="auto"/>
                <w:szCs w:val="21"/>
                <w:highlight w:val="none"/>
              </w:rPr>
              <w:t>本项最高分为</w:t>
            </w:r>
            <w:r>
              <w:rPr>
                <w:rFonts w:hint="eastAsia" w:ascii="宋体" w:hAnsi="宋体"/>
                <w:b/>
                <w:color w:val="auto"/>
                <w:szCs w:val="21"/>
                <w:highlight w:val="none"/>
              </w:rPr>
              <w:t>20</w:t>
            </w:r>
            <w:r>
              <w:rPr>
                <w:rFonts w:hint="eastAsia" w:ascii="宋体" w:hAnsi="宋体" w:cs="宋体"/>
                <w:b/>
                <w:color w:val="auto"/>
                <w:szCs w:val="21"/>
                <w:highlight w:val="none"/>
              </w:rPr>
              <w:t>分，最低分为</w:t>
            </w:r>
            <w:r>
              <w:rPr>
                <w:rFonts w:hint="eastAsia" w:ascii="宋体" w:hAnsi="宋体"/>
                <w:b/>
                <w:color w:val="auto"/>
                <w:szCs w:val="21"/>
                <w:highlight w:val="none"/>
              </w:rPr>
              <w:t>0</w:t>
            </w:r>
            <w:r>
              <w:rPr>
                <w:rFonts w:hint="eastAsia" w:ascii="宋体" w:hAnsi="宋体" w:cs="宋体"/>
                <w:b/>
                <w:color w:val="auto"/>
                <w:szCs w:val="21"/>
                <w:highlight w:val="none"/>
              </w:rPr>
              <w:t>分。得分精确到小数点后两位。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1" w:hRule="atLeast"/>
          <w:jc w:val="center"/>
        </w:trPr>
        <w:tc>
          <w:tcPr>
            <w:tcW w:w="10304" w:type="dxa"/>
            <w:gridSpan w:val="4"/>
            <w:vAlign w:val="center"/>
          </w:tcPr>
          <w:p>
            <w:pPr>
              <w:adjustRightInd w:val="0"/>
              <w:snapToGrid w:val="0"/>
              <w:spacing w:line="360" w:lineRule="auto"/>
              <w:rPr>
                <w:rFonts w:hint="eastAsia" w:ascii="宋体" w:hAnsi="宋体" w:cs="宋体"/>
                <w:color w:val="auto"/>
                <w:highlight w:val="none"/>
              </w:rPr>
            </w:pPr>
            <w:r>
              <w:rPr>
                <w:rFonts w:hint="eastAsia" w:ascii="宋体" w:hAnsi="宋体" w:cs="宋体"/>
                <w:color w:val="auto"/>
                <w:highlight w:val="none"/>
              </w:rPr>
              <w:t>说明：</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1、本项目拟派人员应附上投标截止前1个月</w:t>
            </w:r>
            <w:r>
              <w:rPr>
                <w:rFonts w:hint="eastAsia" w:ascii="宋体" w:hAnsi="宋体" w:cs="宋体"/>
                <w:color w:val="auto"/>
                <w:highlight w:val="none"/>
                <w:lang w:eastAsia="zh-CN"/>
              </w:rPr>
              <w:t>（</w:t>
            </w:r>
            <w:r>
              <w:rPr>
                <w:rFonts w:hint="eastAsia" w:ascii="宋体" w:hAnsi="宋体" w:cs="宋体"/>
                <w:color w:val="auto"/>
                <w:highlight w:val="none"/>
              </w:rPr>
              <w:t>2023年</w:t>
            </w:r>
            <w:r>
              <w:rPr>
                <w:rFonts w:ascii="宋体" w:hAnsi="宋体" w:cs="宋体"/>
                <w:color w:val="auto"/>
                <w:highlight w:val="none"/>
              </w:rPr>
              <w:t>7</w:t>
            </w:r>
            <w:r>
              <w:rPr>
                <w:rFonts w:hint="eastAsia" w:ascii="宋体" w:hAnsi="宋体" w:cs="宋体"/>
                <w:color w:val="auto"/>
                <w:highlight w:val="none"/>
              </w:rPr>
              <w:t>月</w:t>
            </w:r>
            <w:r>
              <w:rPr>
                <w:rFonts w:hint="eastAsia" w:ascii="宋体" w:hAnsi="宋体" w:cs="宋体"/>
                <w:color w:val="auto"/>
                <w:highlight w:val="none"/>
                <w:lang w:eastAsia="zh-CN"/>
              </w:rPr>
              <w:t>）</w:t>
            </w:r>
            <w:r>
              <w:rPr>
                <w:rFonts w:hint="eastAsia" w:ascii="宋体" w:hAnsi="宋体" w:cs="宋体"/>
                <w:color w:val="auto"/>
                <w:highlight w:val="none"/>
              </w:rPr>
              <w:t>的有效社保证明（社保证明需能反映参保人在该投标单位缴纳社保），否则不得分。</w:t>
            </w:r>
          </w:p>
          <w:p>
            <w:pPr>
              <w:adjustRightInd w:val="0"/>
              <w:snapToGrid w:val="0"/>
              <w:spacing w:line="360" w:lineRule="auto"/>
              <w:rPr>
                <w:rFonts w:ascii="宋体" w:hAnsi="宋体" w:cs="宋体"/>
                <w:color w:val="auto"/>
                <w:highlight w:val="none"/>
              </w:rPr>
            </w:pPr>
            <w:r>
              <w:rPr>
                <w:rFonts w:hint="eastAsia" w:ascii="宋体" w:hAnsi="宋体" w:cs="宋体"/>
                <w:color w:val="auto"/>
                <w:highlight w:val="none"/>
              </w:rPr>
              <w:t>2、“A级纳税人称号”以“国家税务总局”官网（http://www.chinatax.gov.cn/index.html）查询结果为准，纳税人等级只计算投标人自身（不计算投标人的分公司和子公司）。投标人须提供在上述官网网站的有效查询路径及查询结果网页截图（不符合条件或未提交截图的不计分）。时间以国家税务总局官网公布的获奖年度（评价年度）为准。</w:t>
            </w:r>
          </w:p>
          <w:p>
            <w:pPr>
              <w:adjustRightInd w:val="0"/>
              <w:snapToGrid w:val="0"/>
              <w:spacing w:line="360" w:lineRule="auto"/>
              <w:rPr>
                <w:rFonts w:ascii="宋体" w:hAnsi="宋体" w:cs="宋体"/>
                <w:color w:val="auto"/>
                <w:szCs w:val="21"/>
                <w:highlight w:val="none"/>
              </w:rPr>
            </w:pPr>
            <w:r>
              <w:rPr>
                <w:rFonts w:hint="eastAsia" w:ascii="宋体" w:hAnsi="宋体" w:cs="宋体"/>
                <w:color w:val="auto"/>
                <w:highlight w:val="none"/>
              </w:rPr>
              <w:t>3、投标人的综合得分为所有评委评分总分的算术平均分（分数出现小数点时，保留小数点后二位，第三位小数四舍五入）。</w:t>
            </w:r>
          </w:p>
        </w:tc>
      </w:tr>
    </w:tbl>
    <w:p>
      <w:pPr>
        <w:pStyle w:val="5"/>
        <w:rPr>
          <w:color w:val="auto"/>
          <w:highlight w:val="none"/>
        </w:rPr>
        <w:sectPr>
          <w:headerReference r:id="rId6" w:type="first"/>
          <w:footerReference r:id="rId9" w:type="first"/>
          <w:headerReference r:id="rId4" w:type="default"/>
          <w:footerReference r:id="rId7" w:type="default"/>
          <w:headerReference r:id="rId5" w:type="even"/>
          <w:footerReference r:id="rId8" w:type="even"/>
          <w:pgSz w:w="11906" w:h="16838"/>
          <w:pgMar w:top="1417" w:right="1417" w:bottom="1417" w:left="1417" w:header="850" w:footer="567" w:gutter="0"/>
          <w:cols w:space="720" w:num="1"/>
        </w:sectPr>
      </w:pPr>
      <w:bookmarkStart w:id="155" w:name="_Toc103592026"/>
    </w:p>
    <w:p>
      <w:pPr>
        <w:pStyle w:val="5"/>
        <w:rPr>
          <w:color w:val="auto"/>
          <w:szCs w:val="21"/>
          <w:highlight w:val="none"/>
        </w:rPr>
      </w:pPr>
      <w:bookmarkStart w:id="156" w:name="_Toc20043"/>
      <w:bookmarkStart w:id="157" w:name="_Toc10027"/>
      <w:r>
        <w:rPr>
          <w:rFonts w:hint="eastAsia"/>
          <w:color w:val="auto"/>
          <w:highlight w:val="none"/>
        </w:rPr>
        <w:t>附表五：算术复核表</w:t>
      </w:r>
      <w:bookmarkEnd w:id="155"/>
      <w:bookmarkEnd w:id="156"/>
      <w:bookmarkEnd w:id="157"/>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算术复核表</w:t>
      </w:r>
    </w:p>
    <w:p>
      <w:pPr>
        <w:adjustRightInd w:val="0"/>
        <w:snapToGrid w:val="0"/>
        <w:spacing w:line="360" w:lineRule="auto"/>
        <w:rPr>
          <w:rFonts w:ascii="宋体" w:hAnsi="宋体"/>
          <w:color w:val="auto"/>
          <w:szCs w:val="36"/>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8"/>
        <w:tblW w:w="0" w:type="auto"/>
        <w:jc w:val="center"/>
        <w:tblLayout w:type="fixed"/>
        <w:tblCellMar>
          <w:top w:w="0" w:type="dxa"/>
          <w:left w:w="108" w:type="dxa"/>
          <w:bottom w:w="0" w:type="dxa"/>
          <w:right w:w="108" w:type="dxa"/>
        </w:tblCellMar>
      </w:tblPr>
      <w:tblGrid>
        <w:gridCol w:w="727"/>
        <w:gridCol w:w="2057"/>
        <w:gridCol w:w="1701"/>
        <w:gridCol w:w="2410"/>
        <w:gridCol w:w="2866"/>
      </w:tblGrid>
      <w:tr>
        <w:tblPrEx>
          <w:tblCellMar>
            <w:top w:w="0" w:type="dxa"/>
            <w:left w:w="108" w:type="dxa"/>
            <w:bottom w:w="0" w:type="dxa"/>
            <w:right w:w="108" w:type="dxa"/>
          </w:tblCellMar>
        </w:tblPrEx>
        <w:trPr>
          <w:trHeight w:val="381" w:hRule="atLeast"/>
          <w:jc w:val="center"/>
        </w:trPr>
        <w:tc>
          <w:tcPr>
            <w:tcW w:w="727" w:type="dxa"/>
            <w:tcBorders>
              <w:top w:val="single" w:color="auto" w:sz="4" w:space="0"/>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编号</w:t>
            </w:r>
          </w:p>
        </w:tc>
        <w:tc>
          <w:tcPr>
            <w:tcW w:w="2057"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1701"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原投标报价</w:t>
            </w:r>
            <w:r>
              <w:rPr>
                <w:rFonts w:ascii="宋体" w:hAnsi="宋体"/>
                <w:color w:val="auto"/>
                <w:szCs w:val="21"/>
                <w:highlight w:val="none"/>
              </w:rPr>
              <w:t>A</w:t>
            </w:r>
          </w:p>
        </w:tc>
        <w:tc>
          <w:tcPr>
            <w:tcW w:w="2410"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算术复核后投标报价</w:t>
            </w:r>
            <w:r>
              <w:rPr>
                <w:rFonts w:ascii="宋体" w:hAnsi="宋体"/>
                <w:color w:val="auto"/>
                <w:szCs w:val="21"/>
                <w:highlight w:val="none"/>
              </w:rPr>
              <w:t>B</w:t>
            </w:r>
          </w:p>
        </w:tc>
        <w:tc>
          <w:tcPr>
            <w:tcW w:w="2866" w:type="dxa"/>
            <w:tcBorders>
              <w:top w:val="single" w:color="auto" w:sz="4" w:space="0"/>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误差率</w:t>
            </w:r>
            <w:r>
              <w:rPr>
                <w:rFonts w:ascii="宋体" w:hAnsi="宋体"/>
                <w:color w:val="auto"/>
                <w:szCs w:val="21"/>
                <w:highlight w:val="none"/>
              </w:rPr>
              <w:t>r=</w:t>
            </w:r>
            <w:r>
              <w:rPr>
                <w:rFonts w:hint="eastAsia" w:ascii="宋体" w:hAnsi="宋体"/>
                <w:color w:val="auto"/>
                <w:szCs w:val="21"/>
                <w:highlight w:val="none"/>
              </w:rPr>
              <w:t>︱</w:t>
            </w:r>
            <w:r>
              <w:rPr>
                <w:rFonts w:ascii="宋体" w:hAnsi="宋体"/>
                <w:color w:val="auto"/>
                <w:szCs w:val="21"/>
                <w:highlight w:val="none"/>
              </w:rPr>
              <w:t>A-B</w:t>
            </w:r>
            <w:r>
              <w:rPr>
                <w:rFonts w:hint="eastAsia" w:ascii="宋体" w:hAnsi="宋体"/>
                <w:color w:val="auto"/>
                <w:szCs w:val="21"/>
                <w:highlight w:val="none"/>
              </w:rPr>
              <w:t>︳</w:t>
            </w:r>
            <w:r>
              <w:rPr>
                <w:rFonts w:ascii="宋体" w:hAnsi="宋体"/>
                <w:color w:val="auto"/>
                <w:szCs w:val="21"/>
                <w:highlight w:val="none"/>
              </w:rPr>
              <w:t>/ A *100%</w:t>
            </w: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2</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3</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4</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5</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6</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7</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8</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9</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10</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r>
        <w:tblPrEx>
          <w:tblCellMar>
            <w:top w:w="0" w:type="dxa"/>
            <w:left w:w="108" w:type="dxa"/>
            <w:bottom w:w="0" w:type="dxa"/>
            <w:right w:w="108" w:type="dxa"/>
          </w:tblCellMar>
        </w:tblPrEx>
        <w:trPr>
          <w:trHeight w:val="480" w:hRule="atLeast"/>
          <w:jc w:val="center"/>
        </w:trPr>
        <w:tc>
          <w:tcPr>
            <w:tcW w:w="727" w:type="dxa"/>
            <w:tcBorders>
              <w:top w:val="nil"/>
              <w:left w:val="single" w:color="auto" w:sz="4" w:space="0"/>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w:t>
            </w:r>
          </w:p>
        </w:tc>
        <w:tc>
          <w:tcPr>
            <w:tcW w:w="2057"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1701"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410"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c>
          <w:tcPr>
            <w:tcW w:w="2866" w:type="dxa"/>
            <w:tcBorders>
              <w:top w:val="nil"/>
              <w:left w:val="nil"/>
              <w:bottom w:val="single" w:color="auto" w:sz="4" w:space="0"/>
              <w:right w:val="single" w:color="auto" w:sz="4" w:space="0"/>
            </w:tcBorders>
            <w:vAlign w:val="center"/>
          </w:tcPr>
          <w:p>
            <w:pPr>
              <w:snapToGrid w:val="0"/>
              <w:spacing w:line="240" w:lineRule="atLeast"/>
              <w:jc w:val="center"/>
              <w:rPr>
                <w:rFonts w:ascii="宋体" w:hAnsi="宋体"/>
                <w:color w:val="auto"/>
                <w:szCs w:val="21"/>
                <w:highlight w:val="none"/>
              </w:rPr>
            </w:pPr>
          </w:p>
        </w:tc>
      </w:tr>
    </w:tbl>
    <w:p>
      <w:pPr>
        <w:snapToGrid w:val="0"/>
        <w:spacing w:line="240" w:lineRule="atLeast"/>
        <w:jc w:val="center"/>
        <w:rPr>
          <w:rFonts w:ascii="宋体" w:hAnsi="宋体"/>
          <w:color w:val="auto"/>
          <w:szCs w:val="21"/>
          <w:highlight w:val="none"/>
        </w:rPr>
      </w:pPr>
    </w:p>
    <w:p>
      <w:pPr>
        <w:pStyle w:val="26"/>
        <w:adjustRightInd w:val="0"/>
        <w:snapToGrid w:val="0"/>
        <w:spacing w:line="360" w:lineRule="auto"/>
        <w:ind w:firstLine="0"/>
        <w:rPr>
          <w:rFonts w:ascii="宋体" w:hAnsi="宋体"/>
          <w:color w:val="auto"/>
          <w:highlight w:val="none"/>
        </w:rPr>
      </w:pPr>
    </w:p>
    <w:p>
      <w:pPr>
        <w:pStyle w:val="5"/>
        <w:rPr>
          <w:color w:val="auto"/>
          <w:highlight w:val="none"/>
        </w:rPr>
      </w:pPr>
      <w:r>
        <w:rPr>
          <w:bCs/>
          <w:color w:val="auto"/>
          <w:highlight w:val="none"/>
        </w:rPr>
        <w:br w:type="page"/>
      </w:r>
      <w:bookmarkStart w:id="158" w:name="_Toc103592027"/>
      <w:bookmarkStart w:id="159" w:name="_Toc22472"/>
      <w:bookmarkStart w:id="160" w:name="_Toc7272"/>
      <w:r>
        <w:rPr>
          <w:rFonts w:hint="eastAsia"/>
          <w:bCs/>
          <w:color w:val="auto"/>
          <w:highlight w:val="none"/>
        </w:rPr>
        <w:t>附表六：</w:t>
      </w:r>
      <w:r>
        <w:rPr>
          <w:rFonts w:hint="eastAsia"/>
          <w:color w:val="auto"/>
          <w:highlight w:val="none"/>
        </w:rPr>
        <w:t>报价得分计算表</w:t>
      </w:r>
      <w:bookmarkEnd w:id="158"/>
      <w:bookmarkEnd w:id="159"/>
      <w:bookmarkEnd w:id="160"/>
    </w:p>
    <w:p>
      <w:pPr>
        <w:spacing w:line="360" w:lineRule="auto"/>
        <w:jc w:val="center"/>
        <w:rPr>
          <w:rFonts w:ascii="宋体" w:hAnsi="宋体"/>
          <w:b/>
          <w:color w:val="auto"/>
          <w:sz w:val="36"/>
          <w:szCs w:val="36"/>
          <w:highlight w:val="none"/>
        </w:rPr>
      </w:pPr>
      <w:r>
        <w:rPr>
          <w:rFonts w:hint="eastAsia" w:ascii="宋体" w:hAnsi="宋体" w:cs="宋体"/>
          <w:color w:val="auto"/>
          <w:sz w:val="28"/>
          <w:szCs w:val="28"/>
          <w:highlight w:val="none"/>
        </w:rPr>
        <w:t>报价得分计算表</w:t>
      </w:r>
    </w:p>
    <w:p>
      <w:pPr>
        <w:adjustRightInd w:val="0"/>
        <w:snapToGrid w:val="0"/>
        <w:spacing w:line="360" w:lineRule="auto"/>
        <w:rPr>
          <w:rFonts w:ascii="宋体" w:hAnsi="宋体"/>
          <w:color w:val="auto"/>
          <w:szCs w:val="21"/>
          <w:highlight w:val="none"/>
          <w:u w:val="single"/>
        </w:rPr>
      </w:pPr>
      <w:r>
        <w:rPr>
          <w:rFonts w:hint="eastAsia" w:ascii="宋体" w:hAnsi="宋体"/>
          <w:color w:val="auto"/>
          <w:szCs w:val="21"/>
          <w:highlight w:val="none"/>
        </w:rPr>
        <w:t>项目名称：</w:t>
      </w:r>
      <w:r>
        <w:rPr>
          <w:rFonts w:hint="eastAsia" w:ascii="宋体" w:hAnsi="宋体"/>
          <w:color w:val="auto"/>
          <w:szCs w:val="21"/>
          <w:highlight w:val="none"/>
          <w:u w:val="single"/>
        </w:rPr>
        <w:t xml:space="preserve">             </w:t>
      </w:r>
    </w:p>
    <w:tbl>
      <w:tblPr>
        <w:tblStyle w:val="28"/>
        <w:tblW w:w="9627"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657"/>
        <w:gridCol w:w="665"/>
        <w:gridCol w:w="664"/>
        <w:gridCol w:w="664"/>
        <w:gridCol w:w="664"/>
        <w:gridCol w:w="664"/>
        <w:gridCol w:w="664"/>
        <w:gridCol w:w="664"/>
        <w:gridCol w:w="664"/>
        <w:gridCol w:w="664"/>
        <w:gridCol w:w="664"/>
        <w:gridCol w:w="664"/>
        <w:gridCol w:w="665"/>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7"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投标人名称</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9"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投标报价（元）</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评标参考价</w:t>
            </w:r>
          </w:p>
        </w:tc>
        <w:tc>
          <w:tcPr>
            <w:tcW w:w="7970" w:type="dxa"/>
            <w:gridSpan w:val="12"/>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下浮率（%）</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50" w:hRule="atLeast"/>
        </w:trPr>
        <w:tc>
          <w:tcPr>
            <w:tcW w:w="1657" w:type="dxa"/>
            <w:vAlign w:val="center"/>
          </w:tcPr>
          <w:p>
            <w:pPr>
              <w:snapToGrid w:val="0"/>
              <w:spacing w:line="240" w:lineRule="atLeast"/>
              <w:jc w:val="center"/>
              <w:rPr>
                <w:rFonts w:ascii="宋体" w:hAnsi="宋体"/>
                <w:color w:val="auto"/>
                <w:szCs w:val="21"/>
                <w:highlight w:val="none"/>
              </w:rPr>
            </w:pPr>
            <w:r>
              <w:rPr>
                <w:rFonts w:hint="eastAsia" w:ascii="宋体" w:hAnsi="宋体"/>
                <w:color w:val="auto"/>
                <w:szCs w:val="21"/>
                <w:highlight w:val="none"/>
              </w:rPr>
              <w:t>得分</w:t>
            </w:r>
          </w:p>
        </w:tc>
        <w:tc>
          <w:tcPr>
            <w:tcW w:w="665"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4" w:type="dxa"/>
            <w:vAlign w:val="center"/>
          </w:tcPr>
          <w:p>
            <w:pPr>
              <w:snapToGrid w:val="0"/>
              <w:spacing w:line="240" w:lineRule="atLeast"/>
              <w:jc w:val="center"/>
              <w:rPr>
                <w:rFonts w:ascii="宋体" w:hAnsi="宋体"/>
                <w:color w:val="auto"/>
                <w:szCs w:val="21"/>
                <w:highlight w:val="none"/>
              </w:rPr>
            </w:pPr>
          </w:p>
        </w:tc>
        <w:tc>
          <w:tcPr>
            <w:tcW w:w="665" w:type="dxa"/>
            <w:vAlign w:val="center"/>
          </w:tcPr>
          <w:p>
            <w:pPr>
              <w:snapToGrid w:val="0"/>
              <w:spacing w:line="240" w:lineRule="atLeast"/>
              <w:jc w:val="center"/>
              <w:rPr>
                <w:rFonts w:ascii="宋体" w:hAnsi="宋体"/>
                <w:color w:val="auto"/>
                <w:szCs w:val="21"/>
                <w:highlight w:val="none"/>
              </w:rPr>
            </w:pPr>
          </w:p>
        </w:tc>
      </w:tr>
    </w:tbl>
    <w:p>
      <w:pPr>
        <w:pStyle w:val="9"/>
        <w:adjustRightInd w:val="0"/>
        <w:snapToGrid w:val="0"/>
        <w:rPr>
          <w:rFonts w:ascii="宋体" w:hAnsi="宋体" w:cs="宋体"/>
          <w:color w:val="auto"/>
          <w:kern w:val="0"/>
          <w:szCs w:val="21"/>
          <w:highlight w:val="none"/>
        </w:rPr>
      </w:pPr>
    </w:p>
    <w:p>
      <w:pPr>
        <w:pStyle w:val="9"/>
        <w:adjustRightInd w:val="0"/>
        <w:snapToGrid w:val="0"/>
        <w:spacing w:line="360" w:lineRule="auto"/>
        <w:ind w:firstLine="0"/>
        <w:rPr>
          <w:rFonts w:ascii="宋体" w:hAnsi="宋体"/>
          <w:color w:val="auto"/>
          <w:szCs w:val="36"/>
          <w:highlight w:val="none"/>
        </w:rPr>
      </w:pPr>
    </w:p>
    <w:p>
      <w:pPr>
        <w:pStyle w:val="9"/>
        <w:adjustRightInd w:val="0"/>
        <w:snapToGrid w:val="0"/>
        <w:spacing w:line="360" w:lineRule="auto"/>
        <w:ind w:firstLine="0"/>
        <w:rPr>
          <w:rFonts w:ascii="宋体" w:hAnsi="宋体"/>
          <w:color w:val="auto"/>
          <w:szCs w:val="21"/>
          <w:highlight w:val="none"/>
        </w:rPr>
      </w:pPr>
      <w:r>
        <w:rPr>
          <w:rFonts w:hint="eastAsia" w:ascii="宋体" w:hAnsi="宋体"/>
          <w:color w:val="auto"/>
          <w:szCs w:val="21"/>
          <w:highlight w:val="none"/>
        </w:rPr>
        <w:t xml:space="preserve"> 评委签名：                                                 日期：</w:t>
      </w:r>
    </w:p>
    <w:p>
      <w:pPr>
        <w:pStyle w:val="5"/>
        <w:numPr>
          <w:ilvl w:val="0"/>
          <w:numId w:val="3"/>
        </w:numPr>
        <w:rPr>
          <w:color w:val="auto"/>
          <w:highlight w:val="none"/>
        </w:rPr>
      </w:pPr>
      <w:r>
        <w:rPr>
          <w:b w:val="0"/>
          <w:color w:val="auto"/>
          <w:spacing w:val="20"/>
          <w:highlight w:val="none"/>
        </w:rPr>
        <w:br w:type="page"/>
      </w:r>
      <w:bookmarkStart w:id="161" w:name="_Toc1234"/>
      <w:bookmarkStart w:id="162" w:name="_Toc533357319"/>
      <w:bookmarkStart w:id="163" w:name="_Toc17156"/>
      <w:bookmarkStart w:id="164" w:name="_Toc103592028"/>
      <w:r>
        <w:rPr>
          <w:rFonts w:hint="eastAsia"/>
          <w:color w:val="auto"/>
          <w:highlight w:val="none"/>
        </w:rPr>
        <w:t>评标方法</w:t>
      </w:r>
      <w:bookmarkEnd w:id="161"/>
      <w:bookmarkEnd w:id="162"/>
      <w:bookmarkEnd w:id="163"/>
      <w:bookmarkEnd w:id="164"/>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本次评标采用综合评估法。评标委员会对满足招标文件实质性要求的投标文件，按照本章第2.2款规定的评分标准进行打分，并按得分由高到低顺序推荐中标候选人，排序的前一～三名为第一中标候选人、第二中标候选人和第三中标候选人。总得分相等时，以投标报价低的优先；报价也相等的，以检测和监测方案得分高的优先；如果检测和监测方案得分也相等，由评标委员会采用记名投票方式，以得票多的优先。</w:t>
      </w:r>
    </w:p>
    <w:p>
      <w:pPr>
        <w:rPr>
          <w:rFonts w:ascii="宋体" w:hAnsi="宋体"/>
          <w:color w:val="auto"/>
          <w:highlight w:val="none"/>
        </w:rPr>
      </w:pPr>
    </w:p>
    <w:p>
      <w:pPr>
        <w:pStyle w:val="5"/>
        <w:rPr>
          <w:color w:val="auto"/>
          <w:highlight w:val="none"/>
        </w:rPr>
      </w:pPr>
      <w:bookmarkStart w:id="165" w:name="bookmark85"/>
      <w:bookmarkEnd w:id="165"/>
      <w:bookmarkStart w:id="166" w:name="_Toc18217"/>
      <w:bookmarkStart w:id="167" w:name="_Toc103592029"/>
      <w:bookmarkStart w:id="168" w:name="_Toc6755"/>
      <w:bookmarkStart w:id="169" w:name="_Toc533357320"/>
      <w:r>
        <w:rPr>
          <w:color w:val="auto"/>
          <w:highlight w:val="none"/>
        </w:rPr>
        <w:t xml:space="preserve">2. </w:t>
      </w:r>
      <w:r>
        <w:rPr>
          <w:rFonts w:hint="eastAsia"/>
          <w:color w:val="auto"/>
          <w:highlight w:val="none"/>
        </w:rPr>
        <w:t>评审标准</w:t>
      </w:r>
      <w:bookmarkEnd w:id="166"/>
      <w:bookmarkEnd w:id="167"/>
      <w:bookmarkEnd w:id="168"/>
      <w:bookmarkEnd w:id="169"/>
    </w:p>
    <w:p>
      <w:pPr>
        <w:pStyle w:val="7"/>
        <w:ind w:firstLine="420"/>
        <w:rPr>
          <w:color w:val="auto"/>
          <w:highlight w:val="none"/>
        </w:rPr>
      </w:pPr>
      <w:bookmarkStart w:id="170" w:name="bookmark86"/>
      <w:bookmarkEnd w:id="170"/>
      <w:r>
        <w:rPr>
          <w:color w:val="auto"/>
          <w:highlight w:val="none"/>
        </w:rPr>
        <w:t xml:space="preserve">2.1 </w:t>
      </w:r>
      <w:r>
        <w:rPr>
          <w:rFonts w:hint="eastAsia"/>
          <w:color w:val="auto"/>
          <w:highlight w:val="none"/>
        </w:rPr>
        <w:t>初步评审标准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2.1.1</w:t>
      </w:r>
      <w:r>
        <w:rPr>
          <w:rFonts w:hint="eastAsia" w:ascii="宋体" w:hAnsi="宋体"/>
          <w:color w:val="auto"/>
          <w:sz w:val="24"/>
          <w:szCs w:val="24"/>
          <w:highlight w:val="none"/>
        </w:rPr>
        <w:t>形式评审标准：见评标办法前附表。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2.1.2</w:t>
      </w:r>
      <w:r>
        <w:rPr>
          <w:rFonts w:hint="eastAsia" w:ascii="宋体" w:hAnsi="宋体"/>
          <w:color w:val="auto"/>
          <w:sz w:val="24"/>
          <w:szCs w:val="24"/>
          <w:highlight w:val="none"/>
        </w:rPr>
        <w:t>资格评审标准：见评标办法前附表。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2.1.3</w:t>
      </w:r>
      <w:r>
        <w:rPr>
          <w:rFonts w:hint="eastAsia" w:ascii="宋体" w:hAnsi="宋体"/>
          <w:color w:val="auto"/>
          <w:sz w:val="24"/>
          <w:szCs w:val="24"/>
          <w:highlight w:val="none"/>
        </w:rPr>
        <w:t>响应性评审标准：见评标办法前附表。</w:t>
      </w:r>
    </w:p>
    <w:p>
      <w:pPr>
        <w:rPr>
          <w:rFonts w:ascii="宋体" w:hAnsi="宋体"/>
          <w:color w:val="auto"/>
          <w:highlight w:val="none"/>
        </w:rPr>
      </w:pPr>
    </w:p>
    <w:p>
      <w:pPr>
        <w:pStyle w:val="7"/>
        <w:rPr>
          <w:color w:val="auto"/>
          <w:highlight w:val="none"/>
        </w:rPr>
      </w:pPr>
      <w:bookmarkStart w:id="171" w:name="bookmark87"/>
      <w:bookmarkEnd w:id="171"/>
      <w:r>
        <w:rPr>
          <w:color w:val="auto"/>
          <w:highlight w:val="none"/>
        </w:rPr>
        <w:t xml:space="preserve">2.2 </w:t>
      </w:r>
      <w:r>
        <w:rPr>
          <w:rFonts w:hint="eastAsia"/>
          <w:color w:val="auto"/>
          <w:highlight w:val="none"/>
        </w:rPr>
        <w:t>分值构成与评分标准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2.2.1</w:t>
      </w:r>
      <w:r>
        <w:rPr>
          <w:rFonts w:hint="eastAsia" w:ascii="宋体" w:hAnsi="宋体"/>
          <w:color w:val="auto"/>
          <w:sz w:val="24"/>
          <w:szCs w:val="24"/>
          <w:highlight w:val="none"/>
        </w:rPr>
        <w:t>分值构成</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）投标报价部分：见评标办法前附表；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）其他因素部分：见评标办法前附表。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2.2.2</w:t>
      </w:r>
      <w:r>
        <w:rPr>
          <w:rFonts w:hint="eastAsia" w:ascii="宋体" w:hAnsi="宋体"/>
          <w:color w:val="auto"/>
          <w:sz w:val="24"/>
          <w:szCs w:val="24"/>
          <w:highlight w:val="none"/>
        </w:rPr>
        <w:t>评标参考价计算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评标参考价计算方法：见评标办法前附表。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2.2.3</w:t>
      </w:r>
      <w:r>
        <w:rPr>
          <w:rFonts w:hint="eastAsia" w:ascii="宋体" w:hAnsi="宋体"/>
          <w:color w:val="auto"/>
          <w:sz w:val="24"/>
          <w:szCs w:val="24"/>
          <w:highlight w:val="none"/>
        </w:rPr>
        <w:t>投标报价的计算</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投标报价的偏差率计算公式：见评标办法前附表。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2.2.4</w:t>
      </w:r>
      <w:r>
        <w:rPr>
          <w:rFonts w:hint="eastAsia" w:ascii="宋体" w:hAnsi="宋体"/>
          <w:color w:val="auto"/>
          <w:sz w:val="24"/>
          <w:szCs w:val="24"/>
          <w:highlight w:val="none"/>
        </w:rPr>
        <w:t>评分标准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）企业综合实力评分标准：见评标办法前附表；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）技术方案评分标准：见评标办法前附表；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）投标报价评分标准：见评标办法前附表；</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）其他因素评分标准：见评标办法前附表。</w:t>
      </w:r>
    </w:p>
    <w:p>
      <w:pPr>
        <w:pStyle w:val="5"/>
        <w:rPr>
          <w:color w:val="auto"/>
          <w:highlight w:val="none"/>
        </w:rPr>
      </w:pPr>
      <w:bookmarkStart w:id="172" w:name="bookmark88"/>
      <w:bookmarkEnd w:id="172"/>
      <w:bookmarkStart w:id="173" w:name="_Toc4703"/>
      <w:bookmarkStart w:id="174" w:name="_Toc533357321"/>
      <w:bookmarkStart w:id="175" w:name="_Toc14257"/>
      <w:bookmarkStart w:id="176" w:name="_Toc103592030"/>
      <w:r>
        <w:rPr>
          <w:color w:val="auto"/>
          <w:highlight w:val="none"/>
        </w:rPr>
        <w:t xml:space="preserve">3. </w:t>
      </w:r>
      <w:r>
        <w:rPr>
          <w:rFonts w:hint="eastAsia"/>
          <w:color w:val="auto"/>
          <w:highlight w:val="none"/>
        </w:rPr>
        <w:t>评标程序</w:t>
      </w:r>
      <w:bookmarkEnd w:id="173"/>
      <w:bookmarkEnd w:id="174"/>
      <w:bookmarkEnd w:id="175"/>
      <w:bookmarkEnd w:id="176"/>
    </w:p>
    <w:p>
      <w:pPr>
        <w:pStyle w:val="7"/>
        <w:rPr>
          <w:color w:val="auto"/>
          <w:highlight w:val="none"/>
        </w:rPr>
      </w:pPr>
      <w:bookmarkStart w:id="177" w:name="bookmark89"/>
      <w:bookmarkEnd w:id="177"/>
      <w:r>
        <w:rPr>
          <w:color w:val="auto"/>
          <w:highlight w:val="none"/>
        </w:rPr>
        <w:t xml:space="preserve">3.1 </w:t>
      </w:r>
      <w:r>
        <w:rPr>
          <w:rFonts w:hint="eastAsia"/>
          <w:color w:val="auto"/>
          <w:highlight w:val="none"/>
        </w:rPr>
        <w:t>初步评审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3.1.1</w:t>
      </w:r>
      <w:r>
        <w:rPr>
          <w:rFonts w:hint="eastAsia" w:ascii="宋体" w:hAnsi="宋体"/>
          <w:color w:val="auto"/>
          <w:sz w:val="24"/>
          <w:szCs w:val="24"/>
          <w:highlight w:val="none"/>
        </w:rPr>
        <w:t>评标委员会可以要求投标人提交第二章“投标人须知”规定的有关证明和证件的原件，以便核验。评标委员会依据本章第</w:t>
      </w:r>
      <w:r>
        <w:rPr>
          <w:rFonts w:ascii="宋体" w:hAnsi="宋体"/>
          <w:color w:val="auto"/>
          <w:sz w:val="24"/>
          <w:szCs w:val="24"/>
          <w:highlight w:val="none"/>
        </w:rPr>
        <w:t>2.1</w:t>
      </w:r>
      <w:r>
        <w:rPr>
          <w:rFonts w:hint="eastAsia" w:ascii="宋体" w:hAnsi="宋体"/>
          <w:color w:val="auto"/>
          <w:sz w:val="24"/>
          <w:szCs w:val="24"/>
          <w:highlight w:val="none"/>
        </w:rPr>
        <w:t>款规定的标准对投标文件进行初步评审。有一项不符合评审标准的，评标委员会应当否决其投标。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3.1.2</w:t>
      </w:r>
      <w:r>
        <w:rPr>
          <w:rFonts w:hint="eastAsia" w:ascii="宋体" w:hAnsi="宋体"/>
          <w:color w:val="auto"/>
          <w:sz w:val="24"/>
          <w:szCs w:val="24"/>
          <w:highlight w:val="none"/>
        </w:rPr>
        <w:t>投标人有以下情形之一的，评标委员会应当否决其投标：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）投标文件没有对招标文件的实质性要求和条件作出响应，或者对招标文件的偏差超出招标文件规定的偏差范围或最高项数；</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）有串通投标、弄虚作假、行贿等违法行为。</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3.1.3</w:t>
      </w:r>
      <w:r>
        <w:rPr>
          <w:rFonts w:hint="eastAsia" w:ascii="宋体" w:hAnsi="宋体"/>
          <w:color w:val="auto"/>
          <w:sz w:val="24"/>
          <w:szCs w:val="24"/>
          <w:highlight w:val="none"/>
        </w:rPr>
        <w:t>投标报价有算术错误及其他错误的，评标委员会按以下原则要求投标人对投标报价进行修正，并要求投标人书面澄清确认。投标人拒不澄清确认的，评标委员会应当否决其投标：</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）投标文件中的大写金额与小写金额不一致的，以大写金额为准；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）总价金额与单价金额不一致的，以单价金额为准，但单价金额小数点有明显错误的除外。</w:t>
      </w:r>
    </w:p>
    <w:p>
      <w:pPr>
        <w:rPr>
          <w:rFonts w:ascii="宋体" w:hAnsi="宋体"/>
          <w:color w:val="auto"/>
          <w:highlight w:val="none"/>
        </w:rPr>
      </w:pPr>
    </w:p>
    <w:p>
      <w:pPr>
        <w:pStyle w:val="7"/>
        <w:rPr>
          <w:color w:val="auto"/>
          <w:highlight w:val="none"/>
        </w:rPr>
      </w:pPr>
      <w:bookmarkStart w:id="178" w:name="bookmark90"/>
      <w:bookmarkEnd w:id="178"/>
      <w:r>
        <w:rPr>
          <w:color w:val="auto"/>
          <w:highlight w:val="none"/>
        </w:rPr>
        <w:t xml:space="preserve">3.2 </w:t>
      </w:r>
      <w:r>
        <w:rPr>
          <w:rFonts w:hint="eastAsia"/>
          <w:color w:val="auto"/>
          <w:highlight w:val="none"/>
        </w:rPr>
        <w:t>详细评审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3.2.1</w:t>
      </w:r>
      <w:r>
        <w:rPr>
          <w:rFonts w:hint="eastAsia" w:ascii="宋体" w:hAnsi="宋体"/>
          <w:color w:val="auto"/>
          <w:sz w:val="24"/>
          <w:szCs w:val="24"/>
          <w:highlight w:val="none"/>
        </w:rPr>
        <w:t>评标委员会按本章第</w:t>
      </w:r>
      <w:r>
        <w:rPr>
          <w:rFonts w:ascii="宋体" w:hAnsi="宋体"/>
          <w:color w:val="auto"/>
          <w:sz w:val="24"/>
          <w:szCs w:val="24"/>
          <w:highlight w:val="none"/>
        </w:rPr>
        <w:t>2.2</w:t>
      </w:r>
      <w:r>
        <w:rPr>
          <w:rFonts w:hint="eastAsia" w:ascii="宋体" w:hAnsi="宋体"/>
          <w:color w:val="auto"/>
          <w:sz w:val="24"/>
          <w:szCs w:val="24"/>
          <w:highlight w:val="none"/>
        </w:rPr>
        <w:t>款规定的量化因素和分值进行打分，并计算出综合评估得分。</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1</w:t>
      </w:r>
      <w:r>
        <w:rPr>
          <w:rFonts w:hint="eastAsia" w:ascii="宋体" w:hAnsi="宋体"/>
          <w:color w:val="auto"/>
          <w:sz w:val="24"/>
          <w:szCs w:val="24"/>
          <w:highlight w:val="none"/>
        </w:rPr>
        <w:t>）目规定的评审因素和分值对企业综合实力部分计算出得分</w:t>
      </w:r>
      <w:r>
        <w:rPr>
          <w:rFonts w:hint="eastAsia" w:ascii="宋体" w:hAnsi="宋体"/>
          <w:b/>
          <w:color w:val="auto"/>
          <w:szCs w:val="21"/>
          <w:highlight w:val="none"/>
        </w:rPr>
        <w:t>A</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2</w:t>
      </w:r>
      <w:r>
        <w:rPr>
          <w:rFonts w:hint="eastAsia" w:ascii="宋体" w:hAnsi="宋体"/>
          <w:color w:val="auto"/>
          <w:sz w:val="24"/>
          <w:szCs w:val="24"/>
          <w:highlight w:val="none"/>
        </w:rPr>
        <w:t>）目规定的评审因素和分值对技术方案部分计算出得分</w:t>
      </w:r>
      <w:r>
        <w:rPr>
          <w:rFonts w:hint="eastAsia" w:ascii="宋体" w:hAnsi="宋体"/>
          <w:b/>
          <w:color w:val="auto"/>
          <w:szCs w:val="21"/>
          <w:highlight w:val="none"/>
        </w:rPr>
        <w:t>B</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3</w:t>
      </w:r>
      <w:r>
        <w:rPr>
          <w:rFonts w:hint="eastAsia" w:ascii="宋体" w:hAnsi="宋体"/>
          <w:color w:val="auto"/>
          <w:sz w:val="24"/>
          <w:szCs w:val="24"/>
          <w:highlight w:val="none"/>
        </w:rPr>
        <w:t>）目规定的评审因素和分值对投标报价部分计算出得分</w:t>
      </w:r>
      <w:r>
        <w:rPr>
          <w:rFonts w:hint="eastAsia" w:ascii="宋体" w:hAnsi="宋体"/>
          <w:b/>
          <w:color w:val="auto"/>
          <w:szCs w:val="21"/>
          <w:highlight w:val="none"/>
        </w:rPr>
        <w:t>C</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）按本章第</w:t>
      </w:r>
      <w:r>
        <w:rPr>
          <w:rFonts w:ascii="宋体" w:hAnsi="宋体"/>
          <w:color w:val="auto"/>
          <w:sz w:val="24"/>
          <w:szCs w:val="24"/>
          <w:highlight w:val="none"/>
        </w:rPr>
        <w:t>2.2.4</w:t>
      </w:r>
      <w:r>
        <w:rPr>
          <w:rFonts w:hint="eastAsia" w:ascii="宋体" w:hAnsi="宋体"/>
          <w:color w:val="auto"/>
          <w:sz w:val="24"/>
          <w:szCs w:val="24"/>
          <w:highlight w:val="none"/>
        </w:rPr>
        <w:t>（</w:t>
      </w:r>
      <w:r>
        <w:rPr>
          <w:rFonts w:ascii="宋体" w:hAnsi="宋体"/>
          <w:color w:val="auto"/>
          <w:sz w:val="24"/>
          <w:szCs w:val="24"/>
          <w:highlight w:val="none"/>
        </w:rPr>
        <w:t>4</w:t>
      </w:r>
      <w:r>
        <w:rPr>
          <w:rFonts w:hint="eastAsia" w:ascii="宋体" w:hAnsi="宋体"/>
          <w:color w:val="auto"/>
          <w:sz w:val="24"/>
          <w:szCs w:val="24"/>
          <w:highlight w:val="none"/>
        </w:rPr>
        <w:t>）目规定的评审因素和分值对其他因素部分计算出得分</w:t>
      </w:r>
      <w:r>
        <w:rPr>
          <w:rFonts w:hint="eastAsia" w:ascii="宋体" w:hAnsi="宋体"/>
          <w:b/>
          <w:color w:val="auto"/>
          <w:szCs w:val="21"/>
          <w:highlight w:val="none"/>
        </w:rPr>
        <w:t>D</w:t>
      </w:r>
      <w:r>
        <w:rPr>
          <w:rFonts w:hint="eastAsia" w:ascii="宋体" w:hAnsi="宋体"/>
          <w:color w:val="auto"/>
          <w:sz w:val="24"/>
          <w:szCs w:val="24"/>
          <w:highlight w:val="none"/>
        </w:rPr>
        <w:t>。</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3.2.2</w:t>
      </w:r>
      <w:r>
        <w:rPr>
          <w:rFonts w:hint="eastAsia" w:ascii="宋体" w:hAnsi="宋体"/>
          <w:color w:val="auto"/>
          <w:sz w:val="24"/>
          <w:szCs w:val="24"/>
          <w:highlight w:val="none"/>
        </w:rPr>
        <w:t>评分分值计算保留小数点后两位，小数点后第三位“四舍五入”。</w:t>
      </w:r>
    </w:p>
    <w:p>
      <w:pPr>
        <w:spacing w:line="360" w:lineRule="auto"/>
        <w:ind w:firstLine="480" w:firstLineChars="200"/>
        <w:rPr>
          <w:rFonts w:ascii="宋体" w:hAnsi="宋体"/>
          <w:color w:val="auto"/>
          <w:sz w:val="24"/>
          <w:szCs w:val="24"/>
          <w:highlight w:val="none"/>
          <w:u w:val="single"/>
        </w:rPr>
      </w:pPr>
      <w:r>
        <w:rPr>
          <w:rFonts w:ascii="宋体" w:hAnsi="宋体"/>
          <w:color w:val="auto"/>
          <w:sz w:val="24"/>
          <w:szCs w:val="24"/>
          <w:highlight w:val="none"/>
        </w:rPr>
        <w:t>3.2.3</w:t>
      </w:r>
      <w:r>
        <w:rPr>
          <w:rFonts w:hint="eastAsia" w:ascii="宋体" w:hAnsi="宋体"/>
          <w:color w:val="auto"/>
          <w:sz w:val="24"/>
          <w:szCs w:val="24"/>
          <w:highlight w:val="none"/>
        </w:rPr>
        <w:t>投标人总得分：</w:t>
      </w:r>
      <w:r>
        <w:rPr>
          <w:rFonts w:hint="eastAsia" w:ascii="宋体" w:hAnsi="宋体"/>
          <w:color w:val="auto"/>
          <w:sz w:val="24"/>
          <w:szCs w:val="24"/>
          <w:highlight w:val="none"/>
          <w:u w:val="single"/>
        </w:rPr>
        <w:t>评标办法前附表</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3.2.4</w:t>
      </w:r>
      <w:r>
        <w:rPr>
          <w:rFonts w:hint="eastAsia" w:ascii="宋体" w:hAnsi="宋体"/>
          <w:color w:val="auto"/>
          <w:sz w:val="24"/>
          <w:szCs w:val="24"/>
          <w:highlight w:val="none"/>
        </w:rPr>
        <w:t>评标委员会发现投标人的报价明显低于其他投标报价，使得其投标报价可能低于其个别成本的，应当要求该投标人作出书面说明并提供相应的证明材料。投标人不能合理说明或者不能提供相应证明材料的，评标委员会应当认定该投标人以低于成本报价竞标，并否决其投标。</w:t>
      </w:r>
    </w:p>
    <w:p>
      <w:pPr>
        <w:rPr>
          <w:rFonts w:ascii="宋体" w:hAnsi="宋体"/>
          <w:color w:val="auto"/>
          <w:highlight w:val="none"/>
        </w:rPr>
      </w:pPr>
    </w:p>
    <w:p>
      <w:pPr>
        <w:pStyle w:val="7"/>
        <w:rPr>
          <w:color w:val="auto"/>
          <w:highlight w:val="none"/>
        </w:rPr>
      </w:pPr>
      <w:bookmarkStart w:id="179" w:name="bookmark91"/>
      <w:bookmarkEnd w:id="179"/>
      <w:r>
        <w:rPr>
          <w:color w:val="auto"/>
          <w:highlight w:val="none"/>
        </w:rPr>
        <w:t xml:space="preserve">3.3 </w:t>
      </w:r>
      <w:r>
        <w:rPr>
          <w:rFonts w:hint="eastAsia"/>
          <w:color w:val="auto"/>
          <w:highlight w:val="none"/>
        </w:rPr>
        <w:t>投标文件的澄清</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3.3.1</w:t>
      </w:r>
      <w:r>
        <w:rPr>
          <w:rFonts w:hint="eastAsia" w:ascii="宋体" w:hAnsi="宋体"/>
          <w:color w:val="auto"/>
          <w:sz w:val="24"/>
          <w:szCs w:val="24"/>
          <w:highlight w:val="none"/>
        </w:rPr>
        <w:t>在评标过程中，评标委员会可以书面形式要求投标人对投标文件中含义不明确、对同类问题表述不一致或者有明显文字和计算错误的内容作必要的澄清、说明或补正。澄清、说明或补正应以书面方式进行。评标委员会不接受投标人主动提出的澄清、说明或补正。</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3.3.2</w:t>
      </w:r>
      <w:r>
        <w:rPr>
          <w:rFonts w:hint="eastAsia" w:ascii="宋体" w:hAnsi="宋体"/>
          <w:color w:val="auto"/>
          <w:sz w:val="24"/>
          <w:szCs w:val="24"/>
          <w:highlight w:val="none"/>
        </w:rPr>
        <w:t>澄清、说明或补正不得超出投标文件的范围且不得改变投标文件的实质性内容，并构成投标文件的组成部分。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3.3.3</w:t>
      </w:r>
      <w:r>
        <w:rPr>
          <w:rFonts w:hint="eastAsia" w:ascii="宋体" w:hAnsi="宋体"/>
          <w:color w:val="auto"/>
          <w:sz w:val="24"/>
          <w:szCs w:val="24"/>
          <w:highlight w:val="none"/>
        </w:rPr>
        <w:t>评标委员会对投标人提交的澄清、说明或补正有疑问的，可以要求投标人进一步澄清、说明或补正，直至满足评标委员会的要求。</w:t>
      </w:r>
    </w:p>
    <w:p>
      <w:pPr>
        <w:rPr>
          <w:rFonts w:ascii="宋体" w:hAnsi="宋体"/>
          <w:color w:val="auto"/>
          <w:highlight w:val="none"/>
        </w:rPr>
      </w:pPr>
    </w:p>
    <w:p>
      <w:pPr>
        <w:pStyle w:val="7"/>
        <w:rPr>
          <w:color w:val="auto"/>
          <w:highlight w:val="none"/>
        </w:rPr>
      </w:pPr>
      <w:bookmarkStart w:id="180" w:name="bookmark92"/>
      <w:bookmarkEnd w:id="180"/>
      <w:r>
        <w:rPr>
          <w:color w:val="auto"/>
          <w:highlight w:val="none"/>
        </w:rPr>
        <w:t xml:space="preserve">3.4 </w:t>
      </w:r>
      <w:r>
        <w:rPr>
          <w:rFonts w:hint="eastAsia"/>
          <w:color w:val="auto"/>
          <w:highlight w:val="none"/>
        </w:rPr>
        <w:t>评标结果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3.4.1</w:t>
      </w:r>
      <w:r>
        <w:rPr>
          <w:rFonts w:hint="eastAsia" w:ascii="宋体" w:hAnsi="宋体"/>
          <w:color w:val="auto"/>
          <w:sz w:val="24"/>
          <w:szCs w:val="24"/>
          <w:highlight w:val="none"/>
        </w:rPr>
        <w:t>除第二章“投标人须知”前附表授权直接确定中标人外，评标委员会按照得分由高到低的顺序推荐中标候选人，并标明排序。</w:t>
      </w:r>
    </w:p>
    <w:p>
      <w:pPr>
        <w:ind w:firstLine="540" w:firstLineChars="225"/>
        <w:rPr>
          <w:rFonts w:ascii="宋体" w:hAnsi="宋体"/>
          <w:color w:val="auto"/>
          <w:sz w:val="24"/>
          <w:szCs w:val="24"/>
          <w:highlight w:val="none"/>
        </w:rPr>
      </w:pPr>
      <w:r>
        <w:rPr>
          <w:rFonts w:ascii="宋体" w:hAnsi="宋体"/>
          <w:color w:val="auto"/>
          <w:sz w:val="24"/>
          <w:szCs w:val="24"/>
          <w:highlight w:val="none"/>
        </w:rPr>
        <w:t>3.4.2</w:t>
      </w:r>
      <w:r>
        <w:rPr>
          <w:rFonts w:hint="eastAsia" w:ascii="宋体" w:hAnsi="宋体"/>
          <w:color w:val="auto"/>
          <w:sz w:val="24"/>
          <w:szCs w:val="24"/>
          <w:highlight w:val="none"/>
        </w:rPr>
        <w:t>评标委员会完成评标后，应当向招标人提交书面评标报告和中标候选人名单。</w:t>
      </w:r>
    </w:p>
    <w:p>
      <w:pPr>
        <w:adjustRightInd w:val="0"/>
        <w:snapToGrid w:val="0"/>
        <w:spacing w:line="360" w:lineRule="auto"/>
        <w:jc w:val="center"/>
        <w:rPr>
          <w:rFonts w:ascii="宋体" w:hAnsi="宋体"/>
          <w:color w:val="auto"/>
          <w:szCs w:val="21"/>
          <w:highlight w:val="none"/>
        </w:rPr>
      </w:pPr>
      <w:r>
        <w:rPr>
          <w:rFonts w:ascii="宋体" w:hAnsi="宋体"/>
          <w:color w:val="auto"/>
          <w:szCs w:val="21"/>
          <w:highlight w:val="none"/>
        </w:rPr>
        <w:t xml:space="preserve"> </w:t>
      </w:r>
    </w:p>
    <w:p>
      <w:pPr>
        <w:adjustRightInd w:val="0"/>
        <w:snapToGrid w:val="0"/>
        <w:spacing w:line="360" w:lineRule="auto"/>
        <w:jc w:val="center"/>
        <w:rPr>
          <w:rFonts w:ascii="宋体" w:hAnsi="宋体"/>
          <w:b/>
          <w:color w:val="auto"/>
          <w:sz w:val="36"/>
          <w:szCs w:val="36"/>
          <w:highlight w:val="none"/>
        </w:rPr>
      </w:pPr>
    </w:p>
    <w:p>
      <w:pPr>
        <w:pStyle w:val="3"/>
        <w:rPr>
          <w:color w:val="auto"/>
          <w:highlight w:val="none"/>
        </w:rPr>
      </w:pPr>
      <w:r>
        <w:rPr>
          <w:color w:val="auto"/>
          <w:sz w:val="24"/>
          <w:szCs w:val="24"/>
          <w:highlight w:val="none"/>
        </w:rPr>
        <w:br w:type="page"/>
      </w:r>
      <w:bookmarkStart w:id="181" w:name="_Toc533357322"/>
      <w:r>
        <w:rPr>
          <w:rFonts w:hint="eastAsia"/>
          <w:color w:val="auto"/>
          <w:sz w:val="24"/>
          <w:szCs w:val="24"/>
          <w:highlight w:val="none"/>
        </w:rPr>
        <w:t xml:space="preserve">          </w:t>
      </w:r>
      <w:bookmarkStart w:id="182" w:name="_Toc28219"/>
      <w:bookmarkStart w:id="183" w:name="_Toc103592031"/>
      <w:bookmarkStart w:id="184" w:name="_Toc9846"/>
      <w:r>
        <w:rPr>
          <w:rFonts w:hint="eastAsia"/>
          <w:color w:val="auto"/>
          <w:highlight w:val="none"/>
        </w:rPr>
        <w:t>第四章  合同条款及格式</w:t>
      </w:r>
      <w:bookmarkEnd w:id="181"/>
      <w:bookmarkEnd w:id="182"/>
      <w:bookmarkEnd w:id="183"/>
      <w:bookmarkEnd w:id="184"/>
      <w:bookmarkStart w:id="185" w:name="_Toc533357324"/>
    </w:p>
    <w:p>
      <w:pPr>
        <w:spacing w:line="560" w:lineRule="exact"/>
        <w:ind w:firstLine="4337" w:firstLineChars="1200"/>
        <w:rPr>
          <w:rFonts w:ascii="仿宋" w:hAnsi="仿宋" w:eastAsia="仿宋"/>
          <w:color w:val="auto"/>
          <w:sz w:val="24"/>
          <w:szCs w:val="24"/>
          <w:highlight w:val="none"/>
        </w:rPr>
      </w:pPr>
      <w:r>
        <w:rPr>
          <w:rFonts w:hint="eastAsia" w:ascii="宋体" w:hAnsi="宋体"/>
          <w:b/>
          <w:color w:val="auto"/>
          <w:kern w:val="44"/>
          <w:sz w:val="36"/>
          <w:szCs w:val="16"/>
          <w:highlight w:val="none"/>
        </w:rPr>
        <w:t>（另册）</w:t>
      </w:r>
      <w:r>
        <w:rPr>
          <w:rFonts w:hint="eastAsia" w:ascii="仿宋" w:hAnsi="仿宋" w:eastAsia="仿宋"/>
          <w:color w:val="auto"/>
          <w:sz w:val="24"/>
          <w:szCs w:val="24"/>
          <w:highlight w:val="none"/>
        </w:rPr>
        <w:t xml:space="preserve">          </w:t>
      </w:r>
    </w:p>
    <w:p>
      <w:pPr>
        <w:spacing w:line="560" w:lineRule="exact"/>
        <w:ind w:firstLine="560" w:firstLineChars="200"/>
        <w:rPr>
          <w:rFonts w:ascii="仿宋" w:hAnsi="仿宋" w:eastAsia="仿宋"/>
          <w:color w:val="auto"/>
          <w:szCs w:val="21"/>
          <w:highlight w:val="none"/>
        </w:rPr>
      </w:pPr>
      <w:r>
        <w:rPr>
          <w:rFonts w:hint="eastAsia" w:ascii="楷体_GB2312" w:eastAsia="楷体_GB2312"/>
          <w:color w:val="auto"/>
          <w:sz w:val="28"/>
          <w:szCs w:val="28"/>
          <w:highlight w:val="none"/>
        </w:rPr>
        <w:t xml:space="preserve"> </w:t>
      </w:r>
    </w:p>
    <w:p>
      <w:pPr>
        <w:rPr>
          <w:color w:val="auto"/>
          <w:highlight w:val="none"/>
        </w:rPr>
      </w:pPr>
    </w:p>
    <w:p>
      <w:pPr>
        <w:pStyle w:val="3"/>
        <w:rPr>
          <w:color w:val="auto"/>
          <w:highlight w:val="none"/>
        </w:rPr>
      </w:pPr>
      <w:r>
        <w:rPr>
          <w:rFonts w:hint="eastAsia"/>
          <w:color w:val="auto"/>
          <w:highlight w:val="none"/>
        </w:rPr>
        <w:br w:type="page"/>
      </w:r>
      <w:bookmarkStart w:id="186" w:name="_Toc5343"/>
      <w:bookmarkStart w:id="187" w:name="_Toc9227"/>
      <w:bookmarkStart w:id="188" w:name="_Toc103592032"/>
      <w:r>
        <w:rPr>
          <w:rFonts w:hint="eastAsia"/>
          <w:color w:val="auto"/>
          <w:highlight w:val="none"/>
        </w:rPr>
        <w:t>第二卷</w:t>
      </w:r>
      <w:bookmarkEnd w:id="186"/>
      <w:bookmarkEnd w:id="187"/>
      <w:bookmarkEnd w:id="188"/>
    </w:p>
    <w:p>
      <w:pPr>
        <w:pStyle w:val="3"/>
        <w:numPr>
          <w:ilvl w:val="0"/>
          <w:numId w:val="4"/>
        </w:numPr>
        <w:rPr>
          <w:color w:val="auto"/>
          <w:highlight w:val="none"/>
        </w:rPr>
      </w:pPr>
      <w:r>
        <w:rPr>
          <w:rFonts w:hint="eastAsia"/>
          <w:color w:val="auto"/>
          <w:highlight w:val="none"/>
        </w:rPr>
        <w:t xml:space="preserve"> </w:t>
      </w:r>
      <w:bookmarkStart w:id="189" w:name="_Toc13263"/>
      <w:bookmarkStart w:id="190" w:name="_Toc103592033"/>
      <w:bookmarkStart w:id="191" w:name="_Toc23095"/>
      <w:r>
        <w:rPr>
          <w:rFonts w:hint="eastAsia"/>
          <w:color w:val="auto"/>
          <w:highlight w:val="none"/>
        </w:rPr>
        <w:t>委托人要求</w:t>
      </w:r>
      <w:bookmarkEnd w:id="189"/>
      <w:bookmarkEnd w:id="190"/>
      <w:bookmarkEnd w:id="191"/>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1. 项目概况：</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1.1项目名称：</w:t>
      </w:r>
      <w:r>
        <w:rPr>
          <w:rFonts w:hint="eastAsia" w:ascii="宋体" w:hAnsi="宋体" w:cs="宋体"/>
          <w:color w:val="auto"/>
          <w:sz w:val="24"/>
          <w:szCs w:val="24"/>
          <w:highlight w:val="none"/>
          <w:u w:val="single"/>
        </w:rPr>
        <w:t>开发区半导体创新智造园项目第三方检测和监测服务</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1.2建设规模：</w:t>
      </w:r>
      <w:r>
        <w:rPr>
          <w:rFonts w:hint="eastAsia" w:ascii="宋体" w:hAnsi="宋体"/>
          <w:color w:val="auto"/>
          <w:sz w:val="24"/>
          <w:szCs w:val="24"/>
          <w:highlight w:val="none"/>
          <w:u w:val="single"/>
        </w:rPr>
        <w:t>项目地块建设用地面积16194.1 平方米，本项目总建筑面积为51410 ㎡，计容总建筑面积为44506㎡，地下建筑面积按6904㎡，建筑占地面积为7125.4 ㎡，绿地面积为1457.47㎡，综合容积率2.75，建筑密度44%，绿地率9%，建筑限高80米。机动车停车位134个，装卸货泊位12个，非机动车停车位40个</w:t>
      </w:r>
      <w:r>
        <w:rPr>
          <w:rFonts w:hint="eastAsia" w:ascii="宋体" w:hAnsi="宋体" w:cs="宋体"/>
          <w:color w:val="auto"/>
          <w:sz w:val="24"/>
          <w:szCs w:val="24"/>
          <w:highlight w:val="none"/>
          <w:u w:val="single"/>
        </w:rPr>
        <w:t>。</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1.3建设地点：</w:t>
      </w:r>
      <w:r>
        <w:rPr>
          <w:rFonts w:hint="eastAsia" w:ascii="宋体" w:hAnsi="宋体"/>
          <w:color w:val="auto"/>
          <w:sz w:val="24"/>
          <w:szCs w:val="24"/>
          <w:highlight w:val="none"/>
          <w:u w:val="single"/>
        </w:rPr>
        <w:t>广州市增城区宁西街道增城经济技术开发区核心区新誉北路西侧(增城经济技术开发区)</w:t>
      </w:r>
      <w:r>
        <w:rPr>
          <w:rFonts w:hint="eastAsia" w:ascii="宋体" w:hAnsi="宋体" w:cs="宋体"/>
          <w:color w:val="auto"/>
          <w:sz w:val="24"/>
          <w:szCs w:val="24"/>
          <w:highlight w:val="none"/>
          <w:u w:val="single"/>
        </w:rPr>
        <w:t>。</w:t>
      </w:r>
    </w:p>
    <w:p>
      <w:pPr>
        <w:autoSpaceDE w:val="0"/>
        <w:autoSpaceDN w:val="0"/>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1.4工程投资：</w:t>
      </w:r>
      <w:r>
        <w:rPr>
          <w:rFonts w:hint="eastAsia" w:ascii="宋体" w:hAnsi="宋体" w:cs="宋体"/>
          <w:color w:val="auto"/>
          <w:sz w:val="24"/>
          <w:szCs w:val="24"/>
          <w:highlight w:val="none"/>
          <w:u w:val="single"/>
        </w:rPr>
        <w:t>项目估算总投资36922万元。</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olor w:val="auto"/>
          <w:sz w:val="24"/>
          <w:szCs w:val="24"/>
          <w:highlight w:val="none"/>
        </w:rPr>
        <w:t>1.5本次招标服务期：</w:t>
      </w:r>
      <w:r>
        <w:rPr>
          <w:rFonts w:hint="eastAsia" w:ascii="宋体" w:hAnsi="宋体" w:cs="宋体"/>
          <w:color w:val="auto"/>
          <w:sz w:val="24"/>
          <w:szCs w:val="24"/>
          <w:highlight w:val="none"/>
          <w:u w:val="single"/>
        </w:rPr>
        <w:t>自本合同签订之日起至所有服务项目完成且结清检测和监测费用之日止。从乙方进场至完成所有检测和监测项目且技术成果通过审批，服务周期必须满足实际施工及验收要求，且甲方有权根据工程实际需要调整工期及验收时间，乙方需配合甲方的调整作出相应的执行计划。</w:t>
      </w:r>
    </w:p>
    <w:p>
      <w:pPr>
        <w:autoSpaceDE w:val="0"/>
        <w:autoSpaceDN w:val="0"/>
        <w:adjustRightInd w:val="0"/>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1.6工程质量标准：</w:t>
      </w:r>
      <w:r>
        <w:rPr>
          <w:rFonts w:hint="eastAsia" w:ascii="宋体" w:hAnsi="宋体" w:cs="宋体"/>
          <w:color w:val="auto"/>
          <w:sz w:val="24"/>
          <w:szCs w:val="24"/>
          <w:highlight w:val="none"/>
          <w:u w:val="single"/>
        </w:rPr>
        <w:t>符合国家及省、市有关检测标准。</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2.检测和监测范围及内容：</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本次检测和检测的范围及内容为建设行政主管部门、监督部门要求的，由业主指定的具有质量监控作用的见证取样检测、地基基础检测、主体结构检测、节能工程检测、室内环境检测、防雷检测、消防检测、智能化检测、道路检测、园林绿化检测和基坑监测、主体沉降观测、高支模监测等按规范和验收要求必须检测和监测的项目，以及为工程验收提供依据的检测和监测项目。服务范围除以上工程检测和监测、试验工作外，还包括：</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1）与工程所在行政区域的相关建设行政主管部门和监督部门进行检测和监测工作的协调，申报检测和监测技术成果的审批。保证技术成果能够通过相关部门认可，确保不因检测和监测工作影响本工程项目的建设进度和竣工验收。</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（2）在进行检测和监测任务的过程中与该工程相关的施工单位、监理单位、设计单位、建设主管部门等相关单位的协调工作。</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（3）检测和监测数据的有关信息根据监管部门要求通过市住建监管系统进行传输报送。</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（4）根据相关规范和标准、主管部门文件的规定以及设计图纸的有关要求，结合工程实际情况编制相关项目的《检测和监测方案》，并报质监部门备案（如需要）。</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（5）负责检测和监测的工程质量需符合《建设工程质量管理条例》等国家相关管理要求。</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（6）除建设行政主管部门、监督部门及现行法律法规要求必须由第三方单位检测和监测项目外，招标人另有要求的检测和监测项目且投标人有资质的，仍属于本次招标范围内。</w:t>
      </w:r>
    </w:p>
    <w:p>
      <w:pPr>
        <w:autoSpaceDE w:val="0"/>
        <w:autoSpaceDN w:val="0"/>
        <w:adjustRightInd w:val="0"/>
        <w:spacing w:line="360" w:lineRule="auto"/>
        <w:ind w:firstLine="480" w:firstLineChars="200"/>
        <w:rPr>
          <w:rFonts w:ascii="宋体" w:hAnsi="宋体" w:cs="宋体"/>
          <w:color w:val="auto"/>
          <w:sz w:val="24"/>
          <w:szCs w:val="24"/>
          <w:highlight w:val="none"/>
          <w:u w:val="single"/>
        </w:rPr>
      </w:pPr>
      <w:r>
        <w:rPr>
          <w:rFonts w:hint="eastAsia" w:ascii="宋体" w:hAnsi="宋体" w:cs="宋体"/>
          <w:color w:val="auto"/>
          <w:sz w:val="24"/>
          <w:szCs w:val="24"/>
          <w:highlight w:val="none"/>
          <w:u w:val="single"/>
        </w:rPr>
        <w:t>（具体以招标文件、施工图纸、检测和监测方案为准）。</w:t>
      </w:r>
    </w:p>
    <w:p>
      <w:pPr>
        <w:spacing w:line="360" w:lineRule="auto"/>
        <w:ind w:firstLine="426" w:firstLineChars="177"/>
        <w:rPr>
          <w:rFonts w:ascii="宋体" w:hAnsi="宋体"/>
          <w:b/>
          <w:color w:val="auto"/>
          <w:sz w:val="24"/>
          <w:szCs w:val="24"/>
          <w:highlight w:val="none"/>
        </w:rPr>
      </w:pPr>
      <w:r>
        <w:rPr>
          <w:rFonts w:hint="eastAsia" w:ascii="宋体" w:hAnsi="宋体"/>
          <w:b/>
          <w:color w:val="auto"/>
          <w:sz w:val="24"/>
          <w:szCs w:val="24"/>
          <w:highlight w:val="none"/>
        </w:rPr>
        <w:t>3.检测和监测标准：</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（1）《建筑工程施工质量验收统一标准》（GB50300-2013）；</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（2）《混凝土结构工程施工质量验收规范》（GB50204-2015）</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（3）《砌体工程施工质量验收规范》（GB50203-2011）</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（4）《屋面工程质量验收规范》（GB50207-2012）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（5）《给水排水管道工程施工及验收规范》（GB50268-2008）</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（6）《建筑地面工程施工质量验收规范》（GB50209-2002）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（7）《建筑装饰装修工程质量验收规范》（GB50300-2018）；</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（8）《广东省建筑节能工程施工质量验收规范》DBJ15-65-2009；</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（9）《建筑节能工程施工质量验收规范》GB50411；</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（10）《民用建筑工程室内环境污染控制规范》GB50325-2010；</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（11）《通风与空调工程施工质量验收规范》GB50243；</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（12）《建筑电气工程施工质量验收规范》GB50303；</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（13）《公共建筑节能检测标准》JGJ/T177；</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（14）《居住建筑节能检测标准》JGJ/T132；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（15）《照明测量方法》GB/T5700；</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（16）《风机盘管机组》GB/T19232；</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（17）广东省标准《广东城市绿化工程施工和验收规范》DB44/T581-2009</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（18）行业标准《园林绿化木本苗》</w:t>
      </w:r>
      <w:r>
        <w:rPr>
          <w:rFonts w:ascii="宋体" w:hAnsi="宋体"/>
          <w:color w:val="auto"/>
          <w:sz w:val="24"/>
          <w:szCs w:val="24"/>
          <w:highlight w:val="none"/>
        </w:rPr>
        <w:t>CJ/T24-</w:t>
      </w:r>
      <w:r>
        <w:rPr>
          <w:rFonts w:hint="eastAsia" w:ascii="宋体" w:hAnsi="宋体"/>
          <w:color w:val="auto"/>
          <w:sz w:val="24"/>
          <w:szCs w:val="24"/>
          <w:highlight w:val="none"/>
        </w:rPr>
        <w:t>2018</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 xml:space="preserve">（19）国家和广东省、广州市、增城区其他有关检测和监测的法律、法规、规章、规范及标准。 </w:t>
      </w:r>
    </w:p>
    <w:p>
      <w:pPr>
        <w:spacing w:line="360" w:lineRule="auto"/>
        <w:ind w:firstLine="426" w:firstLineChars="177"/>
        <w:rPr>
          <w:rFonts w:ascii="宋体" w:hAnsi="宋体"/>
          <w:color w:val="auto"/>
          <w:sz w:val="24"/>
          <w:szCs w:val="24"/>
          <w:highlight w:val="none"/>
        </w:rPr>
      </w:pPr>
      <w:r>
        <w:rPr>
          <w:rFonts w:hint="eastAsia" w:ascii="宋体" w:hAnsi="宋体"/>
          <w:b/>
          <w:color w:val="auto"/>
          <w:sz w:val="24"/>
          <w:szCs w:val="24"/>
          <w:highlight w:val="none"/>
        </w:rPr>
        <w:t>4.服务要求：</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（1）符合法律、行政法规及部门规章；</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（2）符合本工程有关的规范、标准、规程。</w:t>
      </w:r>
    </w:p>
    <w:p>
      <w:pPr>
        <w:spacing w:line="360" w:lineRule="auto"/>
        <w:ind w:firstLine="424" w:firstLineChars="177"/>
        <w:rPr>
          <w:rFonts w:ascii="宋体" w:hAnsi="宋体"/>
          <w:color w:val="auto"/>
          <w:sz w:val="24"/>
          <w:szCs w:val="24"/>
          <w:highlight w:val="none"/>
        </w:rPr>
      </w:pPr>
      <w:r>
        <w:rPr>
          <w:rFonts w:hint="eastAsia" w:ascii="宋体" w:hAnsi="宋体"/>
          <w:color w:val="auto"/>
          <w:sz w:val="24"/>
          <w:szCs w:val="24"/>
          <w:highlight w:val="none"/>
        </w:rPr>
        <w:t>（3）按照《中华人民共和国建筑法》、《建设工程质量检测管理办法》中华人民共和国行业标准及其它相关等规范进行检测、监测和判定，出具完整检测和监测报告。检测和监测报告应经检测和监测人员签字、检测和监测机构法定代表人或者其授权的签字人签署，并加盖检测和监测机构公章或者检测和监测专用章。</w:t>
      </w:r>
    </w:p>
    <w:p>
      <w:pPr>
        <w:spacing w:line="360" w:lineRule="auto"/>
        <w:ind w:firstLine="426" w:firstLineChars="177"/>
        <w:rPr>
          <w:rFonts w:ascii="宋体" w:hAnsi="宋体"/>
          <w:b/>
          <w:color w:val="auto"/>
          <w:sz w:val="24"/>
          <w:szCs w:val="24"/>
          <w:highlight w:val="none"/>
        </w:rPr>
      </w:pPr>
      <w:bookmarkStart w:id="192" w:name="_Toc9843"/>
      <w:bookmarkStart w:id="193" w:name="_Toc511557119"/>
      <w:bookmarkStart w:id="194" w:name="_Toc24882"/>
      <w:r>
        <w:rPr>
          <w:rFonts w:hint="eastAsia" w:ascii="宋体" w:hAnsi="宋体"/>
          <w:b/>
          <w:color w:val="auto"/>
          <w:sz w:val="24"/>
          <w:szCs w:val="24"/>
          <w:highlight w:val="none"/>
        </w:rPr>
        <w:t>5.委托人的其他要求</w:t>
      </w:r>
      <w:bookmarkEnd w:id="192"/>
      <w:bookmarkEnd w:id="193"/>
      <w:bookmarkEnd w:id="194"/>
      <w:r>
        <w:rPr>
          <w:rFonts w:hint="eastAsia" w:ascii="宋体" w:hAnsi="宋体"/>
          <w:b/>
          <w:color w:val="auto"/>
          <w:sz w:val="24"/>
          <w:szCs w:val="24"/>
          <w:highlight w:val="none"/>
        </w:rPr>
        <w:t>：</w:t>
      </w:r>
    </w:p>
    <w:p>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1.本项目实施期间，如果因本项目施工质量抽查监督及验收需要，按规范和经批准的检测</w:t>
      </w:r>
      <w:r>
        <w:rPr>
          <w:rFonts w:hint="eastAsia" w:ascii="宋体" w:hAnsi="宋体"/>
          <w:color w:val="auto"/>
          <w:sz w:val="24"/>
          <w:szCs w:val="24"/>
          <w:highlight w:val="none"/>
        </w:rPr>
        <w:t>和监测</w:t>
      </w:r>
      <w:r>
        <w:rPr>
          <w:rFonts w:hint="eastAsia" w:ascii="宋体" w:hAnsi="宋体"/>
          <w:color w:val="auto"/>
          <w:sz w:val="24"/>
          <w:highlight w:val="none"/>
        </w:rPr>
        <w:t>方案，经招标人确认需增加检测</w:t>
      </w:r>
      <w:r>
        <w:rPr>
          <w:rFonts w:hint="eastAsia" w:ascii="宋体" w:hAnsi="宋体"/>
          <w:color w:val="auto"/>
          <w:sz w:val="24"/>
          <w:szCs w:val="24"/>
          <w:highlight w:val="none"/>
        </w:rPr>
        <w:t>和监测</w:t>
      </w:r>
      <w:r>
        <w:rPr>
          <w:rFonts w:hint="eastAsia" w:ascii="宋体" w:hAnsi="宋体"/>
          <w:color w:val="auto"/>
          <w:sz w:val="24"/>
          <w:highlight w:val="none"/>
        </w:rPr>
        <w:t>项目，且投标人也具备相应资质，则投标人不得以任何原因拒绝为招标人提供检测</w:t>
      </w:r>
      <w:r>
        <w:rPr>
          <w:rFonts w:hint="eastAsia" w:ascii="宋体" w:hAnsi="宋体"/>
          <w:color w:val="auto"/>
          <w:sz w:val="24"/>
          <w:szCs w:val="24"/>
          <w:highlight w:val="none"/>
        </w:rPr>
        <w:t>和监测</w:t>
      </w:r>
      <w:r>
        <w:rPr>
          <w:rFonts w:hint="eastAsia" w:ascii="宋体" w:hAnsi="宋体"/>
          <w:color w:val="auto"/>
          <w:sz w:val="24"/>
          <w:highlight w:val="none"/>
        </w:rPr>
        <w:t>，并按要求出具符合验收要求的检测</w:t>
      </w:r>
      <w:r>
        <w:rPr>
          <w:rFonts w:hint="eastAsia" w:ascii="宋体" w:hAnsi="宋体"/>
          <w:color w:val="auto"/>
          <w:sz w:val="24"/>
          <w:szCs w:val="24"/>
          <w:highlight w:val="none"/>
        </w:rPr>
        <w:t>和监测</w:t>
      </w:r>
      <w:r>
        <w:rPr>
          <w:rFonts w:hint="eastAsia" w:ascii="宋体" w:hAnsi="宋体"/>
          <w:color w:val="auto"/>
          <w:sz w:val="24"/>
          <w:highlight w:val="none"/>
        </w:rPr>
        <w:t>报告。投标人检测</w:t>
      </w:r>
      <w:r>
        <w:rPr>
          <w:rFonts w:hint="eastAsia" w:ascii="宋体" w:hAnsi="宋体"/>
          <w:color w:val="auto"/>
          <w:sz w:val="24"/>
          <w:szCs w:val="24"/>
          <w:highlight w:val="none"/>
        </w:rPr>
        <w:t>和监测</w:t>
      </w:r>
      <w:r>
        <w:rPr>
          <w:rFonts w:hint="eastAsia" w:ascii="宋体" w:hAnsi="宋体"/>
          <w:color w:val="auto"/>
          <w:sz w:val="24"/>
          <w:highlight w:val="none"/>
        </w:rPr>
        <w:t>资质不能涵盖的项目报招标人批准后，由投标人委托具有相应资质的第三方实施，投标人应对该第三方出具的结果负责，并取得相应管理部门的确认。</w:t>
      </w:r>
    </w:p>
    <w:p>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2.检测</w:t>
      </w:r>
      <w:r>
        <w:rPr>
          <w:rFonts w:hint="eastAsia" w:ascii="宋体" w:hAnsi="宋体"/>
          <w:color w:val="auto"/>
          <w:sz w:val="24"/>
          <w:szCs w:val="24"/>
          <w:highlight w:val="none"/>
        </w:rPr>
        <w:t>和监测</w:t>
      </w:r>
      <w:r>
        <w:rPr>
          <w:rFonts w:hint="eastAsia" w:ascii="宋体" w:hAnsi="宋体"/>
          <w:color w:val="auto"/>
          <w:sz w:val="24"/>
          <w:highlight w:val="none"/>
        </w:rPr>
        <w:t>方案及工作量：在施工过程中，检测</w:t>
      </w:r>
      <w:r>
        <w:rPr>
          <w:rFonts w:hint="eastAsia" w:ascii="宋体" w:hAnsi="宋体"/>
          <w:color w:val="auto"/>
          <w:sz w:val="24"/>
          <w:szCs w:val="24"/>
          <w:highlight w:val="none"/>
        </w:rPr>
        <w:t>和监测</w:t>
      </w:r>
      <w:r>
        <w:rPr>
          <w:rFonts w:hint="eastAsia" w:ascii="宋体" w:hAnsi="宋体"/>
          <w:color w:val="auto"/>
          <w:sz w:val="24"/>
          <w:highlight w:val="none"/>
        </w:rPr>
        <w:t>服务单位依据施工图及相关检测</w:t>
      </w:r>
      <w:r>
        <w:rPr>
          <w:rFonts w:hint="eastAsia" w:ascii="宋体" w:hAnsi="宋体"/>
          <w:color w:val="auto"/>
          <w:sz w:val="24"/>
          <w:szCs w:val="24"/>
          <w:highlight w:val="none"/>
        </w:rPr>
        <w:t>和监测</w:t>
      </w:r>
      <w:r>
        <w:rPr>
          <w:rFonts w:hint="eastAsia" w:ascii="宋体" w:hAnsi="宋体"/>
          <w:color w:val="auto"/>
          <w:sz w:val="24"/>
          <w:highlight w:val="none"/>
        </w:rPr>
        <w:t>验收规范，编制检测</w:t>
      </w:r>
      <w:r>
        <w:rPr>
          <w:rFonts w:hint="eastAsia" w:ascii="宋体" w:hAnsi="宋体"/>
          <w:color w:val="auto"/>
          <w:sz w:val="24"/>
          <w:szCs w:val="24"/>
          <w:highlight w:val="none"/>
        </w:rPr>
        <w:t>和监测</w:t>
      </w:r>
      <w:r>
        <w:rPr>
          <w:rFonts w:hint="eastAsia" w:ascii="宋体" w:hAnsi="宋体"/>
          <w:color w:val="auto"/>
          <w:sz w:val="24"/>
          <w:highlight w:val="none"/>
        </w:rPr>
        <w:t>方案和工程量清单，以满足施工质量抽查监督、各单项竣工验收、竣工验收备案及区质检站等政府职能部门要求为前提，合理编制，不可擅自虚增检测</w:t>
      </w:r>
      <w:r>
        <w:rPr>
          <w:rFonts w:hint="eastAsia" w:ascii="宋体" w:hAnsi="宋体"/>
          <w:color w:val="auto"/>
          <w:sz w:val="24"/>
          <w:szCs w:val="24"/>
          <w:highlight w:val="none"/>
        </w:rPr>
        <w:t>和监测</w:t>
      </w:r>
      <w:r>
        <w:rPr>
          <w:rFonts w:hint="eastAsia" w:ascii="宋体" w:hAnsi="宋体"/>
          <w:color w:val="auto"/>
          <w:sz w:val="24"/>
          <w:highlight w:val="none"/>
        </w:rPr>
        <w:t>项目和工作量，否则不予结算。检测</w:t>
      </w:r>
      <w:r>
        <w:rPr>
          <w:rFonts w:hint="eastAsia" w:ascii="宋体" w:hAnsi="宋体"/>
          <w:color w:val="auto"/>
          <w:sz w:val="24"/>
          <w:szCs w:val="24"/>
          <w:highlight w:val="none"/>
        </w:rPr>
        <w:t>和监测</w:t>
      </w:r>
      <w:r>
        <w:rPr>
          <w:rFonts w:hint="eastAsia" w:ascii="宋体" w:hAnsi="宋体"/>
          <w:color w:val="auto"/>
          <w:sz w:val="24"/>
          <w:highlight w:val="none"/>
        </w:rPr>
        <w:t>方案需报施工单位、监理单位、设计单位、勘察单位、代建单位（如有）和建设业主审核确认后方可实施，检测</w:t>
      </w:r>
      <w:r>
        <w:rPr>
          <w:rFonts w:hint="eastAsia" w:ascii="宋体" w:hAnsi="宋体"/>
          <w:color w:val="auto"/>
          <w:sz w:val="24"/>
          <w:szCs w:val="24"/>
          <w:highlight w:val="none"/>
        </w:rPr>
        <w:t>和监测</w:t>
      </w:r>
      <w:r>
        <w:rPr>
          <w:rFonts w:hint="eastAsia" w:ascii="宋体" w:hAnsi="宋体"/>
          <w:color w:val="auto"/>
          <w:sz w:val="24"/>
          <w:highlight w:val="none"/>
        </w:rPr>
        <w:t>项目及工作量按实结算。</w:t>
      </w:r>
    </w:p>
    <w:p>
      <w:pPr>
        <w:spacing w:line="360" w:lineRule="auto"/>
        <w:ind w:firstLine="424" w:firstLineChars="177"/>
        <w:rPr>
          <w:rFonts w:ascii="宋体" w:hAnsi="宋体"/>
          <w:color w:val="auto"/>
          <w:sz w:val="24"/>
          <w:highlight w:val="none"/>
        </w:rPr>
      </w:pPr>
      <w:r>
        <w:rPr>
          <w:rFonts w:hint="eastAsia" w:ascii="宋体" w:hAnsi="宋体"/>
          <w:color w:val="auto"/>
          <w:sz w:val="24"/>
          <w:highlight w:val="none"/>
        </w:rPr>
        <w:t>3.其他详见本招标文件的第一章投标人须知和本工程委托检测</w:t>
      </w:r>
      <w:r>
        <w:rPr>
          <w:rFonts w:hint="eastAsia" w:ascii="宋体" w:hAnsi="宋体"/>
          <w:color w:val="auto"/>
          <w:sz w:val="24"/>
          <w:szCs w:val="24"/>
          <w:highlight w:val="none"/>
        </w:rPr>
        <w:t>和监测</w:t>
      </w:r>
      <w:r>
        <w:rPr>
          <w:rFonts w:hint="eastAsia" w:ascii="宋体" w:hAnsi="宋体"/>
          <w:color w:val="auto"/>
          <w:sz w:val="24"/>
          <w:highlight w:val="none"/>
        </w:rPr>
        <w:t>合同的相关约定。</w:t>
      </w:r>
    </w:p>
    <w:p>
      <w:pPr>
        <w:pStyle w:val="3"/>
        <w:rPr>
          <w:color w:val="auto"/>
          <w:highlight w:val="none"/>
        </w:rPr>
      </w:pPr>
      <w:r>
        <w:rPr>
          <w:color w:val="auto"/>
          <w:highlight w:val="none"/>
        </w:rPr>
        <w:br w:type="page"/>
      </w:r>
      <w:bookmarkStart w:id="195" w:name="_Toc30823"/>
      <w:bookmarkStart w:id="196" w:name="_Toc26258"/>
      <w:bookmarkStart w:id="197" w:name="_Toc103592034"/>
      <w:r>
        <w:rPr>
          <w:rFonts w:hint="eastAsia"/>
          <w:color w:val="auto"/>
          <w:highlight w:val="none"/>
        </w:rPr>
        <w:t>第三卷</w:t>
      </w:r>
      <w:bookmarkEnd w:id="185"/>
      <w:bookmarkEnd w:id="195"/>
      <w:bookmarkEnd w:id="196"/>
      <w:bookmarkEnd w:id="197"/>
    </w:p>
    <w:p>
      <w:pPr>
        <w:pStyle w:val="3"/>
        <w:rPr>
          <w:color w:val="auto"/>
          <w:highlight w:val="none"/>
        </w:rPr>
      </w:pPr>
      <w:bookmarkStart w:id="198" w:name="_Toc533357327"/>
      <w:bookmarkStart w:id="199" w:name="_Toc26280"/>
      <w:bookmarkStart w:id="200" w:name="_Toc103592035"/>
      <w:bookmarkStart w:id="201" w:name="_Toc21449"/>
      <w:r>
        <w:rPr>
          <w:rFonts w:hint="eastAsia"/>
          <w:color w:val="auto"/>
          <w:highlight w:val="none"/>
        </w:rPr>
        <w:t>第六章  投标文件格式</w:t>
      </w:r>
      <w:bookmarkEnd w:id="198"/>
      <w:bookmarkEnd w:id="199"/>
      <w:bookmarkEnd w:id="200"/>
      <w:bookmarkEnd w:id="201"/>
    </w:p>
    <w:p>
      <w:pPr>
        <w:rPr>
          <w:color w:val="auto"/>
          <w:highlight w:val="none"/>
        </w:rPr>
      </w:pPr>
    </w:p>
    <w:p>
      <w:pPr>
        <w:spacing w:line="265" w:lineRule="auto"/>
        <w:ind w:left="10" w:hanging="10"/>
        <w:jc w:val="center"/>
        <w:rPr>
          <w:rFonts w:ascii="宋体" w:hAnsi="宋体" w:cs="宋体"/>
          <w:color w:val="auto"/>
          <w:highlight w:val="none"/>
        </w:rPr>
      </w:pPr>
      <w:r>
        <w:rPr>
          <w:rFonts w:hint="eastAsia" w:ascii="宋体" w:hAnsi="宋体" w:cs="宋体"/>
          <w:color w:val="auto"/>
          <w:sz w:val="28"/>
          <w:highlight w:val="none"/>
          <w:u w:val="single" w:color="000000"/>
        </w:rPr>
        <w:t xml:space="preserve">        </w:t>
      </w:r>
      <w:bookmarkStart w:id="202" w:name="_Toc20579_WPSOffice_Level1"/>
      <w:bookmarkStart w:id="203" w:name="_Toc17711_WPSOffice_Level1"/>
      <w:r>
        <w:rPr>
          <w:rFonts w:hint="eastAsia" w:ascii="宋体" w:hAnsi="宋体" w:cs="宋体"/>
          <w:color w:val="auto"/>
          <w:sz w:val="28"/>
          <w:highlight w:val="none"/>
        </w:rPr>
        <w:t>（项目名称）项目</w:t>
      </w:r>
      <w:bookmarkEnd w:id="202"/>
      <w:bookmarkEnd w:id="203"/>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0"/>
          <w:highlight w:val="none"/>
        </w:rPr>
        <w:t xml:space="preserve"> </w:t>
      </w:r>
    </w:p>
    <w:p>
      <w:pPr>
        <w:spacing w:after="254"/>
        <w:rPr>
          <w:rFonts w:ascii="宋体" w:hAnsi="宋体" w:cs="宋体"/>
          <w:color w:val="auto"/>
          <w:highlight w:val="none"/>
        </w:rPr>
      </w:pPr>
      <w:r>
        <w:rPr>
          <w:rFonts w:hint="eastAsia" w:ascii="宋体" w:hAnsi="宋体" w:cs="宋体"/>
          <w:color w:val="auto"/>
          <w:sz w:val="20"/>
          <w:highlight w:val="none"/>
        </w:rPr>
        <w:t xml:space="preserve"> </w:t>
      </w:r>
    </w:p>
    <w:p>
      <w:pPr>
        <w:jc w:val="center"/>
        <w:rPr>
          <w:rFonts w:ascii="宋体" w:hAnsi="宋体" w:cs="宋体"/>
          <w:color w:val="auto"/>
          <w:highlight w:val="none"/>
        </w:rPr>
      </w:pPr>
      <w:bookmarkStart w:id="204" w:name="_Toc31449_WPSOffice_Level2"/>
      <w:bookmarkStart w:id="205" w:name="_Toc24750_WPSOffice_Level2"/>
      <w:r>
        <w:rPr>
          <w:rFonts w:hint="eastAsia" w:ascii="宋体" w:hAnsi="宋体" w:cs="宋体"/>
          <w:color w:val="auto"/>
          <w:sz w:val="44"/>
          <w:highlight w:val="none"/>
        </w:rPr>
        <w:t>投 标 文 件</w:t>
      </w:r>
      <w:bookmarkEnd w:id="204"/>
      <w:bookmarkEnd w:id="205"/>
      <w:r>
        <w:rPr>
          <w:rFonts w:hint="eastAsia" w:ascii="宋体" w:hAnsi="宋体" w:cs="宋体"/>
          <w:color w:val="auto"/>
          <w:sz w:val="44"/>
          <w:highlight w:val="none"/>
        </w:rPr>
        <w:t xml:space="preserve"> </w:t>
      </w:r>
    </w:p>
    <w:p>
      <w:pPr>
        <w:jc w:val="center"/>
        <w:rPr>
          <w:rFonts w:ascii="宋体" w:hAnsi="宋体" w:cs="宋体"/>
          <w:color w:val="auto"/>
          <w:highlight w:val="none"/>
        </w:rPr>
      </w:pPr>
      <w:r>
        <w:rPr>
          <w:rFonts w:hint="eastAsia" w:ascii="宋体" w:hAnsi="宋体" w:cs="宋体"/>
          <w:color w:val="auto"/>
          <w:sz w:val="44"/>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rPr>
          <w:rFonts w:ascii="宋体" w:hAnsi="宋体" w:cs="宋体"/>
          <w:color w:val="auto"/>
          <w:highlight w:val="none"/>
        </w:rPr>
      </w:pPr>
      <w:r>
        <w:rPr>
          <w:rFonts w:hint="eastAsia" w:ascii="宋体" w:hAnsi="宋体" w:cs="宋体"/>
          <w:color w:val="auto"/>
          <w:sz w:val="28"/>
          <w:highlight w:val="none"/>
        </w:rPr>
        <w:t xml:space="preserve"> </w:t>
      </w:r>
    </w:p>
    <w:p>
      <w:pPr>
        <w:spacing w:after="38"/>
        <w:rPr>
          <w:rFonts w:ascii="宋体" w:hAnsi="宋体" w:cs="宋体"/>
          <w:color w:val="auto"/>
          <w:highlight w:val="none"/>
        </w:rPr>
      </w:pPr>
      <w:r>
        <w:rPr>
          <w:rFonts w:hint="eastAsia" w:ascii="宋体" w:hAnsi="宋体" w:cs="宋体"/>
          <w:color w:val="auto"/>
          <w:sz w:val="28"/>
          <w:highlight w:val="none"/>
        </w:rPr>
        <w:t xml:space="preserve"> </w:t>
      </w:r>
    </w:p>
    <w:p>
      <w:pPr>
        <w:spacing w:line="379" w:lineRule="auto"/>
        <w:ind w:left="1079" w:leftChars="514" w:firstLine="700" w:firstLineChars="250"/>
        <w:rPr>
          <w:rFonts w:ascii="宋体" w:hAnsi="宋体" w:cs="宋体"/>
          <w:color w:val="auto"/>
          <w:sz w:val="28"/>
          <w:highlight w:val="none"/>
        </w:rPr>
      </w:pPr>
      <w:bookmarkStart w:id="206" w:name="_Toc2136_WPSOffice_Level2"/>
      <w:bookmarkStart w:id="207" w:name="_Toc439_WPSOffice_Level2"/>
      <w:r>
        <w:rPr>
          <w:rFonts w:hint="eastAsia" w:ascii="宋体" w:hAnsi="宋体" w:cs="宋体"/>
          <w:color w:val="auto"/>
          <w:sz w:val="28"/>
          <w:highlight w:val="none"/>
        </w:rPr>
        <w:t>投标人：</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（盖单位章）</w:t>
      </w:r>
      <w:bookmarkEnd w:id="206"/>
      <w:bookmarkEnd w:id="207"/>
    </w:p>
    <w:p>
      <w:pPr>
        <w:spacing w:line="379" w:lineRule="auto"/>
        <w:ind w:left="1079" w:leftChars="514" w:firstLine="700" w:firstLineChars="250"/>
        <w:rPr>
          <w:rFonts w:ascii="宋体" w:hAnsi="宋体" w:cs="宋体"/>
          <w:color w:val="auto"/>
          <w:highlight w:val="none"/>
        </w:rPr>
      </w:pPr>
      <w:bookmarkStart w:id="208" w:name="_Toc23768_WPSOffice_Level2"/>
      <w:bookmarkStart w:id="209" w:name="_Toc26506_WPSOffice_Level2"/>
      <w:r>
        <w:rPr>
          <w:rFonts w:hint="eastAsia" w:ascii="宋体" w:hAnsi="宋体" w:cs="宋体"/>
          <w:color w:val="auto"/>
          <w:sz w:val="28"/>
          <w:highlight w:val="none"/>
        </w:rPr>
        <w:t>法定代表人或其委托代理人：</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（签字或盖章）</w:t>
      </w:r>
      <w:bookmarkEnd w:id="208"/>
      <w:bookmarkEnd w:id="209"/>
      <w:r>
        <w:rPr>
          <w:rFonts w:hint="eastAsia" w:ascii="宋体" w:hAnsi="宋体" w:cs="宋体"/>
          <w:color w:val="auto"/>
          <w:sz w:val="28"/>
          <w:highlight w:val="none"/>
        </w:rPr>
        <w:t xml:space="preserve"> </w:t>
      </w:r>
    </w:p>
    <w:p>
      <w:pPr>
        <w:spacing w:after="73"/>
        <w:jc w:val="center"/>
        <w:rPr>
          <w:rFonts w:ascii="宋体" w:hAnsi="宋体" w:cs="宋体"/>
          <w:color w:val="auto"/>
          <w:highlight w:val="none"/>
        </w:rPr>
      </w:pPr>
      <w:r>
        <w:rPr>
          <w:rFonts w:hint="eastAsia" w:ascii="宋体" w:hAnsi="宋体" w:cs="宋体"/>
          <w:color w:val="auto"/>
          <w:sz w:val="28"/>
          <w:highlight w:val="none"/>
        </w:rPr>
        <w:t xml:space="preserve"> </w:t>
      </w:r>
    </w:p>
    <w:p>
      <w:pPr>
        <w:tabs>
          <w:tab w:val="center" w:pos="4320"/>
          <w:tab w:val="center" w:pos="8723"/>
        </w:tabs>
        <w:spacing w:after="127"/>
        <w:rPr>
          <w:rFonts w:ascii="宋体" w:hAnsi="宋体" w:cs="宋体"/>
          <w:color w:val="auto"/>
          <w:highlight w:val="none"/>
        </w:rPr>
      </w:pPr>
      <w:r>
        <w:rPr>
          <w:rFonts w:hint="eastAsia" w:ascii="宋体" w:hAnsi="宋体" w:cs="宋体"/>
          <w:color w:val="auto"/>
          <w:highlight w:val="none"/>
        </w:rPr>
        <w:tab/>
      </w:r>
      <w:r>
        <w:rPr>
          <w:rFonts w:hint="eastAsia" w:ascii="宋体" w:hAnsi="宋体" w:cs="宋体"/>
          <w:color w:val="auto"/>
          <w:highlight w:val="none"/>
        </w:rPr>
        <w:t xml:space="preserve">         </w:t>
      </w:r>
      <w:r>
        <w:rPr>
          <w:rFonts w:hint="eastAsia" w:ascii="宋体" w:hAnsi="宋体" w:cs="宋体"/>
          <w:color w:val="auto"/>
          <w:highlight w:val="none"/>
          <w:u w:val="single" w:color="000000"/>
        </w:rPr>
        <w:t xml:space="preserve">       </w:t>
      </w:r>
      <w:bookmarkStart w:id="210" w:name="_Toc3852_WPSOffice_Level2"/>
      <w:bookmarkStart w:id="211" w:name="_Toc24383_WPSOffice_Level2"/>
      <w:r>
        <w:rPr>
          <w:rFonts w:hint="eastAsia" w:ascii="宋体" w:hAnsi="宋体" w:cs="宋体"/>
          <w:color w:val="auto"/>
          <w:sz w:val="28"/>
          <w:highlight w:val="none"/>
        </w:rPr>
        <w:t>年</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月</w:t>
      </w:r>
      <w:r>
        <w:rPr>
          <w:rFonts w:hint="eastAsia" w:ascii="宋体" w:hAnsi="宋体" w:cs="宋体"/>
          <w:color w:val="auto"/>
          <w:highlight w:val="none"/>
          <w:u w:val="single" w:color="000000"/>
        </w:rPr>
        <w:t xml:space="preserve">       </w:t>
      </w:r>
      <w:r>
        <w:rPr>
          <w:rFonts w:hint="eastAsia" w:ascii="宋体" w:hAnsi="宋体" w:cs="宋体"/>
          <w:color w:val="auto"/>
          <w:sz w:val="28"/>
          <w:highlight w:val="none"/>
        </w:rPr>
        <w:t>日</w:t>
      </w:r>
      <w:bookmarkEnd w:id="210"/>
      <w:bookmarkEnd w:id="211"/>
      <w:r>
        <w:rPr>
          <w:rFonts w:hint="eastAsia" w:ascii="宋体" w:hAnsi="宋体" w:cs="宋体"/>
          <w:color w:val="auto"/>
          <w:highlight w:val="none"/>
        </w:rPr>
        <w:t xml:space="preserve"> </w:t>
      </w:r>
    </w:p>
    <w:p>
      <w:pPr>
        <w:pStyle w:val="27"/>
        <w:rPr>
          <w:color w:val="auto"/>
          <w:highlight w:val="none"/>
        </w:rPr>
        <w:sectPr>
          <w:headerReference r:id="rId10" w:type="default"/>
          <w:footerReference r:id="rId11" w:type="default"/>
          <w:pgSz w:w="11906" w:h="16838"/>
          <w:pgMar w:top="1440" w:right="1080" w:bottom="1440" w:left="1080" w:header="851" w:footer="1021" w:gutter="0"/>
          <w:cols w:space="720" w:num="1"/>
          <w:docGrid w:type="lines" w:linePitch="312" w:charSpace="0"/>
        </w:sectPr>
      </w:pPr>
    </w:p>
    <w:p>
      <w:pPr>
        <w:pStyle w:val="27"/>
        <w:rPr>
          <w:color w:val="auto"/>
          <w:highlight w:val="none"/>
        </w:rPr>
      </w:pPr>
    </w:p>
    <w:p>
      <w:pPr>
        <w:pStyle w:val="27"/>
        <w:rPr>
          <w:rFonts w:ascii="Calibri" w:hAnsi="Calibri"/>
          <w:color w:val="auto"/>
          <w:highlight w:val="none"/>
        </w:rPr>
      </w:pPr>
    </w:p>
    <w:p>
      <w:pPr>
        <w:jc w:val="center"/>
        <w:rPr>
          <w:rFonts w:ascii="宋体" w:hAnsi="宋体"/>
          <w:b/>
          <w:color w:val="auto"/>
          <w:sz w:val="28"/>
          <w:szCs w:val="28"/>
          <w:highlight w:val="none"/>
        </w:rPr>
      </w:pPr>
      <w:r>
        <w:rPr>
          <w:rFonts w:hint="eastAsia" w:ascii="宋体" w:hAnsi="宋体"/>
          <w:b/>
          <w:color w:val="auto"/>
          <w:sz w:val="28"/>
          <w:szCs w:val="28"/>
          <w:highlight w:val="none"/>
        </w:rPr>
        <w:t>目  录</w:t>
      </w:r>
    </w:p>
    <w:p>
      <w:pPr>
        <w:pStyle w:val="26"/>
        <w:tabs>
          <w:tab w:val="left" w:pos="960"/>
        </w:tabs>
        <w:spacing w:line="440" w:lineRule="exact"/>
        <w:ind w:left="960"/>
        <w:rPr>
          <w:rFonts w:ascii="宋体" w:hAnsi="宋体"/>
          <w:color w:val="auto"/>
          <w:sz w:val="24"/>
          <w:highlight w:val="none"/>
        </w:rPr>
      </w:pPr>
      <w:bookmarkStart w:id="212" w:name="_Toc390704763"/>
      <w:bookmarkStart w:id="213" w:name="_Toc266373528"/>
      <w:r>
        <w:rPr>
          <w:rFonts w:hint="eastAsia" w:ascii="宋体" w:hAnsi="宋体"/>
          <w:color w:val="auto"/>
          <w:sz w:val="24"/>
          <w:highlight w:val="none"/>
        </w:rPr>
        <w:t>一、投标函及其附表</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二、法定代表人证明书及授权委托书</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三、投标保证金</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四、投标报价书</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五、资格审查资料</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六、类似项目情况表</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七、拟投入本项目的检测和监测人员一览表</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八、拟投入本项目的检测和监测人员简历表</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九、拟投入本项目的主要仪器设备一览表</w:t>
      </w:r>
    </w:p>
    <w:p>
      <w:pPr>
        <w:pStyle w:val="26"/>
        <w:tabs>
          <w:tab w:val="left" w:pos="960"/>
        </w:tabs>
        <w:spacing w:line="440" w:lineRule="exact"/>
        <w:ind w:left="960"/>
        <w:rPr>
          <w:rFonts w:ascii="宋体" w:hAnsi="宋体"/>
          <w:color w:val="auto"/>
          <w:sz w:val="24"/>
          <w:highlight w:val="none"/>
        </w:rPr>
      </w:pPr>
      <w:r>
        <w:rPr>
          <w:rFonts w:hint="eastAsia" w:ascii="宋体" w:hAnsi="宋体"/>
          <w:color w:val="auto"/>
          <w:sz w:val="24"/>
          <w:highlight w:val="none"/>
        </w:rPr>
        <w:t>十、检测和监测方案</w:t>
      </w:r>
    </w:p>
    <w:p>
      <w:pPr>
        <w:pStyle w:val="26"/>
        <w:tabs>
          <w:tab w:val="left" w:pos="960"/>
        </w:tabs>
        <w:spacing w:line="440" w:lineRule="exact"/>
        <w:ind w:left="960"/>
        <w:rPr>
          <w:rFonts w:ascii="宋体" w:hAnsi="宋体"/>
          <w:color w:val="auto"/>
          <w:kern w:val="0"/>
          <w:sz w:val="18"/>
          <w:highlight w:val="none"/>
        </w:rPr>
      </w:pPr>
      <w:r>
        <w:rPr>
          <w:rFonts w:hint="eastAsia" w:ascii="宋体" w:hAnsi="宋体"/>
          <w:color w:val="auto"/>
          <w:sz w:val="24"/>
          <w:highlight w:val="none"/>
        </w:rPr>
        <w:t>十一、其他资料</w:t>
      </w:r>
      <w:r>
        <w:rPr>
          <w:rFonts w:ascii="宋体" w:hAnsi="宋体"/>
          <w:color w:val="auto"/>
          <w:sz w:val="24"/>
          <w:highlight w:val="none"/>
        </w:rPr>
        <w:br w:type="page"/>
      </w:r>
      <w:bookmarkEnd w:id="212"/>
    </w:p>
    <w:p>
      <w:pPr>
        <w:pStyle w:val="5"/>
        <w:ind w:firstLine="3534"/>
        <w:rPr>
          <w:color w:val="auto"/>
          <w:highlight w:val="none"/>
        </w:rPr>
      </w:pPr>
      <w:bookmarkStart w:id="214" w:name="_Toc533334219"/>
      <w:bookmarkStart w:id="215" w:name="_Toc7937"/>
      <w:bookmarkStart w:id="216" w:name="_Toc24760"/>
      <w:bookmarkStart w:id="217" w:name="_Toc103592036"/>
      <w:bookmarkStart w:id="218" w:name="_Toc390704764"/>
      <w:bookmarkStart w:id="219" w:name="_Toc11434"/>
      <w:bookmarkStart w:id="220" w:name="_Toc533357328"/>
      <w:r>
        <w:rPr>
          <w:rFonts w:hint="eastAsia"/>
          <w:color w:val="auto"/>
          <w:highlight w:val="none"/>
        </w:rPr>
        <w:t>一、</w:t>
      </w:r>
      <w:bookmarkStart w:id="221" w:name="_Toc352691656"/>
      <w:bookmarkStart w:id="222" w:name="_Toc6931"/>
      <w:bookmarkStart w:id="223" w:name="_Toc369531692"/>
      <w:r>
        <w:rPr>
          <w:rFonts w:hint="eastAsia"/>
          <w:color w:val="auto"/>
          <w:highlight w:val="none"/>
        </w:rPr>
        <w:t>投标函及其附表</w:t>
      </w:r>
      <w:bookmarkEnd w:id="214"/>
      <w:bookmarkEnd w:id="215"/>
      <w:bookmarkEnd w:id="216"/>
      <w:bookmarkEnd w:id="217"/>
    </w:p>
    <w:bookmarkEnd w:id="221"/>
    <w:bookmarkEnd w:id="222"/>
    <w:bookmarkEnd w:id="223"/>
    <w:p>
      <w:pPr>
        <w:spacing w:line="360" w:lineRule="auto"/>
        <w:ind w:firstLine="480" w:firstLineChars="200"/>
        <w:rPr>
          <w:rFonts w:ascii="宋体" w:hAnsi="宋体"/>
          <w:color w:val="auto"/>
          <w:sz w:val="24"/>
          <w:szCs w:val="24"/>
          <w:highlight w:val="none"/>
        </w:rPr>
      </w:pPr>
    </w:p>
    <w:p>
      <w:pPr>
        <w:spacing w:line="360" w:lineRule="auto"/>
        <w:ind w:firstLine="480" w:firstLineChars="200"/>
        <w:rPr>
          <w:rFonts w:ascii="宋体" w:hAnsi="宋体"/>
          <w:color w:val="auto"/>
          <w:sz w:val="24"/>
          <w:szCs w:val="24"/>
          <w:highlight w:val="none"/>
        </w:rPr>
      </w:pPr>
      <w:r>
        <w:rPr>
          <w:rFonts w:hint="eastAsia" w:ascii="宋体" w:hAnsi="宋体"/>
          <w:color w:val="auto"/>
          <w:sz w:val="24"/>
          <w:szCs w:val="24"/>
          <w:highlight w:val="none"/>
        </w:rPr>
        <w:t>致：</w:t>
      </w:r>
      <w:r>
        <w:rPr>
          <w:rFonts w:ascii="宋体" w:hAnsi="宋体"/>
          <w:color w:val="auto"/>
          <w:sz w:val="24"/>
          <w:szCs w:val="24"/>
          <w:highlight w:val="none"/>
        </w:rPr>
        <w:t xml:space="preserve">  </w:t>
      </w:r>
      <w:r>
        <w:rPr>
          <w:rFonts w:ascii="宋体" w:hAnsi="宋体"/>
          <w:color w:val="auto"/>
          <w:sz w:val="24"/>
          <w:szCs w:val="24"/>
          <w:highlight w:val="none"/>
          <w:u w:val="single"/>
        </w:rPr>
        <w:t xml:space="preserve">       </w:t>
      </w:r>
      <w:r>
        <w:rPr>
          <w:rFonts w:ascii="宋体" w:hAnsi="宋体"/>
          <w:b/>
          <w:bCs/>
          <w:color w:val="auto"/>
          <w:sz w:val="24"/>
          <w:szCs w:val="24"/>
          <w:highlight w:val="none"/>
          <w:u w:val="single"/>
        </w:rPr>
        <w:t xml:space="preserve"> </w:t>
      </w:r>
      <w:r>
        <w:rPr>
          <w:rFonts w:hint="eastAsia" w:ascii="宋体" w:hAnsi="宋体"/>
          <w:color w:val="auto"/>
          <w:sz w:val="24"/>
          <w:szCs w:val="24"/>
          <w:highlight w:val="none"/>
          <w:u w:val="single"/>
        </w:rPr>
        <w:t>（招标人）</w:t>
      </w:r>
      <w:r>
        <w:rPr>
          <w:rFonts w:ascii="宋体" w:hAnsi="宋体"/>
          <w:color w:val="auto"/>
          <w:sz w:val="24"/>
          <w:szCs w:val="24"/>
          <w:highlight w:val="none"/>
          <w:u w:val="single"/>
        </w:rPr>
        <w:t xml:space="preserve">          </w:t>
      </w:r>
    </w:p>
    <w:p>
      <w:pPr>
        <w:pStyle w:val="13"/>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 xml:space="preserve">1. </w:t>
      </w:r>
      <w:r>
        <w:rPr>
          <w:rFonts w:hint="eastAsia" w:ascii="宋体" w:hAnsi="宋体"/>
          <w:color w:val="auto"/>
          <w:sz w:val="24"/>
          <w:szCs w:val="24"/>
          <w:highlight w:val="none"/>
        </w:rPr>
        <w:t>在仔细分析研究了贵单位提供的</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hint="eastAsia" w:ascii="宋体" w:hAnsi="宋体"/>
          <w:color w:val="auto"/>
          <w:sz w:val="24"/>
          <w:szCs w:val="24"/>
          <w:highlight w:val="none"/>
        </w:rPr>
        <w:t>招标文件后，我方愿意以总价为人民币（大写）</w:t>
      </w:r>
      <w:r>
        <w:rPr>
          <w:rFonts w:ascii="宋体" w:hAnsi="宋体"/>
          <w:color w:val="auto"/>
          <w:sz w:val="24"/>
          <w:szCs w:val="24"/>
          <w:highlight w:val="none"/>
          <w:u w:val="single"/>
        </w:rPr>
        <w:t xml:space="preserve">                      </w:t>
      </w:r>
      <w:r>
        <w:rPr>
          <w:rFonts w:hint="eastAsia" w:ascii="宋体" w:hAnsi="宋体"/>
          <w:color w:val="auto"/>
          <w:sz w:val="24"/>
          <w:szCs w:val="24"/>
          <w:highlight w:val="none"/>
        </w:rPr>
        <w:t>（小写</w:t>
      </w:r>
      <w:r>
        <w:rPr>
          <w:rFonts w:hint="eastAsia" w:ascii="宋体" w:hAnsi="宋体"/>
          <w:color w:val="auto"/>
          <w:sz w:val="24"/>
          <w:szCs w:val="24"/>
          <w:highlight w:val="none"/>
          <w:u w:val="single"/>
        </w:rPr>
        <w:t>　　　　　</w:t>
      </w:r>
      <w:r>
        <w:rPr>
          <w:rFonts w:hint="eastAsia" w:ascii="宋体" w:hAnsi="宋体"/>
          <w:color w:val="auto"/>
          <w:sz w:val="24"/>
          <w:szCs w:val="24"/>
          <w:highlight w:val="none"/>
        </w:rPr>
        <w:t>）作为</w:t>
      </w:r>
      <w:r>
        <w:rPr>
          <w:rFonts w:ascii="宋体" w:hAnsi="宋体"/>
          <w:color w:val="auto"/>
          <w:sz w:val="24"/>
          <w:szCs w:val="24"/>
          <w:highlight w:val="none"/>
          <w:u w:val="single"/>
        </w:rPr>
        <w:t xml:space="preserve">      </w:t>
      </w:r>
      <w:r>
        <w:rPr>
          <w:rFonts w:hint="eastAsia" w:ascii="宋体" w:hAnsi="宋体"/>
          <w:color w:val="auto"/>
          <w:sz w:val="24"/>
          <w:szCs w:val="24"/>
          <w:highlight w:val="none"/>
          <w:u w:val="single"/>
        </w:rPr>
        <w:t>项目名称</w:t>
      </w:r>
      <w:r>
        <w:rPr>
          <w:rFonts w:ascii="宋体" w:hAnsi="宋体"/>
          <w:color w:val="auto"/>
          <w:sz w:val="24"/>
          <w:szCs w:val="24"/>
          <w:highlight w:val="none"/>
          <w:u w:val="single"/>
        </w:rPr>
        <w:t xml:space="preserve">         </w:t>
      </w:r>
      <w:r>
        <w:rPr>
          <w:rFonts w:hint="eastAsia" w:ascii="宋体" w:hAnsi="宋体"/>
          <w:color w:val="auto"/>
          <w:sz w:val="24"/>
          <w:szCs w:val="24"/>
          <w:highlight w:val="none"/>
        </w:rPr>
        <w:t>服务费的总价，并遵照招标文件的有关规定要求，承担全部服务任务工作。</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2.</w:t>
      </w:r>
      <w:r>
        <w:rPr>
          <w:rFonts w:hint="eastAsia" w:ascii="宋体" w:hAnsi="宋体"/>
          <w:color w:val="auto"/>
          <w:sz w:val="24"/>
          <w:szCs w:val="24"/>
          <w:highlight w:val="none"/>
        </w:rPr>
        <w:t>我方确认的</w:t>
      </w:r>
      <w:r>
        <w:rPr>
          <w:rFonts w:hint="eastAsia" w:ascii="宋体" w:hAnsi="宋体"/>
          <w:b/>
          <w:bCs/>
          <w:color w:val="auto"/>
          <w:sz w:val="24"/>
          <w:szCs w:val="24"/>
          <w:highlight w:val="none"/>
        </w:rPr>
        <w:t>投标函</w:t>
      </w:r>
      <w:r>
        <w:rPr>
          <w:rFonts w:hint="eastAsia" w:ascii="宋体" w:hAnsi="宋体"/>
          <w:color w:val="auto"/>
          <w:sz w:val="24"/>
          <w:szCs w:val="24"/>
          <w:highlight w:val="none"/>
        </w:rPr>
        <w:t>是我单位投标文件的组成部分。</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3.</w:t>
      </w:r>
      <w:r>
        <w:rPr>
          <w:rFonts w:hint="eastAsia" w:ascii="宋体" w:hAnsi="宋体"/>
          <w:color w:val="auto"/>
          <w:sz w:val="24"/>
          <w:szCs w:val="24"/>
          <w:highlight w:val="none"/>
        </w:rPr>
        <w:t>如果贵单位接受我方的投标，我方保证按合同规定的期限内开始本工程的检测和监测工作并按投标书中规定的期限内完成合同规定的全部任务。</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4.</w:t>
      </w:r>
      <w:r>
        <w:rPr>
          <w:rFonts w:hint="eastAsia" w:ascii="宋体" w:hAnsi="宋体"/>
          <w:color w:val="auto"/>
          <w:sz w:val="24"/>
          <w:szCs w:val="24"/>
          <w:highlight w:val="none"/>
        </w:rPr>
        <w:t>我方同意在从规定的</w:t>
      </w:r>
      <w:r>
        <w:rPr>
          <w:rFonts w:hint="eastAsia" w:ascii="宋体" w:hAnsi="宋体"/>
          <w:b/>
          <w:bCs/>
          <w:color w:val="auto"/>
          <w:sz w:val="24"/>
          <w:szCs w:val="24"/>
          <w:highlight w:val="none"/>
        </w:rPr>
        <w:t>递交投标文件截止之日起</w:t>
      </w:r>
      <w:r>
        <w:rPr>
          <w:rFonts w:ascii="宋体" w:hAnsi="宋体"/>
          <w:b/>
          <w:bCs/>
          <w:color w:val="auto"/>
          <w:sz w:val="24"/>
          <w:szCs w:val="24"/>
          <w:highlight w:val="none"/>
        </w:rPr>
        <w:t>90</w:t>
      </w:r>
      <w:r>
        <w:rPr>
          <w:rFonts w:hint="eastAsia" w:ascii="宋体" w:hAnsi="宋体"/>
          <w:b/>
          <w:bCs/>
          <w:color w:val="auto"/>
          <w:sz w:val="24"/>
          <w:szCs w:val="24"/>
          <w:highlight w:val="none"/>
        </w:rPr>
        <w:t>天</w:t>
      </w:r>
      <w:r>
        <w:rPr>
          <w:rFonts w:hint="eastAsia" w:ascii="宋体" w:hAnsi="宋体"/>
          <w:color w:val="auto"/>
          <w:sz w:val="24"/>
          <w:szCs w:val="24"/>
          <w:highlight w:val="none"/>
        </w:rPr>
        <w:t>内遵守本投标文件。在此期限届满之前，本投标文件始终将对我们具有约束力并随时接受中标。</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5.</w:t>
      </w:r>
      <w:r>
        <w:rPr>
          <w:rFonts w:hint="eastAsia" w:ascii="宋体" w:hAnsi="宋体"/>
          <w:color w:val="auto"/>
          <w:sz w:val="24"/>
          <w:szCs w:val="24"/>
          <w:highlight w:val="none"/>
        </w:rPr>
        <w:t>在合同协议制定和签署之前，本投标书连同贵单位的中标通知书、双方签认的补充、修正或澄清文件及其他文件和附件应成为约束贵、我双方的合同文件。</w:t>
      </w:r>
    </w:p>
    <w:p>
      <w:pPr>
        <w:spacing w:line="360" w:lineRule="auto"/>
        <w:ind w:firstLine="480" w:firstLineChars="200"/>
        <w:rPr>
          <w:rFonts w:ascii="宋体" w:hAnsi="宋体"/>
          <w:color w:val="auto"/>
          <w:sz w:val="24"/>
          <w:szCs w:val="24"/>
          <w:highlight w:val="none"/>
        </w:rPr>
      </w:pPr>
      <w:r>
        <w:rPr>
          <w:rFonts w:ascii="宋体" w:hAnsi="宋体"/>
          <w:color w:val="auto"/>
          <w:sz w:val="24"/>
          <w:szCs w:val="24"/>
          <w:highlight w:val="none"/>
        </w:rPr>
        <w:t>6.</w:t>
      </w:r>
      <w:r>
        <w:rPr>
          <w:rFonts w:hint="eastAsia" w:ascii="宋体" w:hAnsi="宋体"/>
          <w:color w:val="auto"/>
          <w:sz w:val="24"/>
          <w:szCs w:val="24"/>
          <w:highlight w:val="none"/>
        </w:rPr>
        <w:t>我们理解，贵单位不一定接受最低标价的投标文件或可能接受其他任何投标文件，同时也理解，贵单位不负担我们的任何投标费用。</w:t>
      </w:r>
    </w:p>
    <w:p>
      <w:pPr>
        <w:rPr>
          <w:rFonts w:ascii="宋体" w:hAnsi="宋体"/>
          <w:color w:val="auto"/>
          <w:highlight w:val="none"/>
        </w:rPr>
      </w:pPr>
    </w:p>
    <w:p>
      <w:pPr>
        <w:spacing w:line="440" w:lineRule="exact"/>
        <w:ind w:firstLine="2520" w:firstLineChars="1200"/>
        <w:jc w:val="left"/>
        <w:rPr>
          <w:rFonts w:ascii="宋体" w:hAnsi="宋体"/>
          <w:color w:val="auto"/>
          <w:szCs w:val="21"/>
          <w:highlight w:val="none"/>
        </w:rPr>
      </w:pPr>
    </w:p>
    <w:p>
      <w:pPr>
        <w:pStyle w:val="13"/>
        <w:tabs>
          <w:tab w:val="left" w:pos="7321"/>
        </w:tabs>
        <w:spacing w:before="36"/>
        <w:ind w:left="2701"/>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rPr>
          <w:rFonts w:ascii="宋体" w:hAnsi="宋体" w:cs="宋体"/>
          <w:color w:val="auto"/>
          <w:sz w:val="9"/>
          <w:szCs w:val="9"/>
          <w:highlight w:val="none"/>
        </w:rPr>
      </w:pPr>
    </w:p>
    <w:p>
      <w:pPr>
        <w:pStyle w:val="13"/>
        <w:tabs>
          <w:tab w:val="left" w:pos="6481"/>
        </w:tabs>
        <w:spacing w:before="36"/>
        <w:ind w:left="2701"/>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w:t>
      </w:r>
    </w:p>
    <w:p>
      <w:pPr>
        <w:spacing w:before="10"/>
        <w:rPr>
          <w:rFonts w:ascii="宋体" w:hAnsi="宋体" w:cs="宋体"/>
          <w:color w:val="auto"/>
          <w:sz w:val="9"/>
          <w:szCs w:val="9"/>
          <w:highlight w:val="none"/>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地    址：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r>
        <w:rPr>
          <w:rFonts w:hint="eastAsia" w:ascii="宋体" w:hAnsi="宋体"/>
          <w:color w:val="auto"/>
          <w:highlight w:val="none"/>
          <w:u w:val="single" w:color="000000"/>
        </w:rPr>
        <w:tab/>
      </w:r>
    </w:p>
    <w:p>
      <w:pPr>
        <w:spacing w:line="440" w:lineRule="exact"/>
        <w:ind w:firstLine="2730" w:firstLineChars="1300"/>
        <w:rPr>
          <w:rFonts w:ascii="宋体" w:hAnsi="宋体"/>
          <w:color w:val="auto"/>
          <w:highlight w:val="none"/>
          <w:u w:val="single" w:color="000000"/>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电    话：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p>
    <w:p>
      <w:pPr>
        <w:spacing w:line="440" w:lineRule="exact"/>
        <w:ind w:firstLine="4725" w:firstLineChars="2250"/>
        <w:jc w:val="right"/>
        <w:rPr>
          <w:rFonts w:ascii="宋体" w:hAnsi="宋体"/>
          <w:color w:val="auto"/>
          <w:highlight w:val="none"/>
          <w:u w:val="single" w:color="000000"/>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传    真：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p>
    <w:p>
      <w:pPr>
        <w:spacing w:line="440" w:lineRule="exact"/>
        <w:ind w:firstLine="2730" w:firstLineChars="1300"/>
        <w:rPr>
          <w:rFonts w:ascii="宋体" w:hAnsi="宋体"/>
          <w:color w:val="auto"/>
          <w:highlight w:val="none"/>
          <w:u w:val="single" w:color="000000"/>
        </w:rPr>
      </w:pPr>
    </w:p>
    <w:p>
      <w:pPr>
        <w:spacing w:line="440" w:lineRule="exact"/>
        <w:ind w:firstLine="2730" w:firstLineChars="1300"/>
        <w:rPr>
          <w:rFonts w:ascii="宋体" w:hAnsi="宋体"/>
          <w:color w:val="auto"/>
          <w:highlight w:val="none"/>
          <w:u w:val="single" w:color="000000"/>
        </w:rPr>
      </w:pPr>
      <w:r>
        <w:rPr>
          <w:rFonts w:hint="eastAsia" w:ascii="宋体" w:hAnsi="宋体"/>
          <w:color w:val="auto"/>
          <w:highlight w:val="none"/>
          <w:u w:val="single" w:color="000000"/>
        </w:rPr>
        <w:t xml:space="preserve">邮政编码：           </w:t>
      </w:r>
      <w:r>
        <w:rPr>
          <w:rFonts w:hint="eastAsia" w:ascii="宋体" w:hAnsi="宋体"/>
          <w:color w:val="auto"/>
          <w:highlight w:val="none"/>
          <w:u w:val="single" w:color="000000"/>
        </w:rPr>
        <w:tab/>
      </w:r>
      <w:r>
        <w:rPr>
          <w:rFonts w:hint="eastAsia" w:ascii="宋体" w:hAnsi="宋体"/>
          <w:color w:val="auto"/>
          <w:highlight w:val="none"/>
          <w:u w:val="single" w:color="000000"/>
        </w:rPr>
        <w:t xml:space="preserve">  </w:t>
      </w:r>
      <w:r>
        <w:rPr>
          <w:rFonts w:ascii="宋体" w:hAnsi="宋体"/>
          <w:color w:val="auto"/>
          <w:highlight w:val="none"/>
          <w:u w:val="single" w:color="000000"/>
        </w:rPr>
        <w:tab/>
      </w:r>
    </w:p>
    <w:p>
      <w:pPr>
        <w:spacing w:line="440" w:lineRule="exact"/>
        <w:ind w:firstLine="2730" w:firstLineChars="1300"/>
        <w:rPr>
          <w:rFonts w:ascii="宋体" w:hAnsi="宋体"/>
          <w:color w:val="auto"/>
          <w:highlight w:val="none"/>
          <w:u w:val="single" w:color="000000"/>
        </w:rPr>
      </w:pPr>
    </w:p>
    <w:p>
      <w:pPr>
        <w:spacing w:line="440" w:lineRule="exact"/>
        <w:ind w:firstLine="2730" w:firstLineChars="1300"/>
        <w:rPr>
          <w:rFonts w:ascii="宋体" w:hAnsi="宋体"/>
          <w:color w:val="auto"/>
          <w:szCs w:val="21"/>
          <w:highlight w:val="none"/>
        </w:rPr>
      </w:pPr>
      <w:r>
        <w:rPr>
          <w:rFonts w:ascii="宋体" w:hAnsi="宋体"/>
          <w:color w:val="auto"/>
          <w:highlight w:val="none"/>
          <w:u w:val="single" w:color="000000"/>
        </w:rPr>
        <w:tab/>
      </w:r>
      <w:r>
        <w:rPr>
          <w:rFonts w:hint="eastAsia" w:ascii="宋体" w:hAnsi="宋体"/>
          <w:color w:val="auto"/>
          <w:highlight w:val="none"/>
          <w:u w:val="single" w:color="000000"/>
        </w:rPr>
        <w:t xml:space="preserve"> </w:t>
      </w:r>
      <w:r>
        <w:rPr>
          <w:rFonts w:ascii="宋体" w:hAnsi="宋体"/>
          <w:color w:val="auto"/>
          <w:highlight w:val="none"/>
          <w:u w:val="single" w:color="000000"/>
        </w:rPr>
        <w:t xml:space="preserve"> </w:t>
      </w:r>
      <w:r>
        <w:rPr>
          <w:rFonts w:hint="eastAsia" w:ascii="宋体" w:hAnsi="宋体"/>
          <w:color w:val="auto"/>
          <w:highlight w:val="none"/>
        </w:rPr>
        <w:t xml:space="preserve">年  </w:t>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spacing w:line="360" w:lineRule="auto"/>
        <w:ind w:firstLine="422" w:firstLineChars="200"/>
        <w:jc w:val="center"/>
        <w:rPr>
          <w:rFonts w:ascii="宋体" w:hAnsi="宋体"/>
          <w:b/>
          <w:bCs/>
          <w:color w:val="auto"/>
          <w:sz w:val="24"/>
          <w:szCs w:val="24"/>
          <w:highlight w:val="none"/>
        </w:rPr>
      </w:pPr>
      <w:bookmarkStart w:id="224" w:name="_Toc532390635"/>
      <w:bookmarkStart w:id="225" w:name="_Toc391394112"/>
      <w:bookmarkStart w:id="226" w:name="_Toc370676427"/>
      <w:bookmarkStart w:id="227" w:name="_Toc359594236"/>
      <w:bookmarkStart w:id="228" w:name="_Toc528170356"/>
      <w:bookmarkStart w:id="229" w:name="_Toc533334220"/>
      <w:bookmarkStart w:id="230" w:name="_Toc385943066"/>
      <w:bookmarkStart w:id="231" w:name="_Toc482188652"/>
      <w:bookmarkStart w:id="232" w:name="_Toc13516"/>
      <w:r>
        <w:rPr>
          <w:rFonts w:ascii="宋体" w:hAnsi="宋体"/>
          <w:b/>
          <w:color w:val="auto"/>
          <w:szCs w:val="21"/>
          <w:highlight w:val="none"/>
        </w:rPr>
        <w:br w:type="page"/>
      </w:r>
      <w:r>
        <w:rPr>
          <w:rFonts w:hint="eastAsia" w:ascii="宋体" w:hAnsi="宋体"/>
          <w:b/>
          <w:bCs/>
          <w:color w:val="auto"/>
          <w:sz w:val="24"/>
          <w:szCs w:val="24"/>
          <w:highlight w:val="none"/>
        </w:rPr>
        <w:t>（二）投标函附</w:t>
      </w:r>
      <w:bookmarkEnd w:id="224"/>
      <w:bookmarkEnd w:id="225"/>
      <w:bookmarkEnd w:id="226"/>
      <w:bookmarkEnd w:id="227"/>
      <w:bookmarkEnd w:id="228"/>
      <w:bookmarkEnd w:id="229"/>
      <w:bookmarkEnd w:id="230"/>
      <w:bookmarkEnd w:id="231"/>
      <w:bookmarkEnd w:id="232"/>
      <w:r>
        <w:rPr>
          <w:rFonts w:hint="eastAsia" w:ascii="宋体" w:hAnsi="宋体"/>
          <w:b/>
          <w:bCs/>
          <w:color w:val="auto"/>
          <w:sz w:val="24"/>
          <w:szCs w:val="24"/>
          <w:highlight w:val="none"/>
        </w:rPr>
        <w:t>表</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5"/>
        <w:gridCol w:w="1527"/>
        <w:gridCol w:w="4886"/>
        <w:gridCol w:w="165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序号</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条款名称</w:t>
            </w:r>
          </w:p>
        </w:tc>
        <w:tc>
          <w:tcPr>
            <w:tcW w:w="4886"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约定内容</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 w:val="24"/>
                <w:szCs w:val="28"/>
                <w:highlight w:val="none"/>
              </w:rPr>
            </w:pPr>
            <w:r>
              <w:rPr>
                <w:rFonts w:hint="eastAsia" w:ascii="宋体" w:hAnsi="宋体"/>
                <w:b/>
                <w:color w:val="auto"/>
                <w:sz w:val="24"/>
                <w:szCs w:val="28"/>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1</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项目负责人</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color w:val="auto"/>
                <w:sz w:val="24"/>
                <w:szCs w:val="24"/>
                <w:highlight w:val="none"/>
              </w:rPr>
            </w:pPr>
            <w:r>
              <w:rPr>
                <w:rFonts w:hint="eastAsia"/>
                <w:color w:val="auto"/>
                <w:sz w:val="24"/>
                <w:szCs w:val="24"/>
                <w:highlight w:val="none"/>
              </w:rPr>
              <w:t>姓    名：</w:t>
            </w:r>
            <w:r>
              <w:rPr>
                <w:rFonts w:hint="eastAsia" w:ascii="宋体" w:hAnsi="宋体" w:cs="宋体"/>
                <w:bCs/>
                <w:color w:val="auto"/>
                <w:sz w:val="24"/>
                <w:szCs w:val="24"/>
                <w:highlight w:val="none"/>
                <w:u w:val="single"/>
              </w:rPr>
              <w:t xml:space="preserve">        </w:t>
            </w:r>
            <w:r>
              <w:rPr>
                <w:rFonts w:hint="eastAsia"/>
                <w:color w:val="auto"/>
                <w:sz w:val="24"/>
                <w:szCs w:val="24"/>
                <w:highlight w:val="none"/>
              </w:rPr>
              <w:t xml:space="preserve">           </w:t>
            </w:r>
          </w:p>
          <w:p>
            <w:pPr>
              <w:jc w:val="left"/>
              <w:rPr>
                <w:color w:val="auto"/>
                <w:sz w:val="24"/>
                <w:szCs w:val="24"/>
                <w:highlight w:val="none"/>
              </w:rPr>
            </w:pPr>
            <w:r>
              <w:rPr>
                <w:rFonts w:hint="eastAsia"/>
                <w:color w:val="auto"/>
                <w:sz w:val="24"/>
                <w:szCs w:val="24"/>
                <w:highlight w:val="none"/>
              </w:rPr>
              <w:t>技术职称：</w:t>
            </w:r>
            <w:r>
              <w:rPr>
                <w:rFonts w:hint="eastAsia" w:ascii="宋体" w:hAnsi="宋体" w:cs="宋体"/>
                <w:bCs/>
                <w:color w:val="auto"/>
                <w:sz w:val="24"/>
                <w:szCs w:val="24"/>
                <w:highlight w:val="none"/>
                <w:u w:val="single"/>
              </w:rPr>
              <w:t xml:space="preserve">        </w:t>
            </w:r>
            <w:r>
              <w:rPr>
                <w:rFonts w:hint="eastAsia"/>
                <w:color w:val="auto"/>
                <w:sz w:val="24"/>
                <w:szCs w:val="24"/>
                <w:highlight w:val="none"/>
              </w:rPr>
              <w:t xml:space="preserve">           </w:t>
            </w:r>
          </w:p>
          <w:p>
            <w:pPr>
              <w:jc w:val="left"/>
              <w:rPr>
                <w:color w:val="auto"/>
                <w:sz w:val="24"/>
                <w:szCs w:val="24"/>
                <w:highlight w:val="none"/>
              </w:rPr>
            </w:pPr>
            <w:r>
              <w:rPr>
                <w:rFonts w:hint="eastAsia"/>
                <w:color w:val="auto"/>
                <w:sz w:val="24"/>
                <w:szCs w:val="24"/>
                <w:highlight w:val="none"/>
              </w:rPr>
              <w:t>专    业：</w:t>
            </w:r>
            <w:r>
              <w:rPr>
                <w:rFonts w:hint="eastAsia" w:ascii="宋体" w:hAnsi="宋体" w:cs="宋体"/>
                <w:bCs/>
                <w:color w:val="auto"/>
                <w:sz w:val="24"/>
                <w:szCs w:val="24"/>
                <w:highlight w:val="none"/>
                <w:u w:val="single"/>
              </w:rPr>
              <w:t xml:space="preserve">        </w:t>
            </w:r>
            <w:r>
              <w:rPr>
                <w:rFonts w:hint="eastAsia"/>
                <w:color w:val="auto"/>
                <w:sz w:val="24"/>
                <w:szCs w:val="24"/>
                <w:highlight w:val="none"/>
              </w:rPr>
              <w:t xml:space="preserve">           </w:t>
            </w:r>
          </w:p>
          <w:p>
            <w:pPr>
              <w:pStyle w:val="17"/>
              <w:rPr>
                <w:color w:val="auto"/>
                <w:highlight w:val="none"/>
              </w:rPr>
            </w:pPr>
            <w:r>
              <w:rPr>
                <w:rFonts w:hint="eastAsia"/>
                <w:color w:val="auto"/>
                <w:sz w:val="24"/>
                <w:szCs w:val="24"/>
                <w:highlight w:val="none"/>
              </w:rPr>
              <w:t>技术证书编号：</w:t>
            </w:r>
            <w:r>
              <w:rPr>
                <w:rFonts w:hint="eastAsia"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2</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服务期限</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3</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合同价款</w:t>
            </w:r>
          </w:p>
          <w:p>
            <w:pPr>
              <w:jc w:val="center"/>
              <w:rPr>
                <w:rFonts w:ascii="宋体" w:hAnsi="宋体" w:cs="宋体"/>
                <w:color w:val="auto"/>
                <w:sz w:val="24"/>
                <w:szCs w:val="24"/>
                <w:highlight w:val="none"/>
              </w:rPr>
            </w:pPr>
            <w:r>
              <w:rPr>
                <w:rFonts w:hint="eastAsia" w:ascii="宋体" w:hAnsi="宋体" w:cs="宋体"/>
                <w:color w:val="auto"/>
                <w:sz w:val="24"/>
                <w:szCs w:val="24"/>
                <w:highlight w:val="none"/>
              </w:rPr>
              <w:t>确定方式</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4</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质量标准</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合格</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5</w:t>
            </w:r>
          </w:p>
        </w:tc>
        <w:tc>
          <w:tcPr>
            <w:tcW w:w="1527" w:type="dxa"/>
            <w:vMerge w:val="restart"/>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投标报价</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u w:val="single"/>
              </w:rPr>
            </w:pPr>
            <w:r>
              <w:rPr>
                <w:rFonts w:hint="eastAsia" w:ascii="宋体" w:hAnsi="宋体" w:cs="宋体"/>
                <w:bCs/>
                <w:color w:val="auto"/>
                <w:sz w:val="24"/>
                <w:szCs w:val="24"/>
                <w:highlight w:val="none"/>
              </w:rPr>
              <w:t xml:space="preserve">大写： </w:t>
            </w:r>
            <w:r>
              <w:rPr>
                <w:rFonts w:hint="eastAsia" w:ascii="宋体" w:hAnsi="宋体" w:cs="宋体"/>
                <w:bCs/>
                <w:color w:val="auto"/>
                <w:sz w:val="24"/>
                <w:szCs w:val="24"/>
                <w:highlight w:val="none"/>
                <w:u w:val="single"/>
              </w:rPr>
              <w:t xml:space="preserve">        </w:t>
            </w:r>
          </w:p>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 xml:space="preserve">小写： </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以“元”为单位，精确到小数点后2位。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8" w:hRule="atLeast"/>
          <w:jc w:val="center"/>
        </w:trPr>
        <w:tc>
          <w:tcPr>
            <w:tcW w:w="715"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rPr>
            </w:pPr>
          </w:p>
        </w:tc>
        <w:tc>
          <w:tcPr>
            <w:tcW w:w="1527"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宋体" w:hAnsi="宋体" w:cs="宋体"/>
                <w:color w:val="auto"/>
                <w:sz w:val="24"/>
                <w:szCs w:val="24"/>
                <w:highlight w:val="none"/>
              </w:rPr>
            </w:pP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szCs w:val="24"/>
                <w:highlight w:val="none"/>
              </w:rPr>
              <w:t>投标下浮率：</w:t>
            </w:r>
            <w:r>
              <w:rPr>
                <w:rFonts w:hint="eastAsia" w:ascii="宋体" w:hAnsi="宋体" w:cs="宋体"/>
                <w:bCs/>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r>
              <w:rPr>
                <w:rFonts w:hint="eastAsia" w:ascii="宋体" w:hAnsi="宋体"/>
                <w:b/>
                <w:color w:val="auto"/>
                <w:szCs w:val="21"/>
                <w:highlight w:val="none"/>
              </w:rPr>
              <w:t>（1-投标报价/最高投标限价）*100%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6</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投标有效期</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bCs/>
                <w:color w:val="auto"/>
                <w:sz w:val="24"/>
                <w:szCs w:val="24"/>
                <w:highlight w:val="none"/>
              </w:rPr>
            </w:pPr>
            <w:r>
              <w:rPr>
                <w:rFonts w:hint="eastAsia" w:ascii="宋体" w:hAnsi="宋体" w:cs="宋体"/>
                <w:bCs/>
                <w:color w:val="auto"/>
                <w:sz w:val="24"/>
                <w:highlight w:val="none"/>
              </w:rPr>
              <w:t>按招标文件要求</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48" w:hRule="atLeast"/>
          <w:jc w:val="center"/>
        </w:trPr>
        <w:tc>
          <w:tcPr>
            <w:tcW w:w="715"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ascii="宋体" w:hAnsi="宋体" w:cs="宋体"/>
                <w:color w:val="auto"/>
                <w:sz w:val="24"/>
                <w:szCs w:val="24"/>
                <w:highlight w:val="none"/>
              </w:rPr>
              <w:t>7</w:t>
            </w:r>
          </w:p>
        </w:tc>
        <w:tc>
          <w:tcPr>
            <w:tcW w:w="1527"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cs="宋体"/>
                <w:color w:val="auto"/>
                <w:sz w:val="24"/>
                <w:szCs w:val="24"/>
                <w:highlight w:val="none"/>
              </w:rPr>
            </w:pPr>
            <w:r>
              <w:rPr>
                <w:rFonts w:hint="eastAsia" w:ascii="宋体" w:hAnsi="宋体" w:cs="宋体"/>
                <w:color w:val="auto"/>
                <w:sz w:val="24"/>
                <w:szCs w:val="24"/>
                <w:highlight w:val="none"/>
              </w:rPr>
              <w:t>CMA计量认证合格证或检验检测机构资质认定证书书号</w:t>
            </w:r>
          </w:p>
        </w:tc>
        <w:tc>
          <w:tcPr>
            <w:tcW w:w="4886" w:type="dxa"/>
            <w:tcBorders>
              <w:top w:val="single" w:color="auto" w:sz="4" w:space="0"/>
              <w:left w:val="single" w:color="auto" w:sz="4" w:space="0"/>
              <w:bottom w:val="single" w:color="auto" w:sz="4" w:space="0"/>
              <w:right w:val="single" w:color="auto" w:sz="4" w:space="0"/>
            </w:tcBorders>
            <w:vAlign w:val="center"/>
          </w:tcPr>
          <w:p>
            <w:pPr>
              <w:jc w:val="left"/>
              <w:rPr>
                <w:rFonts w:ascii="宋体" w:hAnsi="宋体" w:cs="宋体"/>
                <w:color w:val="auto"/>
                <w:sz w:val="24"/>
                <w:highlight w:val="none"/>
              </w:rPr>
            </w:pPr>
            <w:r>
              <w:rPr>
                <w:rFonts w:hint="eastAsia"/>
                <w:color w:val="auto"/>
                <w:sz w:val="24"/>
                <w:szCs w:val="24"/>
                <w:highlight w:val="none"/>
              </w:rPr>
              <w:t>证书号：</w:t>
            </w:r>
            <w:r>
              <w:rPr>
                <w:rFonts w:ascii="宋体" w:hAnsi="宋体" w:cs="宋体"/>
                <w:color w:val="auto"/>
                <w:sz w:val="24"/>
                <w:szCs w:val="24"/>
                <w:highlight w:val="none"/>
                <w:u w:val="single"/>
              </w:rPr>
              <w:t xml:space="preserve">           </w:t>
            </w:r>
          </w:p>
        </w:tc>
        <w:tc>
          <w:tcPr>
            <w:tcW w:w="1654" w:type="dxa"/>
            <w:tcBorders>
              <w:top w:val="single" w:color="auto" w:sz="4" w:space="0"/>
              <w:left w:val="single" w:color="auto" w:sz="4" w:space="0"/>
              <w:bottom w:val="single" w:color="auto" w:sz="4" w:space="0"/>
              <w:right w:val="single" w:color="auto" w:sz="4" w:space="0"/>
            </w:tcBorders>
            <w:vAlign w:val="center"/>
          </w:tcPr>
          <w:p>
            <w:pPr>
              <w:jc w:val="center"/>
              <w:rPr>
                <w:rFonts w:ascii="宋体" w:hAnsi="宋体"/>
                <w:b/>
                <w:color w:val="auto"/>
                <w:szCs w:val="21"/>
                <w:highlight w:val="none"/>
              </w:rPr>
            </w:pPr>
          </w:p>
        </w:tc>
      </w:tr>
    </w:tbl>
    <w:p>
      <w:pPr>
        <w:pStyle w:val="13"/>
        <w:tabs>
          <w:tab w:val="left" w:pos="7321"/>
        </w:tabs>
        <w:adjustRightInd w:val="0"/>
        <w:snapToGrid w:val="0"/>
        <w:spacing w:line="360" w:lineRule="auto"/>
        <w:ind w:left="2701"/>
        <w:rPr>
          <w:rFonts w:ascii="宋体" w:hAnsi="宋体"/>
          <w:color w:val="auto"/>
          <w:sz w:val="24"/>
          <w:szCs w:val="24"/>
          <w:highlight w:val="none"/>
        </w:rPr>
      </w:pPr>
      <w:r>
        <w:rPr>
          <w:rFonts w:hint="eastAsia" w:ascii="宋体" w:hAnsi="宋体"/>
          <w:color w:val="auto"/>
          <w:sz w:val="24"/>
          <w:szCs w:val="24"/>
          <w:highlight w:val="none"/>
        </w:rPr>
        <w:t>投标人：</w:t>
      </w:r>
      <w:r>
        <w:rPr>
          <w:rFonts w:ascii="宋体" w:hAnsi="宋体"/>
          <w:color w:val="auto"/>
          <w:sz w:val="24"/>
          <w:szCs w:val="24"/>
          <w:highlight w:val="none"/>
          <w:u w:val="single" w:color="000000"/>
        </w:rPr>
        <w:tab/>
      </w:r>
      <w:r>
        <w:rPr>
          <w:rFonts w:hint="eastAsia" w:ascii="宋体" w:hAnsi="宋体"/>
          <w:color w:val="auto"/>
          <w:sz w:val="24"/>
          <w:szCs w:val="24"/>
          <w:highlight w:val="none"/>
        </w:rPr>
        <w:t>（盖单位章）</w:t>
      </w:r>
    </w:p>
    <w:p>
      <w:pPr>
        <w:pStyle w:val="13"/>
        <w:tabs>
          <w:tab w:val="left" w:pos="6481"/>
        </w:tabs>
        <w:adjustRightInd w:val="0"/>
        <w:snapToGrid w:val="0"/>
        <w:spacing w:line="360" w:lineRule="auto"/>
        <w:ind w:left="2701"/>
        <w:rPr>
          <w:rFonts w:ascii="宋体" w:hAnsi="宋体"/>
          <w:color w:val="auto"/>
          <w:sz w:val="24"/>
          <w:szCs w:val="24"/>
          <w:highlight w:val="none"/>
        </w:rPr>
      </w:pPr>
      <w:r>
        <w:rPr>
          <w:rFonts w:hint="eastAsia" w:ascii="宋体" w:hAnsi="宋体"/>
          <w:color w:val="auto"/>
          <w:spacing w:val="-2"/>
          <w:sz w:val="24"/>
          <w:szCs w:val="24"/>
          <w:highlight w:val="none"/>
        </w:rPr>
        <w:t>法定代表人或其委托代理人：</w:t>
      </w:r>
      <w:r>
        <w:rPr>
          <w:rFonts w:ascii="宋体" w:hAnsi="宋体"/>
          <w:color w:val="auto"/>
          <w:spacing w:val="-2"/>
          <w:sz w:val="24"/>
          <w:szCs w:val="24"/>
          <w:highlight w:val="none"/>
          <w:u w:val="single" w:color="000000"/>
        </w:rPr>
        <w:tab/>
      </w:r>
      <w:r>
        <w:rPr>
          <w:rFonts w:hint="eastAsia" w:ascii="宋体" w:hAnsi="宋体"/>
          <w:color w:val="auto"/>
          <w:spacing w:val="-1"/>
          <w:sz w:val="24"/>
          <w:szCs w:val="24"/>
          <w:highlight w:val="none"/>
        </w:rPr>
        <w:t>（签字或盖章）</w:t>
      </w:r>
    </w:p>
    <w:p>
      <w:pPr>
        <w:adjustRightInd w:val="0"/>
        <w:snapToGrid w:val="0"/>
        <w:spacing w:line="360" w:lineRule="auto"/>
        <w:ind w:firstLine="5280" w:firstLineChars="2200"/>
        <w:rPr>
          <w:rFonts w:ascii="宋体" w:hAnsi="宋体"/>
          <w:color w:val="auto"/>
          <w:sz w:val="24"/>
          <w:szCs w:val="24"/>
          <w:highlight w:val="none"/>
        </w:rPr>
      </w:pPr>
      <w:r>
        <w:rPr>
          <w:rFonts w:ascii="宋体" w:hAnsi="宋体"/>
          <w:color w:val="auto"/>
          <w:sz w:val="24"/>
          <w:szCs w:val="24"/>
          <w:highlight w:val="none"/>
          <w:u w:val="single" w:color="000000"/>
        </w:rPr>
        <w:tab/>
      </w:r>
      <w:r>
        <w:rPr>
          <w:rFonts w:hint="eastAsia" w:ascii="宋体" w:hAnsi="宋体"/>
          <w:color w:val="auto"/>
          <w:sz w:val="24"/>
          <w:szCs w:val="24"/>
          <w:highlight w:val="none"/>
        </w:rPr>
        <w:t>年</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月</w:t>
      </w:r>
      <w:r>
        <w:rPr>
          <w:rFonts w:ascii="宋体" w:hAnsi="宋体"/>
          <w:color w:val="auto"/>
          <w:sz w:val="24"/>
          <w:szCs w:val="24"/>
          <w:highlight w:val="none"/>
          <w:u w:val="single" w:color="000000"/>
        </w:rPr>
        <w:tab/>
      </w:r>
      <w:r>
        <w:rPr>
          <w:rFonts w:ascii="宋体" w:hAnsi="宋体"/>
          <w:color w:val="auto"/>
          <w:sz w:val="24"/>
          <w:szCs w:val="24"/>
          <w:highlight w:val="none"/>
          <w:u w:val="single" w:color="000000"/>
        </w:rPr>
        <w:t xml:space="preserve">  </w:t>
      </w:r>
      <w:r>
        <w:rPr>
          <w:rFonts w:hint="eastAsia" w:ascii="宋体" w:hAnsi="宋体"/>
          <w:color w:val="auto"/>
          <w:sz w:val="24"/>
          <w:szCs w:val="24"/>
          <w:highlight w:val="none"/>
        </w:rPr>
        <w:t>日</w:t>
      </w:r>
    </w:p>
    <w:p>
      <w:pPr>
        <w:spacing w:line="440" w:lineRule="exact"/>
        <w:ind w:firstLine="4620" w:firstLineChars="2200"/>
        <w:rPr>
          <w:rFonts w:ascii="宋体" w:hAnsi="宋体"/>
          <w:color w:val="auto"/>
          <w:sz w:val="24"/>
          <w:highlight w:val="none"/>
        </w:rPr>
      </w:pPr>
      <w:r>
        <w:rPr>
          <w:rFonts w:ascii="宋体" w:hAnsi="宋体"/>
          <w:color w:val="auto"/>
          <w:highlight w:val="none"/>
        </w:rPr>
        <w:br w:type="page"/>
      </w:r>
      <w:bookmarkEnd w:id="218"/>
      <w:bookmarkEnd w:id="219"/>
      <w:bookmarkEnd w:id="220"/>
      <w:bookmarkStart w:id="233" w:name="_Toc21863"/>
      <w:bookmarkStart w:id="234" w:name="_Toc390704765"/>
      <w:bookmarkStart w:id="235" w:name="_Toc374536213"/>
      <w:bookmarkStart w:id="236" w:name="_Toc533357330"/>
      <w:bookmarkStart w:id="237" w:name="_Toc333829918"/>
    </w:p>
    <w:bookmarkEnd w:id="213"/>
    <w:bookmarkEnd w:id="233"/>
    <w:bookmarkEnd w:id="234"/>
    <w:bookmarkEnd w:id="235"/>
    <w:bookmarkEnd w:id="236"/>
    <w:bookmarkEnd w:id="237"/>
    <w:p>
      <w:pPr>
        <w:pStyle w:val="5"/>
        <w:rPr>
          <w:color w:val="auto"/>
          <w:highlight w:val="none"/>
        </w:rPr>
      </w:pPr>
      <w:bookmarkStart w:id="238" w:name="_Toc103592037"/>
      <w:bookmarkStart w:id="239" w:name="_Toc31037"/>
      <w:bookmarkStart w:id="240" w:name="_Toc26549"/>
      <w:r>
        <w:rPr>
          <w:rFonts w:hint="eastAsia"/>
          <w:color w:val="auto"/>
          <w:highlight w:val="none"/>
        </w:rPr>
        <w:t>二、法定代表人证明书及授权委托书</w:t>
      </w:r>
      <w:bookmarkEnd w:id="238"/>
      <w:bookmarkEnd w:id="239"/>
      <w:bookmarkEnd w:id="240"/>
    </w:p>
    <w:p>
      <w:pPr>
        <w:spacing w:before="120" w:beforeLines="50"/>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法定代表人证明书</w:t>
      </w:r>
    </w:p>
    <w:p>
      <w:pPr>
        <w:spacing w:line="360" w:lineRule="auto"/>
        <w:jc w:val="center"/>
        <w:rPr>
          <w:rFonts w:ascii="宋体" w:hAnsi="宋体"/>
          <w:color w:val="auto"/>
          <w:sz w:val="30"/>
          <w:szCs w:val="30"/>
          <w:highlight w:val="none"/>
        </w:rPr>
      </w:pPr>
      <w:r>
        <w:rPr>
          <w:rFonts w:ascii="宋体" w:hAnsi="宋体"/>
          <w:color w:val="auto"/>
          <w:sz w:val="30"/>
          <w:szCs w:val="30"/>
          <w:highlight w:val="none"/>
        </w:rPr>
        <mc:AlternateContent>
          <mc:Choice Requires="wpg">
            <w:drawing>
              <wp:inline distT="0" distB="0" distL="0" distR="0">
                <wp:extent cx="5800725" cy="2639060"/>
                <wp:effectExtent l="12700" t="11430" r="6350" b="6985"/>
                <wp:docPr id="3" name="组合 3"/>
                <wp:cNvGraphicFramePr/>
                <a:graphic xmlns:a="http://schemas.openxmlformats.org/drawingml/2006/main">
                  <a:graphicData uri="http://schemas.microsoft.com/office/word/2010/wordprocessingGroup">
                    <wpg:wgp>
                      <wpg:cNvGrpSpPr/>
                      <wpg:grpSpPr>
                        <a:xfrm>
                          <a:off x="0" y="0"/>
                          <a:ext cx="5800725" cy="2639060"/>
                          <a:chOff x="0" y="0"/>
                          <a:chExt cx="7140" cy="3468"/>
                        </a:xfrm>
                      </wpg:grpSpPr>
                      <wps:wsp>
                        <wps:cNvPr id="4" name="图片 4"/>
                        <wps:cNvSpPr>
                          <a:spLocks noChangeAspect="1" noChangeArrowheads="1" noTextEdit="1"/>
                        </wps:cNvSpPr>
                        <wps:spPr bwMode="auto">
                          <a:xfrm>
                            <a:off x="0" y="0"/>
                            <a:ext cx="7140" cy="3468"/>
                          </a:xfrm>
                          <a:prstGeom prst="rect">
                            <a:avLst/>
                          </a:prstGeom>
                          <a:noFill/>
                          <a:ln>
                            <a:noFill/>
                          </a:ln>
                        </wps:spPr>
                        <wps:bodyPr rot="0" vert="horz" wrap="square" lIns="91440" tIns="45720" rIns="91440" bIns="45720" anchor="t" anchorCtr="0" upright="1">
                          <a:noAutofit/>
                        </wps:bodyPr>
                      </wps:wsp>
                      <wps:wsp>
                        <wps:cNvPr id="5" name="文本框 5"/>
                        <wps:cNvSpPr txBox="1">
                          <a:spLocks noChangeArrowheads="1"/>
                        </wps:cNvSpPr>
                        <wps:spPr bwMode="auto">
                          <a:xfrm>
                            <a:off x="0" y="0"/>
                            <a:ext cx="7140" cy="3468"/>
                          </a:xfrm>
                          <a:prstGeom prst="rect">
                            <a:avLst/>
                          </a:prstGeom>
                          <a:solidFill>
                            <a:srgbClr val="FFFFFF"/>
                          </a:solidFill>
                          <a:ln w="9525" cmpd="sng">
                            <a:solidFill>
                              <a:srgbClr val="000000"/>
                            </a:solidFill>
                            <a:miter lim="800000"/>
                          </a:ln>
                        </wps:spPr>
                        <wps:txbx>
                          <w:txbxContent>
                            <w:p>
                              <w:pPr>
                                <w:spacing w:before="120"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wps:txbx>
                        <wps:bodyPr rot="0" vert="horz" wrap="square" lIns="91440" tIns="45720" rIns="91440" bIns="45720" anchor="t" anchorCtr="0" upright="1">
                          <a:noAutofit/>
                        </wps:bodyPr>
                      </wps:wsp>
                    </wpg:wgp>
                  </a:graphicData>
                </a:graphic>
              </wp:inline>
            </w:drawing>
          </mc:Choice>
          <mc:Fallback>
            <w:pict>
              <v:group id="_x0000_s1026" o:spid="_x0000_s1026" o:spt="203" style="height:207.8pt;width:456.75pt;" coordsize="7140,3468" o:gfxdata="UEsDBAoAAAAAAIdO4kAAAAAAAAAAAAAAAAAEAAAAZHJzL1BLAwQUAAAACACHTuJAzCVt8NcAAAAF&#10;AQAADwAAAGRycy9kb3ducmV2LnhtbE2PQUvDQBCF74L/YRnBm91sa0qN2ZRS1FMRbAvibZqdJqHZ&#10;2ZDdJu2/d/Wil4HHe7z3Tb682FYM1PvGsQY1SUAQl840XGnY714fFiB8QDbYOiYNV/KwLG5vcsyM&#10;G/mDhm2oRCxhn6GGOoQuk9KXNVn0E9cRR+/oeoshyr6SpscxlttWTpNkLi02HBdq7GhdU3nanq2G&#10;txHH1Uy9DJvTcX392qXvnxtFWt/fqeQZRKBL+AvDD35EhyIyHdyZjRethvhI+L3Re1KzFMRBw6NK&#10;5yCLXP6nL74BUEsDBBQAAAAIAIdO4kBCWTer8AIAAPQHAAAOAAAAZHJzL2Uyb0RvYy54bWzNVctu&#10;1DAU3SPxD5b3NJln26iZqvQlpAKVWj7A4ziJRfzA9kymrBGFHSs2sGHPHyDxN21/g2snM9NOC6pA&#10;SM1ixr62j88999je2p6JCk2ZsVzJFHfWYoyYpCrjskjxq9ODJxsYWUdkRiolWYrPmMXbo8ePtmqd&#10;sK4qVZUxgwBE2qTWKS6d00kUWVoyQeya0kzCYK6MIA66pogyQ2pAF1XUjeNhVCuTaaMosxaie80g&#10;bhHNfQBVnnPK9hSdCCZdg2pYRRykZEuuLR4FtnnOqHuZ55Y5VKUYMnXhFzaB9tj/RqMtkhSG6JLT&#10;lgK5D4WVnAThEjZdQO0RR9DE8FtQglOjrMrdGlUiahIJikAWnXhFm0OjJjrkUiR1oReiQ6FWVP9r&#10;WPpiemwQz1Lcw0gSAQW/+vHu4tMH1PPa1LpIYMqh0Sf62LSBoun5dGe5Ef4fEkGzoOrZQlU2c4hC&#10;cLARx+vdAUYUxrrD3mY8bHWnJRTn1jpa7rcr1zt9qJNf1usPNzyfaL5l5JktiNQavGiXAtl/E+ik&#10;JJoF3a3PvhWoPxfo4svPq4/nqN8IFKZ4dbwOVh8p+toiqXZLIgu2YzVYEI4ZrJ2HjFF1yUgGJEP4&#10;FITaz3iY5VP0ycCuDaTvWABH4/q5yqA6ZOJUcNp9pP+DgCTRxrpDpgTyjRQbIBqAyfTIukbr+RSf&#10;mlQHvKogTpJK3ghAUXwkEPdcvW1sMlbZGfA2CrChinDjQKNU5i1GNZy3FNs3E2IYRtUzCVJsdvq+&#10;2C50+oP1LnTM9ZHx9REiKUCl2GHUNHddc6gn2vCiDFo2HHdAr5yHfJasWrJgmYbrf/cOuL85XJef&#10;zy+/fr/89h4NVuyD3OypguPSCUW4ZaQbrnnANrGq4pl3ipffmmK8Wxk0JXD9HoSvPcU3plUS1eCA&#10;QbgkhM7AG7JoZPgtWhy+u9AEd/BAVVykGG4e+NpJd3jUzcYz0HJpjIdv13DxwWMQ7sL24fKvzfV+&#10;sPfysR79AlBLAwQKAAAAAACHTuJAAAAAAAAAAAAAAAAABgAAAF9yZWxzL1BLAwQUAAAACACHTuJA&#10;ihRmPNEAAACUAQAACwAAAF9yZWxzLy5yZWxzpZDBasMwDIbvg72D0X1xmsMYo04vo9Br6R7A2Ipj&#10;GltGMtn69vMOg2X0tqN+oe8T//7wmRa1IkukbGDX9aAwO/IxBwPvl+PTCyipNnu7UEYDNxQ4jI8P&#10;+zMutrYjmWMR1ShZDMy1lletxc2YrHRUMLfNRJxsbSMHXay72oB66Ptnzb8ZMG6Y6uQN8MkPoC63&#10;0sx/2Ck6JqGpdo6SpmmK7h5VB7Zlju7INuEbuUazHLAa8CwaB2pZ134EfV+/+6fe00c+47rVfoeM&#10;649Xb7ocvwBQSwMEFAAAAAgAh07iQH7m5SD3AAAA4QEAABMAAABbQ29udGVudF9UeXBlc10ueG1s&#10;lZFBTsMwEEX3SNzB8hYlTrtACCXpgrRLQKgcYGRPEotkbHlMaG+Pk7YbRJFY2jP/vye73BzGQUwY&#10;2Dqq5CovpEDSzljqKvm+32UPUnAEMjA4wkoekeWmvr0p90ePLFKauJJ9jP5RKdY9jsC580hp0row&#10;QkzH0CkP+gM6VOuiuFfaUUSKWZw7ZF022MLnEMX2kK5PJgEHluLptDizKgneD1ZDTKZqIvODkp0J&#10;eUouO9xbz3dJQ6pfCfPkOuCce0lPE6xB8QohPsOYNJQJrIz7ooBT/nfJbDly5trWasybwE2KveF0&#10;sbrWjmvXOP3f8u2SunSr5YPqb1BLAQIUABQAAAAIAIdO4kB+5uUg9wAAAOEBAAATAAAAAAAAAAEA&#10;IAAAAGAFAABbQ29udGVudF9UeXBlc10ueG1sUEsBAhQACgAAAAAAh07iQAAAAAAAAAAAAAAAAAYA&#10;AAAAAAAAAAAQAAAAQgQAAF9yZWxzL1BLAQIUABQAAAAIAIdO4kCKFGY80QAAAJQBAAALAAAAAAAA&#10;AAEAIAAAAGYEAABfcmVscy8ucmVsc1BLAQIUAAoAAAAAAIdO4kAAAAAAAAAAAAAAAAAEAAAAAAAA&#10;AAAAEAAAAAAAAABkcnMvUEsBAhQAFAAAAAgAh07iQMwlbfDXAAAABQEAAA8AAAAAAAAAAQAgAAAA&#10;IgAAAGRycy9kb3ducmV2LnhtbFBLAQIUABQAAAAIAIdO4kBCWTer8AIAAPQHAAAOAAAAAAAAAAEA&#10;IAAAACYBAABkcnMvZTJvRG9jLnhtbFBLBQYAAAAABgAGAFkBAACIBgAAAAA=&#10;">
                <o:lock v:ext="edit" aspectratio="f"/>
                <v:rect id="图片 4" o:spid="_x0000_s1026" o:spt="1" style="position:absolute;left:0;top:0;height:3468;width:7140;" filled="f" stroked="f" coordsize="21600,21600" o:gfxdata="UEsDBAoAAAAAAIdO4kAAAAAAAAAAAAAAAAAEAAAAZHJzL1BLAwQUAAAACACHTuJA3E+K1b0AAADa&#10;AAAADwAAAGRycy9kb3ducmV2LnhtbEWPQWvCQBSE74X+h+UVvJRmo0gpqasHoRhECMY250f2NQnN&#10;vo3ZNYn/3hWEHoeZ+YZZbSbTioF611hWMI9iEMSl1Q1XCr5PX28fIJxH1thaJgVXcrBZPz+tMNF2&#10;5CMNua9EgLBLUEHtfZdI6cqaDLrIdsTB+7W9QR9kX0nd4xjgppWLOH6XBhsOCzV2tK2p/MsvRsFY&#10;ZkNxOuxk9lqkls/peZv/7JWavczjTxCeJv8ffrRTrWAJ9yvhBsj1D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cT4rVvQAA&#10;ANoAAAAPAAAAAAAAAAEAIAAAACIAAABkcnMvZG93bnJldi54bWxQSwECFAAUAAAACACHTuJAMy8F&#10;njsAAAA5AAAAEAAAAAAAAAABACAAAAAMAQAAZHJzL3NoYXBleG1sLnhtbFBLBQYAAAAABgAGAFsB&#10;AAC2AwAAAAA=&#10;">
                  <v:fill on="f" focussize="0,0"/>
                  <v:stroke on="f"/>
                  <v:imagedata o:title=""/>
                  <o:lock v:ext="edit" text="t" aspectratio="t"/>
                </v:rect>
                <v:shape id="_x0000_s1026" o:spid="_x0000_s1026" o:spt="202" type="#_x0000_t202" style="position:absolute;left:0;top:0;height:3468;width:7140;" fillcolor="#FFFFFF" filled="t" stroked="t" coordsize="21600,21600" o:gfxdata="UEsDBAoAAAAAAIdO4kAAAAAAAAAAAAAAAAAEAAAAZHJzL1BLAwQUAAAACACHTuJAwOx0Ob0AAADa&#10;AAAADwAAAGRycy9kb3ducmV2LnhtbEWPT2sCMRTE70K/Q3gFL9LN2qrV1eihoNibWrHXx+btH7p5&#10;2SZxtd++EQSPw8z8hlmsrqYRHTlfW1YwTFIQxLnVNZcKjl/rlykIH5A1NpZJwR95WC2fegvMtL3w&#10;nrpDKEWEsM9QQRVCm0np84oM+sS2xNErrDMYonSl1A4vEW4a+ZqmE2mw5rhQYUsfFeU/h7NRMB1t&#10;u2//+bY75ZOimYXBe7f5dUr1n4fpHESga3iE7+2tVjCG25V4A+TyH1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A7HQ5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pPr>
                          <w:spacing w:before="120" w:beforeLines="50"/>
                          <w:rPr>
                            <w:sz w:val="24"/>
                            <w:szCs w:val="24"/>
                          </w:rPr>
                        </w:pPr>
                        <w:r>
                          <w:rPr>
                            <w:rFonts w:hint="eastAsia" w:cs="宋体"/>
                            <w:sz w:val="28"/>
                            <w:szCs w:val="28"/>
                          </w:rPr>
                          <w:t>　</w:t>
                        </w:r>
                        <w:r>
                          <w:rPr>
                            <w:rFonts w:hint="eastAsia" w:cs="宋体"/>
                            <w:sz w:val="24"/>
                            <w:szCs w:val="24"/>
                          </w:rPr>
                          <w:t>　</w:t>
                        </w:r>
                        <w:r>
                          <w:rPr>
                            <w:rFonts w:hint="eastAsia" w:cs="宋体"/>
                            <w:sz w:val="24"/>
                            <w:szCs w:val="24"/>
                            <w:u w:val="single"/>
                          </w:rPr>
                          <w:t>　　　　　　</w:t>
                        </w:r>
                        <w:r>
                          <w:rPr>
                            <w:rFonts w:hint="eastAsia" w:cs="宋体"/>
                            <w:sz w:val="24"/>
                            <w:szCs w:val="24"/>
                          </w:rPr>
                          <w:t>现任我单位</w:t>
                        </w:r>
                        <w:r>
                          <w:rPr>
                            <w:rFonts w:hint="eastAsia" w:cs="宋体"/>
                            <w:sz w:val="24"/>
                            <w:szCs w:val="24"/>
                            <w:u w:val="single"/>
                          </w:rPr>
                          <w:t>　　　　　</w:t>
                        </w:r>
                        <w:r>
                          <w:rPr>
                            <w:rFonts w:hint="eastAsia" w:cs="宋体"/>
                            <w:sz w:val="24"/>
                            <w:szCs w:val="24"/>
                          </w:rPr>
                          <w:t>职务，为法定代表人（负责人），</w:t>
                        </w:r>
                      </w:p>
                      <w:p>
                        <w:pPr>
                          <w:snapToGrid w:val="0"/>
                          <w:spacing w:line="480" w:lineRule="atLeast"/>
                          <w:rPr>
                            <w:sz w:val="24"/>
                            <w:szCs w:val="24"/>
                          </w:rPr>
                        </w:pPr>
                        <w:r>
                          <w:rPr>
                            <w:rFonts w:hint="eastAsia" w:cs="宋体"/>
                            <w:sz w:val="24"/>
                            <w:szCs w:val="24"/>
                          </w:rPr>
                          <w:t>特此证明。</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r>
                          <w:rPr>
                            <w:sz w:val="24"/>
                            <w:szCs w:val="24"/>
                          </w:rPr>
                          <w:t xml:space="preserve">  </w:t>
                        </w:r>
                      </w:p>
                      <w:p>
                        <w:pPr>
                          <w:snapToGrid w:val="0"/>
                          <w:spacing w:line="480" w:lineRule="atLeast"/>
                          <w:rPr>
                            <w:sz w:val="24"/>
                            <w:szCs w:val="24"/>
                            <w:u w:val="single"/>
                          </w:rPr>
                        </w:pPr>
                        <w:r>
                          <w:rPr>
                            <w:rFonts w:hint="eastAsia" w:cs="宋体"/>
                            <w:sz w:val="24"/>
                            <w:szCs w:val="24"/>
                          </w:rPr>
                          <w:t>附：法定代表人（负责人）性别：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firstLine="570"/>
                          <w:rPr>
                            <w:sz w:val="24"/>
                            <w:szCs w:val="24"/>
                            <w:u w:val="single"/>
                          </w:rPr>
                        </w:pPr>
                        <w:r>
                          <w:rPr>
                            <w:rFonts w:hint="eastAsia" w:cs="宋体"/>
                            <w:sz w:val="24"/>
                            <w:szCs w:val="24"/>
                          </w:rPr>
                          <w:t>经营范围：</w:t>
                        </w:r>
                        <w:r>
                          <w:rPr>
                            <w:sz w:val="24"/>
                            <w:szCs w:val="24"/>
                            <w:u w:val="single"/>
                          </w:rPr>
                          <w:t xml:space="preserve">                                                           </w:t>
                        </w:r>
                      </w:p>
                      <w:p>
                        <w:pPr>
                          <w:snapToGrid w:val="0"/>
                          <w:spacing w:line="480" w:lineRule="atLeast"/>
                          <w:ind w:firstLine="570"/>
                          <w:rPr>
                            <w:sz w:val="24"/>
                            <w:szCs w:val="24"/>
                          </w:rPr>
                        </w:pPr>
                        <w:r>
                          <w:rPr>
                            <w:rFonts w:hint="eastAsia" w:cs="宋体"/>
                            <w:sz w:val="24"/>
                            <w:szCs w:val="24"/>
                            <w:u w:val="single"/>
                          </w:rPr>
                          <w:t>　　　　　　　　　　　　　　　　</w:t>
                        </w:r>
                        <w:r>
                          <w:rPr>
                            <w:sz w:val="24"/>
                            <w:szCs w:val="24"/>
                          </w:rPr>
                          <w:t xml:space="preserve">      </w:t>
                        </w:r>
                        <w:r>
                          <w:rPr>
                            <w:rFonts w:hint="eastAsia" w:cs="宋体"/>
                            <w:sz w:val="24"/>
                            <w:szCs w:val="24"/>
                          </w:rPr>
                          <w:t>单位：　　　（盖章）</w:t>
                        </w:r>
                      </w:p>
                      <w:p>
                        <w:pPr>
                          <w:snapToGrid w:val="0"/>
                          <w:spacing w:after="100" w:afterAutospacing="1" w:line="480" w:lineRule="atLeast"/>
                          <w:ind w:firstLine="4528" w:firstLineChars="1887"/>
                          <w:rPr>
                            <w:sz w:val="24"/>
                            <w:szCs w:val="24"/>
                          </w:rPr>
                        </w:pPr>
                        <w:r>
                          <w:rPr>
                            <w:rFonts w:hint="eastAsia" w:cs="宋体"/>
                            <w:sz w:val="24"/>
                            <w:szCs w:val="24"/>
                          </w:rPr>
                          <w:t>　　　　　</w:t>
                        </w:r>
                        <w:r>
                          <w:rPr>
                            <w:sz w:val="24"/>
                            <w:szCs w:val="24"/>
                          </w:rPr>
                          <w:t xml:space="preserve">    </w:t>
                        </w:r>
                        <w:r>
                          <w:rPr>
                            <w:rFonts w:hint="eastAsia" w:cs="宋体"/>
                            <w:sz w:val="24"/>
                            <w:szCs w:val="24"/>
                          </w:rPr>
                          <w:t>年　月　　日</w:t>
                        </w:r>
                      </w:p>
                    </w:txbxContent>
                  </v:textbox>
                </v:shape>
                <w10:wrap type="none"/>
                <w10:anchorlock/>
              </v:group>
            </w:pict>
          </mc:Fallback>
        </mc:AlternateContent>
      </w:r>
    </w:p>
    <w:p>
      <w:pPr>
        <w:spacing w:line="360" w:lineRule="auto"/>
        <w:rPr>
          <w:rFonts w:ascii="宋体" w:hAnsi="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pPr>
        <w:spacing w:before="120" w:beforeLines="50"/>
        <w:ind w:firstLine="482" w:firstLineChars="200"/>
        <w:jc w:val="center"/>
        <w:rPr>
          <w:rFonts w:ascii="宋体" w:hAnsi="宋体" w:cs="宋体"/>
          <w:b/>
          <w:color w:val="auto"/>
          <w:sz w:val="24"/>
          <w:szCs w:val="24"/>
          <w:highlight w:val="none"/>
        </w:rPr>
      </w:pPr>
    </w:p>
    <w:p>
      <w:pPr>
        <w:spacing w:before="120" w:beforeLines="50"/>
        <w:ind w:firstLine="482" w:firstLineChars="200"/>
        <w:jc w:val="center"/>
        <w:rPr>
          <w:rFonts w:ascii="宋体" w:hAnsi="宋体" w:cs="宋体"/>
          <w:b/>
          <w:color w:val="auto"/>
          <w:sz w:val="24"/>
          <w:szCs w:val="24"/>
          <w:highlight w:val="none"/>
        </w:rPr>
      </w:pPr>
      <w:r>
        <w:rPr>
          <w:rFonts w:hint="eastAsia" w:ascii="宋体" w:hAnsi="宋体" w:cs="宋体"/>
          <w:b/>
          <w:color w:val="auto"/>
          <w:sz w:val="24"/>
          <w:szCs w:val="24"/>
          <w:highlight w:val="none"/>
        </w:rPr>
        <w:t>授权委托书</w:t>
      </w:r>
      <w:bookmarkEnd w:id="0"/>
      <w:bookmarkEnd w:id="1"/>
      <w:bookmarkEnd w:id="2"/>
    </w:p>
    <w:p>
      <w:pPr>
        <w:widowControl/>
        <w:spacing w:before="260" w:after="260"/>
        <w:ind w:right="1542"/>
        <w:jc w:val="center"/>
        <w:rPr>
          <w:rFonts w:ascii="宋体" w:hAnsi="宋体" w:cs="宋体"/>
          <w:b/>
          <w:bCs/>
          <w:color w:val="auto"/>
          <w:kern w:val="0"/>
          <w:sz w:val="32"/>
          <w:szCs w:val="32"/>
          <w:highlight w:val="none"/>
        </w:rPr>
      </w:pPr>
      <w:r>
        <w:rPr>
          <w:rFonts w:ascii="宋体" w:hAnsi="宋体" w:cs="宋体"/>
          <w:b/>
          <w:bCs/>
          <w:color w:val="auto"/>
          <w:kern w:val="0"/>
          <w:sz w:val="32"/>
          <w:szCs w:val="32"/>
          <w:highlight w:val="none"/>
        </w:rPr>
        <mc:AlternateContent>
          <mc:Choice Requires="wps">
            <w:drawing>
              <wp:inline distT="0" distB="0" distL="0" distR="0">
                <wp:extent cx="6129020" cy="2946400"/>
                <wp:effectExtent l="9525" t="6985" r="5080" b="8890"/>
                <wp:docPr id="2" name="文本框 2"/>
                <wp:cNvGraphicFramePr/>
                <a:graphic xmlns:a="http://schemas.openxmlformats.org/drawingml/2006/main">
                  <a:graphicData uri="http://schemas.microsoft.com/office/word/2010/wordprocessingShape">
                    <wps:wsp>
                      <wps:cNvSpPr txBox="1">
                        <a:spLocks noChangeArrowheads="1"/>
                      </wps:cNvSpPr>
                      <wps:spPr bwMode="auto">
                        <a:xfrm>
                          <a:off x="0" y="0"/>
                          <a:ext cx="6129020" cy="2946400"/>
                        </a:xfrm>
                        <a:prstGeom prst="rect">
                          <a:avLst/>
                        </a:prstGeom>
                        <a:solidFill>
                          <a:srgbClr val="FFFFFF"/>
                        </a:solidFill>
                        <a:ln w="9525" cmpd="sng">
                          <a:solidFill>
                            <a:srgbClr val="000000"/>
                          </a:solidFill>
                          <a:miter lim="800000"/>
                        </a:ln>
                      </wps:spPr>
                      <wps:txb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wps:txbx>
                      <wps:bodyPr rot="0" vert="horz" wrap="square" lIns="91440" tIns="45720" rIns="91440" bIns="45720" anchor="t" anchorCtr="0" upright="1">
                        <a:noAutofit/>
                      </wps:bodyPr>
                    </wps:wsp>
                  </a:graphicData>
                </a:graphic>
              </wp:inline>
            </w:drawing>
          </mc:Choice>
          <mc:Fallback>
            <w:pict>
              <v:shape id="_x0000_s1026" o:spid="_x0000_s1026" o:spt="202" type="#_x0000_t202" style="height:232pt;width:482.6pt;" fillcolor="#FFFFFF" filled="t" stroked="t" coordsize="21600,21600" o:gfxdata="UEsDBAoAAAAAAIdO4kAAAAAAAAAAAAAAAAAEAAAAZHJzL1BLAwQUAAAACACHTuJA++4fRdcAAAAF&#10;AQAADwAAAGRycy9kb3ducmV2LnhtbE2PwU7DMBBE70j8g7VIXFBrt6ShDXF6QALBrS0VXN14m0S1&#10;16ntpuXvMVzgstJoRjNvy+XFGjagD50jCZOxAIZUO91RI2H7/jyaAwtRkVbGEUr4wgDL6vqqVIV2&#10;Z1rjsIkNSyUUCiWhjbEvOA91i1aFseuRkrd33qqYpG+49uqcyq3hUyFyblVHaaFVPT61WB82Jyth&#10;nr0On+HtfvVR53uziHcPw8vRS3l7MxGPwCJe4l8YfvATOlSJaedOpAMzEtIj8fcmb5HPpsB2ErI8&#10;E8Crkv+nr74BUEsDBBQAAAAIAIdO4kCL0mWkRwIAAJMEAAAOAAAAZHJzL2Uyb0RvYy54bWytVM2O&#10;0zAQviPxDpbvNGnULdto09XSahHS8iMtPIDrOImF7TG222R5AHgDTly481z7HIydbqkKSHsgB8v2&#10;jL+Z+b6ZXFwOWpGdcF6Cqeh0klMiDIdamraiH95fPzunxAdmaqbAiIreCU8vl0+fXPS2FAV0oGrh&#10;CIIYX/a2ol0ItswyzzuhmZ+AFQaNDTjNAh5dm9WO9YiuVVbk+TzrwdXWARfe4+16NNI9onsMIDSN&#10;5GINfKuFCSOqE4oFLMl30nq6TNk2jeDhbdN4EYiqKFYa0opBcL+Ja7a8YGXrmO0k36fAHpPCSU2a&#10;SYNBD1BrFhjZOvkHlJbcgYcmTDjobCwkMYJVTPMTbm47ZkWqBan29kC6/3+w/M3unSOyrmhBiWEa&#10;Bb//9vX++8/7H19IEenprS/R69aiXxhewIBNk0r19gb4R08MrDpmWnHlHPSdYDWmN40vs6OnI46P&#10;IJv+NdQYh20DJKChcTpyh2wQREdp7g7SiCEQjpfzabHICzRxtBWL2XyWJ/EyVj48t86HlwI0iZuK&#10;OtQ+wbPdjQ8xHVY+uMRoHpSsr6VS6eDazUo5smPYJ9fpSxWcuClD+oouzoozTERbZM2bdiTjn2h5&#10;+v6GpmXASVJSV/T82EmZPXeRrpG4MGyGvRYbqO+QRQdjL+Mk46YD95mSHvsYU/q0ZU5Qol4ZVGIx&#10;nc1i46fD7Ox55NAdWzbHFmY4QlU0UDJuV2Eclq11su0w0qi9gStUr5GJ1yjzmNU+b+zVRPd+ruIw&#10;HJ+T1+9/yfIX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twQAAFtDb250ZW50X1R5cGVzXS54bWxQSwECFAAKAAAAAACHTuJAAAAAAAAAAAAAAAAA&#10;BgAAAAAAAAAAABAAAACZAwAAX3JlbHMvUEsBAhQAFAAAAAgAh07iQIoUZjzRAAAAlAEAAAsAAAAA&#10;AAAAAQAgAAAAvQMAAF9yZWxzLy5yZWxzUEsBAhQACgAAAAAAh07iQAAAAAAAAAAAAAAAAAQAAAAA&#10;AAAAAAAQAAAAAAAAAGRycy9QSwECFAAUAAAACACHTuJA++4fRdcAAAAFAQAADwAAAAAAAAABACAA&#10;AAAiAAAAZHJzL2Rvd25yZXYueG1sUEsBAhQAFAAAAAgAh07iQIvSZaRHAgAAkwQAAA4AAAAAAAAA&#10;AQAgAAAAJgEAAGRycy9lMm9Eb2MueG1sUEsFBgAAAAAGAAYAWQEAAN8FAAAAAA==&#10;">
                <v:fill on="t" focussize="0,0"/>
                <v:stroke color="#000000" miterlimit="8" joinstyle="miter"/>
                <v:imagedata o:title=""/>
                <o:lock v:ext="edit" aspectratio="f"/>
                <v:textbox>
                  <w:txbxContent>
                    <w:p>
                      <w:pPr>
                        <w:spacing w:before="120" w:beforeLines="50"/>
                        <w:ind w:firstLine="480" w:firstLineChars="200"/>
                        <w:rPr>
                          <w:sz w:val="24"/>
                          <w:szCs w:val="24"/>
                        </w:rPr>
                      </w:pPr>
                      <w:r>
                        <w:rPr>
                          <w:rFonts w:hint="eastAsia" w:cs="宋体"/>
                          <w:sz w:val="24"/>
                          <w:szCs w:val="24"/>
                        </w:rPr>
                        <w:t>兹授权</w:t>
                      </w:r>
                      <w:r>
                        <w:rPr>
                          <w:rFonts w:hint="eastAsia" w:cs="宋体"/>
                          <w:sz w:val="24"/>
                          <w:szCs w:val="24"/>
                          <w:u w:val="single"/>
                        </w:rPr>
                        <w:t>　　　　　</w:t>
                      </w:r>
                      <w:r>
                        <w:rPr>
                          <w:rFonts w:hint="eastAsia" w:cs="宋体"/>
                          <w:sz w:val="24"/>
                          <w:szCs w:val="24"/>
                        </w:rPr>
                        <w:t>为我方委托代理人，其权限是：</w:t>
                      </w:r>
                      <w:r>
                        <w:rPr>
                          <w:sz w:val="24"/>
                          <w:szCs w:val="24"/>
                          <w:u w:val="single"/>
                        </w:rPr>
                        <w:t xml:space="preserve">                        </w:t>
                      </w:r>
                    </w:p>
                    <w:p>
                      <w:pPr>
                        <w:snapToGrid w:val="0"/>
                        <w:spacing w:line="480" w:lineRule="atLeast"/>
                        <w:rPr>
                          <w:sz w:val="24"/>
                          <w:szCs w:val="24"/>
                          <w:u w:val="single"/>
                        </w:rPr>
                      </w:pPr>
                      <w:r>
                        <w:rPr>
                          <w:sz w:val="24"/>
                          <w:szCs w:val="24"/>
                          <w:u w:val="single"/>
                        </w:rPr>
                        <w:t xml:space="preserve">                                                                        </w:t>
                      </w:r>
                    </w:p>
                    <w:p>
                      <w:pPr>
                        <w:snapToGrid w:val="0"/>
                        <w:spacing w:line="480" w:lineRule="atLeast"/>
                        <w:rPr>
                          <w:sz w:val="24"/>
                          <w:szCs w:val="24"/>
                          <w:u w:val="single"/>
                        </w:rPr>
                      </w:pPr>
                      <w:r>
                        <w:rPr>
                          <w:rFonts w:hint="eastAsia" w:cs="宋体"/>
                          <w:sz w:val="24"/>
                          <w:szCs w:val="24"/>
                        </w:rPr>
                        <w:t>有效期限：</w:t>
                      </w:r>
                      <w:r>
                        <w:rPr>
                          <w:sz w:val="24"/>
                          <w:szCs w:val="24"/>
                          <w:u w:val="single"/>
                        </w:rPr>
                        <w:t xml:space="preserve">                                                              </w:t>
                      </w:r>
                    </w:p>
                    <w:p>
                      <w:pPr>
                        <w:snapToGrid w:val="0"/>
                        <w:spacing w:line="480" w:lineRule="atLeast"/>
                        <w:rPr>
                          <w:sz w:val="24"/>
                          <w:szCs w:val="24"/>
                        </w:rPr>
                      </w:pPr>
                      <w:r>
                        <w:rPr>
                          <w:rFonts w:hint="eastAsia" w:cs="宋体"/>
                          <w:sz w:val="24"/>
                          <w:szCs w:val="24"/>
                        </w:rPr>
                        <w:t>附：代理人性别：</w:t>
                      </w:r>
                      <w:r>
                        <w:rPr>
                          <w:rFonts w:hint="eastAsia" w:cs="宋体"/>
                          <w:sz w:val="24"/>
                          <w:szCs w:val="24"/>
                          <w:u w:val="single"/>
                        </w:rPr>
                        <w:t>　　</w:t>
                      </w:r>
                      <w:r>
                        <w:rPr>
                          <w:rFonts w:hint="eastAsia" w:cs="宋体"/>
                          <w:sz w:val="24"/>
                          <w:szCs w:val="24"/>
                        </w:rPr>
                        <w:t>年龄：</w:t>
                      </w:r>
                      <w:r>
                        <w:rPr>
                          <w:rFonts w:hint="eastAsia" w:cs="宋体"/>
                          <w:sz w:val="24"/>
                          <w:szCs w:val="24"/>
                          <w:u w:val="single"/>
                        </w:rPr>
                        <w:t>　　　</w:t>
                      </w:r>
                      <w:r>
                        <w:rPr>
                          <w:rFonts w:hint="eastAsia" w:cs="宋体"/>
                          <w:sz w:val="24"/>
                          <w:szCs w:val="24"/>
                        </w:rPr>
                        <w:t>身份证号码：</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注册号码：</w:t>
                      </w:r>
                      <w:r>
                        <w:rPr>
                          <w:rFonts w:hint="eastAsia" w:cs="宋体"/>
                          <w:sz w:val="24"/>
                          <w:szCs w:val="24"/>
                          <w:u w:val="single"/>
                        </w:rPr>
                        <w:t>　　　　　　　　　</w:t>
                      </w:r>
                      <w:r>
                        <w:rPr>
                          <w:rFonts w:hint="eastAsia" w:cs="宋体"/>
                          <w:sz w:val="24"/>
                          <w:szCs w:val="24"/>
                        </w:rPr>
                        <w:t>企业类型：</w:t>
                      </w:r>
                      <w:r>
                        <w:rPr>
                          <w:sz w:val="24"/>
                          <w:szCs w:val="24"/>
                          <w:u w:val="single"/>
                        </w:rPr>
                        <w:t xml:space="preserve">                               </w:t>
                      </w:r>
                    </w:p>
                    <w:p>
                      <w:pPr>
                        <w:snapToGrid w:val="0"/>
                        <w:spacing w:line="480" w:lineRule="atLeast"/>
                        <w:ind w:hanging="105"/>
                        <w:rPr>
                          <w:sz w:val="24"/>
                          <w:szCs w:val="24"/>
                          <w:u w:val="single"/>
                        </w:rPr>
                      </w:pPr>
                      <w:r>
                        <w:rPr>
                          <w:rFonts w:hint="eastAsia" w:cs="宋体"/>
                          <w:sz w:val="24"/>
                          <w:szCs w:val="24"/>
                        </w:rPr>
                        <w:t>　　经营范围：</w:t>
                      </w:r>
                      <w:r>
                        <w:rPr>
                          <w:sz w:val="24"/>
                          <w:szCs w:val="24"/>
                          <w:u w:val="single"/>
                        </w:rPr>
                        <w:t xml:space="preserve">                                                           </w:t>
                      </w:r>
                    </w:p>
                    <w:p>
                      <w:pPr>
                        <w:snapToGrid w:val="0"/>
                        <w:spacing w:line="480" w:lineRule="atLeast"/>
                        <w:ind w:hanging="105"/>
                        <w:rPr>
                          <w:sz w:val="24"/>
                          <w:szCs w:val="24"/>
                        </w:rPr>
                      </w:pPr>
                      <w:r>
                        <w:rPr>
                          <w:rFonts w:hint="eastAsia" w:cs="宋体"/>
                          <w:sz w:val="24"/>
                          <w:szCs w:val="24"/>
                        </w:rPr>
                        <w:t>　　法定代表人（负责人）：</w:t>
                      </w:r>
                      <w:r>
                        <w:rPr>
                          <w:rFonts w:hint="eastAsia" w:cs="宋体"/>
                          <w:sz w:val="24"/>
                          <w:szCs w:val="24"/>
                          <w:u w:val="single"/>
                        </w:rPr>
                        <w:t>　　　</w:t>
                      </w:r>
                      <w:r>
                        <w:rPr>
                          <w:sz w:val="24"/>
                          <w:szCs w:val="24"/>
                          <w:u w:val="single"/>
                        </w:rPr>
                        <w:t xml:space="preserve">          </w:t>
                      </w:r>
                      <w:r>
                        <w:rPr>
                          <w:rFonts w:hint="eastAsia" w:cs="宋体"/>
                          <w:sz w:val="24"/>
                          <w:szCs w:val="24"/>
                        </w:rPr>
                        <w:t>（签名）</w:t>
                      </w:r>
                    </w:p>
                    <w:p>
                      <w:pPr>
                        <w:snapToGrid w:val="0"/>
                        <w:spacing w:line="480" w:lineRule="atLeast"/>
                        <w:ind w:hanging="105"/>
                        <w:rPr>
                          <w:sz w:val="24"/>
                          <w:szCs w:val="24"/>
                        </w:rPr>
                      </w:pPr>
                      <w:r>
                        <w:rPr>
                          <w:rFonts w:hint="eastAsia" w:cs="宋体"/>
                          <w:sz w:val="24"/>
                          <w:szCs w:val="24"/>
                        </w:rPr>
                        <w:t>　　授权单位：（盖章）</w:t>
                      </w:r>
                      <w:r>
                        <w:rPr>
                          <w:sz w:val="24"/>
                          <w:szCs w:val="24"/>
                          <w:u w:val="single"/>
                        </w:rPr>
                        <w:t xml:space="preserve">                     </w:t>
                      </w:r>
                      <w:r>
                        <w:rPr>
                          <w:rFonts w:hint="eastAsia" w:cs="宋体"/>
                          <w:sz w:val="24"/>
                          <w:szCs w:val="24"/>
                        </w:rPr>
                        <w:t>　　　</w:t>
                      </w:r>
                    </w:p>
                    <w:p>
                      <w:pPr>
                        <w:snapToGrid w:val="0"/>
                        <w:spacing w:line="480" w:lineRule="atLeast"/>
                        <w:ind w:firstLine="570"/>
                        <w:rPr>
                          <w:sz w:val="24"/>
                          <w:szCs w:val="24"/>
                        </w:rPr>
                      </w:pPr>
                      <w:r>
                        <w:rPr>
                          <w:rFonts w:hint="eastAsia" w:cs="宋体"/>
                          <w:sz w:val="24"/>
                          <w:szCs w:val="24"/>
                        </w:rPr>
                        <w:t>　　　　　　　　　　　　　　　　　　　　　</w:t>
                      </w:r>
                      <w:r>
                        <w:rPr>
                          <w:sz w:val="24"/>
                          <w:szCs w:val="24"/>
                        </w:rPr>
                        <w:t xml:space="preserve">      </w:t>
                      </w:r>
                      <w:r>
                        <w:rPr>
                          <w:rFonts w:hint="eastAsia" w:cs="宋体"/>
                          <w:sz w:val="24"/>
                          <w:szCs w:val="24"/>
                        </w:rPr>
                        <w:t>年　</w:t>
                      </w:r>
                      <w:r>
                        <w:rPr>
                          <w:sz w:val="24"/>
                          <w:szCs w:val="24"/>
                        </w:rPr>
                        <w:t xml:space="preserve"> </w:t>
                      </w:r>
                      <w:r>
                        <w:rPr>
                          <w:rFonts w:hint="eastAsia" w:cs="宋体"/>
                          <w:sz w:val="24"/>
                          <w:szCs w:val="24"/>
                        </w:rPr>
                        <w:t>月　</w:t>
                      </w:r>
                      <w:r>
                        <w:rPr>
                          <w:sz w:val="24"/>
                          <w:szCs w:val="24"/>
                        </w:rPr>
                        <w:t xml:space="preserve"> </w:t>
                      </w:r>
                      <w:r>
                        <w:rPr>
                          <w:rFonts w:hint="eastAsia" w:cs="宋体"/>
                          <w:sz w:val="24"/>
                          <w:szCs w:val="24"/>
                        </w:rPr>
                        <w:t>日</w:t>
                      </w:r>
                    </w:p>
                  </w:txbxContent>
                </v:textbox>
                <w10:wrap type="none"/>
                <w10:anchorlock/>
              </v:shape>
            </w:pict>
          </mc:Fallback>
        </mc:AlternateContent>
      </w:r>
    </w:p>
    <w:p>
      <w:pPr>
        <w:spacing w:line="360" w:lineRule="auto"/>
        <w:rPr>
          <w:rFonts w:ascii="宋体" w:hAnsi="宋体" w:cs="宋体"/>
          <w:color w:val="auto"/>
          <w:sz w:val="24"/>
          <w:szCs w:val="24"/>
          <w:highlight w:val="none"/>
        </w:rPr>
      </w:pPr>
      <w:r>
        <w:rPr>
          <w:rFonts w:hint="eastAsia" w:ascii="宋体" w:hAnsi="宋体" w:cs="宋体"/>
          <w:color w:val="auto"/>
          <w:sz w:val="24"/>
          <w:szCs w:val="24"/>
          <w:highlight w:val="none"/>
        </w:rPr>
        <w:t>注：按提供的该表格格式填写，或使用工商管理部门的格式填写。</w:t>
      </w:r>
    </w:p>
    <w:p>
      <w:pPr>
        <w:pStyle w:val="5"/>
        <w:rPr>
          <w:color w:val="auto"/>
          <w:highlight w:val="none"/>
        </w:rPr>
      </w:pPr>
      <w:r>
        <w:rPr>
          <w:color w:val="auto"/>
          <w:highlight w:val="none"/>
        </w:rPr>
        <w:br w:type="page"/>
      </w:r>
      <w:bookmarkStart w:id="241" w:name="_Toc23550"/>
      <w:bookmarkStart w:id="242" w:name="_Toc9652"/>
      <w:bookmarkStart w:id="243" w:name="_Toc103592038"/>
      <w:bookmarkStart w:id="244" w:name="_Toc533334223"/>
      <w:r>
        <w:rPr>
          <w:rFonts w:hint="eastAsia"/>
          <w:color w:val="auto"/>
          <w:highlight w:val="none"/>
        </w:rPr>
        <w:t>三、</w:t>
      </w:r>
      <w:bookmarkStart w:id="245" w:name="_Toc361508757"/>
      <w:bookmarkStart w:id="246" w:name="_Toc13469"/>
      <w:bookmarkStart w:id="247" w:name="_Toc247514284"/>
      <w:bookmarkStart w:id="248" w:name="_Toc300835214"/>
      <w:bookmarkStart w:id="249" w:name="_Toc152042581"/>
      <w:bookmarkStart w:id="250" w:name="_Toc247527832"/>
      <w:bookmarkStart w:id="251" w:name="_Toc352691666"/>
      <w:bookmarkStart w:id="252" w:name="_Toc144974861"/>
      <w:bookmarkStart w:id="253" w:name="_Toc152045792"/>
      <w:bookmarkStart w:id="254" w:name="_Toc369531702"/>
      <w:bookmarkStart w:id="255" w:name="_Toc384308381"/>
      <w:r>
        <w:rPr>
          <w:rFonts w:hint="eastAsia"/>
          <w:color w:val="auto"/>
          <w:highlight w:val="none"/>
        </w:rPr>
        <w:t>投标保证金凭证</w:t>
      </w:r>
      <w:bookmarkEnd w:id="241"/>
      <w:bookmarkEnd w:id="242"/>
      <w:bookmarkEnd w:id="243"/>
    </w:p>
    <w:bookmarkEnd w:id="244"/>
    <w:bookmarkEnd w:id="245"/>
    <w:bookmarkEnd w:id="246"/>
    <w:bookmarkEnd w:id="247"/>
    <w:bookmarkEnd w:id="248"/>
    <w:bookmarkEnd w:id="249"/>
    <w:bookmarkEnd w:id="250"/>
    <w:bookmarkEnd w:id="251"/>
    <w:bookmarkEnd w:id="252"/>
    <w:bookmarkEnd w:id="253"/>
    <w:bookmarkEnd w:id="254"/>
    <w:bookmarkEnd w:id="255"/>
    <w:p>
      <w:pPr>
        <w:spacing w:line="360" w:lineRule="auto"/>
        <w:ind w:firstLine="420" w:firstLineChars="200"/>
        <w:rPr>
          <w:rFonts w:ascii="宋体" w:hAnsi="宋体"/>
          <w:color w:val="auto"/>
          <w:highlight w:val="none"/>
        </w:rPr>
      </w:pPr>
      <w:r>
        <w:rPr>
          <w:rFonts w:hint="eastAsia" w:ascii="宋体" w:hAnsi="宋体"/>
          <w:color w:val="auto"/>
          <w:highlight w:val="none"/>
        </w:rPr>
        <w:t>如采用现金或者支票方式提交的由广州公共资源交易中心代收的，在此提供经广州公共资源交易中心确认的投标保证金回执；</w:t>
      </w:r>
    </w:p>
    <w:p>
      <w:pPr>
        <w:spacing w:line="360" w:lineRule="auto"/>
        <w:rPr>
          <w:rFonts w:ascii="宋体" w:hAnsi="宋体"/>
          <w:color w:val="auto"/>
          <w:highlight w:val="none"/>
        </w:rPr>
      </w:pPr>
      <w:r>
        <w:rPr>
          <w:rFonts w:hint="eastAsia" w:ascii="宋体" w:hAnsi="宋体"/>
          <w:color w:val="auto"/>
          <w:highlight w:val="none"/>
        </w:rPr>
        <w:t xml:space="preserve">   如采用投标保函或投标保证保险方式提交的，在此提供投标保函或投标保证保险扫描件。</w:t>
      </w:r>
    </w:p>
    <w:p>
      <w:pPr>
        <w:spacing w:line="360" w:lineRule="auto"/>
        <w:rPr>
          <w:rFonts w:ascii="宋体" w:hAnsi="宋体"/>
          <w:color w:val="auto"/>
          <w:highlight w:val="none"/>
        </w:rPr>
      </w:pPr>
    </w:p>
    <w:p>
      <w:pP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br w:type="page"/>
      </w:r>
    </w:p>
    <w:p>
      <w:pPr>
        <w:pStyle w:val="17"/>
        <w:jc w:val="center"/>
        <w:rPr>
          <w:rFonts w:ascii="黑体" w:hAnsi="黑体" w:eastAsia="黑体" w:cs="华文仿宋"/>
          <w:color w:val="auto"/>
          <w:sz w:val="32"/>
          <w:szCs w:val="32"/>
          <w:highlight w:val="none"/>
        </w:rPr>
      </w:pPr>
      <w:r>
        <w:rPr>
          <w:rFonts w:hint="eastAsia" w:ascii="黑体" w:hAnsi="黑体" w:eastAsia="黑体" w:cs="华文仿宋"/>
          <w:color w:val="auto"/>
          <w:sz w:val="32"/>
          <w:szCs w:val="32"/>
          <w:highlight w:val="none"/>
        </w:rPr>
        <w:t>（一）中小企业声明函</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本企业郑重声明，根据《关于印发中小企业划型标准规定的通知》（工信部联企业〔2011〕300号）的规定，本企业具体情况如下：</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本企业属于建筑业行业；营业收入为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万元，资产总额为</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万元，属于</w:t>
      </w:r>
      <w:r>
        <w:rPr>
          <w:rFonts w:hint="eastAsia" w:ascii="仿宋_GB2312" w:hAnsi="Times New Roman" w:eastAsia="仿宋_GB2312"/>
          <w:color w:val="auto"/>
          <w:sz w:val="32"/>
          <w:szCs w:val="32"/>
          <w:highlight w:val="none"/>
          <w:u w:val="single"/>
        </w:rPr>
        <w:t xml:space="preserve">    </w:t>
      </w:r>
      <w:r>
        <w:rPr>
          <w:rFonts w:hint="eastAsia" w:ascii="仿宋_GB2312" w:hAnsi="Times New Roman" w:eastAsia="仿宋_GB2312"/>
          <w:color w:val="auto"/>
          <w:sz w:val="32"/>
          <w:szCs w:val="32"/>
          <w:highlight w:val="none"/>
        </w:rPr>
        <w:t>（中型企业、小型企业、微型企业）；</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依据《政府采购促进中小企业发展管理办法》的规定，本企业不属于大企业的分支机构，不存在控股股东为大企业的情形，也不存在与大企业的负责人为同一人的情形。 </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本企业对上述声明内容的真实性负责。如有虚假，将依法承担相应责任。 </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pStyle w:val="17"/>
        <w:spacing w:line="560" w:lineRule="exact"/>
        <w:ind w:firstLine="4800" w:firstLineChars="15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企业名称（盖章）：</w:t>
      </w:r>
    </w:p>
    <w:p>
      <w:pPr>
        <w:pStyle w:val="17"/>
        <w:spacing w:line="560" w:lineRule="exact"/>
        <w:ind w:firstLine="5120" w:firstLineChars="16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日 期：</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注：</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1、营业收入、资产总额填报上一年度数据，无上一年度数据的新成立企业可不填报。</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2、《中小企业声明函》须按照本函格式填写，否则评标委员会有权视其为非中小企业，不享受免于提交投标保证金的优惠政策。</w:t>
      </w:r>
    </w:p>
    <w:p>
      <w:pPr>
        <w:pStyle w:val="17"/>
        <w:spacing w:line="560" w:lineRule="exact"/>
        <w:ind w:firstLine="640" w:firstLineChars="200"/>
        <w:rPr>
          <w:rFonts w:ascii="Times New Roman" w:hAnsi="Times New Roman"/>
          <w:color w:val="auto"/>
          <w:highlight w:val="none"/>
        </w:rPr>
      </w:pPr>
      <w:r>
        <w:rPr>
          <w:rFonts w:hint="eastAsia" w:ascii="仿宋_GB2312" w:hAnsi="Times New Roman" w:eastAsia="仿宋_GB2312"/>
          <w:color w:val="auto"/>
          <w:sz w:val="32"/>
          <w:szCs w:val="32"/>
          <w:highlight w:val="none"/>
        </w:rPr>
        <w:t>3、招标人、招标代理机构将按有关规定公开《中小企业声明函》。</w:t>
      </w:r>
    </w:p>
    <w:p>
      <w:pPr>
        <w:widowControl/>
        <w:jc w:val="left"/>
        <w:rPr>
          <w:color w:val="auto"/>
          <w:highlight w:val="none"/>
        </w:rPr>
      </w:pPr>
      <w:r>
        <w:rPr>
          <w:color w:val="auto"/>
          <w:highlight w:val="none"/>
        </w:rPr>
        <w:br w:type="page"/>
      </w:r>
    </w:p>
    <w:p>
      <w:pPr>
        <w:pStyle w:val="17"/>
        <w:spacing w:line="560" w:lineRule="exact"/>
        <w:ind w:firstLine="640" w:firstLineChars="200"/>
        <w:jc w:val="center"/>
        <w:rPr>
          <w:rFonts w:ascii="仿宋_GB2312" w:hAnsi="Times New Roman" w:eastAsia="仿宋_GB2312"/>
          <w:color w:val="auto"/>
          <w:sz w:val="32"/>
          <w:szCs w:val="32"/>
          <w:highlight w:val="none"/>
        </w:rPr>
      </w:pPr>
      <w:r>
        <w:rPr>
          <w:rFonts w:hint="eastAsia" w:ascii="黑体" w:hAnsi="黑体" w:eastAsia="黑体" w:cs="华文仿宋"/>
          <w:color w:val="auto"/>
          <w:sz w:val="32"/>
          <w:szCs w:val="32"/>
          <w:highlight w:val="none"/>
        </w:rPr>
        <w:t>（二）关于投标保证金的承诺</w:t>
      </w:r>
    </w:p>
    <w:p>
      <w:pPr>
        <w:pStyle w:val="17"/>
        <w:spacing w:line="560" w:lineRule="exact"/>
        <w:ind w:firstLine="640" w:firstLineChars="200"/>
        <w:rPr>
          <w:rFonts w:ascii="仿宋_GB2312" w:hAnsi="Times New Roman" w:eastAsia="仿宋_GB2312"/>
          <w:color w:val="auto"/>
          <w:sz w:val="32"/>
          <w:szCs w:val="32"/>
          <w:highlight w:val="none"/>
        </w:rPr>
      </w:pPr>
      <w:r>
        <w:rPr>
          <w:rFonts w:hint="eastAsia" w:ascii="仿宋_GB2312" w:hAnsi="Times New Roman" w:eastAsia="仿宋_GB2312"/>
          <w:color w:val="auto"/>
          <w:sz w:val="32"/>
          <w:szCs w:val="32"/>
          <w:highlight w:val="none"/>
        </w:rPr>
        <w:t xml:space="preserve"> </w:t>
      </w:r>
    </w:p>
    <w:p>
      <w:pPr>
        <w:autoSpaceDE w:val="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本招标项目招标人及招标监管机构：</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本公司就参加</w:t>
      </w:r>
      <w:r>
        <w:rPr>
          <w:rFonts w:hint="eastAsia" w:ascii="仿宋_GB2312" w:eastAsia="仿宋_GB2312"/>
          <w:color w:val="auto"/>
          <w:sz w:val="32"/>
          <w:szCs w:val="32"/>
          <w:highlight w:val="none"/>
          <w:u w:val="single"/>
        </w:rPr>
        <w:t xml:space="preserve">      （招标项目名称）     </w:t>
      </w:r>
      <w:r>
        <w:rPr>
          <w:rFonts w:hint="eastAsia" w:ascii="仿宋_GB2312" w:eastAsia="仿宋_GB2312"/>
          <w:color w:val="auto"/>
          <w:sz w:val="32"/>
          <w:szCs w:val="32"/>
          <w:highlight w:val="none"/>
        </w:rPr>
        <w:t>项目的投标工作，作出郑重声明：</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本公司满足招标文件中免交投标保证金的相关要求，在投标时未提交投标保证金。我司理解在投标时免交投标保证金是为企业减负的举措，并未免除我司的投标义务，本公司</w:t>
      </w:r>
      <w:r>
        <w:rPr>
          <w:rFonts w:hint="eastAsia" w:ascii="仿宋_GB2312" w:hAnsi="仿宋" w:eastAsia="仿宋_GB2312" w:cs="华文仿宋"/>
          <w:color w:val="auto"/>
          <w:kern w:val="0"/>
          <w:sz w:val="32"/>
          <w:szCs w:val="32"/>
          <w:highlight w:val="none"/>
        </w:rPr>
        <w:t>一旦发生符合招标文件规定的不予退还投标保证金情形的，将</w:t>
      </w:r>
      <w:r>
        <w:rPr>
          <w:rFonts w:hint="eastAsia" w:ascii="仿宋_GB2312" w:eastAsia="仿宋_GB2312"/>
          <w:color w:val="auto"/>
          <w:sz w:val="32"/>
          <w:szCs w:val="32"/>
          <w:highlight w:val="none"/>
        </w:rPr>
        <w:t>按照招标人的要求，在规定的时间内向招标人足额补交投标保证金。</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本公司违反上述保证的，将被视为虚假承诺，按相关规定进行信用记录。本公司对失信行为产生的一切后果已知悉，并承担由此产生的相应责任。</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特此承诺。</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640" w:firstLineChars="2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 xml:space="preserve"> </w:t>
      </w:r>
    </w:p>
    <w:p>
      <w:pPr>
        <w:autoSpaceDE w:val="0"/>
        <w:ind w:firstLine="4160" w:firstLineChars="1300"/>
        <w:jc w:val="left"/>
        <w:rPr>
          <w:rFonts w:ascii="仿宋_GB2312" w:eastAsia="仿宋_GB2312"/>
          <w:color w:val="auto"/>
          <w:sz w:val="32"/>
          <w:szCs w:val="32"/>
          <w:highlight w:val="none"/>
        </w:rPr>
      </w:pPr>
      <w:r>
        <w:rPr>
          <w:rFonts w:hint="eastAsia" w:ascii="仿宋_GB2312" w:eastAsia="仿宋_GB2312"/>
          <w:color w:val="auto"/>
          <w:sz w:val="32"/>
          <w:szCs w:val="32"/>
          <w:highlight w:val="none"/>
        </w:rPr>
        <w:t>投标人：  （盖章）</w:t>
      </w:r>
    </w:p>
    <w:p>
      <w:pPr>
        <w:jc w:val="center"/>
        <w:rPr>
          <w:color w:val="auto"/>
          <w:szCs w:val="21"/>
          <w:highlight w:val="none"/>
        </w:rPr>
      </w:pPr>
      <w:r>
        <w:rPr>
          <w:rFonts w:hint="eastAsia" w:ascii="仿宋_GB2312" w:eastAsia="仿宋_GB2312"/>
          <w:color w:val="auto"/>
          <w:sz w:val="32"/>
          <w:szCs w:val="32"/>
          <w:highlight w:val="none"/>
        </w:rPr>
        <w:t xml:space="preserve">        日  期：</w:t>
      </w:r>
    </w:p>
    <w:p>
      <w:pPr>
        <w:spacing w:line="440" w:lineRule="exact"/>
        <w:ind w:right="420"/>
        <w:jc w:val="center"/>
        <w:rPr>
          <w:color w:val="auto"/>
          <w:szCs w:val="21"/>
          <w:highlight w:val="none"/>
        </w:rPr>
        <w:sectPr>
          <w:pgSz w:w="12240" w:h="15840"/>
          <w:pgMar w:top="1440" w:right="1423" w:bottom="1162" w:left="1423" w:header="720" w:footer="720" w:gutter="0"/>
          <w:cols w:space="720" w:num="1"/>
          <w:docGrid w:linePitch="285" w:charSpace="0"/>
        </w:sectPr>
      </w:pPr>
    </w:p>
    <w:p>
      <w:pPr>
        <w:pStyle w:val="5"/>
        <w:rPr>
          <w:color w:val="auto"/>
          <w:highlight w:val="none"/>
        </w:rPr>
      </w:pPr>
      <w:bookmarkStart w:id="256" w:name="_Toc374536214"/>
      <w:bookmarkStart w:id="257" w:name="_Toc390704766"/>
      <w:bookmarkStart w:id="258" w:name="_Toc11644"/>
      <w:bookmarkStart w:id="259" w:name="_Toc103592039"/>
      <w:bookmarkStart w:id="260" w:name="_Toc11199"/>
      <w:bookmarkStart w:id="261" w:name="_Toc7635"/>
      <w:bookmarkStart w:id="262" w:name="_Toc533357333"/>
      <w:r>
        <w:rPr>
          <w:rFonts w:hint="eastAsia"/>
          <w:color w:val="auto"/>
          <w:szCs w:val="32"/>
          <w:highlight w:val="none"/>
        </w:rPr>
        <w:t>四</w:t>
      </w:r>
      <w:bookmarkEnd w:id="256"/>
      <w:bookmarkEnd w:id="257"/>
      <w:r>
        <w:rPr>
          <w:rFonts w:hint="eastAsia"/>
          <w:color w:val="auto"/>
          <w:szCs w:val="32"/>
          <w:highlight w:val="none"/>
        </w:rPr>
        <w:t>、</w:t>
      </w:r>
      <w:r>
        <w:rPr>
          <w:rFonts w:hint="eastAsia"/>
          <w:color w:val="auto"/>
          <w:highlight w:val="none"/>
        </w:rPr>
        <w:t>投</w:t>
      </w:r>
      <w:r>
        <w:rPr>
          <w:rFonts w:hint="eastAsia"/>
          <w:color w:val="auto"/>
          <w:szCs w:val="22"/>
          <w:highlight w:val="none"/>
        </w:rPr>
        <w:t>标</w:t>
      </w:r>
      <w:r>
        <w:rPr>
          <w:rFonts w:hint="eastAsia"/>
          <w:color w:val="auto"/>
          <w:highlight w:val="none"/>
        </w:rPr>
        <w:t>报价书</w:t>
      </w:r>
      <w:bookmarkEnd w:id="258"/>
      <w:bookmarkEnd w:id="259"/>
      <w:bookmarkEnd w:id="260"/>
      <w:bookmarkEnd w:id="261"/>
      <w:bookmarkEnd w:id="262"/>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 xml:space="preserve"> </w:t>
      </w:r>
    </w:p>
    <w:p>
      <w:pPr>
        <w:spacing w:line="500" w:lineRule="exact"/>
        <w:jc w:val="center"/>
        <w:rPr>
          <w:rFonts w:ascii="宋体" w:hAnsi="宋体"/>
          <w:b/>
          <w:bCs/>
          <w:color w:val="auto"/>
          <w:sz w:val="30"/>
          <w:highlight w:val="none"/>
        </w:rPr>
      </w:pPr>
      <w:r>
        <w:rPr>
          <w:rFonts w:hint="eastAsia" w:ascii="宋体" w:hAnsi="宋体"/>
          <w:b/>
          <w:bCs/>
          <w:color w:val="auto"/>
          <w:sz w:val="30"/>
          <w:highlight w:val="none"/>
        </w:rPr>
        <w:t>开发区半导体创新智造园项目第三方检测和监测服务</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600" w:lineRule="exact"/>
        <w:jc w:val="center"/>
        <w:rPr>
          <w:rFonts w:ascii="宋体" w:hAnsi="宋体"/>
          <w:b/>
          <w:bCs/>
          <w:color w:val="auto"/>
          <w:sz w:val="52"/>
          <w:highlight w:val="none"/>
        </w:rPr>
      </w:pPr>
      <w:r>
        <w:rPr>
          <w:rFonts w:hint="eastAsia" w:ascii="宋体" w:hAnsi="宋体"/>
          <w:b/>
          <w:bCs/>
          <w:color w:val="auto"/>
          <w:sz w:val="52"/>
          <w:highlight w:val="none"/>
        </w:rPr>
        <w:t>报</w:t>
      </w:r>
      <w:r>
        <w:rPr>
          <w:rFonts w:ascii="宋体" w:hAnsi="宋体"/>
          <w:b/>
          <w:bCs/>
          <w:color w:val="auto"/>
          <w:sz w:val="52"/>
          <w:highlight w:val="none"/>
        </w:rPr>
        <w:t xml:space="preserve">  </w:t>
      </w:r>
      <w:r>
        <w:rPr>
          <w:rFonts w:hint="eastAsia" w:ascii="宋体" w:hAnsi="宋体"/>
          <w:b/>
          <w:bCs/>
          <w:color w:val="auto"/>
          <w:sz w:val="52"/>
          <w:highlight w:val="none"/>
        </w:rPr>
        <w:t>价</w:t>
      </w:r>
      <w:r>
        <w:rPr>
          <w:rFonts w:ascii="宋体" w:hAnsi="宋体"/>
          <w:b/>
          <w:bCs/>
          <w:color w:val="auto"/>
          <w:sz w:val="52"/>
          <w:highlight w:val="none"/>
        </w:rPr>
        <w:t xml:space="preserve">  </w:t>
      </w:r>
      <w:r>
        <w:rPr>
          <w:rFonts w:hint="eastAsia" w:ascii="宋体" w:hAnsi="宋体"/>
          <w:b/>
          <w:bCs/>
          <w:color w:val="auto"/>
          <w:sz w:val="52"/>
          <w:highlight w:val="none"/>
        </w:rPr>
        <w:t>书</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b/>
          <w:bCs/>
          <w:color w:val="auto"/>
          <w:sz w:val="30"/>
          <w:highlight w:val="none"/>
        </w:rPr>
      </w:pPr>
    </w:p>
    <w:p>
      <w:pPr>
        <w:spacing w:line="500" w:lineRule="exact"/>
        <w:ind w:firstLine="2125" w:firstLineChars="756"/>
        <w:rPr>
          <w:rFonts w:ascii="宋体" w:hAnsi="宋体"/>
          <w:b/>
          <w:bCs/>
          <w:color w:val="auto"/>
          <w:sz w:val="28"/>
          <w:highlight w:val="none"/>
        </w:rPr>
      </w:pPr>
      <w:r>
        <w:rPr>
          <w:rFonts w:hint="eastAsia" w:ascii="宋体" w:hAnsi="宋体"/>
          <w:b/>
          <w:bCs/>
          <w:color w:val="auto"/>
          <w:sz w:val="28"/>
          <w:highlight w:val="none"/>
        </w:rPr>
        <w:t>投标人：（公章）</w:t>
      </w:r>
      <w:r>
        <w:rPr>
          <w:rFonts w:ascii="宋体" w:hAnsi="宋体"/>
          <w:b/>
          <w:bCs/>
          <w:color w:val="auto"/>
          <w:sz w:val="28"/>
          <w:highlight w:val="none"/>
        </w:rPr>
        <w:t xml:space="preserve"> </w:t>
      </w:r>
    </w:p>
    <w:p>
      <w:pPr>
        <w:spacing w:line="500" w:lineRule="exact"/>
        <w:ind w:firstLine="2125" w:firstLineChars="756"/>
        <w:jc w:val="left"/>
        <w:rPr>
          <w:rFonts w:ascii="宋体" w:hAnsi="宋体"/>
          <w:b/>
          <w:bCs/>
          <w:color w:val="auto"/>
          <w:sz w:val="28"/>
          <w:highlight w:val="none"/>
        </w:rPr>
      </w:pPr>
      <w:r>
        <w:rPr>
          <w:rFonts w:hint="eastAsia" w:ascii="宋体" w:hAnsi="宋体"/>
          <w:b/>
          <w:bCs/>
          <w:color w:val="auto"/>
          <w:sz w:val="28"/>
          <w:highlight w:val="none"/>
        </w:rPr>
        <w:t>法定代表人（签字或盖章）：</w:t>
      </w:r>
    </w:p>
    <w:p>
      <w:pPr>
        <w:spacing w:line="500" w:lineRule="exact"/>
        <w:jc w:val="center"/>
        <w:rPr>
          <w:rFonts w:ascii="宋体" w:hAnsi="宋体"/>
          <w:b/>
          <w:bCs/>
          <w:color w:val="auto"/>
          <w:sz w:val="28"/>
          <w:highlight w:val="none"/>
        </w:rPr>
      </w:pPr>
      <w:r>
        <w:rPr>
          <w:rFonts w:hint="eastAsia" w:ascii="宋体" w:hAnsi="宋体"/>
          <w:b/>
          <w:bCs/>
          <w:color w:val="auto"/>
          <w:sz w:val="28"/>
          <w:highlight w:val="none"/>
        </w:rPr>
        <w:t>年</w:t>
      </w:r>
      <w:r>
        <w:rPr>
          <w:rFonts w:ascii="宋体" w:hAnsi="宋体"/>
          <w:b/>
          <w:bCs/>
          <w:color w:val="auto"/>
          <w:sz w:val="28"/>
          <w:highlight w:val="none"/>
        </w:rPr>
        <w:t xml:space="preserve">   </w:t>
      </w:r>
      <w:r>
        <w:rPr>
          <w:rFonts w:hint="eastAsia" w:ascii="宋体" w:hAnsi="宋体"/>
          <w:b/>
          <w:bCs/>
          <w:color w:val="auto"/>
          <w:sz w:val="28"/>
          <w:highlight w:val="none"/>
        </w:rPr>
        <w:t>月</w:t>
      </w:r>
      <w:r>
        <w:rPr>
          <w:rFonts w:ascii="宋体" w:hAnsi="宋体"/>
          <w:b/>
          <w:bCs/>
          <w:color w:val="auto"/>
          <w:sz w:val="28"/>
          <w:highlight w:val="none"/>
        </w:rPr>
        <w:t xml:space="preserve">   </w:t>
      </w:r>
      <w:r>
        <w:rPr>
          <w:rFonts w:hint="eastAsia" w:ascii="宋体" w:hAnsi="宋体"/>
          <w:b/>
          <w:bCs/>
          <w:color w:val="auto"/>
          <w:sz w:val="28"/>
          <w:highlight w:val="none"/>
        </w:rPr>
        <w:t>日</w:t>
      </w:r>
    </w:p>
    <w:p>
      <w:pPr>
        <w:spacing w:line="500" w:lineRule="exact"/>
        <w:jc w:val="center"/>
        <w:rPr>
          <w:rFonts w:ascii="宋体" w:hAnsi="宋体"/>
          <w:b/>
          <w:bCs/>
          <w:color w:val="auto"/>
          <w:sz w:val="30"/>
          <w:highlight w:val="none"/>
        </w:rPr>
      </w:pPr>
    </w:p>
    <w:p>
      <w:pPr>
        <w:spacing w:line="500" w:lineRule="exact"/>
        <w:jc w:val="center"/>
        <w:rPr>
          <w:rFonts w:ascii="宋体" w:hAnsi="宋体"/>
          <w:b/>
          <w:bCs/>
          <w:color w:val="auto"/>
          <w:sz w:val="30"/>
          <w:highlight w:val="none"/>
        </w:rPr>
      </w:pPr>
    </w:p>
    <w:p>
      <w:pPr>
        <w:spacing w:line="500" w:lineRule="exact"/>
        <w:rPr>
          <w:rFonts w:ascii="宋体" w:hAnsi="宋体"/>
          <w:color w:val="auto"/>
          <w:szCs w:val="21"/>
          <w:highlight w:val="none"/>
        </w:rPr>
        <w:sectPr>
          <w:pgSz w:w="11906" w:h="16838"/>
          <w:pgMar w:top="1440" w:right="1080" w:bottom="1440" w:left="1080" w:header="851" w:footer="1021" w:gutter="0"/>
          <w:cols w:space="720" w:num="1"/>
          <w:docGrid w:type="lines" w:linePitch="312" w:charSpace="0"/>
        </w:sectPr>
      </w:pPr>
    </w:p>
    <w:p>
      <w:pPr>
        <w:tabs>
          <w:tab w:val="left" w:pos="5560"/>
          <w:tab w:val="left" w:pos="6940"/>
        </w:tabs>
        <w:spacing w:line="480" w:lineRule="auto"/>
        <w:ind w:right="85" w:firstLine="3213" w:firstLineChars="1000"/>
        <w:jc w:val="left"/>
        <w:rPr>
          <w:rFonts w:ascii="宋体" w:hAnsi="宋体"/>
          <w:b/>
          <w:color w:val="auto"/>
          <w:sz w:val="32"/>
          <w:szCs w:val="28"/>
          <w:highlight w:val="none"/>
        </w:rPr>
      </w:pPr>
      <w:r>
        <w:rPr>
          <w:rFonts w:hint="eastAsia" w:ascii="宋体" w:hAnsi="宋体"/>
          <w:b/>
          <w:color w:val="auto"/>
          <w:sz w:val="32"/>
          <w:szCs w:val="28"/>
          <w:highlight w:val="none"/>
        </w:rPr>
        <w:t>投标报价汇总表</w:t>
      </w:r>
    </w:p>
    <w:p>
      <w:pPr>
        <w:pStyle w:val="27"/>
        <w:rPr>
          <w:rFonts w:ascii="Calibri" w:hAnsi="Calibri"/>
          <w:color w:val="auto"/>
          <w:highlight w:val="none"/>
        </w:rPr>
      </w:pPr>
    </w:p>
    <w:p>
      <w:pPr>
        <w:pStyle w:val="26"/>
        <w:ind w:firstLine="0"/>
        <w:rPr>
          <w:rFonts w:ascii="宋体" w:hAnsi="宋体"/>
          <w:bCs/>
          <w:color w:val="auto"/>
          <w:sz w:val="24"/>
          <w:highlight w:val="none"/>
        </w:rPr>
      </w:pPr>
      <w:r>
        <w:rPr>
          <w:rFonts w:hint="eastAsia" w:ascii="宋体" w:hAnsi="宋体"/>
          <w:bCs/>
          <w:color w:val="auto"/>
          <w:sz w:val="24"/>
          <w:highlight w:val="none"/>
        </w:rPr>
        <w:t>项</w:t>
      </w:r>
      <w:r>
        <w:rPr>
          <w:rFonts w:hint="eastAsia" w:ascii="宋体" w:hAnsi="宋体" w:cs="宋体"/>
          <w:color w:val="auto"/>
          <w:sz w:val="24"/>
          <w:highlight w:val="none"/>
          <w:u w:val="single"/>
        </w:rPr>
        <w:t>目名称：开发区半导体创新智造园项目第三方检测和监测服务</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772"/>
        <w:gridCol w:w="2770"/>
        <w:gridCol w:w="19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6" w:hRule="atLeast"/>
          <w:jc w:val="center"/>
        </w:trPr>
        <w:tc>
          <w:tcPr>
            <w:tcW w:w="4772"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标段名称</w:t>
            </w:r>
          </w:p>
        </w:tc>
        <w:tc>
          <w:tcPr>
            <w:tcW w:w="2770" w:type="dxa"/>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投标报价</w:t>
            </w:r>
          </w:p>
          <w:p>
            <w:pPr>
              <w:jc w:val="center"/>
              <w:rPr>
                <w:rFonts w:ascii="宋体" w:hAnsi="宋体" w:cs="华文楷体"/>
                <w:bCs/>
                <w:color w:val="auto"/>
                <w:kern w:val="0"/>
                <w:sz w:val="24"/>
                <w:szCs w:val="24"/>
                <w:highlight w:val="none"/>
                <w:lang w:bidi="ar"/>
              </w:rPr>
            </w:pPr>
            <w:r>
              <w:rPr>
                <w:rFonts w:hint="eastAsia" w:ascii="宋体" w:hAnsi="宋体" w:cs="华文楷体"/>
                <w:b/>
                <w:color w:val="auto"/>
                <w:kern w:val="0"/>
                <w:sz w:val="24"/>
                <w:szCs w:val="24"/>
                <w:highlight w:val="none"/>
                <w:lang w:bidi="ar"/>
              </w:rPr>
              <w:t>（元）</w:t>
            </w:r>
          </w:p>
        </w:tc>
        <w:tc>
          <w:tcPr>
            <w:tcW w:w="1977" w:type="dxa"/>
            <w:vAlign w:val="center"/>
          </w:tcPr>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投标下浮率</w:t>
            </w:r>
          </w:p>
          <w:p>
            <w:pPr>
              <w:jc w:val="center"/>
              <w:rPr>
                <w:rFonts w:ascii="宋体" w:hAnsi="宋体" w:cs="华文楷体"/>
                <w:b/>
                <w:color w:val="auto"/>
                <w:kern w:val="0"/>
                <w:sz w:val="24"/>
                <w:szCs w:val="24"/>
                <w:highlight w:val="none"/>
                <w:lang w:bidi="ar"/>
              </w:rPr>
            </w:pPr>
            <w:r>
              <w:rPr>
                <w:rFonts w:hint="eastAsia" w:ascii="宋体" w:hAnsi="宋体" w:cs="华文楷体"/>
                <w:b/>
                <w:color w:val="auto"/>
                <w:kern w:val="0"/>
                <w:sz w:val="24"/>
                <w:szCs w:val="24"/>
                <w:highlight w:val="none"/>
                <w:lang w:bidi="ar"/>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737" w:hRule="atLeast"/>
          <w:jc w:val="center"/>
        </w:trPr>
        <w:tc>
          <w:tcPr>
            <w:tcW w:w="4772" w:type="dxa"/>
            <w:vAlign w:val="center"/>
          </w:tcPr>
          <w:p>
            <w:pPr>
              <w:jc w:val="center"/>
              <w:rPr>
                <w:rFonts w:ascii="宋体" w:hAnsi="宋体" w:cs="华文楷体"/>
                <w:bCs/>
                <w:color w:val="auto"/>
                <w:kern w:val="0"/>
                <w:sz w:val="24"/>
                <w:szCs w:val="24"/>
                <w:highlight w:val="none"/>
                <w:lang w:bidi="ar"/>
              </w:rPr>
            </w:pPr>
            <w:r>
              <w:rPr>
                <w:rFonts w:hint="eastAsia" w:ascii="宋体" w:hAnsi="宋体" w:cs="华文楷体"/>
                <w:bCs/>
                <w:color w:val="auto"/>
                <w:kern w:val="0"/>
                <w:sz w:val="24"/>
                <w:szCs w:val="24"/>
                <w:highlight w:val="none"/>
                <w:lang w:bidi="ar"/>
              </w:rPr>
              <w:t>开发区半导体创新智造园项目第三方检测和监测服务</w:t>
            </w:r>
          </w:p>
        </w:tc>
        <w:tc>
          <w:tcPr>
            <w:tcW w:w="2770" w:type="dxa"/>
            <w:vAlign w:val="center"/>
          </w:tcPr>
          <w:p>
            <w:pPr>
              <w:widowControl/>
              <w:jc w:val="center"/>
              <w:textAlignment w:val="center"/>
              <w:rPr>
                <w:rFonts w:ascii="宋体" w:hAnsi="宋体" w:cs="华文楷体"/>
                <w:b/>
                <w:color w:val="auto"/>
                <w:kern w:val="0"/>
                <w:sz w:val="24"/>
                <w:szCs w:val="24"/>
                <w:highlight w:val="none"/>
                <w:lang w:bidi="ar"/>
              </w:rPr>
            </w:pPr>
          </w:p>
        </w:tc>
        <w:tc>
          <w:tcPr>
            <w:tcW w:w="1977" w:type="dxa"/>
            <w:vAlign w:val="center"/>
          </w:tcPr>
          <w:p>
            <w:pPr>
              <w:jc w:val="center"/>
              <w:rPr>
                <w:rFonts w:ascii="宋体" w:hAnsi="宋体" w:cs="华文楷体"/>
                <w:b/>
                <w:color w:val="auto"/>
                <w:kern w:val="0"/>
                <w:sz w:val="24"/>
                <w:szCs w:val="24"/>
                <w:highlight w:val="none"/>
                <w:lang w:bidi="ar"/>
              </w:rPr>
            </w:pPr>
          </w:p>
        </w:tc>
      </w:tr>
    </w:tbl>
    <w:p>
      <w:pPr>
        <w:rPr>
          <w:rFonts w:ascii="宋体" w:hAnsi="宋体"/>
          <w:color w:val="auto"/>
          <w:highlight w:val="none"/>
        </w:rPr>
      </w:pPr>
      <w:bookmarkStart w:id="263" w:name="_Toc333829923"/>
      <w:bookmarkStart w:id="264" w:name="_Toc374536218"/>
      <w:bookmarkStart w:id="265" w:name="_Toc390704770"/>
      <w:bookmarkStart w:id="266" w:name="_Toc374610687"/>
      <w:bookmarkStart w:id="267" w:name="_Toc266373531"/>
      <w:bookmarkStart w:id="268" w:name="_Toc31556"/>
    </w:p>
    <w:p>
      <w:pPr>
        <w:pStyle w:val="27"/>
        <w:ind w:firstLine="422"/>
        <w:rPr>
          <w:rFonts w:ascii="Calibri" w:hAnsi="Calibri"/>
          <w:b/>
          <w:color w:val="auto"/>
          <w:highlight w:val="none"/>
          <w:u w:val="single"/>
        </w:rPr>
      </w:pPr>
      <w:r>
        <w:rPr>
          <w:rFonts w:hint="eastAsia" w:ascii="Calibri" w:hAnsi="Calibri"/>
          <w:b/>
          <w:color w:val="auto"/>
          <w:highlight w:val="none"/>
          <w:u w:val="single"/>
        </w:rPr>
        <w:t>注：</w:t>
      </w:r>
    </w:p>
    <w:p>
      <w:pPr>
        <w:pStyle w:val="27"/>
        <w:ind w:firstLine="422"/>
        <w:rPr>
          <w:rFonts w:ascii="Calibri" w:hAnsi="Calibri"/>
          <w:b/>
          <w:color w:val="auto"/>
          <w:highlight w:val="none"/>
          <w:u w:val="single"/>
        </w:rPr>
      </w:pPr>
      <w:r>
        <w:rPr>
          <w:rFonts w:hint="eastAsia" w:ascii="Calibri" w:hAnsi="Calibri"/>
          <w:b/>
          <w:color w:val="auto"/>
          <w:highlight w:val="none"/>
          <w:u w:val="single"/>
        </w:rPr>
        <w:t>1、投标下浮率=（1-投标报价/最高投标限价）*100%。</w:t>
      </w:r>
    </w:p>
    <w:p>
      <w:pPr>
        <w:pStyle w:val="27"/>
        <w:ind w:firstLine="422"/>
        <w:rPr>
          <w:rFonts w:ascii="Calibri" w:hAnsi="Calibri"/>
          <w:b/>
          <w:color w:val="auto"/>
          <w:highlight w:val="none"/>
          <w:u w:val="single"/>
        </w:rPr>
      </w:pPr>
      <w:r>
        <w:rPr>
          <w:rFonts w:hint="eastAsia" w:ascii="Calibri" w:hAnsi="Calibri"/>
          <w:b/>
          <w:color w:val="auto"/>
          <w:highlight w:val="none"/>
          <w:u w:val="single"/>
        </w:rPr>
        <w:t>2、精确到小数点后2位。</w:t>
      </w:r>
    </w:p>
    <w:p>
      <w:pPr>
        <w:pStyle w:val="27"/>
        <w:rPr>
          <w:rFonts w:ascii="Calibri" w:hAnsi="Calibri"/>
          <w:color w:val="auto"/>
          <w:highlight w:val="none"/>
        </w:rPr>
      </w:pPr>
    </w:p>
    <w:p>
      <w:pPr>
        <w:pStyle w:val="27"/>
        <w:rPr>
          <w:rFonts w:ascii="Calibri" w:hAnsi="Calibri"/>
          <w:color w:val="auto"/>
          <w:highlight w:val="none"/>
        </w:rPr>
      </w:pPr>
    </w:p>
    <w:p>
      <w:pPr>
        <w:pStyle w:val="27"/>
        <w:rPr>
          <w:rFonts w:ascii="Calibri" w:hAnsi="Calibri"/>
          <w:color w:val="auto"/>
          <w:highlight w:val="none"/>
        </w:rPr>
      </w:pPr>
    </w:p>
    <w:p>
      <w:pPr>
        <w:pStyle w:val="13"/>
        <w:tabs>
          <w:tab w:val="left" w:pos="7321"/>
        </w:tabs>
        <w:spacing w:before="36"/>
        <w:ind w:left="2701"/>
        <w:jc w:val="right"/>
        <w:rPr>
          <w:rFonts w:ascii="宋体" w:hAnsi="宋体"/>
          <w:color w:val="auto"/>
          <w:highlight w:val="none"/>
        </w:rPr>
      </w:pPr>
      <w:r>
        <w:rPr>
          <w:rFonts w:hint="eastAsia" w:ascii="宋体" w:hAnsi="宋体"/>
          <w:color w:val="auto"/>
          <w:highlight w:val="none"/>
        </w:rPr>
        <w:t>投标人：</w:t>
      </w:r>
      <w:r>
        <w:rPr>
          <w:rFonts w:ascii="宋体" w:hAnsi="宋体"/>
          <w:color w:val="auto"/>
          <w:highlight w:val="none"/>
          <w:u w:val="single" w:color="000000"/>
        </w:rPr>
        <w:tab/>
      </w:r>
      <w:r>
        <w:rPr>
          <w:rFonts w:hint="eastAsia" w:ascii="宋体" w:hAnsi="宋体"/>
          <w:color w:val="auto"/>
          <w:highlight w:val="none"/>
        </w:rPr>
        <w:t>（盖单位章）</w:t>
      </w:r>
    </w:p>
    <w:p>
      <w:pPr>
        <w:spacing w:before="13"/>
        <w:jc w:val="right"/>
        <w:rPr>
          <w:rFonts w:ascii="宋体" w:hAnsi="宋体" w:cs="宋体"/>
          <w:color w:val="auto"/>
          <w:sz w:val="9"/>
          <w:szCs w:val="9"/>
          <w:highlight w:val="none"/>
        </w:rPr>
      </w:pPr>
    </w:p>
    <w:p>
      <w:pPr>
        <w:pStyle w:val="13"/>
        <w:tabs>
          <w:tab w:val="left" w:pos="6481"/>
        </w:tabs>
        <w:spacing w:before="36"/>
        <w:ind w:left="2701"/>
        <w:jc w:val="right"/>
        <w:rPr>
          <w:rFonts w:ascii="宋体" w:hAnsi="宋体"/>
          <w:color w:val="auto"/>
          <w:highlight w:val="none"/>
        </w:rPr>
      </w:pPr>
      <w:r>
        <w:rPr>
          <w:rFonts w:hint="eastAsia" w:ascii="宋体" w:hAnsi="宋体"/>
          <w:color w:val="auto"/>
          <w:spacing w:val="-2"/>
          <w:highlight w:val="none"/>
        </w:rPr>
        <w:t>法定代表人或其委托代理人：</w:t>
      </w:r>
      <w:r>
        <w:rPr>
          <w:rFonts w:ascii="宋体" w:hAnsi="宋体"/>
          <w:color w:val="auto"/>
          <w:spacing w:val="-2"/>
          <w:highlight w:val="none"/>
          <w:u w:val="single" w:color="000000"/>
        </w:rPr>
        <w:tab/>
      </w:r>
      <w:r>
        <w:rPr>
          <w:rFonts w:hint="eastAsia" w:ascii="宋体" w:hAnsi="宋体"/>
          <w:color w:val="auto"/>
          <w:spacing w:val="-1"/>
          <w:highlight w:val="none"/>
        </w:rPr>
        <w:t>（签字或盖章）</w:t>
      </w:r>
    </w:p>
    <w:p>
      <w:pPr>
        <w:spacing w:before="10"/>
        <w:jc w:val="right"/>
        <w:rPr>
          <w:rFonts w:ascii="宋体" w:hAnsi="宋体" w:cs="宋体"/>
          <w:color w:val="auto"/>
          <w:sz w:val="9"/>
          <w:szCs w:val="9"/>
          <w:highlight w:val="none"/>
        </w:rPr>
      </w:pPr>
    </w:p>
    <w:p>
      <w:pPr>
        <w:pStyle w:val="27"/>
        <w:jc w:val="right"/>
        <w:rPr>
          <w:rFonts w:ascii="Calibri" w:hAnsi="Calibri"/>
          <w:color w:val="auto"/>
          <w:highlight w:val="none"/>
        </w:rPr>
      </w:pPr>
      <w:r>
        <w:rPr>
          <w:rFonts w:ascii="宋体" w:hAnsi="宋体"/>
          <w:color w:val="auto"/>
          <w:highlight w:val="none"/>
          <w:u w:val="single" w:color="000000"/>
        </w:rPr>
        <w:tab/>
      </w:r>
      <w:r>
        <w:rPr>
          <w:rFonts w:hint="eastAsia" w:ascii="宋体" w:hAnsi="宋体"/>
          <w:color w:val="auto"/>
          <w:highlight w:val="none"/>
        </w:rPr>
        <w:t>年</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月</w:t>
      </w:r>
      <w:r>
        <w:rPr>
          <w:rFonts w:ascii="宋体" w:hAnsi="宋体"/>
          <w:color w:val="auto"/>
          <w:highlight w:val="none"/>
          <w:u w:val="single" w:color="000000"/>
        </w:rPr>
        <w:tab/>
      </w:r>
      <w:r>
        <w:rPr>
          <w:rFonts w:ascii="宋体" w:hAnsi="宋体"/>
          <w:color w:val="auto"/>
          <w:highlight w:val="none"/>
          <w:u w:val="single" w:color="000000"/>
        </w:rPr>
        <w:t xml:space="preserve">  </w:t>
      </w:r>
      <w:r>
        <w:rPr>
          <w:rFonts w:hint="eastAsia" w:ascii="宋体" w:hAnsi="宋体"/>
          <w:color w:val="auto"/>
          <w:highlight w:val="none"/>
        </w:rPr>
        <w:t>日</w:t>
      </w:r>
    </w:p>
    <w:p>
      <w:pPr>
        <w:pStyle w:val="5"/>
        <w:rPr>
          <w:color w:val="auto"/>
          <w:highlight w:val="none"/>
        </w:rPr>
      </w:pPr>
      <w:r>
        <w:rPr>
          <w:color w:val="auto"/>
          <w:highlight w:val="none"/>
        </w:rPr>
        <w:br w:type="page"/>
      </w:r>
      <w:bookmarkEnd w:id="263"/>
      <w:bookmarkEnd w:id="264"/>
      <w:bookmarkEnd w:id="265"/>
      <w:bookmarkEnd w:id="266"/>
      <w:bookmarkEnd w:id="267"/>
      <w:bookmarkEnd w:id="268"/>
      <w:bookmarkStart w:id="269" w:name="_Toc103592040"/>
      <w:bookmarkStart w:id="270" w:name="_Toc4016"/>
      <w:bookmarkStart w:id="271" w:name="_Toc28625"/>
      <w:r>
        <w:rPr>
          <w:rFonts w:hint="eastAsia"/>
          <w:color w:val="auto"/>
          <w:highlight w:val="none"/>
        </w:rPr>
        <w:t>五、资格审查资料</w:t>
      </w:r>
      <w:bookmarkEnd w:id="269"/>
      <w:bookmarkEnd w:id="270"/>
      <w:bookmarkEnd w:id="271"/>
    </w:p>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（一）投标人基本情况表</w:t>
      </w:r>
    </w:p>
    <w:tbl>
      <w:tblPr>
        <w:tblStyle w:val="28"/>
        <w:tblW w:w="0" w:type="auto"/>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046"/>
        <w:gridCol w:w="898"/>
        <w:gridCol w:w="1026"/>
        <w:gridCol w:w="1287"/>
        <w:gridCol w:w="414"/>
        <w:gridCol w:w="873"/>
        <w:gridCol w:w="828"/>
        <w:gridCol w:w="284"/>
        <w:gridCol w:w="1230"/>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投标人名称</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注册地址</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邮政编码</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restart"/>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highlight w:val="none"/>
              </w:rPr>
              <w:t>联系方式</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联系人</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vMerge w:val="continue"/>
            <w:tcBorders>
              <w:top w:val="single" w:color="auto" w:sz="4" w:space="0"/>
              <w:bottom w:val="single" w:color="auto" w:sz="4" w:space="0"/>
              <w:right w:val="single" w:color="auto" w:sz="4" w:space="0"/>
            </w:tcBorders>
            <w:vAlign w:val="center"/>
          </w:tcPr>
          <w:p>
            <w:pPr>
              <w:jc w:val="center"/>
              <w:rPr>
                <w:rFonts w:ascii="宋体" w:hAnsi="宋体"/>
                <w:color w:val="auto"/>
                <w:highlight w:val="none"/>
              </w:rPr>
            </w:pP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传真</w:t>
            </w:r>
          </w:p>
        </w:tc>
        <w:tc>
          <w:tcPr>
            <w:tcW w:w="231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网址</w:t>
            </w:r>
          </w:p>
        </w:tc>
        <w:tc>
          <w:tcPr>
            <w:tcW w:w="2342" w:type="dxa"/>
            <w:gridSpan w:val="3"/>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法定代表人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r>
              <w:rPr>
                <w:rFonts w:hint="eastAsia" w:ascii="宋体" w:hAnsi="宋体"/>
                <w:color w:val="auto"/>
                <w:szCs w:val="21"/>
                <w:highlight w:val="none"/>
              </w:rPr>
              <w:t>技术负责人</w:t>
            </w:r>
          </w:p>
        </w:tc>
        <w:tc>
          <w:tcPr>
            <w:tcW w:w="898"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姓名</w:t>
            </w:r>
          </w:p>
        </w:tc>
        <w:tc>
          <w:tcPr>
            <w:tcW w:w="1026"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287" w:type="dxa"/>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技术职称</w:t>
            </w:r>
          </w:p>
        </w:tc>
        <w:tc>
          <w:tcPr>
            <w:tcW w:w="1287"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1112"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电话</w:t>
            </w:r>
          </w:p>
        </w:tc>
        <w:tc>
          <w:tcPr>
            <w:tcW w:w="1230" w:type="dxa"/>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企业资质证书</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质量管理体系证书（如有）</w:t>
            </w:r>
          </w:p>
        </w:tc>
        <w:tc>
          <w:tcPr>
            <w:tcW w:w="6840" w:type="dxa"/>
            <w:gridSpan w:val="8"/>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ind w:firstLine="105" w:firstLineChars="50"/>
              <w:jc w:val="center"/>
              <w:rPr>
                <w:rFonts w:ascii="宋体" w:hAnsi="宋体"/>
                <w:color w:val="auto"/>
                <w:highlight w:val="none"/>
              </w:rPr>
            </w:pPr>
            <w:r>
              <w:rPr>
                <w:rFonts w:hint="eastAsia" w:ascii="宋体" w:hAnsi="宋体"/>
                <w:color w:val="auto"/>
                <w:highlight w:val="none"/>
              </w:rPr>
              <w:t>类型：等级：证书号：</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营业执照号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3629" w:type="dxa"/>
            <w:gridSpan w:val="5"/>
            <w:tcBorders>
              <w:top w:val="single" w:color="auto" w:sz="4" w:space="0"/>
              <w:left w:val="single" w:color="auto" w:sz="4" w:space="0"/>
              <w:bottom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员工总人数：</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注册资本</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restart"/>
            <w:tcBorders>
              <w:top w:val="single" w:color="auto" w:sz="4" w:space="0"/>
              <w:left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其中</w:t>
            </w: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高级职称人员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成立日期</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中级职称人员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基本账户开户银行</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技术人员数量</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基本账户银行账号</w:t>
            </w:r>
          </w:p>
        </w:tc>
        <w:tc>
          <w:tcPr>
            <w:tcW w:w="3211"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宋体" w:hAnsi="宋体"/>
                <w:color w:val="auto"/>
                <w:highlight w:val="none"/>
              </w:rPr>
            </w:pPr>
          </w:p>
        </w:tc>
        <w:tc>
          <w:tcPr>
            <w:tcW w:w="414" w:type="dxa"/>
            <w:vMerge w:val="continue"/>
            <w:tcBorders>
              <w:left w:val="single" w:color="auto" w:sz="4" w:space="0"/>
              <w:right w:val="single" w:color="auto" w:sz="4" w:space="0"/>
            </w:tcBorders>
            <w:vAlign w:val="center"/>
          </w:tcPr>
          <w:p>
            <w:pPr>
              <w:jc w:val="center"/>
              <w:rPr>
                <w:rFonts w:ascii="宋体" w:hAnsi="宋体"/>
                <w:color w:val="auto"/>
                <w:highlight w:val="none"/>
              </w:rPr>
            </w:pPr>
          </w:p>
        </w:tc>
        <w:tc>
          <w:tcPr>
            <w:tcW w:w="1701" w:type="dxa"/>
            <w:gridSpan w:val="2"/>
            <w:tcBorders>
              <w:top w:val="single" w:color="auto" w:sz="4" w:space="0"/>
              <w:left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各类注册人员</w:t>
            </w:r>
          </w:p>
        </w:tc>
        <w:tc>
          <w:tcPr>
            <w:tcW w:w="1514" w:type="dxa"/>
            <w:gridSpan w:val="2"/>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ind w:firstLine="210" w:firstLineChars="100"/>
              <w:jc w:val="center"/>
              <w:rPr>
                <w:rFonts w:ascii="宋体" w:hAnsi="宋体"/>
                <w:color w:val="auto"/>
                <w:highlight w:val="none"/>
              </w:rPr>
            </w:pPr>
            <w:r>
              <w:rPr>
                <w:rFonts w:hint="eastAsia" w:ascii="宋体" w:hAnsi="宋体"/>
                <w:color w:val="auto"/>
                <w:highlight w:val="none"/>
              </w:rPr>
              <w:t>经营范围</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9" w:hRule="atLeast"/>
          <w:jc w:val="center"/>
        </w:trPr>
        <w:tc>
          <w:tcPr>
            <w:tcW w:w="2046" w:type="dxa"/>
            <w:tcBorders>
              <w:top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szCs w:val="21"/>
                <w:highlight w:val="none"/>
              </w:rPr>
              <w:t>投标人关联企业情况（包括但不限于与投标人法定代表人为同一人或者存在控股、管理关系的不同单位）</w:t>
            </w:r>
          </w:p>
        </w:tc>
        <w:tc>
          <w:tcPr>
            <w:tcW w:w="6840" w:type="dxa"/>
            <w:gridSpan w:val="8"/>
            <w:tcBorders>
              <w:top w:val="single" w:color="auto" w:sz="4" w:space="0"/>
              <w:left w:val="single" w:color="auto" w:sz="4" w:space="0"/>
            </w:tcBorders>
            <w:vAlign w:val="center"/>
          </w:tcPr>
          <w:p>
            <w:pPr>
              <w:topLinePunct/>
              <w:spacing w:line="440" w:lineRule="exact"/>
              <w:jc w:val="center"/>
              <w:rPr>
                <w:rFonts w:ascii="宋体" w:hAnsi="宋体"/>
                <w:color w:val="auto"/>
                <w:highlight w:val="none"/>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288" w:hRule="atLeast"/>
          <w:jc w:val="center"/>
        </w:trPr>
        <w:tc>
          <w:tcPr>
            <w:tcW w:w="2046" w:type="dxa"/>
            <w:tcBorders>
              <w:top w:val="single" w:color="auto" w:sz="4" w:space="0"/>
              <w:bottom w:val="single" w:color="auto" w:sz="4" w:space="0"/>
              <w:right w:val="single" w:color="auto" w:sz="4" w:space="0"/>
            </w:tcBorders>
            <w:vAlign w:val="center"/>
          </w:tcPr>
          <w:p>
            <w:pPr>
              <w:topLinePunct/>
              <w:spacing w:before="100" w:beforeAutospacing="1" w:after="100" w:afterAutospacing="1" w:line="440" w:lineRule="exact"/>
              <w:jc w:val="center"/>
              <w:rPr>
                <w:rFonts w:ascii="宋体" w:hAnsi="宋体"/>
                <w:color w:val="auto"/>
                <w:highlight w:val="none"/>
              </w:rPr>
            </w:pPr>
            <w:r>
              <w:rPr>
                <w:rFonts w:hint="eastAsia" w:ascii="宋体" w:hAnsi="宋体"/>
                <w:color w:val="auto"/>
                <w:highlight w:val="none"/>
              </w:rPr>
              <w:t>备注</w:t>
            </w:r>
          </w:p>
        </w:tc>
        <w:tc>
          <w:tcPr>
            <w:tcW w:w="6840" w:type="dxa"/>
            <w:gridSpan w:val="8"/>
            <w:tcBorders>
              <w:top w:val="single" w:color="auto" w:sz="4" w:space="0"/>
              <w:left w:val="single" w:color="auto" w:sz="4" w:space="0"/>
              <w:bottom w:val="single" w:color="auto" w:sz="4" w:space="0"/>
            </w:tcBorders>
            <w:vAlign w:val="center"/>
          </w:tcPr>
          <w:p>
            <w:pPr>
              <w:topLinePunct/>
              <w:spacing w:line="440" w:lineRule="exact"/>
              <w:jc w:val="center"/>
              <w:rPr>
                <w:rFonts w:ascii="宋体" w:hAnsi="宋体"/>
                <w:color w:val="auto"/>
                <w:highlight w:val="none"/>
              </w:rPr>
            </w:pPr>
          </w:p>
        </w:tc>
      </w:tr>
    </w:tbl>
    <w:p>
      <w:pPr>
        <w:snapToGrid w:val="0"/>
        <w:rPr>
          <w:rFonts w:ascii="宋体" w:hAnsi="宋体"/>
          <w:color w:val="auto"/>
          <w:spacing w:val="-5"/>
          <w:szCs w:val="21"/>
          <w:highlight w:val="none"/>
        </w:rPr>
      </w:pPr>
    </w:p>
    <w:p>
      <w:pPr>
        <w:snapToGrid w:val="0"/>
        <w:rPr>
          <w:rFonts w:ascii="宋体" w:hAnsi="宋体"/>
          <w:color w:val="auto"/>
          <w:spacing w:val="-5"/>
          <w:szCs w:val="21"/>
          <w:highlight w:val="none"/>
        </w:rPr>
      </w:pPr>
      <w:r>
        <w:rPr>
          <w:rFonts w:hint="eastAsia" w:ascii="宋体" w:hAnsi="宋体"/>
          <w:color w:val="auto"/>
          <w:spacing w:val="-5"/>
          <w:szCs w:val="21"/>
          <w:highlight w:val="none"/>
        </w:rPr>
        <w:t>注：</w:t>
      </w:r>
      <w:r>
        <w:rPr>
          <w:rFonts w:ascii="宋体" w:hAnsi="宋体"/>
          <w:color w:val="auto"/>
          <w:spacing w:val="-5"/>
          <w:szCs w:val="21"/>
          <w:highlight w:val="none"/>
        </w:rPr>
        <w:t>1.</w:t>
      </w:r>
      <w:r>
        <w:rPr>
          <w:rFonts w:hint="eastAsia" w:ascii="宋体" w:hAnsi="宋体"/>
          <w:color w:val="auto"/>
          <w:spacing w:val="-5"/>
          <w:szCs w:val="21"/>
          <w:highlight w:val="none"/>
        </w:rPr>
        <w:t>联系人栏应填写两个人的联系方式以便于联系。</w:t>
      </w:r>
    </w:p>
    <w:p>
      <w:pPr>
        <w:snapToGrid w:val="0"/>
        <w:rPr>
          <w:rFonts w:ascii="宋体" w:hAnsi="宋体"/>
          <w:color w:val="auto"/>
          <w:position w:val="-30"/>
          <w:sz w:val="22"/>
          <w:highlight w:val="none"/>
        </w:rPr>
      </w:pPr>
      <w:r>
        <w:rPr>
          <w:rFonts w:ascii="宋体" w:hAnsi="宋体"/>
          <w:color w:val="auto"/>
          <w:position w:val="-30"/>
          <w:szCs w:val="21"/>
          <w:highlight w:val="none"/>
        </w:rPr>
        <w:t>2</w:t>
      </w:r>
      <w:r>
        <w:rPr>
          <w:rFonts w:hint="eastAsia" w:ascii="宋体" w:hAnsi="宋体"/>
          <w:color w:val="auto"/>
          <w:position w:val="-30"/>
          <w:szCs w:val="21"/>
          <w:highlight w:val="none"/>
        </w:rPr>
        <w:t>、本表后须附投标单位的营业执照副本或事业单位法人证书副本、建设行政主管部门颁发的建设工程质量检测机构资质证书、检验检测机构资质认定证书（CMA计量认证合格证书）以及其他相关证明材料。</w:t>
      </w:r>
    </w:p>
    <w:p>
      <w:pPr>
        <w:widowControl/>
        <w:jc w:val="center"/>
        <w:rPr>
          <w:rFonts w:ascii="宋体" w:hAnsi="宋体" w:cs="宋体"/>
          <w:b/>
          <w:bCs/>
          <w:color w:val="auto"/>
          <w:kern w:val="0"/>
          <w:sz w:val="28"/>
          <w:szCs w:val="28"/>
          <w:highlight w:val="none"/>
        </w:rPr>
      </w:pPr>
      <w:r>
        <w:rPr>
          <w:rFonts w:ascii="宋体" w:hAnsi="宋体"/>
          <w:color w:val="auto"/>
          <w:position w:val="-30"/>
          <w:sz w:val="22"/>
          <w:highlight w:val="none"/>
        </w:rPr>
        <w:br w:type="page"/>
      </w:r>
      <w:r>
        <w:rPr>
          <w:rFonts w:hint="eastAsia" w:ascii="宋体" w:hAnsi="宋体" w:cs="宋体"/>
          <w:b/>
          <w:bCs/>
          <w:color w:val="auto"/>
          <w:kern w:val="0"/>
          <w:sz w:val="28"/>
          <w:szCs w:val="28"/>
          <w:highlight w:val="none"/>
        </w:rPr>
        <w:t>（二）投标申请人声明</w:t>
      </w:r>
    </w:p>
    <w:p>
      <w:pPr>
        <w:adjustRightInd w:val="0"/>
        <w:snapToGrid w:val="0"/>
        <w:spacing w:line="360" w:lineRule="auto"/>
        <w:jc w:val="center"/>
        <w:rPr>
          <w:rFonts w:ascii="宋体" w:hAnsi="宋体" w:cs="宋体"/>
          <w:b/>
          <w:bCs/>
          <w:color w:val="auto"/>
          <w:kern w:val="0"/>
          <w:szCs w:val="21"/>
          <w:highlight w:val="none"/>
        </w:rPr>
      </w:pPr>
      <w:r>
        <w:rPr>
          <w:rFonts w:hint="eastAsia" w:ascii="宋体" w:hAnsi="宋体" w:cs="宋体"/>
          <w:b/>
          <w:bCs/>
          <w:color w:val="auto"/>
          <w:highlight w:val="none"/>
        </w:rPr>
        <w:t xml:space="preserve">  （按招标公告附件一格式提供）</w:t>
      </w:r>
    </w:p>
    <w:p>
      <w:pPr>
        <w:widowControl/>
        <w:jc w:val="center"/>
        <w:rPr>
          <w:rFonts w:ascii="宋体" w:hAnsi="宋体" w:cs="宋体"/>
          <w:b/>
          <w:bCs/>
          <w:color w:val="auto"/>
          <w:kern w:val="0"/>
          <w:szCs w:val="21"/>
          <w:highlight w:val="none"/>
        </w:rPr>
      </w:pPr>
    </w:p>
    <w:p>
      <w:pPr>
        <w:widowControl/>
        <w:rPr>
          <w:rFonts w:ascii="宋体" w:hAnsi="宋体" w:cs="宋体"/>
          <w:b/>
          <w:bCs/>
          <w:color w:val="auto"/>
          <w:kern w:val="0"/>
          <w:szCs w:val="21"/>
          <w:highlight w:val="none"/>
        </w:rPr>
      </w:pPr>
    </w:p>
    <w:p>
      <w:pPr>
        <w:widowControl/>
        <w:jc w:val="center"/>
        <w:rPr>
          <w:color w:val="auto"/>
          <w:highlight w:val="none"/>
        </w:rPr>
        <w:sectPr>
          <w:headerReference r:id="rId12" w:type="default"/>
          <w:pgSz w:w="11906" w:h="16838"/>
          <w:pgMar w:top="1440" w:right="1080" w:bottom="1440" w:left="1080" w:header="851" w:footer="1021" w:gutter="0"/>
          <w:cols w:space="720" w:num="1"/>
          <w:docGrid w:type="lines" w:linePitch="312" w:charSpace="0"/>
        </w:sectPr>
      </w:pPr>
      <w:r>
        <w:rPr>
          <w:color w:val="auto"/>
          <w:highlight w:val="none"/>
        </w:rPr>
        <w:br w:type="page"/>
      </w:r>
    </w:p>
    <w:p>
      <w:pPr>
        <w:pStyle w:val="6"/>
        <w:rPr>
          <w:rFonts w:ascii="宋体" w:hAnsi="宋体" w:cs="宋体"/>
          <w:color w:val="auto"/>
          <w:highlight w:val="none"/>
        </w:rPr>
      </w:pPr>
      <w:r>
        <w:rPr>
          <w:rFonts w:hint="eastAsia" w:ascii="宋体" w:hAnsi="宋体" w:cs="宋体"/>
          <w:color w:val="auto"/>
          <w:highlight w:val="none"/>
        </w:rPr>
        <w:t>（三）投标人廉洁承诺书</w:t>
      </w:r>
    </w:p>
    <w:p>
      <w:pPr>
        <w:spacing w:line="400" w:lineRule="exact"/>
        <w:ind w:right="529" w:rightChars="252"/>
        <w:jc w:val="center"/>
        <w:rPr>
          <w:rFonts w:ascii="宋体" w:hAnsi="宋体" w:cs="宋体"/>
          <w:color w:val="auto"/>
          <w:sz w:val="28"/>
          <w:szCs w:val="28"/>
          <w:highlight w:val="none"/>
        </w:rPr>
      </w:pPr>
      <w:bookmarkStart w:id="272" w:name="_Toc15263_WPSOffice_Level2"/>
      <w:bookmarkStart w:id="273" w:name="_Toc11945_WPSOffice_Level2"/>
      <w:r>
        <w:rPr>
          <w:rFonts w:hint="eastAsia" w:ascii="宋体" w:hAnsi="宋体" w:cs="宋体"/>
          <w:color w:val="auto"/>
          <w:sz w:val="28"/>
          <w:szCs w:val="28"/>
          <w:highlight w:val="none"/>
        </w:rPr>
        <w:t>投标人廉洁承诺书</w:t>
      </w:r>
      <w:bookmarkEnd w:id="272"/>
      <w:bookmarkEnd w:id="273"/>
      <w:bookmarkStart w:id="274" w:name="_Toc513825431"/>
    </w:p>
    <w:p>
      <w:pPr>
        <w:spacing w:line="400" w:lineRule="exact"/>
        <w:ind w:right="529" w:rightChars="252"/>
        <w:jc w:val="center"/>
        <w:rPr>
          <w:rFonts w:ascii="宋体" w:hAnsi="宋体" w:cs="宋体"/>
          <w:color w:val="auto"/>
          <w:szCs w:val="21"/>
          <w:highlight w:val="none"/>
        </w:rPr>
      </w:pPr>
    </w:p>
    <w:p>
      <w:pPr>
        <w:spacing w:line="400" w:lineRule="exact"/>
        <w:ind w:right="529" w:rightChars="252"/>
        <w:rPr>
          <w:rFonts w:ascii="宋体" w:hAnsi="宋体" w:cs="宋体"/>
          <w:color w:val="auto"/>
          <w:szCs w:val="21"/>
          <w:highlight w:val="none"/>
        </w:rPr>
      </w:pPr>
      <w:r>
        <w:rPr>
          <w:rFonts w:hint="eastAsia" w:ascii="宋体" w:hAnsi="宋体" w:cs="宋体"/>
          <w:color w:val="auto"/>
          <w:szCs w:val="21"/>
          <w:highlight w:val="none"/>
        </w:rPr>
        <w:t>本招标项目招标人及招标监管机构：</w:t>
      </w:r>
      <w:bookmarkEnd w:id="274"/>
    </w:p>
    <w:p>
      <w:pPr>
        <w:spacing w:line="400" w:lineRule="exact"/>
        <w:ind w:right="529" w:rightChars="252"/>
        <w:rPr>
          <w:rFonts w:ascii="宋体" w:hAnsi="宋体" w:cs="宋体"/>
          <w:color w:val="auto"/>
          <w:szCs w:val="21"/>
          <w:highlight w:val="none"/>
        </w:rPr>
      </w:pPr>
    </w:p>
    <w:p>
      <w:pPr>
        <w:pStyle w:val="63"/>
        <w:spacing w:before="0" w:after="0" w:line="400" w:lineRule="exact"/>
        <w:ind w:right="529" w:rightChars="252" w:firstLine="525" w:firstLineChars="250"/>
        <w:rPr>
          <w:color w:val="auto"/>
          <w:sz w:val="21"/>
          <w:szCs w:val="21"/>
          <w:highlight w:val="none"/>
        </w:rPr>
      </w:pPr>
      <w:bookmarkStart w:id="275" w:name="_Toc513825432"/>
      <w:r>
        <w:rPr>
          <w:rFonts w:hint="eastAsia"/>
          <w:color w:val="auto"/>
          <w:sz w:val="21"/>
          <w:szCs w:val="21"/>
          <w:highlight w:val="none"/>
        </w:rPr>
        <w:t>本公司参加了</w:t>
      </w:r>
      <w:r>
        <w:rPr>
          <w:rFonts w:hint="eastAsia"/>
          <w:color w:val="auto"/>
          <w:sz w:val="21"/>
          <w:szCs w:val="21"/>
          <w:highlight w:val="none"/>
          <w:u w:val="single"/>
        </w:rPr>
        <w:t xml:space="preserve">   （项目名称/标段名称）   </w:t>
      </w:r>
      <w:r>
        <w:rPr>
          <w:rFonts w:hint="eastAsia"/>
          <w:color w:val="auto"/>
          <w:sz w:val="21"/>
          <w:szCs w:val="21"/>
          <w:highlight w:val="none"/>
        </w:rPr>
        <w:t xml:space="preserve"> 投标， 为确保招标工作的公平、公正、公开、有序进行，我们保证遵守《中华人民共和国招标投标法》、《中华人民共和国招标投标法实施条例》、《广东省实施&lt;中华人民共和国招标投标法&gt;办法》等法律法规，特承诺如下事项：</w:t>
      </w:r>
      <w:bookmarkEnd w:id="275"/>
    </w:p>
    <w:p>
      <w:pPr>
        <w:pStyle w:val="63"/>
        <w:spacing w:before="0" w:after="0" w:line="400" w:lineRule="exact"/>
        <w:ind w:right="529" w:rightChars="252" w:firstLine="525" w:firstLineChars="250"/>
        <w:rPr>
          <w:color w:val="auto"/>
          <w:sz w:val="21"/>
          <w:szCs w:val="21"/>
          <w:highlight w:val="none"/>
        </w:rPr>
      </w:pPr>
      <w:bookmarkStart w:id="276" w:name="_Toc513825433"/>
      <w:r>
        <w:rPr>
          <w:rFonts w:hint="eastAsia"/>
          <w:color w:val="auto"/>
          <w:sz w:val="21"/>
          <w:szCs w:val="21"/>
          <w:highlight w:val="none"/>
        </w:rPr>
        <w:t>一、自觉遵守国家有关法律法规及廉洁规定。</w:t>
      </w:r>
      <w:bookmarkEnd w:id="276"/>
    </w:p>
    <w:p>
      <w:pPr>
        <w:pStyle w:val="63"/>
        <w:spacing w:before="0" w:after="0" w:line="400" w:lineRule="exact"/>
        <w:ind w:right="529" w:rightChars="252" w:firstLine="525" w:firstLineChars="250"/>
        <w:rPr>
          <w:color w:val="auto"/>
          <w:sz w:val="21"/>
          <w:szCs w:val="21"/>
          <w:highlight w:val="none"/>
        </w:rPr>
      </w:pPr>
      <w:bookmarkStart w:id="277" w:name="_Toc513825434"/>
      <w:r>
        <w:rPr>
          <w:rFonts w:hint="eastAsia"/>
          <w:color w:val="auto"/>
          <w:sz w:val="21"/>
          <w:szCs w:val="21"/>
          <w:highlight w:val="none"/>
        </w:rPr>
        <w:t>二、不与招标单位工作人员串通投标，损害国家利益、企业利益以及他人的合法利益；</w:t>
      </w:r>
      <w:bookmarkEnd w:id="277"/>
    </w:p>
    <w:p>
      <w:pPr>
        <w:pStyle w:val="63"/>
        <w:spacing w:before="0" w:after="0" w:line="400" w:lineRule="exact"/>
        <w:ind w:right="529" w:rightChars="252" w:firstLine="525" w:firstLineChars="250"/>
        <w:rPr>
          <w:color w:val="auto"/>
          <w:sz w:val="21"/>
          <w:szCs w:val="21"/>
          <w:highlight w:val="none"/>
        </w:rPr>
      </w:pPr>
      <w:bookmarkStart w:id="278" w:name="_Toc513825435"/>
      <w:r>
        <w:rPr>
          <w:rFonts w:hint="eastAsia"/>
          <w:color w:val="auto"/>
          <w:sz w:val="21"/>
          <w:szCs w:val="21"/>
          <w:highlight w:val="none"/>
        </w:rPr>
        <w:t>三、不与其他单位围标、串标，不出让投标资格，不向招标人或评标委员会成员行贿。</w:t>
      </w:r>
      <w:bookmarkEnd w:id="278"/>
    </w:p>
    <w:p>
      <w:pPr>
        <w:pStyle w:val="63"/>
        <w:spacing w:before="0" w:after="0" w:line="400" w:lineRule="exact"/>
        <w:ind w:right="529" w:rightChars="252" w:firstLine="525" w:firstLineChars="250"/>
        <w:rPr>
          <w:color w:val="auto"/>
          <w:sz w:val="21"/>
          <w:szCs w:val="21"/>
          <w:highlight w:val="none"/>
        </w:rPr>
      </w:pPr>
      <w:bookmarkStart w:id="279" w:name="_Toc513825436"/>
      <w:r>
        <w:rPr>
          <w:rFonts w:hint="eastAsia"/>
          <w:color w:val="auto"/>
          <w:sz w:val="21"/>
          <w:szCs w:val="21"/>
          <w:highlight w:val="none"/>
        </w:rPr>
        <w:t>四、不以任何名义向参与招标、评标工作的有关人员提供高消费宴请及娱乐活动和赠送回扣、红包、礼金、购物卡、有价证券、贵重物品和好处费、感谢费等；</w:t>
      </w:r>
      <w:bookmarkEnd w:id="279"/>
      <w:r>
        <w:rPr>
          <w:rFonts w:hint="eastAsia"/>
          <w:color w:val="auto"/>
          <w:sz w:val="21"/>
          <w:szCs w:val="21"/>
          <w:highlight w:val="none"/>
        </w:rPr>
        <w:t xml:space="preserve"> </w:t>
      </w:r>
    </w:p>
    <w:p>
      <w:pPr>
        <w:pStyle w:val="63"/>
        <w:spacing w:before="0" w:after="0" w:line="400" w:lineRule="exact"/>
        <w:ind w:right="529" w:rightChars="252" w:firstLine="525" w:firstLineChars="250"/>
        <w:rPr>
          <w:color w:val="auto"/>
          <w:sz w:val="21"/>
          <w:szCs w:val="21"/>
          <w:highlight w:val="none"/>
        </w:rPr>
      </w:pPr>
      <w:bookmarkStart w:id="280" w:name="_Toc513825437"/>
      <w:r>
        <w:rPr>
          <w:rFonts w:hint="eastAsia"/>
          <w:color w:val="auto"/>
          <w:sz w:val="21"/>
          <w:szCs w:val="21"/>
          <w:highlight w:val="none"/>
        </w:rPr>
        <w:t>五、不以任何名义为参与招标、评标工作的有关人员装修住房、婚丧嫁娶、配偶子女的工作安排以及境内外旅游等提供方便；</w:t>
      </w:r>
      <w:bookmarkEnd w:id="280"/>
    </w:p>
    <w:p>
      <w:pPr>
        <w:pStyle w:val="63"/>
        <w:spacing w:before="0" w:after="0" w:line="400" w:lineRule="exact"/>
        <w:ind w:right="529" w:rightChars="252" w:firstLine="525" w:firstLineChars="250"/>
        <w:rPr>
          <w:color w:val="auto"/>
          <w:sz w:val="21"/>
          <w:szCs w:val="21"/>
          <w:highlight w:val="none"/>
        </w:rPr>
      </w:pPr>
      <w:bookmarkStart w:id="281" w:name="_Toc513825438"/>
      <w:r>
        <w:rPr>
          <w:rFonts w:hint="eastAsia"/>
          <w:color w:val="auto"/>
          <w:sz w:val="21"/>
          <w:szCs w:val="21"/>
          <w:highlight w:val="none"/>
        </w:rPr>
        <w:t>六、不以谋取非正当利益为目的，擅自与参与招标、评标工作的有关人员就业务问题进行私下商谈或者达成利益默契；</w:t>
      </w:r>
      <w:bookmarkEnd w:id="281"/>
    </w:p>
    <w:p>
      <w:pPr>
        <w:pStyle w:val="63"/>
        <w:spacing w:before="0" w:after="0" w:line="400" w:lineRule="exact"/>
        <w:ind w:right="529" w:rightChars="252" w:firstLine="525" w:firstLineChars="250"/>
        <w:rPr>
          <w:color w:val="auto"/>
          <w:sz w:val="21"/>
          <w:szCs w:val="21"/>
          <w:highlight w:val="none"/>
        </w:rPr>
      </w:pPr>
      <w:bookmarkStart w:id="282" w:name="_Toc513825439"/>
      <w:r>
        <w:rPr>
          <w:rFonts w:hint="eastAsia"/>
          <w:color w:val="auto"/>
          <w:sz w:val="21"/>
          <w:szCs w:val="21"/>
          <w:highlight w:val="none"/>
        </w:rPr>
        <w:t>本公司违反上述承诺，或本承诺陈述与事实不符，经查实，本公司愿意接受公开通报，承担由此带来的法律后果，并自愿停止参加广州市行政辖区内的招标投标活动三个月。</w:t>
      </w:r>
      <w:bookmarkEnd w:id="282"/>
    </w:p>
    <w:p>
      <w:pPr>
        <w:pStyle w:val="63"/>
        <w:spacing w:before="0" w:after="0" w:line="400" w:lineRule="exact"/>
        <w:ind w:right="529" w:rightChars="252" w:firstLine="525" w:firstLineChars="250"/>
        <w:rPr>
          <w:color w:val="auto"/>
          <w:sz w:val="21"/>
          <w:szCs w:val="21"/>
          <w:highlight w:val="none"/>
        </w:rPr>
      </w:pPr>
      <w:bookmarkStart w:id="283" w:name="_Toc513825440"/>
    </w:p>
    <w:p>
      <w:pPr>
        <w:pStyle w:val="63"/>
        <w:spacing w:before="0" w:after="0" w:line="400" w:lineRule="exact"/>
        <w:ind w:right="529" w:rightChars="252" w:firstLine="525" w:firstLineChars="250"/>
        <w:rPr>
          <w:color w:val="auto"/>
          <w:sz w:val="21"/>
          <w:szCs w:val="21"/>
          <w:highlight w:val="none"/>
        </w:rPr>
      </w:pPr>
      <w:r>
        <w:rPr>
          <w:rFonts w:hint="eastAsia"/>
          <w:color w:val="auto"/>
          <w:sz w:val="21"/>
          <w:szCs w:val="21"/>
          <w:highlight w:val="none"/>
        </w:rPr>
        <w:t>特此承诺</w:t>
      </w:r>
      <w:bookmarkEnd w:id="283"/>
      <w:r>
        <w:rPr>
          <w:rFonts w:hint="eastAsia"/>
          <w:color w:val="auto"/>
          <w:sz w:val="21"/>
          <w:szCs w:val="21"/>
          <w:highlight w:val="none"/>
        </w:rPr>
        <w:t xml:space="preserve">                                          </w:t>
      </w:r>
    </w:p>
    <w:p>
      <w:pPr>
        <w:pStyle w:val="63"/>
        <w:spacing w:before="0" w:after="0" w:line="400" w:lineRule="exact"/>
        <w:ind w:right="529" w:rightChars="252"/>
        <w:rPr>
          <w:color w:val="auto"/>
          <w:sz w:val="21"/>
          <w:szCs w:val="21"/>
          <w:highlight w:val="none"/>
        </w:rPr>
      </w:pPr>
    </w:p>
    <w:p>
      <w:pPr>
        <w:pStyle w:val="63"/>
        <w:spacing w:before="0" w:after="0" w:line="400" w:lineRule="exact"/>
        <w:ind w:right="529" w:rightChars="252"/>
        <w:jc w:val="right"/>
        <w:rPr>
          <w:color w:val="auto"/>
          <w:sz w:val="21"/>
          <w:szCs w:val="21"/>
          <w:highlight w:val="none"/>
        </w:rPr>
      </w:pPr>
      <w:bookmarkStart w:id="284" w:name="_Toc513825441"/>
      <w:r>
        <w:rPr>
          <w:rFonts w:hint="eastAsia"/>
          <w:color w:val="auto"/>
          <w:sz w:val="21"/>
          <w:szCs w:val="21"/>
          <w:highlight w:val="none"/>
        </w:rPr>
        <w:t>承诺企业：</w:t>
      </w:r>
      <w:bookmarkEnd w:id="284"/>
      <w:r>
        <w:rPr>
          <w:rFonts w:hint="eastAsia"/>
          <w:color w:val="auto"/>
          <w:sz w:val="21"/>
          <w:szCs w:val="21"/>
          <w:highlight w:val="none"/>
        </w:rPr>
        <w:t xml:space="preserve">      </w:t>
      </w:r>
    </w:p>
    <w:p>
      <w:pPr>
        <w:pStyle w:val="63"/>
        <w:spacing w:before="0" w:after="0" w:line="400" w:lineRule="exact"/>
        <w:ind w:right="529" w:rightChars="252"/>
        <w:jc w:val="right"/>
        <w:rPr>
          <w:color w:val="auto"/>
          <w:sz w:val="21"/>
          <w:szCs w:val="21"/>
          <w:highlight w:val="none"/>
        </w:rPr>
      </w:pPr>
      <w:bookmarkStart w:id="285" w:name="_Toc513825442"/>
      <w:r>
        <w:rPr>
          <w:rFonts w:hint="eastAsia"/>
          <w:color w:val="auto"/>
          <w:sz w:val="21"/>
          <w:szCs w:val="21"/>
          <w:highlight w:val="none"/>
        </w:rPr>
        <w:t>年   月   日</w:t>
      </w:r>
      <w:bookmarkEnd w:id="285"/>
    </w:p>
    <w:p>
      <w:pPr>
        <w:pStyle w:val="63"/>
        <w:spacing w:before="0" w:after="0" w:line="400" w:lineRule="exact"/>
        <w:ind w:right="529" w:rightChars="252"/>
        <w:jc w:val="right"/>
        <w:rPr>
          <w:color w:val="auto"/>
          <w:sz w:val="21"/>
          <w:szCs w:val="21"/>
          <w:highlight w:val="none"/>
        </w:rPr>
      </w:pPr>
    </w:p>
    <w:p>
      <w:pPr>
        <w:pStyle w:val="63"/>
        <w:spacing w:before="0" w:after="0" w:line="400" w:lineRule="exact"/>
        <w:ind w:right="529" w:rightChars="252"/>
        <w:jc w:val="right"/>
        <w:rPr>
          <w:color w:val="auto"/>
          <w:sz w:val="21"/>
          <w:szCs w:val="21"/>
          <w:highlight w:val="none"/>
        </w:rPr>
      </w:pPr>
    </w:p>
    <w:p>
      <w:pPr>
        <w:pStyle w:val="63"/>
        <w:spacing w:before="0" w:after="0" w:line="400" w:lineRule="exact"/>
        <w:ind w:right="529" w:rightChars="252"/>
        <w:jc w:val="right"/>
        <w:rPr>
          <w:color w:val="auto"/>
          <w:sz w:val="21"/>
          <w:szCs w:val="21"/>
          <w:highlight w:val="none"/>
        </w:rPr>
      </w:pPr>
      <w:bookmarkStart w:id="286" w:name="_Toc513825443"/>
      <w:r>
        <w:rPr>
          <w:rFonts w:hint="eastAsia"/>
          <w:color w:val="auto"/>
          <w:sz w:val="21"/>
          <w:szCs w:val="21"/>
          <w:highlight w:val="none"/>
        </w:rPr>
        <w:t>法定代表人签字：</w:t>
      </w:r>
      <w:bookmarkEnd w:id="286"/>
      <w:r>
        <w:rPr>
          <w:rFonts w:hint="eastAsia"/>
          <w:color w:val="auto"/>
          <w:sz w:val="21"/>
          <w:szCs w:val="21"/>
          <w:highlight w:val="none"/>
        </w:rPr>
        <w:t xml:space="preserve">                  </w:t>
      </w:r>
    </w:p>
    <w:p>
      <w:pPr>
        <w:pStyle w:val="63"/>
        <w:spacing w:before="0" w:after="0" w:line="400" w:lineRule="exact"/>
        <w:ind w:right="529" w:rightChars="252"/>
        <w:jc w:val="right"/>
        <w:rPr>
          <w:color w:val="auto"/>
          <w:sz w:val="21"/>
          <w:szCs w:val="21"/>
          <w:highlight w:val="none"/>
        </w:rPr>
      </w:pPr>
      <w:bookmarkStart w:id="287" w:name="_Toc513825444"/>
      <w:r>
        <w:rPr>
          <w:rFonts w:hint="eastAsia"/>
          <w:color w:val="auto"/>
          <w:sz w:val="21"/>
          <w:szCs w:val="21"/>
          <w:highlight w:val="none"/>
        </w:rPr>
        <w:t>（企业公章）</w:t>
      </w:r>
      <w:bookmarkEnd w:id="287"/>
    </w:p>
    <w:p>
      <w:pPr>
        <w:pStyle w:val="4"/>
        <w:spacing w:after="176"/>
        <w:rPr>
          <w:rFonts w:ascii="宋体" w:hAnsi="宋体" w:cs="宋体"/>
          <w:color w:val="auto"/>
          <w:sz w:val="32"/>
          <w:highlight w:val="none"/>
        </w:rPr>
      </w:pPr>
    </w:p>
    <w:p>
      <w:pPr>
        <w:widowControl/>
        <w:jc w:val="center"/>
        <w:rPr>
          <w:rFonts w:ascii="宋体" w:hAnsi="宋体" w:cs="宋体"/>
          <w:b/>
          <w:bCs/>
          <w:color w:val="auto"/>
          <w:kern w:val="0"/>
          <w:sz w:val="28"/>
          <w:szCs w:val="28"/>
          <w:highlight w:val="none"/>
        </w:rPr>
        <w:sectPr>
          <w:pgSz w:w="11906" w:h="16838"/>
          <w:pgMar w:top="1440" w:right="1080" w:bottom="1440" w:left="1080" w:header="851" w:footer="1021" w:gutter="0"/>
          <w:cols w:space="720" w:num="1"/>
          <w:docGrid w:type="lines" w:linePitch="312" w:charSpace="0"/>
        </w:sectPr>
      </w:pPr>
    </w:p>
    <w:p>
      <w:pPr>
        <w:widowControl/>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t>（三）联合体协议书（联合体投标的提供）</w:t>
      </w:r>
    </w:p>
    <w:p>
      <w:pPr>
        <w:rPr>
          <w:color w:val="auto"/>
          <w:highlight w:val="none"/>
        </w:rPr>
      </w:pPr>
    </w:p>
    <w:p>
      <w:pPr>
        <w:widowControl/>
        <w:spacing w:line="360" w:lineRule="auto"/>
        <w:jc w:val="center"/>
        <w:rPr>
          <w:rFonts w:ascii="宋体" w:hAnsi="宋体" w:cs="宋体"/>
          <w:b/>
          <w:bCs/>
          <w:color w:val="auto"/>
          <w:kern w:val="0"/>
          <w:sz w:val="28"/>
          <w:szCs w:val="28"/>
          <w:highlight w:val="none"/>
        </w:rPr>
      </w:pPr>
      <w:r>
        <w:rPr>
          <w:rFonts w:hint="eastAsia" w:ascii="宋体" w:hAnsi="宋体" w:cs="宋体"/>
          <w:b/>
          <w:bCs/>
          <w:color w:val="auto"/>
          <w:kern w:val="0"/>
          <w:sz w:val="28"/>
          <w:szCs w:val="28"/>
          <w:highlight w:val="none"/>
        </w:rPr>
        <w:br w:type="page"/>
      </w:r>
      <w:r>
        <w:rPr>
          <w:rFonts w:hint="eastAsia" w:ascii="宋体" w:hAnsi="宋体" w:cs="宋体"/>
          <w:b/>
          <w:bCs/>
          <w:color w:val="auto"/>
          <w:kern w:val="0"/>
          <w:sz w:val="28"/>
          <w:szCs w:val="28"/>
          <w:highlight w:val="none"/>
        </w:rPr>
        <w:t>（四）其他符合第二章第1.4.1条款规定的证明</w:t>
      </w:r>
    </w:p>
    <w:p>
      <w:pPr>
        <w:pStyle w:val="27"/>
        <w:ind w:left="0" w:leftChars="0" w:firstLine="0" w:firstLineChars="0"/>
        <w:jc w:val="center"/>
        <w:rPr>
          <w:rFonts w:ascii="宋体" w:hAnsi="宋体" w:cs="宋体"/>
          <w:b/>
          <w:bCs/>
          <w:color w:val="auto"/>
          <w:kern w:val="0"/>
          <w:szCs w:val="21"/>
          <w:highlight w:val="none"/>
        </w:rPr>
      </w:pPr>
    </w:p>
    <w:p>
      <w:pPr>
        <w:pStyle w:val="27"/>
        <w:ind w:left="0" w:leftChars="0" w:firstLine="0" w:firstLineChars="0"/>
        <w:jc w:val="center"/>
        <w:rPr>
          <w:rFonts w:ascii="宋体" w:hAnsi="宋体" w:cs="宋体"/>
          <w:b/>
          <w:bCs/>
          <w:color w:val="auto"/>
          <w:kern w:val="0"/>
          <w:szCs w:val="21"/>
          <w:highlight w:val="none"/>
        </w:rPr>
      </w:pPr>
    </w:p>
    <w:p>
      <w:pPr>
        <w:pStyle w:val="27"/>
        <w:ind w:left="0" w:leftChars="0" w:firstLine="0" w:firstLineChars="0"/>
        <w:jc w:val="center"/>
        <w:rPr>
          <w:rFonts w:ascii="宋体" w:hAnsi="宋体" w:cs="宋体"/>
          <w:b/>
          <w:bCs/>
          <w:color w:val="auto"/>
          <w:kern w:val="0"/>
          <w:szCs w:val="21"/>
          <w:highlight w:val="none"/>
        </w:rPr>
      </w:pPr>
    </w:p>
    <w:p>
      <w:pPr>
        <w:pStyle w:val="5"/>
        <w:rPr>
          <w:color w:val="auto"/>
          <w:highlight w:val="none"/>
        </w:rPr>
      </w:pPr>
      <w:r>
        <w:rPr>
          <w:color w:val="auto"/>
          <w:highlight w:val="none"/>
        </w:rPr>
        <w:br w:type="page"/>
      </w:r>
      <w:bookmarkStart w:id="288" w:name="_Toc103592041"/>
      <w:bookmarkStart w:id="289" w:name="_Toc22838"/>
      <w:bookmarkStart w:id="290" w:name="_Toc6327"/>
      <w:bookmarkStart w:id="291" w:name="_Toc533357334"/>
      <w:bookmarkStart w:id="292" w:name="_Toc20625"/>
      <w:r>
        <w:rPr>
          <w:rFonts w:hint="eastAsia"/>
          <w:color w:val="auto"/>
          <w:highlight w:val="none"/>
        </w:rPr>
        <w:t>六、类似项目业绩表</w:t>
      </w:r>
      <w:bookmarkEnd w:id="288"/>
      <w:bookmarkEnd w:id="289"/>
      <w:bookmarkEnd w:id="290"/>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525"/>
        <w:gridCol w:w="1741"/>
        <w:gridCol w:w="1054"/>
        <w:gridCol w:w="1356"/>
        <w:gridCol w:w="932"/>
        <w:gridCol w:w="1827"/>
        <w:gridCol w:w="87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91" w:hRule="atLeast"/>
          <w:jc w:val="center"/>
        </w:trPr>
        <w:tc>
          <w:tcPr>
            <w:tcW w:w="52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1741"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工程名称</w:t>
            </w:r>
          </w:p>
        </w:tc>
        <w:tc>
          <w:tcPr>
            <w:tcW w:w="105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建设单位</w:t>
            </w:r>
          </w:p>
        </w:tc>
        <w:tc>
          <w:tcPr>
            <w:tcW w:w="135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合同价（万元）</w:t>
            </w:r>
          </w:p>
        </w:tc>
        <w:tc>
          <w:tcPr>
            <w:tcW w:w="93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起止时间</w:t>
            </w:r>
          </w:p>
        </w:tc>
        <w:tc>
          <w:tcPr>
            <w:tcW w:w="182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工程所在地址</w:t>
            </w:r>
          </w:p>
        </w:tc>
        <w:tc>
          <w:tcPr>
            <w:tcW w:w="870"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05" w:hRule="atLeast"/>
          <w:jc w:val="center"/>
        </w:trPr>
        <w:tc>
          <w:tcPr>
            <w:tcW w:w="525" w:type="dxa"/>
            <w:vAlign w:val="center"/>
          </w:tcPr>
          <w:p>
            <w:pPr>
              <w:spacing w:line="240" w:lineRule="atLeast"/>
              <w:jc w:val="center"/>
              <w:rPr>
                <w:rFonts w:ascii="宋体" w:hAnsi="宋体"/>
                <w:color w:val="auto"/>
                <w:sz w:val="24"/>
                <w:highlight w:val="none"/>
              </w:rPr>
            </w:pPr>
          </w:p>
        </w:tc>
        <w:tc>
          <w:tcPr>
            <w:tcW w:w="1741" w:type="dxa"/>
            <w:vAlign w:val="center"/>
          </w:tcPr>
          <w:p>
            <w:pPr>
              <w:spacing w:line="240" w:lineRule="atLeast"/>
              <w:jc w:val="center"/>
              <w:rPr>
                <w:rFonts w:ascii="宋体" w:hAnsi="宋体"/>
                <w:color w:val="auto"/>
                <w:sz w:val="24"/>
                <w:highlight w:val="none"/>
              </w:rPr>
            </w:pPr>
          </w:p>
        </w:tc>
        <w:tc>
          <w:tcPr>
            <w:tcW w:w="1054" w:type="dxa"/>
            <w:vAlign w:val="center"/>
          </w:tcPr>
          <w:p>
            <w:pPr>
              <w:spacing w:line="240" w:lineRule="atLeast"/>
              <w:jc w:val="center"/>
              <w:rPr>
                <w:rFonts w:ascii="宋体" w:hAnsi="宋体"/>
                <w:color w:val="auto"/>
                <w:sz w:val="24"/>
                <w:highlight w:val="none"/>
              </w:rPr>
            </w:pPr>
          </w:p>
        </w:tc>
        <w:tc>
          <w:tcPr>
            <w:tcW w:w="1356" w:type="dxa"/>
            <w:vAlign w:val="center"/>
          </w:tcPr>
          <w:p>
            <w:pPr>
              <w:spacing w:line="240" w:lineRule="atLeast"/>
              <w:jc w:val="center"/>
              <w:rPr>
                <w:rFonts w:ascii="宋体" w:hAnsi="宋体"/>
                <w:color w:val="auto"/>
                <w:sz w:val="24"/>
                <w:highlight w:val="none"/>
              </w:rPr>
            </w:pPr>
          </w:p>
        </w:tc>
        <w:tc>
          <w:tcPr>
            <w:tcW w:w="932" w:type="dxa"/>
            <w:vAlign w:val="center"/>
          </w:tcPr>
          <w:p>
            <w:pPr>
              <w:spacing w:line="240" w:lineRule="atLeast"/>
              <w:jc w:val="center"/>
              <w:rPr>
                <w:rFonts w:ascii="宋体" w:hAnsi="宋体"/>
                <w:color w:val="auto"/>
                <w:sz w:val="24"/>
                <w:highlight w:val="none"/>
              </w:rPr>
            </w:pPr>
          </w:p>
        </w:tc>
        <w:tc>
          <w:tcPr>
            <w:tcW w:w="1827" w:type="dxa"/>
            <w:vAlign w:val="center"/>
          </w:tcPr>
          <w:p>
            <w:pPr>
              <w:spacing w:line="240" w:lineRule="atLeast"/>
              <w:jc w:val="center"/>
              <w:rPr>
                <w:rFonts w:ascii="宋体" w:hAnsi="宋体"/>
                <w:color w:val="auto"/>
                <w:sz w:val="24"/>
                <w:highlight w:val="none"/>
              </w:rPr>
            </w:pPr>
          </w:p>
        </w:tc>
        <w:tc>
          <w:tcPr>
            <w:tcW w:w="870" w:type="dxa"/>
            <w:vAlign w:val="center"/>
          </w:tcPr>
          <w:p>
            <w:pPr>
              <w:spacing w:line="240" w:lineRule="atLeast"/>
              <w:jc w:val="center"/>
              <w:rPr>
                <w:rFonts w:ascii="宋体" w:hAnsi="宋体"/>
                <w:color w:val="auto"/>
                <w:sz w:val="24"/>
                <w:highlight w:val="none"/>
              </w:rPr>
            </w:pPr>
          </w:p>
        </w:tc>
      </w:tr>
    </w:tbl>
    <w:p>
      <w:pPr>
        <w:widowControl/>
        <w:jc w:val="center"/>
        <w:rPr>
          <w:rFonts w:ascii="宋体" w:hAnsi="宋体" w:cs="宋体"/>
          <w:b/>
          <w:bCs/>
          <w:color w:val="auto"/>
          <w:kern w:val="0"/>
          <w:szCs w:val="21"/>
          <w:highlight w:val="none"/>
        </w:rPr>
      </w:pPr>
      <w:r>
        <w:rPr>
          <w:rFonts w:hint="eastAsia" w:ascii="宋体" w:hAnsi="宋体" w:cs="宋体"/>
          <w:b/>
          <w:bCs/>
          <w:color w:val="auto"/>
          <w:kern w:val="0"/>
          <w:szCs w:val="21"/>
          <w:highlight w:val="none"/>
        </w:rPr>
        <w:t xml:space="preserve"> </w:t>
      </w:r>
    </w:p>
    <w:p>
      <w:pPr>
        <w:pStyle w:val="26"/>
        <w:ind w:firstLine="0"/>
        <w:rPr>
          <w:rFonts w:ascii="宋体" w:hAnsi="宋体" w:cs="宋体"/>
          <w:b/>
          <w:bCs/>
          <w:color w:val="auto"/>
          <w:kern w:val="0"/>
          <w:szCs w:val="21"/>
          <w:highlight w:val="none"/>
        </w:rPr>
      </w:pPr>
    </w:p>
    <w:bookmarkEnd w:id="291"/>
    <w:bookmarkEnd w:id="292"/>
    <w:p>
      <w:pPr>
        <w:rPr>
          <w:rFonts w:ascii="宋体" w:hAnsi="宋体"/>
          <w:color w:val="auto"/>
          <w:sz w:val="24"/>
          <w:highlight w:val="none"/>
        </w:rPr>
        <w:sectPr>
          <w:pgSz w:w="11906" w:h="16838"/>
          <w:pgMar w:top="1440" w:right="1080" w:bottom="1440" w:left="1080" w:header="851" w:footer="1021" w:gutter="0"/>
          <w:cols w:space="720" w:num="1"/>
          <w:docGrid w:type="lines" w:linePitch="312" w:charSpace="0"/>
        </w:sectPr>
      </w:pPr>
    </w:p>
    <w:p>
      <w:pPr>
        <w:pStyle w:val="5"/>
        <w:rPr>
          <w:color w:val="auto"/>
          <w:highlight w:val="none"/>
        </w:rPr>
      </w:pPr>
      <w:bookmarkStart w:id="293" w:name="_Toc6036"/>
      <w:bookmarkStart w:id="294" w:name="_Toc103592042"/>
      <w:bookmarkStart w:id="295" w:name="_Toc4014"/>
      <w:r>
        <w:rPr>
          <w:rFonts w:hint="eastAsia"/>
          <w:color w:val="auto"/>
          <w:highlight w:val="none"/>
        </w:rPr>
        <w:t>七、拟投入本项目的检测和监测人员一览表</w:t>
      </w:r>
      <w:bookmarkEnd w:id="293"/>
      <w:bookmarkEnd w:id="294"/>
      <w:bookmarkEnd w:id="295"/>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17"/>
        <w:gridCol w:w="939"/>
        <w:gridCol w:w="904"/>
        <w:gridCol w:w="1484"/>
        <w:gridCol w:w="1885"/>
        <w:gridCol w:w="883"/>
        <w:gridCol w:w="992"/>
        <w:gridCol w:w="12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814" w:hRule="atLeast"/>
          <w:jc w:val="center"/>
        </w:trPr>
        <w:tc>
          <w:tcPr>
            <w:tcW w:w="717"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序号</w:t>
            </w:r>
          </w:p>
        </w:tc>
        <w:tc>
          <w:tcPr>
            <w:tcW w:w="939"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姓名</w:t>
            </w:r>
          </w:p>
        </w:tc>
        <w:tc>
          <w:tcPr>
            <w:tcW w:w="90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年龄</w:t>
            </w:r>
          </w:p>
        </w:tc>
        <w:tc>
          <w:tcPr>
            <w:tcW w:w="1484"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拟在本项目任职职位</w:t>
            </w:r>
          </w:p>
        </w:tc>
        <w:tc>
          <w:tcPr>
            <w:tcW w:w="1885"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毕业学校</w:t>
            </w:r>
            <w:r>
              <w:rPr>
                <w:rFonts w:ascii="宋体" w:hAnsi="宋体"/>
                <w:color w:val="auto"/>
                <w:sz w:val="24"/>
                <w:highlight w:val="none"/>
              </w:rPr>
              <w:t>/</w:t>
            </w:r>
            <w:r>
              <w:rPr>
                <w:rFonts w:hint="eastAsia" w:ascii="宋体" w:hAnsi="宋体"/>
                <w:color w:val="auto"/>
                <w:sz w:val="24"/>
                <w:highlight w:val="none"/>
              </w:rPr>
              <w:t>专业</w:t>
            </w:r>
          </w:p>
        </w:tc>
        <w:tc>
          <w:tcPr>
            <w:tcW w:w="883"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学历</w:t>
            </w:r>
          </w:p>
        </w:tc>
        <w:tc>
          <w:tcPr>
            <w:tcW w:w="992"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职称及专业</w:t>
            </w:r>
          </w:p>
        </w:tc>
        <w:tc>
          <w:tcPr>
            <w:tcW w:w="1276" w:type="dxa"/>
            <w:vAlign w:val="center"/>
          </w:tcPr>
          <w:p>
            <w:pPr>
              <w:snapToGrid w:val="0"/>
              <w:spacing w:line="240" w:lineRule="atLeast"/>
              <w:jc w:val="center"/>
              <w:rPr>
                <w:rFonts w:ascii="宋体" w:hAnsi="宋体"/>
                <w:color w:val="auto"/>
                <w:sz w:val="24"/>
                <w:highlight w:val="none"/>
              </w:rPr>
            </w:pPr>
            <w:r>
              <w:rPr>
                <w:rFonts w:hint="eastAsia" w:ascii="宋体" w:hAnsi="宋体"/>
                <w:color w:val="auto"/>
                <w:sz w:val="24"/>
                <w:highlight w:val="none"/>
              </w:rPr>
              <w:t>从事检测或监测工作年限</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cantSplit/>
          <w:trHeight w:val="567" w:hRule="exact"/>
          <w:jc w:val="center"/>
        </w:trPr>
        <w:tc>
          <w:tcPr>
            <w:tcW w:w="717" w:type="dxa"/>
            <w:vAlign w:val="center"/>
          </w:tcPr>
          <w:p>
            <w:pPr>
              <w:jc w:val="center"/>
              <w:rPr>
                <w:rFonts w:ascii="宋体" w:hAnsi="宋体"/>
                <w:color w:val="auto"/>
                <w:sz w:val="22"/>
                <w:highlight w:val="none"/>
              </w:rPr>
            </w:pPr>
          </w:p>
        </w:tc>
        <w:tc>
          <w:tcPr>
            <w:tcW w:w="939" w:type="dxa"/>
            <w:vAlign w:val="center"/>
          </w:tcPr>
          <w:p>
            <w:pPr>
              <w:jc w:val="center"/>
              <w:rPr>
                <w:rFonts w:ascii="宋体" w:hAnsi="宋体"/>
                <w:color w:val="auto"/>
                <w:sz w:val="22"/>
                <w:highlight w:val="none"/>
              </w:rPr>
            </w:pPr>
          </w:p>
        </w:tc>
        <w:tc>
          <w:tcPr>
            <w:tcW w:w="904" w:type="dxa"/>
            <w:vAlign w:val="center"/>
          </w:tcPr>
          <w:p>
            <w:pPr>
              <w:jc w:val="center"/>
              <w:rPr>
                <w:rFonts w:ascii="宋体" w:hAnsi="宋体"/>
                <w:color w:val="auto"/>
                <w:sz w:val="22"/>
                <w:highlight w:val="none"/>
              </w:rPr>
            </w:pPr>
          </w:p>
        </w:tc>
        <w:tc>
          <w:tcPr>
            <w:tcW w:w="1484" w:type="dxa"/>
            <w:vAlign w:val="center"/>
          </w:tcPr>
          <w:p>
            <w:pPr>
              <w:jc w:val="center"/>
              <w:rPr>
                <w:rFonts w:ascii="宋体" w:hAnsi="宋体"/>
                <w:color w:val="auto"/>
                <w:sz w:val="22"/>
                <w:highlight w:val="none"/>
              </w:rPr>
            </w:pPr>
          </w:p>
        </w:tc>
        <w:tc>
          <w:tcPr>
            <w:tcW w:w="1885" w:type="dxa"/>
            <w:vAlign w:val="center"/>
          </w:tcPr>
          <w:p>
            <w:pPr>
              <w:jc w:val="center"/>
              <w:rPr>
                <w:rFonts w:ascii="宋体" w:hAnsi="宋体"/>
                <w:color w:val="auto"/>
                <w:sz w:val="22"/>
                <w:highlight w:val="none"/>
              </w:rPr>
            </w:pPr>
          </w:p>
        </w:tc>
        <w:tc>
          <w:tcPr>
            <w:tcW w:w="883" w:type="dxa"/>
            <w:vAlign w:val="center"/>
          </w:tcPr>
          <w:p>
            <w:pPr>
              <w:jc w:val="center"/>
              <w:rPr>
                <w:rFonts w:ascii="宋体" w:hAnsi="宋体"/>
                <w:color w:val="auto"/>
                <w:sz w:val="22"/>
                <w:highlight w:val="none"/>
              </w:rPr>
            </w:pPr>
          </w:p>
        </w:tc>
        <w:tc>
          <w:tcPr>
            <w:tcW w:w="992" w:type="dxa"/>
            <w:vAlign w:val="center"/>
          </w:tcPr>
          <w:p>
            <w:pPr>
              <w:jc w:val="center"/>
              <w:rPr>
                <w:rFonts w:ascii="宋体" w:hAnsi="宋体"/>
                <w:color w:val="auto"/>
                <w:sz w:val="22"/>
                <w:highlight w:val="none"/>
              </w:rPr>
            </w:pPr>
          </w:p>
        </w:tc>
        <w:tc>
          <w:tcPr>
            <w:tcW w:w="1276" w:type="dxa"/>
            <w:vAlign w:val="center"/>
          </w:tcPr>
          <w:p>
            <w:pPr>
              <w:jc w:val="center"/>
              <w:rPr>
                <w:rFonts w:ascii="宋体" w:hAnsi="宋体"/>
                <w:color w:val="auto"/>
                <w:sz w:val="22"/>
                <w:highlight w:val="none"/>
              </w:rPr>
            </w:pPr>
          </w:p>
        </w:tc>
      </w:tr>
    </w:tbl>
    <w:p>
      <w:pPr>
        <w:ind w:firstLine="480" w:firstLineChars="200"/>
        <w:rPr>
          <w:rFonts w:ascii="宋体" w:hAnsi="宋体"/>
          <w:color w:val="auto"/>
          <w:sz w:val="24"/>
          <w:highlight w:val="none"/>
        </w:rPr>
      </w:pPr>
    </w:p>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spacing w:line="440" w:lineRule="exact"/>
        <w:jc w:val="left"/>
        <w:rPr>
          <w:rFonts w:ascii="宋体" w:hAnsi="宋体"/>
          <w:color w:val="auto"/>
          <w:highlight w:val="none"/>
        </w:rPr>
      </w:pPr>
    </w:p>
    <w:p>
      <w:pPr>
        <w:rPr>
          <w:rFonts w:ascii="宋体" w:hAnsi="宋体"/>
          <w:color w:val="auto"/>
          <w:highlight w:val="none"/>
        </w:rPr>
      </w:pPr>
      <w:r>
        <w:rPr>
          <w:rFonts w:ascii="宋体" w:hAnsi="宋体"/>
          <w:color w:val="auto"/>
          <w:sz w:val="24"/>
          <w:highlight w:val="none"/>
        </w:rPr>
        <w:br w:type="page"/>
      </w:r>
    </w:p>
    <w:p>
      <w:pPr>
        <w:pStyle w:val="5"/>
        <w:rPr>
          <w:color w:val="auto"/>
          <w:highlight w:val="none"/>
        </w:rPr>
      </w:pPr>
      <w:bookmarkStart w:id="296" w:name="_Toc27580"/>
      <w:bookmarkStart w:id="297" w:name="_Toc18650"/>
      <w:bookmarkStart w:id="298" w:name="_Toc103592043"/>
      <w:r>
        <w:rPr>
          <w:rFonts w:hint="eastAsia"/>
          <w:color w:val="auto"/>
          <w:highlight w:val="none"/>
        </w:rPr>
        <w:t>八、拟投入本项目的检测和监测人员简历表</w:t>
      </w:r>
      <w:bookmarkEnd w:id="296"/>
      <w:bookmarkEnd w:id="297"/>
      <w:bookmarkEnd w:id="298"/>
    </w:p>
    <w:tbl>
      <w:tblPr>
        <w:tblStyle w:val="28"/>
        <w:tblW w:w="0" w:type="auto"/>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187"/>
        <w:gridCol w:w="180"/>
        <w:gridCol w:w="1295"/>
        <w:gridCol w:w="281"/>
        <w:gridCol w:w="763"/>
        <w:gridCol w:w="957"/>
        <w:gridCol w:w="407"/>
        <w:gridCol w:w="1200"/>
        <w:gridCol w:w="630"/>
        <w:gridCol w:w="2027"/>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95"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姓名</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年龄</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学历</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733"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技术职称</w:t>
            </w:r>
          </w:p>
        </w:tc>
        <w:tc>
          <w:tcPr>
            <w:tcW w:w="1295" w:type="dxa"/>
            <w:vAlign w:val="center"/>
          </w:tcPr>
          <w:p>
            <w:pPr>
              <w:snapToGrid w:val="0"/>
              <w:spacing w:line="0" w:lineRule="atLeast"/>
              <w:jc w:val="center"/>
              <w:rPr>
                <w:rFonts w:ascii="宋体" w:hAnsi="宋体"/>
                <w:color w:val="auto"/>
                <w:sz w:val="24"/>
                <w:highlight w:val="none"/>
              </w:rPr>
            </w:pPr>
          </w:p>
        </w:tc>
        <w:tc>
          <w:tcPr>
            <w:tcW w:w="1044"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职务</w:t>
            </w:r>
          </w:p>
        </w:tc>
        <w:tc>
          <w:tcPr>
            <w:tcW w:w="1364" w:type="dxa"/>
            <w:gridSpan w:val="2"/>
            <w:vAlign w:val="center"/>
          </w:tcPr>
          <w:p>
            <w:pPr>
              <w:snapToGrid w:val="0"/>
              <w:spacing w:line="0" w:lineRule="atLeast"/>
              <w:jc w:val="center"/>
              <w:rPr>
                <w:rFonts w:ascii="宋体" w:hAnsi="宋体"/>
                <w:color w:val="auto"/>
                <w:sz w:val="24"/>
                <w:highlight w:val="none"/>
              </w:rPr>
            </w:pP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在本项目担任职务</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cantSplit/>
          <w:trHeight w:val="559" w:hRule="atLeast"/>
          <w:jc w:val="center"/>
        </w:trPr>
        <w:tc>
          <w:tcPr>
            <w:tcW w:w="1367"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毕业学校</w:t>
            </w:r>
          </w:p>
        </w:tc>
        <w:tc>
          <w:tcPr>
            <w:tcW w:w="3703" w:type="dxa"/>
            <w:gridSpan w:val="5"/>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毕业于      学校     专业</w:t>
            </w:r>
          </w:p>
        </w:tc>
        <w:tc>
          <w:tcPr>
            <w:tcW w:w="1830" w:type="dxa"/>
            <w:gridSpan w:val="2"/>
            <w:vAlign w:val="center"/>
          </w:tcPr>
          <w:p>
            <w:pPr>
              <w:snapToGrid w:val="0"/>
              <w:spacing w:line="0" w:lineRule="atLeast"/>
              <w:jc w:val="center"/>
              <w:rPr>
                <w:rFonts w:ascii="宋体" w:hAnsi="宋体"/>
                <w:color w:val="auto"/>
                <w:sz w:val="24"/>
                <w:highlight w:val="none"/>
              </w:rPr>
            </w:pPr>
            <w:r>
              <w:rPr>
                <w:rFonts w:hint="eastAsia" w:ascii="宋体" w:hAnsi="宋体"/>
                <w:color w:val="auto"/>
                <w:position w:val="-30"/>
                <w:sz w:val="24"/>
                <w:highlight w:val="none"/>
              </w:rPr>
              <w:t>从事检测或监测工作年限</w:t>
            </w:r>
          </w:p>
        </w:tc>
        <w:tc>
          <w:tcPr>
            <w:tcW w:w="2027" w:type="dxa"/>
          </w:tcPr>
          <w:p>
            <w:pPr>
              <w:snapToGrid w:val="0"/>
              <w:spacing w:line="0" w:lineRule="atLeast"/>
              <w:jc w:val="center"/>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53" w:hRule="atLeast"/>
          <w:jc w:val="center"/>
        </w:trPr>
        <w:tc>
          <w:tcPr>
            <w:tcW w:w="2943" w:type="dxa"/>
            <w:gridSpan w:val="4"/>
            <w:vAlign w:val="center"/>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执业资格证号或注册证号</w:t>
            </w:r>
          </w:p>
        </w:tc>
        <w:tc>
          <w:tcPr>
            <w:tcW w:w="5984" w:type="dxa"/>
            <w:gridSpan w:val="6"/>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634" w:hRule="atLeast"/>
          <w:jc w:val="center"/>
        </w:trPr>
        <w:tc>
          <w:tcPr>
            <w:tcW w:w="8927" w:type="dxa"/>
            <w:gridSpan w:val="10"/>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主要业绩经历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81" w:hRule="atLeast"/>
          <w:jc w:val="center"/>
        </w:trPr>
        <w:tc>
          <w:tcPr>
            <w:tcW w:w="1187" w:type="dxa"/>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时间</w:t>
            </w:r>
          </w:p>
        </w:tc>
        <w:tc>
          <w:tcPr>
            <w:tcW w:w="3476" w:type="dxa"/>
            <w:gridSpan w:val="5"/>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参加过的主要工作</w:t>
            </w:r>
          </w:p>
        </w:tc>
        <w:tc>
          <w:tcPr>
            <w:tcW w:w="1607" w:type="dxa"/>
            <w:gridSpan w:val="2"/>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担任何职</w:t>
            </w:r>
          </w:p>
        </w:tc>
        <w:tc>
          <w:tcPr>
            <w:tcW w:w="2657" w:type="dxa"/>
            <w:gridSpan w:val="2"/>
          </w:tcPr>
          <w:p>
            <w:pPr>
              <w:snapToGrid w:val="0"/>
              <w:spacing w:line="0" w:lineRule="atLeast"/>
              <w:jc w:val="center"/>
              <w:rPr>
                <w:rFonts w:ascii="宋体" w:hAnsi="宋体"/>
                <w:color w:val="auto"/>
                <w:sz w:val="24"/>
                <w:highlight w:val="none"/>
              </w:rPr>
            </w:pPr>
            <w:r>
              <w:rPr>
                <w:rFonts w:hint="eastAsia" w:ascii="宋体" w:hAnsi="宋体"/>
                <w:color w:val="auto"/>
                <w:sz w:val="24"/>
                <w:highlight w:val="none"/>
              </w:rPr>
              <w:t>获得的奖励情况</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525" w:hRule="atLeast"/>
          <w:jc w:val="center"/>
        </w:trPr>
        <w:tc>
          <w:tcPr>
            <w:tcW w:w="1187" w:type="dxa"/>
          </w:tcPr>
          <w:p>
            <w:pPr>
              <w:snapToGrid w:val="0"/>
              <w:spacing w:line="0" w:lineRule="atLeast"/>
              <w:rPr>
                <w:rFonts w:ascii="宋体" w:hAnsi="宋体"/>
                <w:color w:val="auto"/>
                <w:sz w:val="24"/>
                <w:highlight w:val="none"/>
              </w:rPr>
            </w:pPr>
          </w:p>
        </w:tc>
        <w:tc>
          <w:tcPr>
            <w:tcW w:w="3476" w:type="dxa"/>
            <w:gridSpan w:val="5"/>
          </w:tcPr>
          <w:p>
            <w:pPr>
              <w:snapToGrid w:val="0"/>
              <w:spacing w:line="0" w:lineRule="atLeast"/>
              <w:rPr>
                <w:rFonts w:ascii="宋体" w:hAnsi="宋体"/>
                <w:color w:val="auto"/>
                <w:sz w:val="24"/>
                <w:highlight w:val="none"/>
              </w:rPr>
            </w:pPr>
          </w:p>
        </w:tc>
        <w:tc>
          <w:tcPr>
            <w:tcW w:w="1607" w:type="dxa"/>
            <w:gridSpan w:val="2"/>
          </w:tcPr>
          <w:p>
            <w:pPr>
              <w:snapToGrid w:val="0"/>
              <w:spacing w:line="0" w:lineRule="atLeast"/>
              <w:rPr>
                <w:rFonts w:ascii="宋体" w:hAnsi="宋体"/>
                <w:color w:val="auto"/>
                <w:sz w:val="24"/>
                <w:highlight w:val="none"/>
              </w:rPr>
            </w:pPr>
          </w:p>
        </w:tc>
        <w:tc>
          <w:tcPr>
            <w:tcW w:w="2657" w:type="dxa"/>
            <w:gridSpan w:val="2"/>
          </w:tcPr>
          <w:p>
            <w:pPr>
              <w:snapToGrid w:val="0"/>
              <w:spacing w:line="0" w:lineRule="atLeast"/>
              <w:rPr>
                <w:rFonts w:ascii="宋体" w:hAnsi="宋体"/>
                <w:color w:val="auto"/>
                <w:sz w:val="24"/>
                <w:highlight w:val="none"/>
              </w:rPr>
            </w:pPr>
          </w:p>
        </w:tc>
      </w:tr>
    </w:tbl>
    <w:p>
      <w:pPr>
        <w:widowControl/>
        <w:jc w:val="left"/>
        <w:rPr>
          <w:rFonts w:ascii="宋体" w:hAnsi="宋体"/>
          <w:color w:val="auto"/>
          <w:sz w:val="24"/>
          <w:highlight w:val="none"/>
        </w:rPr>
      </w:pPr>
    </w:p>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rPr>
          <w:rFonts w:ascii="宋体" w:hAnsi="宋体"/>
          <w:color w:val="auto"/>
          <w:sz w:val="24"/>
          <w:highlight w:val="none"/>
        </w:rPr>
      </w:pPr>
    </w:p>
    <w:p>
      <w:pPr>
        <w:pStyle w:val="5"/>
        <w:rPr>
          <w:color w:val="auto"/>
          <w:highlight w:val="none"/>
        </w:rPr>
      </w:pPr>
      <w:r>
        <w:rPr>
          <w:color w:val="auto"/>
          <w:sz w:val="24"/>
          <w:highlight w:val="none"/>
        </w:rPr>
        <w:br w:type="page"/>
      </w:r>
      <w:bookmarkStart w:id="299" w:name="_Toc103592044"/>
      <w:bookmarkStart w:id="300" w:name="_Toc1211"/>
      <w:bookmarkStart w:id="301" w:name="_Toc1677"/>
      <w:r>
        <w:rPr>
          <w:rFonts w:hint="eastAsia"/>
          <w:color w:val="auto"/>
          <w:highlight w:val="none"/>
        </w:rPr>
        <w:t>九、拟投入本项目的主要仪器设备一览表</w:t>
      </w:r>
      <w:bookmarkEnd w:id="299"/>
      <w:bookmarkEnd w:id="300"/>
      <w:bookmarkEnd w:id="301"/>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10"/>
        <w:gridCol w:w="1544"/>
        <w:gridCol w:w="1241"/>
        <w:gridCol w:w="1785"/>
        <w:gridCol w:w="1116"/>
        <w:gridCol w:w="1341"/>
        <w:gridCol w:w="10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2" w:hRule="atLeast"/>
          <w:jc w:val="center"/>
        </w:trPr>
        <w:tc>
          <w:tcPr>
            <w:tcW w:w="1210"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序号</w:t>
            </w:r>
          </w:p>
        </w:tc>
        <w:tc>
          <w:tcPr>
            <w:tcW w:w="1544" w:type="dxa"/>
            <w:vMerge w:val="restart"/>
            <w:vAlign w:val="center"/>
          </w:tcPr>
          <w:p>
            <w:pPr>
              <w:jc w:val="center"/>
              <w:rPr>
                <w:rFonts w:ascii="宋体" w:hAnsi="宋体"/>
                <w:color w:val="auto"/>
                <w:szCs w:val="21"/>
                <w:highlight w:val="none"/>
              </w:rPr>
            </w:pPr>
            <w:r>
              <w:rPr>
                <w:rFonts w:hint="eastAsia" w:ascii="宋体" w:hAnsi="宋体"/>
                <w:color w:val="auto"/>
                <w:szCs w:val="21"/>
                <w:highlight w:val="none"/>
              </w:rPr>
              <w:t>设备名称</w:t>
            </w:r>
          </w:p>
        </w:tc>
        <w:tc>
          <w:tcPr>
            <w:tcW w:w="6563" w:type="dxa"/>
            <w:gridSpan w:val="5"/>
            <w:vAlign w:val="center"/>
          </w:tcPr>
          <w:p>
            <w:pPr>
              <w:jc w:val="center"/>
              <w:rPr>
                <w:rFonts w:ascii="宋体" w:hAnsi="宋体"/>
                <w:color w:val="auto"/>
                <w:szCs w:val="21"/>
                <w:highlight w:val="none"/>
              </w:rPr>
            </w:pPr>
            <w:r>
              <w:rPr>
                <w:rFonts w:hint="eastAsia" w:ascii="宋体" w:hAnsi="宋体"/>
                <w:color w:val="auto"/>
                <w:szCs w:val="21"/>
                <w:highlight w:val="none"/>
              </w:rPr>
              <w:t>投标人填写</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99" w:hRule="atLeast"/>
          <w:jc w:val="center"/>
        </w:trPr>
        <w:tc>
          <w:tcPr>
            <w:tcW w:w="1210" w:type="dxa"/>
            <w:vMerge w:val="continue"/>
            <w:vAlign w:val="center"/>
          </w:tcPr>
          <w:p>
            <w:pPr>
              <w:jc w:val="center"/>
              <w:rPr>
                <w:rFonts w:ascii="宋体" w:hAnsi="宋体"/>
                <w:color w:val="auto"/>
                <w:szCs w:val="21"/>
                <w:highlight w:val="none"/>
              </w:rPr>
            </w:pPr>
          </w:p>
        </w:tc>
        <w:tc>
          <w:tcPr>
            <w:tcW w:w="1544" w:type="dxa"/>
            <w:vMerge w:val="continue"/>
            <w:vAlign w:val="center"/>
          </w:tcPr>
          <w:p>
            <w:pPr>
              <w:jc w:val="center"/>
              <w:rPr>
                <w:rFonts w:ascii="宋体" w:hAnsi="宋体"/>
                <w:color w:val="auto"/>
                <w:szCs w:val="21"/>
                <w:highlight w:val="none"/>
              </w:rPr>
            </w:pPr>
          </w:p>
        </w:tc>
        <w:tc>
          <w:tcPr>
            <w:tcW w:w="1241" w:type="dxa"/>
            <w:vAlign w:val="center"/>
          </w:tcPr>
          <w:p>
            <w:pPr>
              <w:jc w:val="center"/>
              <w:rPr>
                <w:rFonts w:ascii="宋体" w:hAnsi="宋体"/>
                <w:color w:val="auto"/>
                <w:szCs w:val="21"/>
                <w:highlight w:val="none"/>
              </w:rPr>
            </w:pPr>
            <w:r>
              <w:rPr>
                <w:rFonts w:hint="eastAsia" w:ascii="宋体" w:hAnsi="宋体"/>
                <w:color w:val="auto"/>
                <w:szCs w:val="21"/>
                <w:highlight w:val="none"/>
              </w:rPr>
              <w:t>数量</w:t>
            </w:r>
          </w:p>
        </w:tc>
        <w:tc>
          <w:tcPr>
            <w:tcW w:w="1785"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校准机构</w:t>
            </w:r>
          </w:p>
        </w:tc>
        <w:tc>
          <w:tcPr>
            <w:tcW w:w="1116" w:type="dxa"/>
            <w:vAlign w:val="center"/>
          </w:tcPr>
          <w:p>
            <w:pPr>
              <w:jc w:val="center"/>
              <w:rPr>
                <w:rFonts w:ascii="宋体" w:hAnsi="宋体"/>
                <w:color w:val="auto"/>
                <w:szCs w:val="21"/>
                <w:highlight w:val="none"/>
              </w:rPr>
            </w:pPr>
            <w:r>
              <w:rPr>
                <w:rFonts w:hint="eastAsia" w:ascii="宋体" w:hAnsi="宋体"/>
                <w:color w:val="auto"/>
                <w:szCs w:val="21"/>
                <w:highlight w:val="none"/>
              </w:rPr>
              <w:t>有效期</w:t>
            </w:r>
          </w:p>
        </w:tc>
        <w:tc>
          <w:tcPr>
            <w:tcW w:w="1341" w:type="dxa"/>
            <w:vAlign w:val="center"/>
          </w:tcPr>
          <w:p>
            <w:pPr>
              <w:jc w:val="center"/>
              <w:rPr>
                <w:rFonts w:ascii="宋体" w:hAnsi="宋体"/>
                <w:color w:val="auto"/>
                <w:szCs w:val="21"/>
                <w:highlight w:val="none"/>
              </w:rPr>
            </w:pPr>
            <w:r>
              <w:rPr>
                <w:rFonts w:hint="eastAsia" w:ascii="宋体" w:hAnsi="宋体"/>
                <w:color w:val="auto"/>
                <w:szCs w:val="21"/>
                <w:highlight w:val="none"/>
              </w:rPr>
              <w:t>检定</w:t>
            </w:r>
            <w:r>
              <w:rPr>
                <w:rFonts w:ascii="宋体" w:hAnsi="宋体"/>
                <w:color w:val="auto"/>
                <w:szCs w:val="21"/>
                <w:highlight w:val="none"/>
              </w:rPr>
              <w:t>/</w:t>
            </w:r>
            <w:r>
              <w:rPr>
                <w:rFonts w:hint="eastAsia" w:ascii="宋体" w:hAnsi="宋体"/>
                <w:color w:val="auto"/>
                <w:szCs w:val="21"/>
                <w:highlight w:val="none"/>
              </w:rPr>
              <w:t>校准周期</w:t>
            </w:r>
          </w:p>
        </w:tc>
        <w:tc>
          <w:tcPr>
            <w:tcW w:w="1080" w:type="dxa"/>
            <w:vAlign w:val="center"/>
          </w:tcPr>
          <w:p>
            <w:pPr>
              <w:jc w:val="center"/>
              <w:rPr>
                <w:rFonts w:ascii="宋体" w:hAnsi="宋体"/>
                <w:color w:val="auto"/>
                <w:szCs w:val="21"/>
                <w:highlight w:val="none"/>
              </w:rPr>
            </w:pPr>
            <w:r>
              <w:rPr>
                <w:rFonts w:hint="eastAsia" w:ascii="宋体" w:hAnsi="宋体"/>
                <w:color w:val="auto"/>
                <w:szCs w:val="21"/>
                <w:highlight w:val="none"/>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2</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i/>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3</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4</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5</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6</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7</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8</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9</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exact"/>
          <w:jc w:val="center"/>
        </w:trPr>
        <w:tc>
          <w:tcPr>
            <w:tcW w:w="1210" w:type="dxa"/>
            <w:vAlign w:val="center"/>
          </w:tcPr>
          <w:p>
            <w:pPr>
              <w:spacing w:line="240" w:lineRule="exact"/>
              <w:jc w:val="center"/>
              <w:rPr>
                <w:rFonts w:ascii="宋体" w:hAnsi="宋体"/>
                <w:color w:val="auto"/>
                <w:szCs w:val="21"/>
                <w:highlight w:val="none"/>
              </w:rPr>
            </w:pPr>
            <w:r>
              <w:rPr>
                <w:rFonts w:ascii="宋体" w:hAnsi="宋体"/>
                <w:color w:val="auto"/>
                <w:szCs w:val="21"/>
                <w:highlight w:val="none"/>
              </w:rPr>
              <w:t>10</w:t>
            </w:r>
          </w:p>
        </w:tc>
        <w:tc>
          <w:tcPr>
            <w:tcW w:w="1544" w:type="dxa"/>
            <w:vAlign w:val="center"/>
          </w:tcPr>
          <w:p>
            <w:pPr>
              <w:spacing w:line="240" w:lineRule="exact"/>
              <w:jc w:val="center"/>
              <w:rPr>
                <w:rFonts w:ascii="宋体" w:hAnsi="宋体"/>
                <w:color w:val="auto"/>
                <w:szCs w:val="21"/>
                <w:highlight w:val="none"/>
              </w:rPr>
            </w:pPr>
          </w:p>
        </w:tc>
        <w:tc>
          <w:tcPr>
            <w:tcW w:w="1241" w:type="dxa"/>
            <w:vAlign w:val="center"/>
          </w:tcPr>
          <w:p>
            <w:pPr>
              <w:spacing w:line="240" w:lineRule="exact"/>
              <w:jc w:val="center"/>
              <w:rPr>
                <w:rFonts w:ascii="宋体" w:hAnsi="宋体"/>
                <w:color w:val="auto"/>
                <w:szCs w:val="21"/>
                <w:highlight w:val="none"/>
              </w:rPr>
            </w:pPr>
          </w:p>
        </w:tc>
        <w:tc>
          <w:tcPr>
            <w:tcW w:w="1785" w:type="dxa"/>
            <w:vAlign w:val="center"/>
          </w:tcPr>
          <w:p>
            <w:pPr>
              <w:spacing w:line="240" w:lineRule="exact"/>
              <w:jc w:val="center"/>
              <w:rPr>
                <w:rFonts w:ascii="宋体" w:hAnsi="宋体"/>
                <w:color w:val="auto"/>
                <w:szCs w:val="21"/>
                <w:highlight w:val="none"/>
              </w:rPr>
            </w:pPr>
          </w:p>
        </w:tc>
        <w:tc>
          <w:tcPr>
            <w:tcW w:w="1116" w:type="dxa"/>
            <w:vAlign w:val="center"/>
          </w:tcPr>
          <w:p>
            <w:pPr>
              <w:spacing w:line="240" w:lineRule="exact"/>
              <w:jc w:val="center"/>
              <w:rPr>
                <w:rFonts w:ascii="宋体" w:hAnsi="宋体"/>
                <w:color w:val="auto"/>
                <w:szCs w:val="21"/>
                <w:highlight w:val="none"/>
              </w:rPr>
            </w:pPr>
          </w:p>
        </w:tc>
        <w:tc>
          <w:tcPr>
            <w:tcW w:w="1341" w:type="dxa"/>
            <w:vAlign w:val="center"/>
          </w:tcPr>
          <w:p>
            <w:pPr>
              <w:spacing w:line="240" w:lineRule="exact"/>
              <w:jc w:val="center"/>
              <w:rPr>
                <w:rFonts w:ascii="宋体" w:hAnsi="宋体"/>
                <w:color w:val="auto"/>
                <w:szCs w:val="21"/>
                <w:highlight w:val="none"/>
              </w:rPr>
            </w:pPr>
          </w:p>
        </w:tc>
        <w:tc>
          <w:tcPr>
            <w:tcW w:w="1080" w:type="dxa"/>
            <w:vAlign w:val="center"/>
          </w:tcPr>
          <w:p>
            <w:pPr>
              <w:spacing w:line="240" w:lineRule="exact"/>
              <w:jc w:val="center"/>
              <w:rPr>
                <w:rFonts w:ascii="宋体" w:hAnsi="宋体"/>
                <w:color w:val="auto"/>
                <w:szCs w:val="21"/>
                <w:highlight w:val="none"/>
              </w:rPr>
            </w:pPr>
          </w:p>
        </w:tc>
      </w:tr>
    </w:tbl>
    <w:p>
      <w:pPr>
        <w:spacing w:line="440" w:lineRule="exact"/>
        <w:rPr>
          <w:rFonts w:ascii="宋体" w:hAnsi="宋体"/>
          <w:color w:val="auto"/>
          <w:highlight w:val="none"/>
        </w:rPr>
      </w:pPr>
      <w:r>
        <w:rPr>
          <w:rFonts w:hint="eastAsia" w:ascii="宋体" w:hAnsi="宋体"/>
          <w:color w:val="auto"/>
          <w:highlight w:val="none"/>
        </w:rPr>
        <w:t>注：本项不作为资格审查内容，但（如有）需提供，仅作为投标人的评标（综合评分）后附相关证明材料。表格格式可以根据实际情况调整。</w:t>
      </w:r>
    </w:p>
    <w:p>
      <w:pPr>
        <w:snapToGrid w:val="0"/>
        <w:spacing w:line="360" w:lineRule="auto"/>
        <w:ind w:right="-97" w:rightChars="-46"/>
        <w:rPr>
          <w:rFonts w:ascii="宋体" w:hAnsi="宋体"/>
          <w:color w:val="auto"/>
          <w:sz w:val="24"/>
          <w:highlight w:val="none"/>
        </w:rPr>
      </w:pPr>
    </w:p>
    <w:p>
      <w:pPr>
        <w:pStyle w:val="5"/>
        <w:rPr>
          <w:color w:val="auto"/>
          <w:highlight w:val="none"/>
        </w:rPr>
      </w:pPr>
      <w:r>
        <w:rPr>
          <w:color w:val="auto"/>
          <w:highlight w:val="none"/>
        </w:rPr>
        <w:br w:type="page"/>
      </w:r>
      <w:bookmarkStart w:id="302" w:name="_Toc533334237"/>
      <w:bookmarkStart w:id="303" w:name="_Toc532390645"/>
      <w:bookmarkStart w:id="304" w:name="_Toc528170367"/>
      <w:bookmarkStart w:id="305" w:name="_Toc20161"/>
      <w:bookmarkStart w:id="306" w:name="_Toc21758"/>
      <w:bookmarkStart w:id="307" w:name="_Toc103592045"/>
      <w:bookmarkStart w:id="308" w:name="_Toc8782"/>
      <w:r>
        <w:rPr>
          <w:rFonts w:hint="eastAsia"/>
          <w:color w:val="auto"/>
          <w:highlight w:val="none"/>
        </w:rPr>
        <w:t>十、</w:t>
      </w:r>
      <w:bookmarkEnd w:id="302"/>
      <w:bookmarkEnd w:id="303"/>
      <w:bookmarkEnd w:id="304"/>
      <w:bookmarkEnd w:id="305"/>
      <w:r>
        <w:rPr>
          <w:rFonts w:hint="eastAsia"/>
          <w:color w:val="auto"/>
          <w:highlight w:val="none"/>
        </w:rPr>
        <w:t>检测和监测方案</w:t>
      </w:r>
      <w:bookmarkEnd w:id="306"/>
      <w:bookmarkEnd w:id="307"/>
      <w:bookmarkEnd w:id="308"/>
    </w:p>
    <w:p>
      <w:pPr>
        <w:spacing w:line="360" w:lineRule="auto"/>
        <w:rPr>
          <w:rFonts w:ascii="宋体" w:hAnsi="宋体"/>
          <w:color w:val="auto"/>
          <w:sz w:val="24"/>
          <w:szCs w:val="24"/>
          <w:highlight w:val="none"/>
        </w:rPr>
      </w:pPr>
      <w:r>
        <w:rPr>
          <w:rFonts w:hint="eastAsia" w:ascii="宋体" w:hAnsi="宋体"/>
          <w:color w:val="auto"/>
          <w:sz w:val="24"/>
          <w:szCs w:val="24"/>
          <w:highlight w:val="none"/>
        </w:rPr>
        <w:t>检测和监测方案应包括（但不限于）下列内容：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一、检测和监测工程概况；</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二、检测和监测范围、检测内容；</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三、检测和监测依据、检测工作目标；</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四、检测和监测机构设置（框图）、岗位职责；</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五、检测和监测工作程序、方法和制度、检测措施；</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六、项目管理；</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七、拟投入的检测和监测人员、仪器设备；</w:t>
      </w:r>
    </w:p>
    <w:p>
      <w:pPr>
        <w:spacing w:line="360" w:lineRule="auto"/>
        <w:rPr>
          <w:rFonts w:ascii="宋体" w:hAnsi="宋体"/>
          <w:color w:val="auto"/>
          <w:sz w:val="24"/>
          <w:szCs w:val="24"/>
          <w:highlight w:val="none"/>
        </w:rPr>
      </w:pPr>
      <w:r>
        <w:rPr>
          <w:rFonts w:hint="eastAsia" w:ascii="宋体" w:hAnsi="宋体"/>
          <w:color w:val="auto"/>
          <w:sz w:val="24"/>
          <w:szCs w:val="24"/>
          <w:highlight w:val="none"/>
        </w:rPr>
        <w:t>八、对本工程检测和监测的合理化建议。</w:t>
      </w:r>
    </w:p>
    <w:p>
      <w:pPr>
        <w:pStyle w:val="5"/>
        <w:rPr>
          <w:color w:val="auto"/>
          <w:highlight w:val="none"/>
        </w:rPr>
      </w:pPr>
      <w:bookmarkStart w:id="309" w:name="_Toc533334238"/>
      <w:r>
        <w:rPr>
          <w:color w:val="auto"/>
          <w:highlight w:val="none"/>
        </w:rPr>
        <w:br w:type="page"/>
      </w:r>
      <w:bookmarkStart w:id="310" w:name="_Toc18811"/>
      <w:bookmarkStart w:id="311" w:name="_Toc103592046"/>
      <w:bookmarkStart w:id="312" w:name="_Toc21782"/>
      <w:r>
        <w:rPr>
          <w:rFonts w:hint="eastAsia"/>
          <w:color w:val="auto"/>
          <w:highlight w:val="none"/>
        </w:rPr>
        <w:t>十一、其他资料</w:t>
      </w:r>
      <w:bookmarkEnd w:id="309"/>
      <w:bookmarkEnd w:id="310"/>
      <w:bookmarkEnd w:id="311"/>
      <w:bookmarkEnd w:id="312"/>
    </w:p>
    <w:p>
      <w:pPr>
        <w:spacing w:line="360" w:lineRule="auto"/>
        <w:ind w:firstLine="480" w:firstLineChars="200"/>
        <w:jc w:val="left"/>
        <w:rPr>
          <w:rFonts w:ascii="宋体" w:hAnsi="宋体"/>
          <w:color w:val="auto"/>
          <w:sz w:val="24"/>
          <w:szCs w:val="24"/>
          <w:highlight w:val="none"/>
        </w:rPr>
      </w:pPr>
      <w:r>
        <w:rPr>
          <w:rFonts w:hint="eastAsia" w:ascii="宋体" w:hAnsi="宋体"/>
          <w:color w:val="auto"/>
          <w:sz w:val="24"/>
          <w:highlight w:val="none"/>
        </w:rPr>
        <w:t>投标人须知前附表规定的其他资料，</w:t>
      </w:r>
      <w:r>
        <w:rPr>
          <w:rFonts w:hint="eastAsia" w:ascii="宋体" w:hAnsi="宋体"/>
          <w:color w:val="auto"/>
          <w:sz w:val="24"/>
          <w:szCs w:val="24"/>
          <w:highlight w:val="none"/>
        </w:rPr>
        <w:t>投标人认为有必要提交的其他资料，格式自定。</w:t>
      </w:r>
    </w:p>
    <w:p>
      <w:pPr>
        <w:snapToGrid w:val="0"/>
        <w:spacing w:line="360" w:lineRule="auto"/>
        <w:ind w:right="-97" w:rightChars="-46"/>
        <w:rPr>
          <w:rFonts w:ascii="宋体" w:hAnsi="宋体"/>
          <w:color w:val="auto"/>
          <w:sz w:val="24"/>
          <w:szCs w:val="18"/>
          <w:highlight w:val="none"/>
        </w:rPr>
      </w:pPr>
    </w:p>
    <w:p/>
    <w:p/>
    <w:sectPr>
      <w:pgSz w:w="11906" w:h="16838"/>
      <w:pgMar w:top="1440" w:right="1080" w:bottom="1440" w:left="1080" w:header="851" w:footer="1020"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楷体_GB2312">
    <w:altName w:val="楷体"/>
    <w:panose1 w:val="00000000000000000000"/>
    <w:charset w:val="86"/>
    <w:family w:val="modern"/>
    <w:pitch w:val="default"/>
    <w:sig w:usb0="00000000" w:usb1="00000000" w:usb2="00000010" w:usb3="00000000" w:csb0="00040000" w:csb1="00000000"/>
  </w:font>
  <w:font w:name="仿宋_GB2312">
    <w:altName w:val="仿宋"/>
    <w:panose1 w:val="00000000000000000000"/>
    <w:charset w:val="86"/>
    <w:family w:val="modern"/>
    <w:pitch w:val="default"/>
    <w:sig w:usb0="00000000" w:usb1="00000000" w:usb2="00000010" w:usb3="00000000" w:csb0="00040000" w:csb1="00000000"/>
  </w:font>
  <w:font w:name="Calisto MT">
    <w:panose1 w:val="02040603050505030304"/>
    <w:charset w:val="00"/>
    <w:family w:val="roman"/>
    <w:pitch w:val="default"/>
    <w:sig w:usb0="00000003" w:usb1="00000000" w:usb2="00000000" w:usb3="00000000" w:csb0="20000001" w:csb1="00000000"/>
  </w:font>
  <w:font w:name="仿宋">
    <w:panose1 w:val="02010609060101010101"/>
    <w:charset w:val="86"/>
    <w:family w:val="modern"/>
    <w:pitch w:val="default"/>
    <w:sig w:usb0="800002BF" w:usb1="38CF7CFA" w:usb2="00000016" w:usb3="00000000" w:csb0="00040001" w:csb1="00000000"/>
  </w:font>
  <w:font w:name="Wingdings 2">
    <w:panose1 w:val="05020102010507070707"/>
    <w:charset w:val="02"/>
    <w:family w:val="roman"/>
    <w:pitch w:val="default"/>
    <w:sig w:usb0="00000000" w:usb1="00000000" w:usb2="00000000" w:usb3="00000000" w:csb0="80000000" w:csb1="00000000"/>
  </w:font>
  <w:font w:name="Arial Unicode MS">
    <w:panose1 w:val="020B0604020202020204"/>
    <w:charset w:val="86"/>
    <w:family w:val="swiss"/>
    <w:pitch w:val="default"/>
    <w:sig w:usb0="FFFFFFFF" w:usb1="E9FFFFFF" w:usb2="0000003F" w:usb3="00000000" w:csb0="603F01FF" w:csb1="FFFF0000"/>
  </w:font>
  <w:font w:name="华文仿宋">
    <w:panose1 w:val="02010600040101010101"/>
    <w:charset w:val="86"/>
    <w:family w:val="auto"/>
    <w:pitch w:val="default"/>
    <w:sig w:usb0="00000287" w:usb1="080F0000" w:usb2="00000000" w:usb3="00000000" w:csb0="0004009F" w:csb1="DFD70000"/>
  </w:font>
  <w:font w:name="华文楷体">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2336" behindDoc="0" locked="0" layoutInCell="1" allowOverlap="1">
              <wp:simplePos x="0" y="0"/>
              <wp:positionH relativeFrom="margin">
                <wp:align>center</wp:align>
              </wp:positionH>
              <wp:positionV relativeFrom="paragraph">
                <wp:posOffset>0</wp:posOffset>
              </wp:positionV>
              <wp:extent cx="58420" cy="139700"/>
              <wp:effectExtent l="0" t="0" r="0" b="0"/>
              <wp:wrapNone/>
              <wp:docPr id="11" name="文本框 11"/>
              <wp:cNvGraphicFramePr/>
              <a:graphic xmlns:a="http://schemas.openxmlformats.org/drawingml/2006/main">
                <a:graphicData uri="http://schemas.microsoft.com/office/word/2010/wordprocessingShape">
                  <wps:wsp>
                    <wps:cNvSpPr txBox="1">
                      <a:spLocks noChangeArrowheads="1"/>
                    </wps:cNvSpPr>
                    <wps:spPr bwMode="auto">
                      <a:xfrm>
                        <a:off x="0" y="0"/>
                        <a:ext cx="58420" cy="139700"/>
                      </a:xfrm>
                      <a:prstGeom prst="rect">
                        <a:avLst/>
                      </a:prstGeom>
                      <a:noFill/>
                      <a:ln>
                        <a:noFill/>
                      </a:ln>
                    </wps:spPr>
                    <wps:txbx>
                      <w:txbxContent>
                        <w:p>
                          <w:pPr>
                            <w:pStyle w:val="21"/>
                          </w:pPr>
                          <w:r>
                            <w:fldChar w:fldCharType="begin"/>
                          </w:r>
                          <w:r>
                            <w:instrText xml:space="preserve"> PAGE  \* MERGEFORMAT </w:instrText>
                          </w:r>
                          <w:r>
                            <w:fldChar w:fldCharType="separate"/>
                          </w:r>
                          <w:r>
                            <w:t>1</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4.6pt;mso-position-horizontal:center;mso-position-horizontal-relative:margin;mso-wrap-style:none;z-index:251662336;mso-width-relative:page;mso-height-relative:page;" filled="f" stroked="f" coordsize="21600,21600" o:gfxdata="UEsDBAoAAAAAAIdO4kAAAAAAAAAAAAAAAAAEAAAAZHJzL1BLAwQUAAAACACHTuJAy1u5d9AAAAAC&#10;AQAADwAAAGRycy9kb3ducmV2LnhtbE2PMU/DMBCFdyT+g3WV2KjdDFBCnA6VWNgoCInNja9xVPsc&#10;2W6a/HsOFlhOenpP733X7ObgxYQpD5E0bNYKBFIX7UC9ho/3l/stiFwMWeMjoYYFM+za25vG1DZe&#10;6Q2nQ+kFl1CujQZXylhLmTuHweR1HJHYO8UUTGGZemmTuXJ58LJS6kEGMxAvODPi3mF3PlyChsf5&#10;M+KYcY9fp6lLbli2/nXR+m61Uc8gCs7lLww/+IwOLTMd44VsFl4DP1J+L3tPFYijhqpSINtG/kdv&#10;vwFQSwMEFAAAAAgAh07iQJtOi8kJAgAAAwQAAA4AAABkcnMvZTJvRG9jLnhtbK1TzY7TMBC+I/EO&#10;lu80aflboqarZasipIVFWngA13ESi9hjjd0m5QHgDfbEhTvP1efYiZOUZbnsgYs1Ho8/f9834+V5&#10;Zxq2V+g12JzPZylnykootK1y/uXz5tkZZz4IW4gGrMr5QXl+vnr6ZNm6TC2ghqZQyAjE+qx1Oa9D&#10;cFmSeFkrI/wMnLJ0WAIaEWiLVVKgaAndNMkiTV8lLWDhEKTynrLr4ZCPiPgYQChLLdUa5M4oGwZU&#10;VI0IJMnX2nm+imzLUslwXZZeBdbknJSGuNIjFG/7NVktRVahcLWWIwXxGAoPNBmhLT16glqLINgO&#10;9T9QRksED2WYSTDJICQ6Qirm6QNvbmrhVNRCVnt3Mt3/P1j5cf8JmS5oEuacWWGo48fbH8efv4+/&#10;vjPKkUGt8xnV3TiqDN1b6Kg4ivXuCuRXzyxc1sJW6gIR2lqJggjGm8m9qwOO70G27Qco6CGxCxCB&#10;uhJN7x75wQidmnM4NUd1gUlKvjx7saADSSfz529ep7F3icimuw59eKfAsD7IOVLrI7bYX/lAKqh0&#10;KumfsrDRTRPb39i/ElTYZyL3nu5APHTbbvRiC8WBVCAM00R/iYIa8BtnLU1Szi19HM6a95Z86Idu&#10;CnAKtlMgrKSLOQ+cDeFlGIZz51BXNeFOTl+QVxsdhfSmDhxGljQbUd84x/3w3d/Hqj9/d3UHUEsD&#10;BAoAAAAAAIdO4kAAAAAAAAAAAAAAAAAGAAAAX3JlbHMvUEsDBBQAAAAIAIdO4kCKFGY80QAAAJQB&#10;AAALAAAAX3JlbHMvLnJlbHOlkMFqwzAMhu+DvYPRfXGawxijTi+j0GvpHsDYimMaW0Yy2fr28w6D&#10;ZfS2o36h7xP//vCZFrUiS6RsYNf1oDA78jEHA++X49MLKKk2e7tQRgM3FDiMjw/7My62tiOZYxHV&#10;KFkMzLWWV63FzZisdFQwt81EnGxtIwddrLvagHro+2fNvxkwbpjq5A3wyQ+gLrfSzH/YKTomoal2&#10;jpKmaYruHlUHtmWO7sg24Ru5RrMcsBrwLBoHalnXfgR9X7/7p97TRz7jutV+h4zrj1dvuhy/AFBL&#10;AwQUAAAACACHTuJAfublIPcAAADhAQAAEwAAAFtDb250ZW50X1R5cGVzXS54bWyVkUFOwzAQRfdI&#10;3MHyFiVOu0AIJemCtEtAqBxgZE8Si2RseUxob4+TthtEkVjaM/+/J7vcHMZBTBjYOqrkKi+kQNLO&#10;WOoq+b7fZQ9ScAQyMDjCSh6R5aa+vSn3R48sUpq4kn2M/lEp1j2OwLnzSGnSujBCTMfQKQ/6AzpU&#10;66K4V9pRRIpZnDtkXTbYwucQxfaQrk8mAQeW4um0OLMqCd4PVkNMpmoi84OSnQl5Si473FvPd0lD&#10;ql8J8+Q64Jx7SU8TrEHxCiE+w5g0lAmsjPuigFP+d8lsOXLm2tZqzJvATYq94XSxutaOa9c4/d/y&#10;7ZK6dKvlg+pvUEsBAhQAFAAAAAgAh07iQH7m5SD3AAAA4QEAABMAAAAAAAAAAQAgAAAAcgQAAFtD&#10;b250ZW50X1R5cGVzXS54bWxQSwECFAAKAAAAAACHTuJAAAAAAAAAAAAAAAAABgAAAAAAAAAAABAA&#10;AABUAwAAX3JlbHMvUEsBAhQAFAAAAAgAh07iQIoUZjzRAAAAlAEAAAsAAAAAAAAAAQAgAAAAeAMA&#10;AF9yZWxzLy5yZWxzUEsBAhQACgAAAAAAh07iQAAAAAAAAAAAAAAAAAQAAAAAAAAAAAAQAAAAAAAA&#10;AGRycy9QSwECFAAUAAAACACHTuJAy1u5d9AAAAACAQAADwAAAAAAAAABACAAAAAiAAAAZHJzL2Rv&#10;d25yZXYueG1sUEsBAhQAFAAAAAgAh07iQJtOi8kJAgAAAwQAAA4AAAAAAAAAAQAgAAAAHwEAAGRy&#10;cy9lMm9Eb2MueG1sUEsFBgAAAAAGAAYAWQEAAJoFA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16205" cy="139700"/>
              <wp:effectExtent l="0" t="635" r="635" b="2540"/>
              <wp:wrapNone/>
              <wp:docPr id="9" name="文本框 9"/>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1"/>
                          </w:pPr>
                          <w:r>
                            <w:fldChar w:fldCharType="begin"/>
                          </w:r>
                          <w:r>
                            <w:instrText xml:space="preserve"> PAGE  \* MERGEFORMAT </w:instrText>
                          </w:r>
                          <w:r>
                            <w:fldChar w:fldCharType="separate"/>
                          </w:r>
                          <w:r>
                            <w:t>29</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0288;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KGXk20KAgAAAgQAAA4AAABkcnMvZTJvRG9jLnhtbK1TzY7TMBC+I/EO&#10;lu80aRELjZqulq2KkJYfaeEBXMdpLGKPNXablAeAN+C0F+48V5+DsdOUZbnsgYs1tsfffN8348Vl&#10;b1q2V+g12JJPJzlnykqotN2W/POn9bNXnPkgbCVasKrkB+X55fLpk0XnCjWDBtpKISMQ64vOlbwJ&#10;wRVZ5mWjjPATcMrSZQ1oRKAtbrMKRUfops1meX6RdYCVQ5DKezpdDZf8hIiPAYS61lKtQO6MsmFA&#10;RdWKQJJ8o53ny8S2rpUMH+raq8DakpPSkFYqQvEmrtlyIYotCtdoeaIgHkPhgSYjtKWiZ6iVCILt&#10;UP8DZbRE8FCHiQSTDUKSI6Rimj/w5rYRTiUtZLV3Z9P9/4OV7/cfkemq5HPOrDDU8OOP78e7X8ef&#10;39g82tM5X1DWraO80L+GnoYmSfXuBuQXzyxcN8Ju1RUidI0SFdGbxpfZvacDjo8gm+4dVFRH7AIk&#10;oL5GE70jNxihU2sO59aoPjAZS04vZvkLziRdTZ/PX+apdZkoxscOfXijwLAYlByp8wlc7G98iGRE&#10;MabEWhbWum1T91v71wElxpNEPvIdmId+05/M2EB1IBkIwzDRV6KgAfzKWUeDVHJL/4az9q0lI+LM&#10;jQGOwWYMhJX0sOSBsyG8DsNs7hzqbUO4o9VXZNZaJyHR1YHDiSWNRtJ3GuM4e/f3KevP113+B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Chl5NtCgIAAAIEAAAOAAAAAAAAAAEAIAAAAB8BAABk&#10;cnMvZTJvRG9jLnhtbFBLBQYAAAAABgAGAFkBAACb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29</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1"/>
    </w:pPr>
    <w: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16205" cy="139700"/>
              <wp:effectExtent l="0" t="0" r="635" b="0"/>
              <wp:wrapNone/>
              <wp:docPr id="8" name="文本框 8"/>
              <wp:cNvGraphicFramePr/>
              <a:graphic xmlns:a="http://schemas.openxmlformats.org/drawingml/2006/main">
                <a:graphicData uri="http://schemas.microsoft.com/office/word/2010/wordprocessingShape">
                  <wps:wsp>
                    <wps:cNvSpPr txBox="1">
                      <a:spLocks noChangeArrowheads="1"/>
                    </wps:cNvSpPr>
                    <wps:spPr bwMode="auto">
                      <a:xfrm>
                        <a:off x="0" y="0"/>
                        <a:ext cx="116205" cy="139700"/>
                      </a:xfrm>
                      <a:prstGeom prst="rect">
                        <a:avLst/>
                      </a:prstGeom>
                      <a:noFill/>
                      <a:ln>
                        <a:noFill/>
                      </a:ln>
                    </wps:spPr>
                    <wps:txbx>
                      <w:txbxContent>
                        <w:p>
                          <w:pPr>
                            <w:pStyle w:val="21"/>
                          </w:pPr>
                          <w:r>
                            <w:fldChar w:fldCharType="begin"/>
                          </w:r>
                          <w:r>
                            <w:instrText xml:space="preserve"> PAGE  \* MERGEFORMAT </w:instrText>
                          </w:r>
                          <w:r>
                            <w:fldChar w:fldCharType="separate"/>
                          </w:r>
                          <w:r>
                            <w:t>45</w:t>
                          </w:r>
                          <w:r>
                            <w:fldChar w:fldCharType="end"/>
                          </w:r>
                        </w:p>
                      </w:txbxContent>
                    </wps:txbx>
                    <wps:bodyPr rot="0" vert="horz" wrap="none" lIns="0" tIns="0" rIns="0" bIns="0" anchor="t" anchorCtr="0" upright="1">
                      <a:spAutoFit/>
                    </wps:bodyPr>
                  </wps:wsp>
                </a:graphicData>
              </a:graphic>
            </wp:anchor>
          </w:drawing>
        </mc:Choice>
        <mc:Fallback>
          <w:pict>
            <v:shape id="_x0000_s1026" o:spid="_x0000_s1026" o:spt="202" type="#_x0000_t202" style="position:absolute;left:0pt;margin-top:0pt;height:11pt;width:9.15pt;mso-position-horizontal:center;mso-position-horizontal-relative:margin;mso-wrap-style:none;z-index:251661312;mso-width-relative:page;mso-height-relative:page;" filled="f" stroked="f" coordsize="21600,21600" o:gfxdata="UEsDBAoAAAAAAIdO4kAAAAAAAAAAAAAAAAAEAAAAZHJzL1BLAwQUAAAACACHTuJABi6WFNAAAAAD&#10;AQAADwAAAGRycy9kb3ducmV2LnhtbE2PwWrDMBBE74X8g9hAb40UB1rjWM4hkEtvTUuhN8XaWCbS&#10;ykiKY/99lF7ay8Iww8zbejc5y0YMsfckYb0SwJBar3vqJHx9Hl5KYDEp0sp6QgkzRtg1i6daVdrf&#10;6APHY+pYLqFYKQkmpaHiPLYGnYorPyBl7+yDUynL0HEd1C2XO8sLIV65Uz3lBaMG3BtsL8erk/A2&#10;fXscIu7x5zy2wfRzad9nKZ+Xa7EFlnBKf2F44Gd0aDLTyV9JR2Yl5EfS73145QbYSUJRCOBNzf+z&#10;N3dQSwMEFAAAAAgAh07iQNkiIC8KAgAAAgQAAA4AAABkcnMvZTJvRG9jLnhtbK1TS27bMBDdF+gd&#10;CO5ryS6aJoLlII3hokD6AdIegKYoi6jIIYa0JfcA7Q26yqb7nsvnyJCy3DTdZNENMSSHb957M5xf&#10;9qZlO4Vegy35dJJzpqyESttNyb98Xr0458wHYSvRglUl3yvPLxfPn807V6gZNNBWChmBWF90ruRN&#10;CK7IMi8bZYSfgFOWLmtAIwJtcZNVKDpCN202y/OzrAOsHIJU3tPpcrjkR0R8CiDUtZZqCXJrlA0D&#10;KqpWBJLkG+08XyS2da1k+FjXXgXWlpyUhrRSEYrXcc0Wc1FsULhGyyMF8RQKjzQZoS0VPUEtRRBs&#10;i/ofKKMlgoc6TCSYbBCSHCEV0/yRN7eNcCppIau9O5nu/x+s/LD7hExXJae2W2Go4YefPw53vw+/&#10;vrPzaE/nfEFZt47yQv8GehqaJNW7G5BfPbNw3Qi7UVeI0DVKVERvGl9mD54OOD6CrLv3UFEdsQ2Q&#10;gPoaTfSO3GCETq3Zn1qj+sBkLDk9m+WvOJN0NX158TpPrctEMT526MNbBYbFoORInU/gYnfjQyQj&#10;ijEl1rKw0m2but/avw4oMZ4k8pHvwDz06/5oxhqqPclAGIaJvhIFDeA3zjoapJJb+jecte8sGRFn&#10;bgxwDNZjIKykhyUPnA3hdRhmc+tQbxrCHa2+IrNWOgmJrg4cjixpNJK+4xjH2Xu4T1l/vu7iHlBL&#10;AwQKAAAAAACHTuJAAAAAAAAAAAAAAAAABgAAAF9yZWxzL1BLAwQUAAAACACHTuJAihRmPNEAAACU&#10;AQAACwAAAF9yZWxzLy5yZWxzpZDBasMwDIbvg72D0X1xmsMYo04vo9Br6R7A2IpjGltGMtn69vMO&#10;g2X0tqN+oe8T//7wmRa1IkukbGDX9aAwO/IxBwPvl+PTCyipNnu7UEYDNxQ4jI8P+zMutrYjmWMR&#10;1ShZDMy1lletxc2YrHRUMLfNRJxsbSMHXay72oB66Ptnzb8ZMG6Y6uQN8MkPoC630sx/2Ck6JqGp&#10;do6SpmmK7h5VB7Zlju7INuEbuUazHLAa8CwaB2pZ134EfV+/+6fe00c+47rVfoeM649Xb7ocvwBQ&#10;SwMEFAAAAAgAh07iQH7m5SD3AAAA4QEAABMAAABbQ29udGVudF9UeXBlc10ueG1slZFBTsMwEEX3&#10;SNzB8hYlTrtACCXpgrRLQKgcYGRPEotkbHlMaG+Pk7YbRJFY2jP/vye73BzGQUwY2Dqq5CovpEDS&#10;zljqKvm+32UPUnAEMjA4wkoekeWmvr0p90ePLFKauJJ9jP5RKdY9jsC580hp0rowQkzH0CkP+gM6&#10;VOuiuFfaUUSKWZw7ZF022MLnEMX2kK5PJgEHluLptDizKgneD1ZDTKZqIvODkp0JeUouO9xbz3dJ&#10;Q6pfCfPkOuCce0lPE6xB8QohPsOYNJQJrIz7ooBT/nfJbDly5trWasybwE2KveF0sbrWjmvXOP3f&#10;8u2SunSr5YPqb1BLAQIUABQAAAAIAIdO4kB+5uUg9wAAAOEBAAATAAAAAAAAAAEAIAAAAHMEAABb&#10;Q29udGVudF9UeXBlc10ueG1sUEsBAhQACgAAAAAAh07iQAAAAAAAAAAAAAAAAAYAAAAAAAAAAAAQ&#10;AAAAVQMAAF9yZWxzL1BLAQIUABQAAAAIAIdO4kCKFGY80QAAAJQBAAALAAAAAAAAAAEAIAAAAHkD&#10;AABfcmVscy8ucmVsc1BLAQIUAAoAAAAAAIdO4kAAAAAAAAAAAAAAAAAEAAAAAAAAAAAAEAAAAAAA&#10;AABkcnMvUEsBAhQAFAAAAAgAh07iQAYulhTQAAAAAwEAAA8AAAAAAAAAAQAgAAAAIgAAAGRycy9k&#10;b3ducmV2LnhtbFBLAQIUABQAAAAIAIdO4kDZIiAvCgIAAAIEAAAOAAAAAAAAAAEAIAAAAB8BAABk&#10;cnMvZTJvRG9jLnhtbFBLBQYAAAAABgAGAFkBAACbBQAAAAA=&#10;">
              <v:fill on="f" focussize="0,0"/>
              <v:stroke on="f"/>
              <v:imagedata o:title=""/>
              <o:lock v:ext="edit" aspectratio="f"/>
              <v:textbox inset="0mm,0mm,0mm,0mm" style="mso-fit-shape-to-text:t;">
                <w:txbxContent>
                  <w:p>
                    <w:pPr>
                      <w:pStyle w:val="21"/>
                    </w:pPr>
                    <w:r>
                      <w:fldChar w:fldCharType="begin"/>
                    </w:r>
                    <w:r>
                      <w:instrText xml:space="preserve"> PAGE  \* MERGEFORMAT </w:instrText>
                    </w:r>
                    <w:r>
                      <w:fldChar w:fldCharType="separate"/>
                    </w:r>
                    <w:r>
                      <w:t>45</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0"/>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2"/>
      <w:pBdr>
        <w:bottom w:val="none" w:color="auto" w:sz="0" w:space="1"/>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E8E5CB56"/>
    <w:multiLevelType w:val="singleLevel"/>
    <w:tmpl w:val="E8E5CB56"/>
    <w:lvl w:ilvl="0" w:tentative="0">
      <w:start w:val="1"/>
      <w:numFmt w:val="decimal"/>
      <w:suff w:val="nothing"/>
      <w:lvlText w:val="（%1）"/>
      <w:lvlJc w:val="left"/>
    </w:lvl>
  </w:abstractNum>
  <w:abstractNum w:abstractNumId="1">
    <w:nsid w:val="0000000A"/>
    <w:multiLevelType w:val="singleLevel"/>
    <w:tmpl w:val="0000000A"/>
    <w:lvl w:ilvl="0" w:tentative="0">
      <w:start w:val="5"/>
      <w:numFmt w:val="chineseCounting"/>
      <w:suff w:val="space"/>
      <w:lvlText w:val="第%1章"/>
      <w:lvlJc w:val="left"/>
      <w:rPr>
        <w:rFonts w:hint="eastAsia"/>
      </w:rPr>
    </w:lvl>
  </w:abstractNum>
  <w:abstractNum w:abstractNumId="2">
    <w:nsid w:val="218E60DF"/>
    <w:multiLevelType w:val="singleLevel"/>
    <w:tmpl w:val="218E60DF"/>
    <w:lvl w:ilvl="0" w:tentative="0">
      <w:start w:val="4"/>
      <w:numFmt w:val="decimal"/>
      <w:suff w:val="nothing"/>
      <w:lvlText w:val="%1、"/>
      <w:lvlJc w:val="left"/>
      <w:pPr>
        <w:ind w:left="0" w:firstLine="0"/>
      </w:pPr>
      <w:rPr>
        <w:rFonts w:hint="eastAsia"/>
      </w:rPr>
    </w:lvl>
  </w:abstractNum>
  <w:abstractNum w:abstractNumId="3">
    <w:nsid w:val="3FB37080"/>
    <w:multiLevelType w:val="multilevel"/>
    <w:tmpl w:val="3FB37080"/>
    <w:lvl w:ilvl="0" w:tentative="0">
      <w:start w:val="1"/>
      <w:numFmt w:val="decimal"/>
      <w:lvlText w:val="%1."/>
      <w:lvlJc w:val="left"/>
      <w:pPr>
        <w:ind w:left="360" w:hanging="36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noPunctuationKerning w:val="1"/>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zI2YjczZjJiNjBiMTZmN2YzNTAyNGM3MTI2NzU5NjAifQ=="/>
  </w:docVars>
  <w:rsids>
    <w:rsidRoot w:val="00FE62DA"/>
    <w:rsid w:val="000370FD"/>
    <w:rsid w:val="000437CD"/>
    <w:rsid w:val="000D04B6"/>
    <w:rsid w:val="000D61AF"/>
    <w:rsid w:val="00140AED"/>
    <w:rsid w:val="001E1A34"/>
    <w:rsid w:val="0021631A"/>
    <w:rsid w:val="002E284A"/>
    <w:rsid w:val="0040035E"/>
    <w:rsid w:val="0043335B"/>
    <w:rsid w:val="004F2A48"/>
    <w:rsid w:val="004F3ABC"/>
    <w:rsid w:val="00515F47"/>
    <w:rsid w:val="005811E9"/>
    <w:rsid w:val="005C75CA"/>
    <w:rsid w:val="005F7D52"/>
    <w:rsid w:val="00706D0C"/>
    <w:rsid w:val="00747123"/>
    <w:rsid w:val="00792626"/>
    <w:rsid w:val="008E09FB"/>
    <w:rsid w:val="00906C51"/>
    <w:rsid w:val="00971213"/>
    <w:rsid w:val="009C0F99"/>
    <w:rsid w:val="009E2DC0"/>
    <w:rsid w:val="00AB5909"/>
    <w:rsid w:val="00AE2A01"/>
    <w:rsid w:val="00B57D0B"/>
    <w:rsid w:val="00B707A4"/>
    <w:rsid w:val="00BE025C"/>
    <w:rsid w:val="00BF1296"/>
    <w:rsid w:val="00C243D2"/>
    <w:rsid w:val="00CE7AF8"/>
    <w:rsid w:val="00D14A10"/>
    <w:rsid w:val="00DD14D5"/>
    <w:rsid w:val="00DF190D"/>
    <w:rsid w:val="00E96224"/>
    <w:rsid w:val="00F91A5D"/>
    <w:rsid w:val="00FD61C0"/>
    <w:rsid w:val="00FE62DA"/>
    <w:rsid w:val="01356BE4"/>
    <w:rsid w:val="04831BA2"/>
    <w:rsid w:val="056B1749"/>
    <w:rsid w:val="06793AD9"/>
    <w:rsid w:val="06C52C93"/>
    <w:rsid w:val="07AF3996"/>
    <w:rsid w:val="0849753D"/>
    <w:rsid w:val="0D8A4386"/>
    <w:rsid w:val="0D9C676A"/>
    <w:rsid w:val="0E1E5522"/>
    <w:rsid w:val="0EA92906"/>
    <w:rsid w:val="0EB0506B"/>
    <w:rsid w:val="0EEC306B"/>
    <w:rsid w:val="0F4127D6"/>
    <w:rsid w:val="0F766BF7"/>
    <w:rsid w:val="0FF22FB9"/>
    <w:rsid w:val="10576945"/>
    <w:rsid w:val="13B26572"/>
    <w:rsid w:val="14341374"/>
    <w:rsid w:val="16D65984"/>
    <w:rsid w:val="18475FDE"/>
    <w:rsid w:val="18961C31"/>
    <w:rsid w:val="1A374A79"/>
    <w:rsid w:val="1D286EF2"/>
    <w:rsid w:val="1E6A3A5C"/>
    <w:rsid w:val="2014177F"/>
    <w:rsid w:val="213A0CBF"/>
    <w:rsid w:val="227A4473"/>
    <w:rsid w:val="23623B5A"/>
    <w:rsid w:val="23F558FB"/>
    <w:rsid w:val="24062738"/>
    <w:rsid w:val="25E36393"/>
    <w:rsid w:val="2A4429C0"/>
    <w:rsid w:val="2A5C72C7"/>
    <w:rsid w:val="2ADD35CD"/>
    <w:rsid w:val="2B4126FD"/>
    <w:rsid w:val="2B715282"/>
    <w:rsid w:val="2B7A4E97"/>
    <w:rsid w:val="2CC80B4D"/>
    <w:rsid w:val="2D105343"/>
    <w:rsid w:val="2EBB3C30"/>
    <w:rsid w:val="2FCD4968"/>
    <w:rsid w:val="304376CD"/>
    <w:rsid w:val="31A47133"/>
    <w:rsid w:val="328540BC"/>
    <w:rsid w:val="33AF7717"/>
    <w:rsid w:val="34E459E0"/>
    <w:rsid w:val="36AC587C"/>
    <w:rsid w:val="393A2629"/>
    <w:rsid w:val="3C1479D0"/>
    <w:rsid w:val="3C4F3097"/>
    <w:rsid w:val="3D15647B"/>
    <w:rsid w:val="3D9E2EB7"/>
    <w:rsid w:val="3EB37CCD"/>
    <w:rsid w:val="3F023231"/>
    <w:rsid w:val="3FA9301C"/>
    <w:rsid w:val="3FC25C55"/>
    <w:rsid w:val="406E1875"/>
    <w:rsid w:val="407C403F"/>
    <w:rsid w:val="40A0208E"/>
    <w:rsid w:val="41425BE6"/>
    <w:rsid w:val="41A02A30"/>
    <w:rsid w:val="42D57E5E"/>
    <w:rsid w:val="439B2F38"/>
    <w:rsid w:val="45022C1A"/>
    <w:rsid w:val="457D104F"/>
    <w:rsid w:val="457E617A"/>
    <w:rsid w:val="45F8297B"/>
    <w:rsid w:val="465E4A52"/>
    <w:rsid w:val="48135B10"/>
    <w:rsid w:val="48D21EE8"/>
    <w:rsid w:val="49291A0B"/>
    <w:rsid w:val="49AC18EE"/>
    <w:rsid w:val="4B166E79"/>
    <w:rsid w:val="4DE217D0"/>
    <w:rsid w:val="4E141DEB"/>
    <w:rsid w:val="4ECA61FC"/>
    <w:rsid w:val="4FF12E21"/>
    <w:rsid w:val="51714231"/>
    <w:rsid w:val="519C386C"/>
    <w:rsid w:val="527A49E6"/>
    <w:rsid w:val="53F93AA5"/>
    <w:rsid w:val="558E7BCD"/>
    <w:rsid w:val="55F935FB"/>
    <w:rsid w:val="56CA7B0E"/>
    <w:rsid w:val="574C7B1D"/>
    <w:rsid w:val="577C2556"/>
    <w:rsid w:val="5ACF7CF2"/>
    <w:rsid w:val="5AF76F84"/>
    <w:rsid w:val="5B6471D2"/>
    <w:rsid w:val="5B9938B6"/>
    <w:rsid w:val="5D945EB8"/>
    <w:rsid w:val="605D1C94"/>
    <w:rsid w:val="6063182B"/>
    <w:rsid w:val="60C6363E"/>
    <w:rsid w:val="60EE3133"/>
    <w:rsid w:val="610F0176"/>
    <w:rsid w:val="61616C24"/>
    <w:rsid w:val="62CA5ADD"/>
    <w:rsid w:val="633E6D93"/>
    <w:rsid w:val="65350701"/>
    <w:rsid w:val="65764C68"/>
    <w:rsid w:val="671E33C4"/>
    <w:rsid w:val="68471168"/>
    <w:rsid w:val="68654E88"/>
    <w:rsid w:val="68CA0FEF"/>
    <w:rsid w:val="692F681B"/>
    <w:rsid w:val="69721913"/>
    <w:rsid w:val="6A3E77F1"/>
    <w:rsid w:val="6E731B6A"/>
    <w:rsid w:val="6E974A97"/>
    <w:rsid w:val="6F2E11B9"/>
    <w:rsid w:val="6F9C6AB0"/>
    <w:rsid w:val="72950CF9"/>
    <w:rsid w:val="729A0E13"/>
    <w:rsid w:val="732B0E40"/>
    <w:rsid w:val="73C55381"/>
    <w:rsid w:val="745364DE"/>
    <w:rsid w:val="74A11093"/>
    <w:rsid w:val="74D9437C"/>
    <w:rsid w:val="75EA3264"/>
    <w:rsid w:val="77714D9C"/>
    <w:rsid w:val="78A22F5A"/>
    <w:rsid w:val="7A960398"/>
    <w:rsid w:val="7B1555BE"/>
    <w:rsid w:val="7B564E1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iPriority="9" w:name="heading 6"/>
    <w:lsdException w:qFormat="1" w:unhideWhenUsed="0" w:uiPriority="0" w:semiHidden="0"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39" w:semiHidden="0" w:name="toc 1"/>
    <w:lsdException w:qFormat="1" w:unhideWhenUsed="0" w:uiPriority="39" w:semiHidden="0" w:name="toc 2"/>
    <w:lsdException w:qFormat="1" w:unhideWhenUsed="0" w:uiPriority="39" w:semiHidden="0"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99" w:name="footnote text"/>
    <w:lsdException w:qFormat="1" w:unhideWhenUsed="0" w:uiPriority="0" w:semiHidden="0" w:name="annotation text"/>
    <w:lsdException w:qFormat="1" w:uiPriority="0"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qFormat="1" w:unhideWhenUsed="0" w:uiPriority="0" w:semiHidden="0" w:name="envelope return"/>
    <w:lsdException w:uiPriority="99" w:name="footnote reference"/>
    <w:lsdException w:qFormat="1" w:unhideWhenUsed="0" w:uiPriority="0" w:semiHidden="0" w:name="annotation reference"/>
    <w:lsdException w:uiPriority="99" w:name="line number"/>
    <w:lsdException w:qFormat="1" w:unhideWhenUsed="0" w:uiPriority="0"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0" w:semiHidden="0" w:name="Body Text"/>
    <w:lsdException w:qFormat="1" w:unhideWhenUsed="0" w:uiPriority="0"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qFormat="1" w:unhideWhenUsed="0" w:uiPriority="0" w:semiHidden="0"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qFormat="1" w:unhideWhenUsed="0" w:uiPriority="0" w:semiHidden="0" w:name="Body Text 3"/>
    <w:lsdException w:qFormat="1" w:unhideWhenUsed="0" w:uiPriority="0" w:semiHidden="0" w:name="Body Text Indent 2"/>
    <w:lsdException w:uiPriority="99" w:name="Body Text Indent 3"/>
    <w:lsdException w:uiPriority="99" w:name="Block Text"/>
    <w:lsdException w:qFormat="1" w:unhideWhenUsed="0" w:uiPriority="99" w:semiHidden="0" w:name="Hyperlink"/>
    <w:lsdException w:qFormat="1" w:unhideWhenUsed="0" w:uiPriority="0" w:semiHidden="0" w:name="FollowedHyperlink"/>
    <w:lsdException w:qFormat="1" w:unhideWhenUsed="0" w:uiPriority="22" w:semiHidden="0" w:name="Strong"/>
    <w:lsdException w:qFormat="1" w:unhideWhenUsed="0" w:uiPriority="20" w:semiHidden="0" w:name="Emphasis"/>
    <w:lsdException w:qFormat="1" w:unhideWhenUsed="0" w:uiPriority="0" w:semiHidden="0" w:name="Document Map"/>
    <w:lsdException w:qFormat="1" w:unhideWhenUsed="0" w:uiPriority="0" w:semiHidden="0"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qFormat="1"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nhideWhenUsed="0" w:uiPriority="0" w:semiHidden="0"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2"/>
      <w:lang w:val="en-US" w:eastAsia="zh-CN" w:bidi="ar-SA"/>
    </w:rPr>
  </w:style>
  <w:style w:type="paragraph" w:styleId="3">
    <w:name w:val="heading 1"/>
    <w:basedOn w:val="1"/>
    <w:next w:val="1"/>
    <w:link w:val="35"/>
    <w:qFormat/>
    <w:uiPriority w:val="0"/>
    <w:pPr>
      <w:keepNext/>
      <w:keepLines/>
      <w:spacing w:line="576" w:lineRule="auto"/>
      <w:jc w:val="center"/>
      <w:outlineLvl w:val="0"/>
    </w:pPr>
    <w:rPr>
      <w:rFonts w:ascii="宋体" w:hAnsi="宋体"/>
      <w:b/>
      <w:kern w:val="44"/>
      <w:sz w:val="44"/>
      <w:szCs w:val="20"/>
    </w:rPr>
  </w:style>
  <w:style w:type="paragraph" w:styleId="4">
    <w:name w:val="heading 2"/>
    <w:basedOn w:val="1"/>
    <w:next w:val="1"/>
    <w:link w:val="36"/>
    <w:qFormat/>
    <w:uiPriority w:val="0"/>
    <w:pPr>
      <w:keepNext/>
      <w:keepLines/>
      <w:spacing w:line="412" w:lineRule="auto"/>
      <w:jc w:val="center"/>
      <w:outlineLvl w:val="1"/>
    </w:pPr>
    <w:rPr>
      <w:rFonts w:ascii="Arial" w:hAnsi="Arial"/>
      <w:b/>
      <w:sz w:val="24"/>
      <w:szCs w:val="20"/>
    </w:rPr>
  </w:style>
  <w:style w:type="paragraph" w:styleId="5">
    <w:name w:val="heading 3"/>
    <w:basedOn w:val="1"/>
    <w:next w:val="1"/>
    <w:link w:val="37"/>
    <w:qFormat/>
    <w:uiPriority w:val="0"/>
    <w:pPr>
      <w:keepNext/>
      <w:keepLines/>
      <w:spacing w:line="360" w:lineRule="auto"/>
      <w:jc w:val="left"/>
      <w:outlineLvl w:val="2"/>
    </w:pPr>
    <w:rPr>
      <w:rFonts w:ascii="宋体" w:hAnsi="宋体"/>
      <w:b/>
      <w:sz w:val="28"/>
      <w:szCs w:val="28"/>
    </w:rPr>
  </w:style>
  <w:style w:type="paragraph" w:styleId="6">
    <w:name w:val="heading 4"/>
    <w:basedOn w:val="1"/>
    <w:next w:val="1"/>
    <w:link w:val="38"/>
    <w:qFormat/>
    <w:uiPriority w:val="0"/>
    <w:pPr>
      <w:keepNext/>
      <w:keepLines/>
      <w:jc w:val="center"/>
      <w:outlineLvl w:val="3"/>
    </w:pPr>
    <w:rPr>
      <w:rFonts w:ascii="Cambria" w:hAnsi="Cambria"/>
      <w:b/>
      <w:bCs/>
      <w:sz w:val="28"/>
      <w:szCs w:val="28"/>
    </w:rPr>
  </w:style>
  <w:style w:type="paragraph" w:styleId="7">
    <w:name w:val="heading 5"/>
    <w:basedOn w:val="1"/>
    <w:next w:val="1"/>
    <w:link w:val="39"/>
    <w:qFormat/>
    <w:uiPriority w:val="0"/>
    <w:pPr>
      <w:keepNext/>
      <w:keepLines/>
      <w:spacing w:line="376" w:lineRule="auto"/>
      <w:outlineLvl w:val="4"/>
    </w:pPr>
    <w:rPr>
      <w:b/>
      <w:bCs/>
      <w:sz w:val="24"/>
      <w:szCs w:val="24"/>
    </w:rPr>
  </w:style>
  <w:style w:type="paragraph" w:styleId="8">
    <w:name w:val="heading 7"/>
    <w:basedOn w:val="1"/>
    <w:next w:val="9"/>
    <w:link w:val="40"/>
    <w:qFormat/>
    <w:uiPriority w:val="0"/>
    <w:pPr>
      <w:keepNext/>
      <w:keepLines/>
      <w:spacing w:before="240" w:after="64" w:line="320" w:lineRule="auto"/>
      <w:outlineLvl w:val="6"/>
    </w:pPr>
    <w:rPr>
      <w:b/>
      <w:kern w:val="0"/>
      <w:sz w:val="24"/>
      <w:szCs w:val="20"/>
    </w:rPr>
  </w:style>
  <w:style w:type="character" w:default="1" w:styleId="29">
    <w:name w:val="Default Paragraph Font"/>
    <w:semiHidden/>
    <w:unhideWhenUsed/>
    <w:qFormat/>
    <w:uiPriority w:val="1"/>
  </w:style>
  <w:style w:type="table" w:default="1" w:styleId="28">
    <w:name w:val="Normal Table"/>
    <w:semiHidden/>
    <w:unhideWhenUsed/>
    <w:qFormat/>
    <w:uiPriority w:val="99"/>
    <w:tblPr>
      <w:tblCellMar>
        <w:top w:w="0" w:type="dxa"/>
        <w:left w:w="108" w:type="dxa"/>
        <w:bottom w:w="0" w:type="dxa"/>
        <w:right w:w="108" w:type="dxa"/>
      </w:tblCellMar>
    </w:tblPr>
  </w:style>
  <w:style w:type="paragraph" w:customStyle="1" w:styleId="2">
    <w:name w:val="样式 宋体 行距: 1.5 倍行距"/>
    <w:basedOn w:val="1"/>
    <w:qFormat/>
    <w:uiPriority w:val="0"/>
    <w:pPr>
      <w:jc w:val="center"/>
    </w:pPr>
    <w:rPr>
      <w:rFonts w:ascii="Calibri" w:hAnsi="Calibri"/>
      <w:b/>
    </w:rPr>
  </w:style>
  <w:style w:type="paragraph" w:styleId="9">
    <w:name w:val="Normal Indent"/>
    <w:basedOn w:val="1"/>
    <w:next w:val="1"/>
    <w:qFormat/>
    <w:uiPriority w:val="0"/>
    <w:pPr>
      <w:ind w:firstLine="420"/>
    </w:pPr>
    <w:rPr>
      <w:rFonts w:ascii="Calibri" w:hAnsi="Calibri"/>
    </w:rPr>
  </w:style>
  <w:style w:type="paragraph" w:styleId="10">
    <w:name w:val="Document Map"/>
    <w:basedOn w:val="1"/>
    <w:link w:val="43"/>
    <w:qFormat/>
    <w:uiPriority w:val="0"/>
    <w:rPr>
      <w:rFonts w:ascii="宋体" w:hAnsi="Calibri"/>
      <w:sz w:val="18"/>
      <w:szCs w:val="18"/>
    </w:rPr>
  </w:style>
  <w:style w:type="paragraph" w:styleId="11">
    <w:name w:val="annotation text"/>
    <w:basedOn w:val="1"/>
    <w:link w:val="44"/>
    <w:qFormat/>
    <w:uiPriority w:val="0"/>
    <w:pPr>
      <w:jc w:val="left"/>
    </w:pPr>
    <w:rPr>
      <w:rFonts w:ascii="Calibri" w:hAnsi="Calibri"/>
    </w:rPr>
  </w:style>
  <w:style w:type="paragraph" w:styleId="12">
    <w:name w:val="Body Text 3"/>
    <w:basedOn w:val="1"/>
    <w:link w:val="45"/>
    <w:qFormat/>
    <w:uiPriority w:val="0"/>
    <w:rPr>
      <w:rFonts w:ascii="宋体" w:hAnsi="Calibri"/>
      <w:sz w:val="24"/>
    </w:rPr>
  </w:style>
  <w:style w:type="paragraph" w:styleId="13">
    <w:name w:val="Body Text"/>
    <w:basedOn w:val="1"/>
    <w:next w:val="1"/>
    <w:link w:val="46"/>
    <w:qFormat/>
    <w:uiPriority w:val="0"/>
    <w:rPr>
      <w:szCs w:val="20"/>
    </w:rPr>
  </w:style>
  <w:style w:type="paragraph" w:styleId="14">
    <w:name w:val="Body Text Indent"/>
    <w:basedOn w:val="1"/>
    <w:next w:val="15"/>
    <w:link w:val="47"/>
    <w:qFormat/>
    <w:uiPriority w:val="0"/>
    <w:pPr>
      <w:autoSpaceDE w:val="0"/>
      <w:autoSpaceDN w:val="0"/>
      <w:adjustRightInd w:val="0"/>
      <w:spacing w:line="0" w:lineRule="atLeast"/>
      <w:ind w:firstLine="525"/>
    </w:pPr>
    <w:rPr>
      <w:rFonts w:ascii="宋体" w:hAnsi="宋体"/>
      <w:color w:val="000000"/>
      <w:kern w:val="0"/>
      <w:sz w:val="20"/>
      <w:szCs w:val="24"/>
    </w:rPr>
  </w:style>
  <w:style w:type="paragraph" w:styleId="15">
    <w:name w:val="envelope return"/>
    <w:basedOn w:val="1"/>
    <w:qFormat/>
    <w:uiPriority w:val="0"/>
    <w:pPr>
      <w:snapToGrid w:val="0"/>
    </w:pPr>
    <w:rPr>
      <w:rFonts w:ascii="Arial" w:hAnsi="Arial" w:cs="Arial"/>
    </w:rPr>
  </w:style>
  <w:style w:type="paragraph" w:styleId="16">
    <w:name w:val="toc 3"/>
    <w:basedOn w:val="1"/>
    <w:next w:val="1"/>
    <w:qFormat/>
    <w:uiPriority w:val="39"/>
    <w:pPr>
      <w:ind w:left="840" w:leftChars="400"/>
    </w:pPr>
    <w:rPr>
      <w:rFonts w:ascii="Calibri" w:hAnsi="Calibri"/>
    </w:rPr>
  </w:style>
  <w:style w:type="paragraph" w:styleId="17">
    <w:name w:val="Plain Text"/>
    <w:basedOn w:val="1"/>
    <w:next w:val="1"/>
    <w:link w:val="48"/>
    <w:qFormat/>
    <w:uiPriority w:val="0"/>
    <w:rPr>
      <w:rFonts w:ascii="宋体" w:hAnsi="Calibri"/>
      <w:sz w:val="22"/>
    </w:rPr>
  </w:style>
  <w:style w:type="paragraph" w:styleId="18">
    <w:name w:val="Date"/>
    <w:basedOn w:val="1"/>
    <w:next w:val="1"/>
    <w:link w:val="49"/>
    <w:qFormat/>
    <w:uiPriority w:val="0"/>
    <w:pPr>
      <w:ind w:left="100" w:leftChars="2500"/>
    </w:pPr>
    <w:rPr>
      <w:rFonts w:ascii="Calibri" w:hAnsi="Calibri"/>
    </w:rPr>
  </w:style>
  <w:style w:type="paragraph" w:styleId="19">
    <w:name w:val="Body Text Indent 2"/>
    <w:basedOn w:val="1"/>
    <w:link w:val="50"/>
    <w:qFormat/>
    <w:uiPriority w:val="0"/>
    <w:pPr>
      <w:spacing w:line="480" w:lineRule="auto"/>
      <w:ind w:left="420" w:leftChars="200"/>
    </w:pPr>
    <w:rPr>
      <w:szCs w:val="24"/>
    </w:rPr>
  </w:style>
  <w:style w:type="paragraph" w:styleId="20">
    <w:name w:val="Balloon Text"/>
    <w:basedOn w:val="1"/>
    <w:link w:val="51"/>
    <w:qFormat/>
    <w:uiPriority w:val="0"/>
    <w:rPr>
      <w:rFonts w:ascii="Calibri" w:hAnsi="Calibri"/>
      <w:sz w:val="18"/>
      <w:szCs w:val="18"/>
    </w:rPr>
  </w:style>
  <w:style w:type="paragraph" w:styleId="21">
    <w:name w:val="footer"/>
    <w:basedOn w:val="1"/>
    <w:link w:val="42"/>
    <w:unhideWhenUsed/>
    <w:qFormat/>
    <w:uiPriority w:val="99"/>
    <w:pPr>
      <w:tabs>
        <w:tab w:val="center" w:pos="4153"/>
        <w:tab w:val="right" w:pos="8306"/>
      </w:tabs>
      <w:snapToGrid w:val="0"/>
      <w:jc w:val="left"/>
    </w:pPr>
    <w:rPr>
      <w:sz w:val="18"/>
      <w:szCs w:val="18"/>
    </w:rPr>
  </w:style>
  <w:style w:type="paragraph" w:styleId="22">
    <w:name w:val="header"/>
    <w:basedOn w:val="1"/>
    <w:link w:val="41"/>
    <w:unhideWhenUsed/>
    <w:qFormat/>
    <w:uiPriority w:val="0"/>
    <w:pPr>
      <w:pBdr>
        <w:bottom w:val="single" w:color="auto" w:sz="6" w:space="1"/>
      </w:pBdr>
      <w:tabs>
        <w:tab w:val="center" w:pos="4153"/>
        <w:tab w:val="right" w:pos="8306"/>
      </w:tabs>
      <w:snapToGrid w:val="0"/>
      <w:jc w:val="center"/>
    </w:pPr>
    <w:rPr>
      <w:sz w:val="18"/>
      <w:szCs w:val="18"/>
    </w:rPr>
  </w:style>
  <w:style w:type="paragraph" w:styleId="23">
    <w:name w:val="toc 1"/>
    <w:basedOn w:val="1"/>
    <w:next w:val="1"/>
    <w:qFormat/>
    <w:uiPriority w:val="39"/>
    <w:rPr>
      <w:rFonts w:ascii="Calibri" w:hAnsi="Calibri"/>
    </w:rPr>
  </w:style>
  <w:style w:type="paragraph" w:styleId="24">
    <w:name w:val="toc 2"/>
    <w:basedOn w:val="1"/>
    <w:next w:val="1"/>
    <w:qFormat/>
    <w:uiPriority w:val="39"/>
    <w:pPr>
      <w:ind w:left="420" w:leftChars="200"/>
    </w:pPr>
    <w:rPr>
      <w:rFonts w:ascii="Calibri" w:hAnsi="Calibri"/>
    </w:rPr>
  </w:style>
  <w:style w:type="paragraph" w:styleId="25">
    <w:name w:val="annotation subject"/>
    <w:basedOn w:val="11"/>
    <w:next w:val="11"/>
    <w:link w:val="52"/>
    <w:qFormat/>
    <w:uiPriority w:val="0"/>
    <w:rPr>
      <w:b/>
      <w:bCs/>
    </w:rPr>
  </w:style>
  <w:style w:type="paragraph" w:styleId="26">
    <w:name w:val="Body Text First Indent"/>
    <w:basedOn w:val="13"/>
    <w:link w:val="53"/>
    <w:qFormat/>
    <w:uiPriority w:val="0"/>
    <w:pPr>
      <w:spacing w:line="312" w:lineRule="auto"/>
      <w:ind w:firstLine="420"/>
    </w:pPr>
    <w:rPr>
      <w:rFonts w:ascii="Calibri" w:hAnsi="Calibri"/>
      <w:szCs w:val="24"/>
    </w:rPr>
  </w:style>
  <w:style w:type="paragraph" w:styleId="27">
    <w:name w:val="Body Text First Indent 2"/>
    <w:basedOn w:val="14"/>
    <w:link w:val="54"/>
    <w:qFormat/>
    <w:uiPriority w:val="0"/>
    <w:pPr>
      <w:autoSpaceDE/>
      <w:autoSpaceDN/>
      <w:adjustRightInd/>
      <w:spacing w:after="120" w:line="240" w:lineRule="auto"/>
      <w:ind w:left="420" w:leftChars="200" w:firstLine="420" w:firstLineChars="200"/>
    </w:pPr>
    <w:rPr>
      <w:rFonts w:ascii="Times New Roman" w:hAnsi="Times New Roman"/>
      <w:color w:val="auto"/>
      <w:kern w:val="2"/>
      <w:sz w:val="21"/>
    </w:rPr>
  </w:style>
  <w:style w:type="character" w:styleId="30">
    <w:name w:val="page number"/>
    <w:qFormat/>
    <w:uiPriority w:val="0"/>
    <w:rPr>
      <w:rFonts w:ascii="Calibri" w:hAnsi="Calibri" w:eastAsia="宋体" w:cs="Times New Roman"/>
    </w:rPr>
  </w:style>
  <w:style w:type="character" w:styleId="31">
    <w:name w:val="FollowedHyperlink"/>
    <w:qFormat/>
    <w:uiPriority w:val="0"/>
    <w:rPr>
      <w:rFonts w:ascii="Times New Roman" w:hAnsi="Times New Roman" w:eastAsia="楷体_GB2312" w:cs="Times New Roman"/>
      <w:color w:val="000000"/>
      <w:u w:val="none"/>
    </w:rPr>
  </w:style>
  <w:style w:type="character" w:styleId="32">
    <w:name w:val="Hyperlink"/>
    <w:qFormat/>
    <w:uiPriority w:val="99"/>
    <w:rPr>
      <w:rFonts w:ascii="Calibri" w:hAnsi="Calibri" w:eastAsia="宋体" w:cs="Times New Roman"/>
      <w:color w:val="0000FF"/>
      <w:u w:val="single"/>
    </w:rPr>
  </w:style>
  <w:style w:type="character" w:styleId="33">
    <w:name w:val="annotation reference"/>
    <w:qFormat/>
    <w:uiPriority w:val="0"/>
    <w:rPr>
      <w:rFonts w:ascii="Calibri" w:hAnsi="Calibri" w:eastAsia="宋体" w:cs="Times New Roman"/>
      <w:sz w:val="21"/>
      <w:szCs w:val="21"/>
    </w:rPr>
  </w:style>
  <w:style w:type="paragraph" w:customStyle="1" w:styleId="34">
    <w:name w:val="Default"/>
    <w:next w:val="22"/>
    <w:qFormat/>
    <w:uiPriority w:val="0"/>
    <w:pPr>
      <w:widowControl w:val="0"/>
      <w:autoSpaceDE w:val="0"/>
      <w:autoSpaceDN w:val="0"/>
      <w:adjustRightInd w:val="0"/>
    </w:pPr>
    <w:rPr>
      <w:rFonts w:ascii="Times New Roman" w:hAnsi="Times New Roman" w:eastAsia="宋体" w:cs="Times New Roman"/>
      <w:color w:val="000000"/>
      <w:sz w:val="24"/>
      <w:szCs w:val="24"/>
      <w:lang w:val="en-US" w:eastAsia="zh-CN" w:bidi="ar-SA"/>
    </w:rPr>
  </w:style>
  <w:style w:type="character" w:customStyle="1" w:styleId="35">
    <w:name w:val="标题 1 Char"/>
    <w:basedOn w:val="29"/>
    <w:link w:val="3"/>
    <w:qFormat/>
    <w:uiPriority w:val="0"/>
    <w:rPr>
      <w:rFonts w:ascii="宋体" w:hAnsi="宋体" w:eastAsia="宋体" w:cs="Times New Roman"/>
      <w:b/>
      <w:kern w:val="44"/>
      <w:sz w:val="44"/>
      <w:szCs w:val="20"/>
    </w:rPr>
  </w:style>
  <w:style w:type="character" w:customStyle="1" w:styleId="36">
    <w:name w:val="标题 2 Char"/>
    <w:basedOn w:val="29"/>
    <w:link w:val="4"/>
    <w:qFormat/>
    <w:uiPriority w:val="0"/>
    <w:rPr>
      <w:rFonts w:ascii="Arial" w:hAnsi="Arial" w:eastAsia="宋体" w:cs="Times New Roman"/>
      <w:b/>
      <w:sz w:val="24"/>
      <w:szCs w:val="20"/>
    </w:rPr>
  </w:style>
  <w:style w:type="character" w:customStyle="1" w:styleId="37">
    <w:name w:val="标题 3 Char"/>
    <w:basedOn w:val="29"/>
    <w:link w:val="5"/>
    <w:qFormat/>
    <w:uiPriority w:val="0"/>
    <w:rPr>
      <w:rFonts w:ascii="宋体" w:hAnsi="宋体" w:eastAsia="宋体" w:cs="Times New Roman"/>
      <w:b/>
      <w:sz w:val="28"/>
      <w:szCs w:val="28"/>
    </w:rPr>
  </w:style>
  <w:style w:type="character" w:customStyle="1" w:styleId="38">
    <w:name w:val="标题 4 Char"/>
    <w:basedOn w:val="29"/>
    <w:link w:val="6"/>
    <w:qFormat/>
    <w:uiPriority w:val="0"/>
    <w:rPr>
      <w:rFonts w:ascii="Cambria" w:hAnsi="Cambria" w:eastAsia="宋体" w:cs="Times New Roman"/>
      <w:b/>
      <w:bCs/>
      <w:sz w:val="28"/>
      <w:szCs w:val="28"/>
    </w:rPr>
  </w:style>
  <w:style w:type="character" w:customStyle="1" w:styleId="39">
    <w:name w:val="标题 5 Char"/>
    <w:basedOn w:val="29"/>
    <w:link w:val="7"/>
    <w:qFormat/>
    <w:uiPriority w:val="0"/>
    <w:rPr>
      <w:rFonts w:ascii="Times New Roman" w:hAnsi="Times New Roman" w:eastAsia="宋体" w:cs="Times New Roman"/>
      <w:b/>
      <w:bCs/>
      <w:sz w:val="24"/>
      <w:szCs w:val="24"/>
    </w:rPr>
  </w:style>
  <w:style w:type="character" w:customStyle="1" w:styleId="40">
    <w:name w:val="标题 7 Char"/>
    <w:basedOn w:val="29"/>
    <w:link w:val="8"/>
    <w:qFormat/>
    <w:uiPriority w:val="0"/>
    <w:rPr>
      <w:rFonts w:ascii="Times New Roman" w:hAnsi="Times New Roman" w:eastAsia="宋体" w:cs="Times New Roman"/>
      <w:b/>
      <w:kern w:val="0"/>
      <w:sz w:val="24"/>
      <w:szCs w:val="20"/>
    </w:rPr>
  </w:style>
  <w:style w:type="character" w:customStyle="1" w:styleId="41">
    <w:name w:val="页眉 Char"/>
    <w:basedOn w:val="29"/>
    <w:link w:val="22"/>
    <w:qFormat/>
    <w:uiPriority w:val="0"/>
    <w:rPr>
      <w:rFonts w:ascii="Times New Roman" w:hAnsi="Times New Roman" w:eastAsia="宋体" w:cs="Times New Roman"/>
      <w:sz w:val="18"/>
      <w:szCs w:val="18"/>
    </w:rPr>
  </w:style>
  <w:style w:type="character" w:customStyle="1" w:styleId="42">
    <w:name w:val="页脚 Char"/>
    <w:basedOn w:val="29"/>
    <w:link w:val="21"/>
    <w:qFormat/>
    <w:uiPriority w:val="99"/>
    <w:rPr>
      <w:rFonts w:ascii="Times New Roman" w:hAnsi="Times New Roman" w:eastAsia="宋体" w:cs="Times New Roman"/>
      <w:sz w:val="18"/>
      <w:szCs w:val="18"/>
    </w:rPr>
  </w:style>
  <w:style w:type="character" w:customStyle="1" w:styleId="43">
    <w:name w:val="文档结构图 Char"/>
    <w:basedOn w:val="29"/>
    <w:link w:val="10"/>
    <w:qFormat/>
    <w:uiPriority w:val="0"/>
    <w:rPr>
      <w:rFonts w:ascii="宋体" w:hAnsi="Calibri" w:eastAsia="宋体" w:cs="Times New Roman"/>
      <w:sz w:val="18"/>
      <w:szCs w:val="18"/>
    </w:rPr>
  </w:style>
  <w:style w:type="character" w:customStyle="1" w:styleId="44">
    <w:name w:val="批注文字 Char"/>
    <w:basedOn w:val="29"/>
    <w:link w:val="11"/>
    <w:qFormat/>
    <w:uiPriority w:val="0"/>
    <w:rPr>
      <w:rFonts w:ascii="Calibri" w:hAnsi="Calibri" w:eastAsia="宋体" w:cs="Times New Roman"/>
    </w:rPr>
  </w:style>
  <w:style w:type="character" w:customStyle="1" w:styleId="45">
    <w:name w:val="正文文本 3 Char"/>
    <w:basedOn w:val="29"/>
    <w:link w:val="12"/>
    <w:qFormat/>
    <w:uiPriority w:val="0"/>
    <w:rPr>
      <w:rFonts w:ascii="宋体" w:hAnsi="Calibri" w:eastAsia="宋体" w:cs="Times New Roman"/>
      <w:sz w:val="24"/>
    </w:rPr>
  </w:style>
  <w:style w:type="character" w:customStyle="1" w:styleId="46">
    <w:name w:val="正文文本 Char"/>
    <w:basedOn w:val="29"/>
    <w:link w:val="13"/>
    <w:qFormat/>
    <w:uiPriority w:val="0"/>
    <w:rPr>
      <w:rFonts w:ascii="Times New Roman" w:hAnsi="Times New Roman" w:eastAsia="宋体" w:cs="Times New Roman"/>
      <w:szCs w:val="20"/>
    </w:rPr>
  </w:style>
  <w:style w:type="character" w:customStyle="1" w:styleId="47">
    <w:name w:val="正文文本缩进 Char"/>
    <w:basedOn w:val="29"/>
    <w:link w:val="14"/>
    <w:qFormat/>
    <w:uiPriority w:val="0"/>
    <w:rPr>
      <w:rFonts w:ascii="宋体" w:hAnsi="宋体" w:eastAsia="宋体" w:cs="Times New Roman"/>
      <w:color w:val="000000"/>
      <w:kern w:val="0"/>
      <w:sz w:val="20"/>
      <w:szCs w:val="24"/>
    </w:rPr>
  </w:style>
  <w:style w:type="character" w:customStyle="1" w:styleId="48">
    <w:name w:val="纯文本 Char"/>
    <w:basedOn w:val="29"/>
    <w:link w:val="17"/>
    <w:qFormat/>
    <w:uiPriority w:val="0"/>
    <w:rPr>
      <w:rFonts w:ascii="宋体" w:hAnsi="Calibri" w:eastAsia="宋体" w:cs="Times New Roman"/>
      <w:sz w:val="22"/>
    </w:rPr>
  </w:style>
  <w:style w:type="character" w:customStyle="1" w:styleId="49">
    <w:name w:val="日期 Char"/>
    <w:basedOn w:val="29"/>
    <w:link w:val="18"/>
    <w:qFormat/>
    <w:uiPriority w:val="0"/>
    <w:rPr>
      <w:rFonts w:ascii="Calibri" w:hAnsi="Calibri" w:eastAsia="宋体" w:cs="Times New Roman"/>
    </w:rPr>
  </w:style>
  <w:style w:type="character" w:customStyle="1" w:styleId="50">
    <w:name w:val="正文文本缩进 2 Char"/>
    <w:basedOn w:val="29"/>
    <w:link w:val="19"/>
    <w:qFormat/>
    <w:uiPriority w:val="0"/>
    <w:rPr>
      <w:rFonts w:ascii="Times New Roman" w:hAnsi="Times New Roman" w:eastAsia="宋体" w:cs="Times New Roman"/>
      <w:szCs w:val="24"/>
    </w:rPr>
  </w:style>
  <w:style w:type="character" w:customStyle="1" w:styleId="51">
    <w:name w:val="批注框文本 Char"/>
    <w:basedOn w:val="29"/>
    <w:link w:val="20"/>
    <w:qFormat/>
    <w:uiPriority w:val="0"/>
    <w:rPr>
      <w:rFonts w:ascii="Calibri" w:hAnsi="Calibri" w:eastAsia="宋体" w:cs="Times New Roman"/>
      <w:sz w:val="18"/>
      <w:szCs w:val="18"/>
    </w:rPr>
  </w:style>
  <w:style w:type="character" w:customStyle="1" w:styleId="52">
    <w:name w:val="批注主题 Char"/>
    <w:basedOn w:val="44"/>
    <w:link w:val="25"/>
    <w:qFormat/>
    <w:uiPriority w:val="0"/>
    <w:rPr>
      <w:rFonts w:ascii="Calibri" w:hAnsi="Calibri" w:eastAsia="宋体" w:cs="Times New Roman"/>
      <w:b/>
      <w:bCs/>
    </w:rPr>
  </w:style>
  <w:style w:type="character" w:customStyle="1" w:styleId="53">
    <w:name w:val="正文首行缩进 Char"/>
    <w:basedOn w:val="46"/>
    <w:link w:val="26"/>
    <w:qFormat/>
    <w:uiPriority w:val="0"/>
    <w:rPr>
      <w:rFonts w:ascii="Calibri" w:hAnsi="Calibri" w:eastAsia="宋体" w:cs="Times New Roman"/>
      <w:szCs w:val="24"/>
    </w:rPr>
  </w:style>
  <w:style w:type="character" w:customStyle="1" w:styleId="54">
    <w:name w:val="正文首行缩进 2 Char"/>
    <w:basedOn w:val="47"/>
    <w:link w:val="27"/>
    <w:qFormat/>
    <w:uiPriority w:val="0"/>
    <w:rPr>
      <w:rFonts w:ascii="Times New Roman" w:hAnsi="Times New Roman" w:eastAsia="宋体" w:cs="Times New Roman"/>
      <w:color w:val="000000"/>
      <w:kern w:val="0"/>
      <w:sz w:val="20"/>
      <w:szCs w:val="24"/>
    </w:rPr>
  </w:style>
  <w:style w:type="character" w:customStyle="1" w:styleId="55">
    <w:name w:val="datagrid-sort-icon3"/>
    <w:basedOn w:val="29"/>
    <w:qFormat/>
    <w:uiPriority w:val="0"/>
    <w:rPr>
      <w:rFonts w:ascii="Calibri" w:hAnsi="Calibri" w:eastAsia="宋体" w:cs="Times New Roman"/>
    </w:rPr>
  </w:style>
  <w:style w:type="paragraph" w:customStyle="1" w:styleId="56">
    <w:name w:val="_Style 3"/>
    <w:basedOn w:val="1"/>
    <w:qFormat/>
    <w:uiPriority w:val="0"/>
    <w:pPr>
      <w:spacing w:line="360" w:lineRule="auto"/>
      <w:jc w:val="center"/>
    </w:pPr>
    <w:rPr>
      <w:szCs w:val="20"/>
    </w:rPr>
  </w:style>
  <w:style w:type="paragraph" w:customStyle="1" w:styleId="57">
    <w:name w:val="列出段落1"/>
    <w:basedOn w:val="1"/>
    <w:qFormat/>
    <w:uiPriority w:val="0"/>
    <w:pPr>
      <w:ind w:firstLine="420" w:firstLineChars="200"/>
    </w:pPr>
    <w:rPr>
      <w:szCs w:val="24"/>
    </w:rPr>
  </w:style>
  <w:style w:type="paragraph" w:customStyle="1" w:styleId="58">
    <w:name w:val="列表段落1"/>
    <w:basedOn w:val="1"/>
    <w:qFormat/>
    <w:uiPriority w:val="0"/>
    <w:pPr>
      <w:ind w:firstLine="420" w:firstLineChars="200"/>
    </w:pPr>
    <w:rPr>
      <w:szCs w:val="24"/>
    </w:rPr>
  </w:style>
  <w:style w:type="paragraph" w:customStyle="1" w:styleId="59">
    <w:name w:val="正文 New New"/>
    <w:qFormat/>
    <w:uiPriority w:val="0"/>
    <w:pPr>
      <w:widowControl w:val="0"/>
      <w:jc w:val="both"/>
    </w:pPr>
    <w:rPr>
      <w:rFonts w:ascii="Times New Roman" w:hAnsi="Times New Roman" w:eastAsia="宋体" w:cs="Times New Roman"/>
      <w:kern w:val="2"/>
      <w:sz w:val="21"/>
      <w:szCs w:val="24"/>
      <w:lang w:val="en-US" w:eastAsia="zh-CN" w:bidi="ar-SA"/>
    </w:rPr>
  </w:style>
  <w:style w:type="paragraph" w:customStyle="1" w:styleId="60">
    <w:name w:val="修订1"/>
    <w:qFormat/>
    <w:uiPriority w:val="0"/>
    <w:rPr>
      <w:rFonts w:ascii="Times New Roman" w:hAnsi="Times New Roman" w:eastAsia="宋体" w:cs="Times New Roman"/>
      <w:kern w:val="2"/>
      <w:sz w:val="21"/>
      <w:szCs w:val="22"/>
      <w:lang w:val="en-US" w:eastAsia="zh-CN" w:bidi="ar-SA"/>
    </w:rPr>
  </w:style>
  <w:style w:type="paragraph" w:customStyle="1" w:styleId="61">
    <w:name w:val="公文正文"/>
    <w:qFormat/>
    <w:uiPriority w:val="0"/>
    <w:pPr>
      <w:widowControl w:val="0"/>
      <w:spacing w:line="360" w:lineRule="auto"/>
      <w:ind w:firstLine="629"/>
      <w:jc w:val="both"/>
    </w:pPr>
    <w:rPr>
      <w:rFonts w:ascii="仿宋_GB2312" w:hAnsi="Calisto MT" w:eastAsia="仿宋_GB2312" w:cs="Times New Roman"/>
      <w:color w:val="000000"/>
      <w:sz w:val="32"/>
      <w:lang w:val="en-US" w:eastAsia="zh-CN" w:bidi="ar-SA"/>
    </w:rPr>
  </w:style>
  <w:style w:type="paragraph" w:customStyle="1" w:styleId="62">
    <w:name w:val="CM39"/>
    <w:basedOn w:val="34"/>
    <w:next w:val="34"/>
    <w:qFormat/>
    <w:uiPriority w:val="0"/>
    <w:rPr>
      <w:color w:val="auto"/>
    </w:rPr>
  </w:style>
  <w:style w:type="paragraph" w:customStyle="1" w:styleId="63">
    <w:name w:val="p0"/>
    <w:basedOn w:val="1"/>
    <w:qFormat/>
    <w:uiPriority w:val="0"/>
    <w:pPr>
      <w:spacing w:before="75" w:after="75"/>
    </w:pPr>
    <w:rPr>
      <w:rFonts w:ascii="宋体" w:hAnsi="宋体" w:cs="宋体"/>
      <w:kern w:val="0"/>
      <w:sz w:val="24"/>
      <w:szCs w:val="24"/>
    </w:rPr>
  </w:style>
  <w:style w:type="character" w:customStyle="1" w:styleId="64">
    <w:name w:val="Span_underline"/>
    <w:qFormat/>
    <w:uiPriority w:val="0"/>
    <w:rPr>
      <w:u w:val="single"/>
    </w:rPr>
  </w:style>
  <w:style w:type="paragraph" w:customStyle="1" w:styleId="65">
    <w:name w:val="修订2"/>
    <w:hidden/>
    <w:semiHidden/>
    <w:qFormat/>
    <w:uiPriority w:val="99"/>
    <w:rPr>
      <w:rFonts w:ascii="Times New Roman" w:hAnsi="Times New Roman" w:eastAsia="宋体" w:cs="Times New Roman"/>
      <w:kern w:val="2"/>
      <w:sz w:val="21"/>
      <w:szCs w:val="22"/>
      <w:lang w:val="en-US" w:eastAsia="zh-CN" w:bidi="ar-SA"/>
    </w:rPr>
  </w:style>
  <w:style w:type="paragraph" w:customStyle="1" w:styleId="66">
    <w:name w:val="正文 New New New New New New New New New New New New New New New New New New New New New New New New New New New New New New New New New New New New New New New New New New New New New New New New New New New New New"/>
    <w:qFormat/>
    <w:uiPriority w:val="0"/>
    <w:pPr>
      <w:widowControl w:val="0"/>
      <w:jc w:val="both"/>
    </w:pPr>
    <w:rPr>
      <w:rFonts w:ascii="Times New Roman" w:hAnsi="Times New Roman" w:eastAsia="宋体" w:cs="Times New Roman"/>
      <w:kern w:val="2"/>
      <w:sz w:val="21"/>
      <w:lang w:val="en-US" w:eastAsia="zh-CN" w:bidi="ar-SA"/>
    </w:rPr>
  </w:style>
  <w:style w:type="paragraph" w:styleId="67">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9" Type="http://schemas.openxmlformats.org/officeDocument/2006/relationships/footer" Target="footer4.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header" Target="header3.xml"/><Relationship Id="rId5" Type="http://schemas.openxmlformats.org/officeDocument/2006/relationships/header" Target="header2.xml"/><Relationship Id="rId4" Type="http://schemas.openxmlformats.org/officeDocument/2006/relationships/header" Target="header1.xml"/><Relationship Id="rId3" Type="http://schemas.openxmlformats.org/officeDocument/2006/relationships/footer" Target="foot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theme" Target="theme/theme1.xml"/><Relationship Id="rId12" Type="http://schemas.openxmlformats.org/officeDocument/2006/relationships/header" Target="header5.xml"/><Relationship Id="rId11" Type="http://schemas.openxmlformats.org/officeDocument/2006/relationships/footer" Target="footer5.xml"/><Relationship Id="rId10" Type="http://schemas.openxmlformats.org/officeDocument/2006/relationships/header" Target="header4.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59</Pages>
  <Words>26411</Words>
  <Characters>28232</Characters>
  <Lines>241</Lines>
  <Paragraphs>67</Paragraphs>
  <TotalTime>0</TotalTime>
  <ScaleCrop>false</ScaleCrop>
  <LinksUpToDate>false</LinksUpToDate>
  <CharactersWithSpaces>29196</CharactersWithSpaces>
  <Application>WPS Office_11.1.0.14309_F1E327BC-269C-435d-A152-05C5408002CA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2023-04-14T04:01:00Z</dcterms:created>
  <dc:creator>Admin</dc:creator>
  <cp:lastModifiedBy>Administrator</cp:lastModifiedBy>
  <cp:lastPrinted>2023-05-11T07:12:00Z</cp:lastPrinted>
  <dcterms:modified xsi:type="dcterms:W3CDTF">2023-07-12T01:33:20Z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2052-11.1.0.14309</vt:lpwstr>
  </property>
  <property fmtid="{D5CDD505-2E9C-101B-9397-08002B2CF9AE}" pid="3" name="ICV">
    <vt:lpwstr>446FFFE3BB4E4DA58BB54738A4411969_13</vt:lpwstr>
  </property>
</Properties>
</file>